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BDBB727" w:rsidR="008A332F" w:rsidRDefault="00536DF7" w:rsidP="00085EBF">
      <w:pPr>
        <w:pStyle w:val="Legenda"/>
        <w:jc w:val="center"/>
      </w:pPr>
      <w:r>
        <w:t>R</w:t>
      </w:r>
      <w:r w:rsidR="008C6721" w:rsidRPr="002B50C0">
        <w:t>aportu z postępu rzeczowo-finansowego projektu informatycznego</w:t>
      </w:r>
    </w:p>
    <w:p w14:paraId="3C8F6B73" w14:textId="1EB9C10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40A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5412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44538">
        <w:rPr>
          <w:rFonts w:ascii="Arial" w:hAnsi="Arial" w:cs="Arial"/>
          <w:b/>
          <w:color w:val="auto"/>
          <w:sz w:val="24"/>
          <w:szCs w:val="24"/>
        </w:rPr>
        <w:t xml:space="preserve">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F7D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B1234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27871A9" w:rsidR="00CA516B" w:rsidRPr="007A23FE" w:rsidRDefault="005D6454" w:rsidP="009D074E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7A23FE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7A23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05B59807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B563FF" w:rsidR="005D6454" w:rsidRPr="007A23FE" w:rsidRDefault="005D645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EB58B2A" w:rsidR="00CA516B" w:rsidRPr="007A23FE" w:rsidRDefault="005D6454" w:rsidP="00341F63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Matematyczny PAN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6095" w14:textId="77777777" w:rsidR="005D6454" w:rsidRPr="007A23FE" w:rsidRDefault="005D6454" w:rsidP="00341F63">
            <w:pPr>
              <w:pStyle w:val="Akapitzlist"/>
              <w:numPr>
                <w:ilvl w:val="0"/>
                <w:numId w:val="21"/>
              </w:numPr>
              <w:spacing w:before="12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Archeologii i Etnologii Polskiej Akademii Nauk, </w:t>
            </w:r>
          </w:p>
          <w:p w14:paraId="3BFFE68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Literackich Polskiej Akademii Nauk, </w:t>
            </w:r>
          </w:p>
          <w:p w14:paraId="633CB8CA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Badań Systemowych PAN, </w:t>
            </w:r>
          </w:p>
          <w:p w14:paraId="2B8A1592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Badawczy Leśnictwa, </w:t>
            </w:r>
          </w:p>
          <w:p w14:paraId="6B6A4300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Biologii Doświadczalnej im. Marcelego Nenckiego Polskiej Ak</w:t>
            </w:r>
            <w:r w:rsidRPr="007A23FE">
              <w:rPr>
                <w:rFonts w:ascii="Arial" w:hAnsi="Arial" w:cs="Arial"/>
                <w:sz w:val="18"/>
                <w:szCs w:val="18"/>
              </w:rPr>
              <w:t>a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demii Nauk, </w:t>
            </w:r>
          </w:p>
          <w:p w14:paraId="66994358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Botaniki im. Władysława Szafera Polskiej Akademii Nauk, </w:t>
            </w:r>
          </w:p>
          <w:p w14:paraId="20B979F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Chemii Bioorganicznej Polskiej Akademii Nauk, </w:t>
            </w:r>
          </w:p>
          <w:p w14:paraId="06898B6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Dendrologii Polskiej Akademii Nauk, </w:t>
            </w:r>
          </w:p>
          <w:p w14:paraId="65B65DA9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Filozofii i Socjologii PAN, </w:t>
            </w:r>
          </w:p>
          <w:p w14:paraId="20341BC6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Geografii i Przestrzennego Zagospodarowania PAN, </w:t>
            </w:r>
          </w:p>
          <w:p w14:paraId="0A1A4CAE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Instytut Medycyny Doświadczalnej i Klinicznej im. Mirosława Mossako</w:t>
            </w:r>
            <w:r w:rsidRPr="007A23FE">
              <w:rPr>
                <w:rFonts w:ascii="Arial" w:hAnsi="Arial" w:cs="Arial"/>
                <w:sz w:val="18"/>
                <w:szCs w:val="18"/>
              </w:rPr>
              <w:t>w</w:t>
            </w:r>
            <w:r w:rsidRPr="007A23FE">
              <w:rPr>
                <w:rFonts w:ascii="Arial" w:hAnsi="Arial" w:cs="Arial"/>
                <w:sz w:val="18"/>
                <w:szCs w:val="18"/>
              </w:rPr>
              <w:t xml:space="preserve">skiego Polskiej Akademii Nauk, </w:t>
            </w:r>
          </w:p>
          <w:p w14:paraId="2DFC6935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Ochrony Przyrody Polskiej Akademii Nauk, </w:t>
            </w:r>
          </w:p>
          <w:p w14:paraId="475CE05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Podstawowych Problemów Techniki PAN, </w:t>
            </w:r>
          </w:p>
          <w:p w14:paraId="5117F58C" w14:textId="77777777" w:rsidR="005D6454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Instytut Systematyki i Ewolucji Zwierząt Polskiej Akademii Nauk, </w:t>
            </w:r>
          </w:p>
          <w:p w14:paraId="519AF00C" w14:textId="1F33EAAE" w:rsidR="00CA516B" w:rsidRPr="007A23FE" w:rsidRDefault="005D6454" w:rsidP="005D6454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Muzeum i Instytut Zoologii Polskiej Akademii Nauk.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B5BC78" w14:textId="77777777" w:rsidR="001E00E3" w:rsidRPr="007A23FE" w:rsidRDefault="001E00E3" w:rsidP="005D6454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</w:pPr>
          </w:p>
          <w:p w14:paraId="230DAAD8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  <w:r w:rsidRPr="007A23FE">
              <w:rPr>
                <w:rFonts w:ascii="Arial" w:eastAsia="Times New Roman" w:hAnsi="Arial" w:cs="Times New Roman"/>
                <w:sz w:val="18"/>
                <w:szCs w:val="18"/>
                <w:u w:val="single"/>
                <w:lang w:eastAsia="pl-PL"/>
              </w:rPr>
              <w:t>Budżet Państwa: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28. Nauka</w:t>
            </w:r>
          </w:p>
          <w:p w14:paraId="5E5FF85C" w14:textId="77777777" w:rsidR="005D6454" w:rsidRPr="007A23FE" w:rsidRDefault="005D6454" w:rsidP="005D6454">
            <w:pPr>
              <w:spacing w:after="0" w:line="240" w:lineRule="auto"/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</w:pPr>
          </w:p>
          <w:p w14:paraId="55582688" w14:textId="22C7BDBC" w:rsidR="005D6454" w:rsidRPr="007A23FE" w:rsidRDefault="005D6454" w:rsidP="005D645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23FE">
              <w:rPr>
                <w:rFonts w:ascii="Arial" w:eastAsia="MS MinNew Roman" w:hAnsi="Arial" w:cs="Times New Roman"/>
                <w:sz w:val="18"/>
                <w:szCs w:val="18"/>
                <w:u w:val="single"/>
                <w:lang w:eastAsia="pl-PL"/>
              </w:rPr>
              <w:t>Środki UE:</w:t>
            </w:r>
            <w:r w:rsidRPr="007A23FE">
              <w:rPr>
                <w:rFonts w:ascii="Arial" w:eastAsia="MS MinNew Roman" w:hAnsi="Arial" w:cs="Times New Roman"/>
                <w:sz w:val="18"/>
                <w:szCs w:val="18"/>
                <w:lang w:eastAsia="pl-PL"/>
              </w:rPr>
              <w:t xml:space="preserve"> - POPC – Oś Priorytetowa II 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 – Administracja i Otwarty Rząd - Działanie 2.3 Cyfrowa dostępność i użyteczność informacji sektora publiczn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e</w:t>
            </w:r>
            <w:r w:rsidRPr="007A23FE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go - Poddziałanie 2.3.1 Cyfrowe udostępnienie informacji sektora publicznego (ISP) ze źródeł administracyjnych i zasobów nauki.</w:t>
            </w:r>
          </w:p>
        </w:tc>
      </w:tr>
      <w:tr w:rsidR="005D6454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880B1" w14:textId="77777777" w:rsidR="005D6454" w:rsidRDefault="005D6454" w:rsidP="005D645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454DCF81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536A85" w14:textId="2807B6E6" w:rsidR="005D6454" w:rsidRDefault="00995984" w:rsidP="00341F63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początkowa projektu: </w:t>
            </w:r>
            <w:r w:rsidR="005820D0" w:rsidRPr="005820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34 684 818,25 </w:t>
            </w:r>
            <w:r w:rsidR="005D6454"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  <w:p w14:paraId="18484459" w14:textId="676F817F" w:rsidR="00995984" w:rsidRPr="007A23FE" w:rsidRDefault="00995984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Obecna wartość projektu: 34 744 978,25</w:t>
            </w:r>
            <w:r w:rsidR="002246B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zł</w:t>
            </w:r>
          </w:p>
        </w:tc>
      </w:tr>
      <w:tr w:rsidR="005D6454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6454" w:rsidRPr="008A332F" w:rsidRDefault="005D645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3A9E0DE" w:rsidR="005D6454" w:rsidRPr="007A23FE" w:rsidRDefault="006B5150" w:rsidP="00341F63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51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34 527 359,40 </w:t>
            </w:r>
            <w:r w:rsidR="005D6454" w:rsidRPr="007A23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zł</w:t>
            </w:r>
          </w:p>
        </w:tc>
      </w:tr>
      <w:tr w:rsidR="005D6454" w:rsidRPr="002B50C0" w14:paraId="716F76F2" w14:textId="77777777" w:rsidTr="00341F6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D6454" w:rsidRDefault="005D6454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D6454" w:rsidRPr="008A332F" w:rsidRDefault="005D6454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DFDCE" w14:textId="77777777" w:rsidR="005D6454" w:rsidRPr="007A23FE" w:rsidRDefault="005D6454" w:rsidP="00341F63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>Data rozpoczęcia realizacji projektu – 01.08.2018</w:t>
            </w:r>
          </w:p>
          <w:p w14:paraId="38498550" w14:textId="02BADF90" w:rsidR="005D6454" w:rsidRDefault="005D6454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A23FE">
              <w:rPr>
                <w:rFonts w:ascii="Arial" w:hAnsi="Arial" w:cs="Arial"/>
                <w:sz w:val="18"/>
                <w:szCs w:val="18"/>
              </w:rPr>
              <w:t xml:space="preserve">Data zakończenia realizacji projektu – </w:t>
            </w:r>
            <w:r w:rsidR="00995984">
              <w:rPr>
                <w:rFonts w:ascii="Arial" w:hAnsi="Arial" w:cs="Arial"/>
                <w:sz w:val="18"/>
                <w:szCs w:val="18"/>
              </w:rPr>
              <w:t>29.10.2021</w:t>
            </w:r>
            <w:r w:rsidR="004B5107">
              <w:rPr>
                <w:rFonts w:ascii="Arial" w:hAnsi="Arial" w:cs="Arial"/>
                <w:sz w:val="18"/>
                <w:szCs w:val="18"/>
              </w:rPr>
              <w:t xml:space="preserve"> (po przedłużeniu)</w:t>
            </w:r>
          </w:p>
          <w:p w14:paraId="32945BD3" w14:textId="77777777" w:rsidR="004B5107" w:rsidRDefault="004B5107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59D09EA" w14:textId="3AC7584D" w:rsidR="00995984" w:rsidRPr="00346430" w:rsidRDefault="00984133" w:rsidP="00341F6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46430">
              <w:rPr>
                <w:rFonts w:ascii="Arial" w:hAnsi="Arial" w:cs="Arial"/>
                <w:sz w:val="18"/>
                <w:szCs w:val="18"/>
              </w:rPr>
              <w:t xml:space="preserve">Instytut Matematyczny PAN jako Beneficjent projektu </w:t>
            </w:r>
            <w:proofErr w:type="spellStart"/>
            <w:r w:rsidRPr="00346430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 w:rsidRPr="003464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5A6A">
              <w:rPr>
                <w:rFonts w:ascii="Arial" w:hAnsi="Arial" w:cs="Arial"/>
                <w:sz w:val="18"/>
                <w:szCs w:val="18"/>
              </w:rPr>
              <w:t xml:space="preserve">podpisał </w:t>
            </w:r>
            <w:r w:rsidR="00980CCA" w:rsidRPr="00346430">
              <w:rPr>
                <w:rFonts w:ascii="Arial" w:hAnsi="Arial" w:cs="Arial"/>
                <w:sz w:val="18"/>
                <w:szCs w:val="18"/>
              </w:rPr>
              <w:t xml:space="preserve">dnia </w:t>
            </w:r>
            <w:r w:rsidR="002A5A6A">
              <w:rPr>
                <w:rFonts w:ascii="Arial" w:hAnsi="Arial" w:cs="Arial"/>
                <w:sz w:val="18"/>
                <w:szCs w:val="18"/>
              </w:rPr>
              <w:t>21</w:t>
            </w:r>
            <w:r w:rsidR="00980CCA" w:rsidRPr="00346430">
              <w:rPr>
                <w:rFonts w:ascii="Arial" w:hAnsi="Arial" w:cs="Arial"/>
                <w:sz w:val="18"/>
                <w:szCs w:val="18"/>
              </w:rPr>
              <w:t>.</w:t>
            </w:r>
            <w:r w:rsidR="002A5A6A">
              <w:rPr>
                <w:rFonts w:ascii="Arial" w:hAnsi="Arial" w:cs="Arial"/>
                <w:sz w:val="18"/>
                <w:szCs w:val="18"/>
              </w:rPr>
              <w:t>04</w:t>
            </w:r>
            <w:r w:rsidR="00980CCA" w:rsidRPr="00346430">
              <w:rPr>
                <w:rFonts w:ascii="Arial" w:hAnsi="Arial" w:cs="Arial"/>
                <w:sz w:val="18"/>
                <w:szCs w:val="18"/>
              </w:rPr>
              <w:t>.202</w:t>
            </w:r>
            <w:r w:rsidR="002A5A6A">
              <w:rPr>
                <w:rFonts w:ascii="Arial" w:hAnsi="Arial" w:cs="Arial"/>
                <w:sz w:val="18"/>
                <w:szCs w:val="18"/>
              </w:rPr>
              <w:t>1</w:t>
            </w:r>
            <w:r w:rsidR="00980CCA" w:rsidRPr="00346430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3464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5A6A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346430">
              <w:rPr>
                <w:rFonts w:ascii="Arial" w:hAnsi="Arial" w:cs="Arial"/>
                <w:sz w:val="18"/>
                <w:szCs w:val="18"/>
              </w:rPr>
              <w:t>Centrum Projektów Polska Cyfrowa</w:t>
            </w:r>
            <w:r w:rsidR="00077E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5A6A">
              <w:rPr>
                <w:rFonts w:ascii="Arial" w:hAnsi="Arial" w:cs="Arial"/>
                <w:sz w:val="18"/>
                <w:szCs w:val="18"/>
              </w:rPr>
              <w:t>an</w:t>
            </w:r>
            <w:r w:rsidR="00077EDA">
              <w:rPr>
                <w:rFonts w:ascii="Arial" w:hAnsi="Arial" w:cs="Arial"/>
                <w:sz w:val="18"/>
                <w:szCs w:val="18"/>
              </w:rPr>
              <w:t>e</w:t>
            </w:r>
            <w:bookmarkStart w:id="0" w:name="_GoBack"/>
            <w:bookmarkEnd w:id="0"/>
            <w:r w:rsidR="002A5A6A">
              <w:rPr>
                <w:rFonts w:ascii="Arial" w:hAnsi="Arial" w:cs="Arial"/>
                <w:sz w:val="18"/>
                <w:szCs w:val="18"/>
              </w:rPr>
              <w:t xml:space="preserve">ks nr 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A5A6A" w:rsidRPr="002A5A6A">
              <w:rPr>
                <w:rFonts w:ascii="Arial" w:hAnsi="Arial" w:cs="Arial"/>
                <w:sz w:val="18"/>
                <w:szCs w:val="18"/>
              </w:rPr>
              <w:t>POPC.02.03.01-00-0029/17-06</w:t>
            </w:r>
            <w:r w:rsidR="00077EDA">
              <w:rPr>
                <w:rFonts w:ascii="Arial" w:hAnsi="Arial" w:cs="Arial"/>
                <w:sz w:val="18"/>
                <w:szCs w:val="18"/>
              </w:rPr>
              <w:t>,</w:t>
            </w:r>
            <w:r w:rsidR="002A5A6A">
              <w:rPr>
                <w:rFonts w:ascii="Arial" w:hAnsi="Arial" w:cs="Arial"/>
                <w:sz w:val="18"/>
                <w:szCs w:val="18"/>
              </w:rPr>
              <w:t xml:space="preserve"> przedłużający termin realizacji projektu o 90 dni 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6984">
              <w:rPr>
                <w:rFonts w:ascii="Arial" w:hAnsi="Arial" w:cs="Arial"/>
                <w:sz w:val="18"/>
                <w:szCs w:val="18"/>
              </w:rPr>
              <w:t>(</w:t>
            </w:r>
            <w:r w:rsidR="00995984" w:rsidRPr="00346430">
              <w:rPr>
                <w:rFonts w:ascii="Arial" w:hAnsi="Arial" w:cs="Arial"/>
                <w:sz w:val="18"/>
                <w:szCs w:val="18"/>
              </w:rPr>
              <w:t>zgodnie z Ustawą z dnia 3 kwietnia 2020 r. o szczególnych rozwiązaniach wspierających realizację programów operacyjnych w związku z wystąpieniem COVID-19 w 2020 roku.</w:t>
            </w:r>
            <w:r w:rsidR="00506984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5CE9679" w14:textId="763BAA41" w:rsidR="005D6454" w:rsidRPr="007A23FE" w:rsidRDefault="005D6454" w:rsidP="0050698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34922C1A" w:rsidR="00CA516B" w:rsidRPr="00141A92" w:rsidRDefault="004C1D48" w:rsidP="007A23FE">
      <w:pPr>
        <w:pStyle w:val="Nagwek2"/>
        <w:numPr>
          <w:ilvl w:val="0"/>
          <w:numId w:val="19"/>
        </w:numPr>
        <w:spacing w:before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3450A7A9" w:rsidR="004C1D48" w:rsidRDefault="004C1D48" w:rsidP="007A23FE">
      <w:pPr>
        <w:pStyle w:val="Nagwek3"/>
        <w:spacing w:before="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</w:p>
    <w:p w14:paraId="513BCB56" w14:textId="77777777" w:rsidR="005D6454" w:rsidRDefault="005D6454" w:rsidP="005D6454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4DC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147B986C" w14:textId="45B50E87" w:rsidR="003C7325" w:rsidRPr="00141A92" w:rsidRDefault="00E35401" w:rsidP="007A23FE">
      <w:pPr>
        <w:pStyle w:val="Nagwek2"/>
        <w:numPr>
          <w:ilvl w:val="0"/>
          <w:numId w:val="19"/>
        </w:numPr>
        <w:spacing w:after="12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D6454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5D6454" w:rsidRPr="00141A92" w:rsidRDefault="005D6454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7B3C5FD4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536DF7" w:rsidRPr="00536DF7" w14:paraId="59735F91" w14:textId="77777777" w:rsidTr="00795AFA">
        <w:tc>
          <w:tcPr>
            <w:tcW w:w="2972" w:type="dxa"/>
          </w:tcPr>
          <w:p w14:paraId="70D4C0FE" w14:textId="77777777" w:rsidR="001E00E3" w:rsidRPr="00536DF7" w:rsidRDefault="001E00E3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7C8D26" w14:textId="67246D07" w:rsidR="005D6454" w:rsidRPr="00536DF7" w:rsidRDefault="00BC5456" w:rsidP="00744538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43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744538">
              <w:rPr>
                <w:rFonts w:ascii="Arial" w:hAnsi="Arial" w:cs="Arial"/>
                <w:sz w:val="18"/>
                <w:szCs w:val="20"/>
              </w:rPr>
              <w:t>89,74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030861A" w14:textId="7B779136" w:rsidR="005D6454" w:rsidRPr="00C127F4" w:rsidRDefault="00B12FCC" w:rsidP="00341F63">
            <w:pPr>
              <w:pStyle w:val="Akapitzlist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4538">
              <w:rPr>
                <w:rFonts w:ascii="Arial" w:hAnsi="Arial" w:cs="Arial"/>
                <w:sz w:val="18"/>
                <w:szCs w:val="20"/>
              </w:rPr>
              <w:t>78,60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F26F5" w14:textId="350AC57F" w:rsidR="00C127F4" w:rsidRPr="00C127F4" w:rsidRDefault="004968C4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4538">
              <w:rPr>
                <w:rFonts w:ascii="Arial" w:hAnsi="Arial" w:cs="Arial"/>
                <w:sz w:val="18"/>
                <w:szCs w:val="20"/>
              </w:rPr>
              <w:t>78,46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91623AF" w14:textId="79475CCB" w:rsidR="00C127F4" w:rsidRPr="00C127F4" w:rsidRDefault="00B74887" w:rsidP="00C127F4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541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44538">
              <w:rPr>
                <w:rFonts w:ascii="Arial" w:hAnsi="Arial" w:cs="Arial"/>
                <w:sz w:val="18"/>
                <w:szCs w:val="20"/>
              </w:rPr>
              <w:t>78,46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B4A718C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1E5083D" w14:textId="77777777" w:rsidR="005D6454" w:rsidRPr="00536DF7" w:rsidRDefault="005D6454" w:rsidP="00536DF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5BB31D3" w14:textId="41BFD8C6" w:rsidR="005D6454" w:rsidRPr="00536DF7" w:rsidRDefault="00744538" w:rsidP="001A44E6">
            <w:pPr>
              <w:spacing w:before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84,48</w:t>
            </w:r>
            <w:r w:rsidR="008B123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FDC0B3E" w14:textId="77777777" w:rsidR="004A5A86" w:rsidRPr="00BD347B" w:rsidRDefault="004A5A86" w:rsidP="00BD347B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429C2D2" w:rsidR="00E42938" w:rsidRPr="002B50C0" w:rsidRDefault="005C0469" w:rsidP="007A23FE">
      <w:pPr>
        <w:pStyle w:val="Nagwek3"/>
        <w:numPr>
          <w:ilvl w:val="0"/>
          <w:numId w:val="19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5D6454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6454" w:rsidRPr="002B50C0" w14:paraId="17EF7955" w14:textId="77777777" w:rsidTr="005D6454">
        <w:tc>
          <w:tcPr>
            <w:tcW w:w="2122" w:type="dxa"/>
          </w:tcPr>
          <w:p w14:paraId="32331CFB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M1:  Zakończenie 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cedur przetargowych związanych z dosta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czeniem sprzętu i ur</w:t>
            </w:r>
            <w:r w:rsidRPr="00D92EB7">
              <w:rPr>
                <w:rFonts w:ascii="Arial" w:hAnsi="Arial" w:cs="Arial"/>
                <w:sz w:val="18"/>
                <w:szCs w:val="18"/>
              </w:rPr>
              <w:t>u</w:t>
            </w:r>
            <w:r w:rsidRPr="00D92EB7">
              <w:rPr>
                <w:rFonts w:ascii="Arial" w:hAnsi="Arial" w:cs="Arial"/>
                <w:sz w:val="18"/>
                <w:szCs w:val="18"/>
              </w:rPr>
              <w:t>chomieniem stanowisk do digitalizacji</w:t>
            </w:r>
          </w:p>
        </w:tc>
        <w:tc>
          <w:tcPr>
            <w:tcW w:w="1506" w:type="dxa"/>
          </w:tcPr>
          <w:p w14:paraId="6DEB9096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0116CEAB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911" w:type="dxa"/>
          </w:tcPr>
          <w:p w14:paraId="6303397B" w14:textId="3C4014CF" w:rsidR="005D6454" w:rsidRPr="005029A2" w:rsidRDefault="009E6A50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794" w:type="dxa"/>
          </w:tcPr>
          <w:p w14:paraId="417CE74A" w14:textId="36B50221" w:rsidR="005D6454" w:rsidRPr="005029A2" w:rsidRDefault="009E6A50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6FC1CAC9" w14:textId="77777777" w:rsidR="005D6454" w:rsidRPr="005029A2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5D3B92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3AC34168" w14:textId="77777777" w:rsidR="005D6454" w:rsidRDefault="005D6454" w:rsidP="00EF71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EBF349" w14:textId="77777777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Przekroczenie spowodowane było przeciągającymi się ro</w:t>
            </w:r>
            <w:r w:rsidRPr="004D2444">
              <w:rPr>
                <w:rFonts w:ascii="Arial" w:hAnsi="Arial" w:cs="Arial"/>
                <w:sz w:val="18"/>
                <w:szCs w:val="18"/>
              </w:rPr>
              <w:t>z</w:t>
            </w:r>
            <w:r w:rsidRPr="004D2444">
              <w:rPr>
                <w:rFonts w:ascii="Arial" w:hAnsi="Arial" w:cs="Arial"/>
                <w:sz w:val="18"/>
                <w:szCs w:val="18"/>
              </w:rPr>
              <w:t>strzygnięciami uruchomionych przetargów i koniecznością ponownego uruchamiania prz</w:t>
            </w:r>
            <w:r w:rsidRPr="004D2444">
              <w:rPr>
                <w:rFonts w:ascii="Arial" w:hAnsi="Arial" w:cs="Arial"/>
                <w:sz w:val="18"/>
                <w:szCs w:val="18"/>
              </w:rPr>
              <w:t>e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targów w wyniku braku ofert odpowiadających wymaganiom przetargowym. </w:t>
            </w:r>
          </w:p>
          <w:p w14:paraId="22A7C2D2" w14:textId="6512021D" w:rsidR="004D2444" w:rsidRDefault="004D2444" w:rsidP="004D2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 niektórych Partnerów doda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kowo wystąpiła konieczność zastąpienia starego sprzętu, który uległ w międzyczasie awarii, nowym </w:t>
            </w:r>
            <w:r w:rsidRPr="004D2444">
              <w:rPr>
                <w:rFonts w:ascii="Arial" w:hAnsi="Arial" w:cs="Arial"/>
                <w:sz w:val="18"/>
                <w:szCs w:val="18"/>
              </w:rPr>
              <w:t>by nie dopuścić do opóźnień w realizacji Proje</w:t>
            </w:r>
            <w:r w:rsidRPr="004D2444">
              <w:rPr>
                <w:rFonts w:ascii="Arial" w:hAnsi="Arial" w:cs="Arial"/>
                <w:sz w:val="18"/>
                <w:szCs w:val="18"/>
              </w:rPr>
              <w:t>k</w:t>
            </w:r>
            <w:r w:rsidRPr="004D2444">
              <w:rPr>
                <w:rFonts w:ascii="Arial" w:hAnsi="Arial" w:cs="Arial"/>
                <w:sz w:val="18"/>
                <w:szCs w:val="18"/>
              </w:rPr>
              <w:t>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E7F849" w14:textId="6CCBC8F0" w:rsid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traktują priorytetowo procedury przetargowe związ</w:t>
            </w:r>
            <w:r w:rsidRPr="004D2444">
              <w:rPr>
                <w:rFonts w:ascii="Arial" w:hAnsi="Arial" w:cs="Arial"/>
                <w:sz w:val="18"/>
                <w:szCs w:val="18"/>
              </w:rPr>
              <w:t>a</w:t>
            </w:r>
            <w:r w:rsidRPr="004D2444">
              <w:rPr>
                <w:rFonts w:ascii="Arial" w:hAnsi="Arial" w:cs="Arial"/>
                <w:sz w:val="18"/>
                <w:szCs w:val="18"/>
              </w:rPr>
              <w:t xml:space="preserve">ne z projektem </w:t>
            </w:r>
            <w:proofErr w:type="spellStart"/>
            <w:r w:rsidRPr="004D2444">
              <w:rPr>
                <w:rFonts w:ascii="Arial" w:hAnsi="Arial" w:cs="Arial"/>
                <w:sz w:val="18"/>
                <w:szCs w:val="18"/>
              </w:rPr>
              <w:t>OZwRCIN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B82835" w14:textId="56A6B959" w:rsidR="004D2444" w:rsidRPr="004D2444" w:rsidRDefault="004D2444" w:rsidP="004D2444">
            <w:pPr>
              <w:rPr>
                <w:rFonts w:ascii="Arial" w:hAnsi="Arial" w:cs="Arial"/>
                <w:sz w:val="18"/>
                <w:szCs w:val="18"/>
              </w:rPr>
            </w:pPr>
            <w:r w:rsidRPr="004D2444">
              <w:rPr>
                <w:rFonts w:ascii="Arial" w:hAnsi="Arial" w:cs="Arial"/>
                <w:sz w:val="18"/>
                <w:szCs w:val="18"/>
              </w:rPr>
              <w:t>Partnerzy starali się jak na</w:t>
            </w:r>
            <w:r w:rsidRPr="004D2444">
              <w:rPr>
                <w:rFonts w:ascii="Arial" w:hAnsi="Arial" w:cs="Arial"/>
                <w:sz w:val="18"/>
                <w:szCs w:val="18"/>
              </w:rPr>
              <w:t>j</w:t>
            </w:r>
            <w:r w:rsidRPr="004D2444">
              <w:rPr>
                <w:rFonts w:ascii="Arial" w:hAnsi="Arial" w:cs="Arial"/>
                <w:sz w:val="18"/>
                <w:szCs w:val="18"/>
              </w:rPr>
              <w:t>szybciej doprowadzić do zako</w:t>
            </w:r>
            <w:r w:rsidRPr="004D2444">
              <w:rPr>
                <w:rFonts w:ascii="Arial" w:hAnsi="Arial" w:cs="Arial"/>
                <w:sz w:val="18"/>
                <w:szCs w:val="18"/>
              </w:rPr>
              <w:t>ń</w:t>
            </w:r>
            <w:r w:rsidRPr="004D2444">
              <w:rPr>
                <w:rFonts w:ascii="Arial" w:hAnsi="Arial" w:cs="Arial"/>
                <w:sz w:val="18"/>
                <w:szCs w:val="18"/>
              </w:rPr>
              <w:t>czenia procedur.</w:t>
            </w:r>
          </w:p>
          <w:p w14:paraId="065F7A9C" w14:textId="77777777" w:rsidR="004D2444" w:rsidRPr="005029A2" w:rsidRDefault="004D2444" w:rsidP="00EF71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5C5AFF5B" w14:textId="77777777" w:rsidTr="005D6454">
        <w:tc>
          <w:tcPr>
            <w:tcW w:w="2122" w:type="dxa"/>
          </w:tcPr>
          <w:p w14:paraId="590E705E" w14:textId="46EB4D8C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M2: RCIN przeniesione na infrastrukturę ICHB PAN PCSS</w:t>
            </w:r>
          </w:p>
        </w:tc>
        <w:tc>
          <w:tcPr>
            <w:tcW w:w="1506" w:type="dxa"/>
          </w:tcPr>
          <w:p w14:paraId="19F9B2B9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B4A1E41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11" w:type="dxa"/>
          </w:tcPr>
          <w:p w14:paraId="05775C30" w14:textId="13AE3C0A" w:rsidR="005D6454" w:rsidRPr="005029A2" w:rsidRDefault="00EF71D4" w:rsidP="002D0794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029A2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794" w:type="dxa"/>
          </w:tcPr>
          <w:p w14:paraId="73B1097F" w14:textId="502B146C" w:rsidR="005D6454" w:rsidRPr="005029A2" w:rsidRDefault="00EF71D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5029A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4A19CE" w14:textId="19D52346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31828E" w14:textId="777777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Wyjaśnienie nie osiągnięcia kamienia milowego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terminie:</w:t>
            </w:r>
          </w:p>
          <w:p w14:paraId="496A555B" w14:textId="77777777" w:rsidR="00F31BA1" w:rsidRDefault="00F31BA1" w:rsidP="00F31BA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FF79AC" w14:textId="5903A10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planowanego terminu dotyczyło przeniesienia danych master z Muzeum i Instytutu Zoologii PAN. </w:t>
            </w:r>
          </w:p>
          <w:p w14:paraId="7A9367F0" w14:textId="1416CA77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trwały dłużej ze względu na problemy z dostępem do infrastruktury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4F90B75" w14:textId="4CB53095" w:rsidR="00F31BA1" w:rsidRDefault="00F31BA1" w:rsidP="00F31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Infrastruktura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IChB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 PCSS była gotowa w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nym terminie na przyjęcie 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nych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MiIZ</w:t>
            </w:r>
            <w:proofErr w:type="spellEnd"/>
            <w:r w:rsidR="004427E6">
              <w:rPr>
                <w:rFonts w:ascii="Arial" w:hAnsi="Arial" w:cs="Arial"/>
                <w:sz w:val="18"/>
                <w:szCs w:val="18"/>
              </w:rPr>
              <w:t xml:space="preserve"> PAN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13D29AF" w14:textId="596828E1" w:rsidR="005D6454" w:rsidRDefault="004427E6" w:rsidP="008818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Przekroczenie planowanego terminu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nie wpły</w:t>
            </w:r>
            <w:r>
              <w:rPr>
                <w:rFonts w:ascii="Arial" w:hAnsi="Arial" w:cs="Arial"/>
                <w:sz w:val="18"/>
                <w:szCs w:val="18"/>
              </w:rPr>
              <w:t>nęło</w:t>
            </w:r>
            <w:r w:rsidR="00F31BA1">
              <w:rPr>
                <w:rFonts w:ascii="Arial" w:hAnsi="Arial" w:cs="Arial"/>
                <w:sz w:val="18"/>
                <w:szCs w:val="18"/>
              </w:rPr>
              <w:t xml:space="preserve"> w znacz</w:t>
            </w:r>
            <w:r w:rsidR="00F31BA1">
              <w:rPr>
                <w:rFonts w:ascii="Arial" w:hAnsi="Arial" w:cs="Arial"/>
                <w:sz w:val="18"/>
                <w:szCs w:val="18"/>
              </w:rPr>
              <w:t>ą</w:t>
            </w:r>
            <w:r w:rsidR="00F31BA1">
              <w:rPr>
                <w:rFonts w:ascii="Arial" w:hAnsi="Arial" w:cs="Arial"/>
                <w:sz w:val="18"/>
                <w:szCs w:val="18"/>
              </w:rPr>
              <w:t>cy sposób na realizację proje</w:t>
            </w:r>
            <w:r w:rsidR="00F31BA1">
              <w:rPr>
                <w:rFonts w:ascii="Arial" w:hAnsi="Arial" w:cs="Arial"/>
                <w:sz w:val="18"/>
                <w:szCs w:val="18"/>
              </w:rPr>
              <w:t>k</w:t>
            </w:r>
            <w:r w:rsidR="00F31BA1">
              <w:rPr>
                <w:rFonts w:ascii="Arial" w:hAnsi="Arial" w:cs="Arial"/>
                <w:sz w:val="18"/>
                <w:szCs w:val="18"/>
              </w:rPr>
              <w:t>tu, tj. nowy termin przeniesienia danych mieści</w:t>
            </w:r>
            <w:r>
              <w:rPr>
                <w:rFonts w:ascii="Arial" w:hAnsi="Arial" w:cs="Arial"/>
                <w:sz w:val="18"/>
                <w:szCs w:val="18"/>
              </w:rPr>
              <w:t xml:space="preserve"> się w wyz</w:t>
            </w:r>
            <w:r w:rsidR="00F31BA1">
              <w:rPr>
                <w:rFonts w:ascii="Arial" w:hAnsi="Arial" w:cs="Arial"/>
                <w:sz w:val="18"/>
                <w:szCs w:val="18"/>
              </w:rPr>
              <w:t>nacz</w:t>
            </w:r>
            <w:r w:rsidR="00F31BA1">
              <w:rPr>
                <w:rFonts w:ascii="Arial" w:hAnsi="Arial" w:cs="Arial"/>
                <w:sz w:val="18"/>
                <w:szCs w:val="18"/>
              </w:rPr>
              <w:t>o</w:t>
            </w:r>
            <w:r w:rsidR="00F31BA1">
              <w:rPr>
                <w:rFonts w:ascii="Arial" w:hAnsi="Arial" w:cs="Arial"/>
                <w:sz w:val="18"/>
                <w:szCs w:val="18"/>
              </w:rPr>
              <w:t>nym terminie punktu krytyczn</w:t>
            </w:r>
            <w:r w:rsidR="00F31BA1">
              <w:rPr>
                <w:rFonts w:ascii="Arial" w:hAnsi="Arial" w:cs="Arial"/>
                <w:sz w:val="18"/>
                <w:szCs w:val="18"/>
              </w:rPr>
              <w:t>e</w:t>
            </w:r>
            <w:r w:rsidR="00F31BA1">
              <w:rPr>
                <w:rFonts w:ascii="Arial" w:hAnsi="Arial" w:cs="Arial"/>
                <w:sz w:val="18"/>
                <w:szCs w:val="18"/>
              </w:rPr>
              <w:t>go dla tego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(Data punktu krytycznego 2020-01-31)</w:t>
            </w:r>
            <w:r w:rsidR="00F31B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573361" w14:textId="38FE5CDC" w:rsidR="008818E0" w:rsidRPr="005029A2" w:rsidRDefault="008818E0" w:rsidP="008818E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454" w:rsidRPr="002B50C0" w14:paraId="45115B09" w14:textId="77777777" w:rsidTr="005D6454">
        <w:tc>
          <w:tcPr>
            <w:tcW w:w="2122" w:type="dxa"/>
          </w:tcPr>
          <w:p w14:paraId="2A032E49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lastRenderedPageBreak/>
              <w:t>M3: Pierwsze 25% planowanych do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stępnienia obiektów udostępnione na pla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formie RCIN</w:t>
            </w:r>
          </w:p>
        </w:tc>
        <w:tc>
          <w:tcPr>
            <w:tcW w:w="1506" w:type="dxa"/>
          </w:tcPr>
          <w:p w14:paraId="57137365" w14:textId="618BF934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3ED17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76399D">
              <w:rPr>
                <w:rFonts w:ascii="Arial" w:hAnsi="Arial" w:cs="Arial"/>
                <w:sz w:val="18"/>
                <w:szCs w:val="18"/>
              </w:rPr>
              <w:t>36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76399D">
              <w:rPr>
                <w:rFonts w:ascii="Arial" w:hAnsi="Arial" w:cs="Arial"/>
                <w:sz w:val="18"/>
                <w:szCs w:val="18"/>
              </w:rPr>
              <w:t>498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F6B2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27186A52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36 527szt.</w:t>
            </w:r>
          </w:p>
          <w:p w14:paraId="6EB392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7A1A235C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57CB76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33911D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611A1D0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41D82D72" w14:textId="56F4F5D2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1D544615" w14:textId="51E43082" w:rsidR="005D6454" w:rsidRPr="00D92EB7" w:rsidRDefault="005D6454" w:rsidP="008F7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D54"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505F0991" w14:textId="77777777" w:rsidTr="005D6454">
        <w:trPr>
          <w:trHeight w:val="1095"/>
        </w:trPr>
        <w:tc>
          <w:tcPr>
            <w:tcW w:w="2122" w:type="dxa"/>
          </w:tcPr>
          <w:p w14:paraId="45DE4614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M4: Podstawowy inte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fejs portali RCIN got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wy oraz systemy baz wiedzy gotowe do uży</w:t>
            </w:r>
            <w:r w:rsidRPr="00D92EB7">
              <w:rPr>
                <w:rFonts w:ascii="Arial" w:hAnsi="Arial" w:cs="Arial"/>
                <w:sz w:val="18"/>
                <w:szCs w:val="18"/>
              </w:rPr>
              <w:t>t</w:t>
            </w:r>
            <w:r w:rsidRPr="00D92EB7">
              <w:rPr>
                <w:rFonts w:ascii="Arial" w:hAnsi="Arial" w:cs="Arial"/>
                <w:sz w:val="18"/>
                <w:szCs w:val="18"/>
              </w:rPr>
              <w:t>kowania</w:t>
            </w:r>
          </w:p>
        </w:tc>
        <w:tc>
          <w:tcPr>
            <w:tcW w:w="1506" w:type="dxa"/>
          </w:tcPr>
          <w:p w14:paraId="7B3356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1:</w:t>
            </w:r>
          </w:p>
          <w:p w14:paraId="7B9D0D0F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szt.</w:t>
            </w:r>
          </w:p>
          <w:p w14:paraId="530B010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833E1E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911" w:type="dxa"/>
          </w:tcPr>
          <w:p w14:paraId="296F469F" w14:textId="6786E004" w:rsidR="005D6454" w:rsidRPr="00D92EB7" w:rsidRDefault="008F7D54" w:rsidP="00BD6FD0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D6FD0"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794" w:type="dxa"/>
          </w:tcPr>
          <w:p w14:paraId="2CF50F77" w14:textId="3A25C54B" w:rsidR="005D6454" w:rsidRPr="00D92EB7" w:rsidRDefault="008F7D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osiągnięty</w:t>
            </w:r>
          </w:p>
        </w:tc>
      </w:tr>
      <w:tr w:rsidR="005D6454" w:rsidRPr="002B50C0" w14:paraId="78EC60E7" w14:textId="77777777" w:rsidTr="005D6454">
        <w:trPr>
          <w:trHeight w:val="1678"/>
        </w:trPr>
        <w:tc>
          <w:tcPr>
            <w:tcW w:w="2122" w:type="dxa"/>
          </w:tcPr>
          <w:p w14:paraId="68FEE88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A5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M5: Kolejne 50%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ud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stępnione na platformie RCIN</w:t>
            </w:r>
          </w:p>
          <w:p w14:paraId="710283A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6" w:type="dxa"/>
          </w:tcPr>
          <w:p w14:paraId="088143B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2:</w:t>
            </w:r>
          </w:p>
          <w:p w14:paraId="62104143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996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4A4897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3:</w:t>
            </w:r>
          </w:p>
          <w:p w14:paraId="573BA50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73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26C3">
              <w:rPr>
                <w:rFonts w:ascii="Arial" w:hAnsi="Arial" w:cs="Arial"/>
                <w:sz w:val="18"/>
                <w:szCs w:val="18"/>
              </w:rPr>
              <w:t>053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36D9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7:</w:t>
            </w:r>
          </w:p>
          <w:p w14:paraId="2150780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25,04 TB</w:t>
            </w:r>
          </w:p>
          <w:p w14:paraId="2718A9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8:</w:t>
            </w:r>
          </w:p>
          <w:p w14:paraId="78205734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3,70 TB</w:t>
            </w:r>
          </w:p>
        </w:tc>
        <w:tc>
          <w:tcPr>
            <w:tcW w:w="1306" w:type="dxa"/>
          </w:tcPr>
          <w:p w14:paraId="0BBE56E3" w14:textId="425CD75A" w:rsidR="005D6454" w:rsidRPr="00D92EB7" w:rsidRDefault="00A307F2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2017F2A5" w14:textId="69EDB29A" w:rsidR="005D6454" w:rsidRPr="00D92EB7" w:rsidRDefault="00276199" w:rsidP="00085EBF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5EBF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2794" w:type="dxa"/>
          </w:tcPr>
          <w:p w14:paraId="28745676" w14:textId="51D29819" w:rsidR="005D6454" w:rsidRDefault="00276199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1E20311" w14:textId="77777777" w:rsidR="00276199" w:rsidRDefault="00276199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C475EA" w14:textId="03D89FBA" w:rsidR="00276199" w:rsidRPr="00D92EB7" w:rsidRDefault="00276199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D6454" w:rsidRPr="002B50C0" w14:paraId="547149E3" w14:textId="77777777" w:rsidTr="005D6454">
        <w:trPr>
          <w:trHeight w:val="1155"/>
        </w:trPr>
        <w:tc>
          <w:tcPr>
            <w:tcW w:w="2122" w:type="dxa"/>
          </w:tcPr>
          <w:p w14:paraId="1F4E8863" w14:textId="1225AB53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M6: Modernizacja sy</w:t>
            </w:r>
            <w:r w:rsidRPr="00D92EB7">
              <w:rPr>
                <w:rFonts w:ascii="Arial" w:hAnsi="Arial" w:cs="Arial"/>
                <w:sz w:val="18"/>
                <w:szCs w:val="18"/>
              </w:rPr>
              <w:t>s</w:t>
            </w:r>
            <w:r w:rsidRPr="00D92EB7">
              <w:rPr>
                <w:rFonts w:ascii="Arial" w:hAnsi="Arial" w:cs="Arial"/>
                <w:sz w:val="18"/>
                <w:szCs w:val="18"/>
              </w:rPr>
              <w:t>temów do długoterm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nowego przechowyw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nia danych źródłowych oraz obsługi procesu digitalizacji zakończona</w:t>
            </w:r>
          </w:p>
        </w:tc>
        <w:tc>
          <w:tcPr>
            <w:tcW w:w="1506" w:type="dxa"/>
          </w:tcPr>
          <w:p w14:paraId="22D30B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średniego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wiązania ze wskaźnikami.</w:t>
            </w:r>
          </w:p>
        </w:tc>
        <w:tc>
          <w:tcPr>
            <w:tcW w:w="1306" w:type="dxa"/>
          </w:tcPr>
          <w:p w14:paraId="1562213D" w14:textId="53771F83" w:rsidR="005D6454" w:rsidRPr="00D92EB7" w:rsidRDefault="00E74E6B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911" w:type="dxa"/>
          </w:tcPr>
          <w:p w14:paraId="70A1D5FB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0B9B0090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11763696" w14:textId="77777777" w:rsidTr="005D6454">
        <w:trPr>
          <w:trHeight w:val="392"/>
        </w:trPr>
        <w:tc>
          <w:tcPr>
            <w:tcW w:w="2122" w:type="dxa"/>
          </w:tcPr>
          <w:p w14:paraId="192C5E70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M7: Rozwój i modern</w:t>
            </w:r>
            <w:r w:rsidRPr="00D92EB7">
              <w:rPr>
                <w:rFonts w:ascii="Arial" w:hAnsi="Arial" w:cs="Arial"/>
                <w:sz w:val="18"/>
                <w:szCs w:val="18"/>
              </w:rPr>
              <w:t>i</w:t>
            </w:r>
            <w:r w:rsidRPr="00D92EB7">
              <w:rPr>
                <w:rFonts w:ascii="Arial" w:hAnsi="Arial" w:cs="Arial"/>
                <w:sz w:val="18"/>
                <w:szCs w:val="18"/>
              </w:rPr>
              <w:t>zacja portali RCIN zakończona.</w:t>
            </w:r>
          </w:p>
        </w:tc>
        <w:tc>
          <w:tcPr>
            <w:tcW w:w="1506" w:type="dxa"/>
          </w:tcPr>
          <w:p w14:paraId="562FA1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92EB7">
              <w:rPr>
                <w:rFonts w:ascii="Arial" w:hAnsi="Arial" w:cs="Arial"/>
                <w:sz w:val="18"/>
                <w:szCs w:val="18"/>
              </w:rPr>
              <w:t>skaźnik nr 4:</w:t>
            </w:r>
          </w:p>
          <w:p w14:paraId="7C503838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szt.</w:t>
            </w:r>
          </w:p>
          <w:p w14:paraId="2C89BEF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D92EB7">
              <w:rPr>
                <w:rFonts w:ascii="Arial" w:hAnsi="Arial" w:cs="Arial"/>
                <w:sz w:val="18"/>
                <w:szCs w:val="18"/>
              </w:rPr>
              <w:t xml:space="preserve"> nr 5:</w:t>
            </w:r>
          </w:p>
          <w:p w14:paraId="3B6F147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szt.</w:t>
            </w:r>
          </w:p>
          <w:p w14:paraId="2F710F2B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14:paraId="1F5FBAB7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szt./rok</w:t>
            </w:r>
          </w:p>
        </w:tc>
        <w:tc>
          <w:tcPr>
            <w:tcW w:w="1306" w:type="dxa"/>
          </w:tcPr>
          <w:p w14:paraId="368ACD02" w14:textId="6C8655E3" w:rsidR="005D6454" w:rsidRPr="00D92EB7" w:rsidRDefault="00A307F2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1" w:type="dxa"/>
          </w:tcPr>
          <w:p w14:paraId="05E786FE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1E3279C5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D6454" w:rsidRPr="002B50C0" w14:paraId="7326DDFA" w14:textId="77777777" w:rsidTr="005D6454">
        <w:trPr>
          <w:trHeight w:val="851"/>
        </w:trPr>
        <w:tc>
          <w:tcPr>
            <w:tcW w:w="2122" w:type="dxa"/>
          </w:tcPr>
          <w:p w14:paraId="7F18DEE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CFA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M8: Ostatnie 25% pl</w:t>
            </w:r>
            <w:r w:rsidRPr="00D92EB7">
              <w:rPr>
                <w:rFonts w:ascii="Arial" w:hAnsi="Arial" w:cs="Arial"/>
                <w:sz w:val="18"/>
                <w:szCs w:val="18"/>
              </w:rPr>
              <w:t>a</w:t>
            </w:r>
            <w:r w:rsidRPr="00D92EB7">
              <w:rPr>
                <w:rFonts w:ascii="Arial" w:hAnsi="Arial" w:cs="Arial"/>
                <w:sz w:val="18"/>
                <w:szCs w:val="18"/>
              </w:rPr>
              <w:t>nowanych do udostę</w:t>
            </w:r>
            <w:r w:rsidRPr="00D92EB7">
              <w:rPr>
                <w:rFonts w:ascii="Arial" w:hAnsi="Arial" w:cs="Arial"/>
                <w:sz w:val="18"/>
                <w:szCs w:val="18"/>
              </w:rPr>
              <w:t>p</w:t>
            </w:r>
            <w:r w:rsidRPr="00D92EB7">
              <w:rPr>
                <w:rFonts w:ascii="Arial" w:hAnsi="Arial" w:cs="Arial"/>
                <w:sz w:val="18"/>
                <w:szCs w:val="18"/>
              </w:rPr>
              <w:t>nienia obiektów wpr</w:t>
            </w:r>
            <w:r w:rsidRPr="00D92EB7">
              <w:rPr>
                <w:rFonts w:ascii="Arial" w:hAnsi="Arial" w:cs="Arial"/>
                <w:sz w:val="18"/>
                <w:szCs w:val="18"/>
              </w:rPr>
              <w:t>o</w:t>
            </w:r>
            <w:r w:rsidRPr="00D92EB7">
              <w:rPr>
                <w:rFonts w:ascii="Arial" w:hAnsi="Arial" w:cs="Arial"/>
                <w:sz w:val="18"/>
                <w:szCs w:val="18"/>
              </w:rPr>
              <w:t>wadzonych do platfo</w:t>
            </w:r>
            <w:r w:rsidRPr="00D92EB7">
              <w:rPr>
                <w:rFonts w:ascii="Arial" w:hAnsi="Arial" w:cs="Arial"/>
                <w:sz w:val="18"/>
                <w:szCs w:val="18"/>
              </w:rPr>
              <w:t>r</w:t>
            </w:r>
            <w:r w:rsidRPr="00D92EB7">
              <w:rPr>
                <w:rFonts w:ascii="Arial" w:hAnsi="Arial" w:cs="Arial"/>
                <w:sz w:val="18"/>
                <w:szCs w:val="18"/>
              </w:rPr>
              <w:t>my RCIN</w:t>
            </w:r>
          </w:p>
          <w:p w14:paraId="70817101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</w:tcPr>
          <w:p w14:paraId="30D91AB1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 xml:space="preserve">Wskaźnik nr 2: - </w:t>
            </w:r>
          </w:p>
          <w:p w14:paraId="13E1BE5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36 498 szt.</w:t>
            </w:r>
          </w:p>
          <w:p w14:paraId="5650A2E4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3:</w:t>
            </w:r>
          </w:p>
          <w:p w14:paraId="6E85EC00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36 527szt.</w:t>
            </w:r>
          </w:p>
          <w:p w14:paraId="22BBC0C6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7:</w:t>
            </w:r>
          </w:p>
          <w:p w14:paraId="17DF40AD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12,52 TB</w:t>
            </w:r>
          </w:p>
          <w:p w14:paraId="6AC0F108" w14:textId="77777777" w:rsidR="005D6454" w:rsidRPr="00CB26C3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Wskaźnik nr 8:</w:t>
            </w:r>
          </w:p>
          <w:p w14:paraId="06EBA4FD" w14:textId="77777777" w:rsidR="005D6454" w:rsidRPr="00D92EB7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CB26C3">
              <w:rPr>
                <w:rFonts w:ascii="Arial" w:hAnsi="Arial" w:cs="Arial"/>
                <w:sz w:val="18"/>
                <w:szCs w:val="18"/>
              </w:rPr>
              <w:t>1,85 TB</w:t>
            </w:r>
          </w:p>
        </w:tc>
        <w:tc>
          <w:tcPr>
            <w:tcW w:w="1306" w:type="dxa"/>
          </w:tcPr>
          <w:p w14:paraId="192532AA" w14:textId="7899C871" w:rsidR="005D6454" w:rsidRPr="00D92EB7" w:rsidRDefault="00A307F2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1" w:type="dxa"/>
          </w:tcPr>
          <w:p w14:paraId="43155270" w14:textId="77777777" w:rsidR="005D6454" w:rsidRPr="00D92EB7" w:rsidRDefault="005D6454" w:rsidP="005D6454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14:paraId="240872BF" w14:textId="77777777" w:rsidR="005D6454" w:rsidRPr="00D92EB7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5064AD8" w14:textId="77777777" w:rsidR="007A23FE" w:rsidRDefault="007A23FE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37A83CB0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4C2D0CD2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7751A8CE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12C5E2D8" w14:textId="77777777" w:rsidR="004A5A86" w:rsidRDefault="004A5A86" w:rsidP="007A23FE">
      <w:pPr>
        <w:spacing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5D6454" w:rsidRPr="002B50C0" w14:paraId="5DF8323F" w14:textId="77777777" w:rsidTr="005D6454">
        <w:tc>
          <w:tcPr>
            <w:tcW w:w="2545" w:type="dxa"/>
          </w:tcPr>
          <w:p w14:paraId="3D723135" w14:textId="77777777" w:rsidR="005D6454" w:rsidRPr="007D7E62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podmiotów, kt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re udostępniły  on-line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</w:tcPr>
          <w:p w14:paraId="60D69266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BB2C39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701" w:type="dxa"/>
          </w:tcPr>
          <w:p w14:paraId="019C4008" w14:textId="77777777" w:rsidR="005D6454" w:rsidRPr="006334BF" w:rsidRDefault="005D6454" w:rsidP="005D6454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625124A8" w14:textId="560E8E75" w:rsidR="005D6454" w:rsidRPr="006C51BC" w:rsidRDefault="005D6454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3B39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16,00</w:t>
            </w:r>
          </w:p>
        </w:tc>
      </w:tr>
      <w:tr w:rsidR="005D6454" w:rsidRPr="002B50C0" w14:paraId="7B41ABF4" w14:textId="77777777" w:rsidTr="005D6454">
        <w:tc>
          <w:tcPr>
            <w:tcW w:w="2545" w:type="dxa"/>
          </w:tcPr>
          <w:p w14:paraId="15AC91CD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zdigitalizow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proofErr w:type="spellEnd"/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14:paraId="1862231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E8027E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145 992,00</w:t>
            </w:r>
          </w:p>
        </w:tc>
        <w:tc>
          <w:tcPr>
            <w:tcW w:w="1701" w:type="dxa"/>
          </w:tcPr>
          <w:p w14:paraId="6AB461E7" w14:textId="6356069D" w:rsidR="005D6454" w:rsidRPr="006C51BC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6C51BC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197366F6" w14:textId="358E2844" w:rsidR="005D6454" w:rsidRPr="006C51BC" w:rsidRDefault="00427222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142 383,00</w:t>
            </w:r>
          </w:p>
        </w:tc>
      </w:tr>
      <w:tr w:rsidR="005D6454" w:rsidRPr="002B50C0" w14:paraId="5406A0EA" w14:textId="77777777" w:rsidTr="005D6454">
        <w:tc>
          <w:tcPr>
            <w:tcW w:w="2545" w:type="dxa"/>
          </w:tcPr>
          <w:p w14:paraId="216E9F83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 xml:space="preserve">cje sektora publicznego </w:t>
            </w:r>
          </w:p>
        </w:tc>
        <w:tc>
          <w:tcPr>
            <w:tcW w:w="1278" w:type="dxa"/>
          </w:tcPr>
          <w:p w14:paraId="2BEA1F69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FC3C92C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146 107,00</w:t>
            </w:r>
          </w:p>
        </w:tc>
        <w:tc>
          <w:tcPr>
            <w:tcW w:w="1701" w:type="dxa"/>
          </w:tcPr>
          <w:p w14:paraId="25098882" w14:textId="3D42FC79" w:rsidR="005D6454" w:rsidRPr="006C51BC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6C51BC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527455A6" w14:textId="376C414C" w:rsidR="005D6454" w:rsidRPr="006C51BC" w:rsidRDefault="00427222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114 940,00</w:t>
            </w:r>
          </w:p>
        </w:tc>
      </w:tr>
      <w:tr w:rsidR="005D6454" w:rsidRPr="002B50C0" w14:paraId="59FD0AC0" w14:textId="77777777" w:rsidTr="005D6454">
        <w:trPr>
          <w:trHeight w:val="333"/>
        </w:trPr>
        <w:tc>
          <w:tcPr>
            <w:tcW w:w="2545" w:type="dxa"/>
          </w:tcPr>
          <w:p w14:paraId="1D580228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5457878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64AF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18,00</w:t>
            </w:r>
          </w:p>
        </w:tc>
        <w:tc>
          <w:tcPr>
            <w:tcW w:w="1701" w:type="dxa"/>
          </w:tcPr>
          <w:p w14:paraId="4FA5A251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050E20F" w14:textId="68B4575E" w:rsidR="005D6454" w:rsidRPr="006C51BC" w:rsidRDefault="003B3955" w:rsidP="005D67C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67C1">
              <w:rPr>
                <w:rFonts w:ascii="Arial" w:hAnsi="Arial" w:cs="Arial"/>
                <w:sz w:val="18"/>
                <w:szCs w:val="20"/>
              </w:rPr>
              <w:t xml:space="preserve"> 18,00</w:t>
            </w:r>
          </w:p>
        </w:tc>
      </w:tr>
      <w:tr w:rsidR="005D6454" w:rsidRPr="002B50C0" w14:paraId="31D116FD" w14:textId="77777777" w:rsidTr="005D6454">
        <w:tc>
          <w:tcPr>
            <w:tcW w:w="2545" w:type="dxa"/>
          </w:tcPr>
          <w:p w14:paraId="5B925585" w14:textId="77777777" w:rsidR="005D6454" w:rsidRPr="0010681F" w:rsidRDefault="005D6454" w:rsidP="005D6454">
            <w:pPr>
              <w:pStyle w:val="Akapitzlist"/>
              <w:numPr>
                <w:ilvl w:val="0"/>
                <w:numId w:val="24"/>
              </w:num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Liczba baz danych ud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stępnionych on-line p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0681F"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</w:tc>
        <w:tc>
          <w:tcPr>
            <w:tcW w:w="1278" w:type="dxa"/>
          </w:tcPr>
          <w:p w14:paraId="17E7AD21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E98E5A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701" w:type="dxa"/>
          </w:tcPr>
          <w:p w14:paraId="7406D17B" w14:textId="77777777" w:rsidR="005D6454" w:rsidRPr="006C51BC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51BC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449F6421" w14:textId="464657D6" w:rsidR="005D6454" w:rsidRPr="006C51BC" w:rsidRDefault="003B3955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6,00</w:t>
            </w:r>
          </w:p>
        </w:tc>
      </w:tr>
      <w:tr w:rsidR="005D6454" w:rsidRPr="002B50C0" w14:paraId="30AED1B9" w14:textId="77777777" w:rsidTr="005D6454">
        <w:tc>
          <w:tcPr>
            <w:tcW w:w="2545" w:type="dxa"/>
          </w:tcPr>
          <w:p w14:paraId="3D6BA8F3" w14:textId="77777777" w:rsidR="005D6454" w:rsidRPr="006334BF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D7E62">
              <w:rPr>
                <w:rFonts w:cs="Arial"/>
                <w:sz w:val="18"/>
                <w:szCs w:val="18"/>
                <w:lang w:val="pl-PL" w:eastAsia="pl-PL"/>
              </w:rPr>
              <w:t>Liczba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brań/</w:t>
            </w:r>
            <w:proofErr w:type="spellStart"/>
            <w:r w:rsidRPr="007D7E62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7D7E62">
              <w:rPr>
                <w:rFonts w:cs="Arial"/>
                <w:sz w:val="18"/>
                <w:szCs w:val="18"/>
                <w:lang w:val="pl-PL" w:eastAsia="pl-PL"/>
              </w:rPr>
              <w:t xml:space="preserve"> dok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mentów zawierających informacje sektora p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blicz</w:t>
            </w:r>
            <w:r w:rsidRPr="007D7E62">
              <w:rPr>
                <w:rFonts w:cs="Arial"/>
                <w:sz w:val="18"/>
                <w:szCs w:val="18"/>
                <w:lang w:val="pl-PL" w:eastAsia="pl-PL"/>
              </w:rPr>
              <w:t>nego</w:t>
            </w:r>
          </w:p>
        </w:tc>
        <w:tc>
          <w:tcPr>
            <w:tcW w:w="1278" w:type="dxa"/>
          </w:tcPr>
          <w:p w14:paraId="663D3F3A" w14:textId="77777777" w:rsidR="005D6454" w:rsidRPr="00063B3F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szt. / rok</w:t>
            </w:r>
          </w:p>
        </w:tc>
        <w:tc>
          <w:tcPr>
            <w:tcW w:w="1842" w:type="dxa"/>
          </w:tcPr>
          <w:p w14:paraId="56AF82D0" w14:textId="77777777" w:rsidR="005D6454" w:rsidRPr="00063B3F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3B3F">
              <w:rPr>
                <w:rFonts w:ascii="Arial" w:hAnsi="Arial" w:cs="Arial"/>
                <w:sz w:val="18"/>
                <w:szCs w:val="18"/>
              </w:rPr>
              <w:t>920 656,00</w:t>
            </w:r>
          </w:p>
        </w:tc>
        <w:tc>
          <w:tcPr>
            <w:tcW w:w="1701" w:type="dxa"/>
          </w:tcPr>
          <w:p w14:paraId="263A513D" w14:textId="7A0225DC" w:rsidR="005D6454" w:rsidRPr="006334BF" w:rsidRDefault="0020601B" w:rsidP="0020601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6C51B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264B4550" w14:textId="77777777" w:rsidR="005D6454" w:rsidRPr="006C51BC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1BC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5D6454" w:rsidRPr="002B50C0" w14:paraId="0C9DB06B" w14:textId="77777777" w:rsidTr="005D6454">
        <w:tc>
          <w:tcPr>
            <w:tcW w:w="2545" w:type="dxa"/>
          </w:tcPr>
          <w:p w14:paraId="3DB080DF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92EB7">
              <w:rPr>
                <w:rFonts w:cs="Arial"/>
                <w:sz w:val="18"/>
                <w:szCs w:val="18"/>
                <w:lang w:val="pl-PL" w:eastAsia="pl-PL"/>
              </w:rPr>
              <w:t>zdigitalizow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nej</w:t>
            </w:r>
            <w:proofErr w:type="spellEnd"/>
            <w:r w:rsidRPr="00D92EB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74CBC9C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EC7F19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50,08</w:t>
            </w:r>
          </w:p>
        </w:tc>
        <w:tc>
          <w:tcPr>
            <w:tcW w:w="1701" w:type="dxa"/>
          </w:tcPr>
          <w:p w14:paraId="2CD48E11" w14:textId="39414B96" w:rsidR="005D6454" w:rsidRPr="00D92EB7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D92EB7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7A398B30" w14:textId="78DCB7A1" w:rsidR="005D6454" w:rsidRPr="00D92EB7" w:rsidRDefault="00427222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54,42</w:t>
            </w:r>
          </w:p>
        </w:tc>
      </w:tr>
      <w:tr w:rsidR="005D6454" w:rsidRPr="002B50C0" w14:paraId="662E8A2B" w14:textId="77777777" w:rsidTr="005D6454">
        <w:tc>
          <w:tcPr>
            <w:tcW w:w="2545" w:type="dxa"/>
          </w:tcPr>
          <w:p w14:paraId="1885B5A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Rozmiar udostępni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14:paraId="5C9613F7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488DE33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7,40</w:t>
            </w:r>
          </w:p>
        </w:tc>
        <w:tc>
          <w:tcPr>
            <w:tcW w:w="1701" w:type="dxa"/>
          </w:tcPr>
          <w:p w14:paraId="11C0FA7C" w14:textId="4836004C" w:rsidR="005D6454" w:rsidRPr="00D92EB7" w:rsidRDefault="0020601B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D6454" w:rsidRPr="00D92EB7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2268" w:type="dxa"/>
          </w:tcPr>
          <w:p w14:paraId="41334017" w14:textId="5C3AC1ED" w:rsidR="005D6454" w:rsidRPr="00D92EB7" w:rsidRDefault="00427222" w:rsidP="00D74E8C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27222">
              <w:rPr>
                <w:rFonts w:ascii="Arial" w:hAnsi="Arial" w:cs="Arial"/>
                <w:sz w:val="18"/>
                <w:szCs w:val="20"/>
              </w:rPr>
              <w:t>8,44</w:t>
            </w:r>
          </w:p>
        </w:tc>
      </w:tr>
      <w:tr w:rsidR="005D6454" w:rsidRPr="002B50C0" w14:paraId="2B1114F6" w14:textId="77777777" w:rsidTr="005D6454">
        <w:tc>
          <w:tcPr>
            <w:tcW w:w="2545" w:type="dxa"/>
          </w:tcPr>
          <w:p w14:paraId="22778F54" w14:textId="77777777" w:rsidR="005D6454" w:rsidRPr="00D92EB7" w:rsidRDefault="005D6454" w:rsidP="005D645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D92EB7">
              <w:rPr>
                <w:rFonts w:cs="Arial"/>
                <w:sz w:val="18"/>
                <w:szCs w:val="18"/>
                <w:lang w:val="pl-PL" w:eastAsia="pl-PL"/>
              </w:rPr>
              <w:t>Liczba wygenerow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D92EB7">
              <w:rPr>
                <w:rFonts w:cs="Arial"/>
                <w:sz w:val="18"/>
                <w:szCs w:val="18"/>
                <w:lang w:val="pl-PL" w:eastAsia="pl-PL"/>
              </w:rPr>
              <w:t>nych kluczy API</w:t>
            </w:r>
          </w:p>
        </w:tc>
        <w:tc>
          <w:tcPr>
            <w:tcW w:w="1278" w:type="dxa"/>
          </w:tcPr>
          <w:p w14:paraId="5FC25F15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C6931A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2EB7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701" w:type="dxa"/>
          </w:tcPr>
          <w:p w14:paraId="63062A8E" w14:textId="77777777" w:rsidR="005D6454" w:rsidRPr="00D92EB7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2EB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268" w:type="dxa"/>
          </w:tcPr>
          <w:p w14:paraId="7E9B68D1" w14:textId="77777777" w:rsidR="005D6454" w:rsidRPr="00D92EB7" w:rsidRDefault="005D6454" w:rsidP="005D6454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D92EB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E41F06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14:paraId="1F33CC02" w14:textId="77777777" w:rsidTr="005D645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287D1A4F" w14:textId="77777777" w:rsidTr="005D6454">
        <w:tc>
          <w:tcPr>
            <w:tcW w:w="2797" w:type="dxa"/>
          </w:tcPr>
          <w:p w14:paraId="59758045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41DE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0BC6C07E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62D36B0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63BEC449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42B162B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A2597BF" w14:textId="77777777" w:rsidR="000620E4" w:rsidRPr="000620E4" w:rsidRDefault="000620E4" w:rsidP="000620E4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D6454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D6454" w:rsidRPr="002B50C0" w14:paraId="3A47BF61" w14:textId="77777777" w:rsidTr="005D6454">
        <w:tc>
          <w:tcPr>
            <w:tcW w:w="2969" w:type="dxa"/>
          </w:tcPr>
          <w:p w14:paraId="2E1605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 xml:space="preserve">Instytut Matematyczny PAN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DE77550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38C3A61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Czasopisma </w:t>
            </w:r>
            <w:r w:rsidRPr="008E4B88">
              <w:rPr>
                <w:rFonts w:ascii="Arial" w:hAnsi="Arial" w:cs="Arial"/>
                <w:sz w:val="18"/>
                <w:szCs w:val="20"/>
              </w:rPr>
              <w:t>polskie i zagr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>niczne</w:t>
            </w:r>
          </w:p>
          <w:p w14:paraId="45A87D8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6BE52352" w14:textId="77777777" w:rsidR="005D6454" w:rsidRPr="009E32B7" w:rsidRDefault="005D6454" w:rsidP="005D6454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088FB39" w14:textId="77777777" w:rsidR="005D6454" w:rsidRPr="009E32B7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21A8C0E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Archeologii i Etnologii Polskiej Akademii Nauk</w:t>
            </w:r>
          </w:p>
          <w:p w14:paraId="3F7BC07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99364BC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68C290E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 - z prac zbiorowych wydawanych w  Insty</w:t>
            </w:r>
            <w:r>
              <w:rPr>
                <w:rFonts w:ascii="Arial" w:hAnsi="Arial" w:cs="Arial"/>
                <w:sz w:val="18"/>
                <w:szCs w:val="20"/>
              </w:rPr>
              <w:t>tu</w:t>
            </w:r>
            <w:r w:rsidRPr="008E4B88">
              <w:rPr>
                <w:rFonts w:ascii="Arial" w:hAnsi="Arial" w:cs="Arial"/>
                <w:sz w:val="18"/>
                <w:szCs w:val="20"/>
              </w:rPr>
              <w:t>cie lub autorstwa pracowników IAE PAN</w:t>
            </w:r>
          </w:p>
          <w:p w14:paraId="7A0FF718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Czasopisma </w:t>
            </w:r>
          </w:p>
          <w:p w14:paraId="51873B0B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4BF1016B" w14:textId="77777777" w:rsidR="005D6454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9E32B7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9E32B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7D03957" w14:textId="77777777" w:rsidR="005D6454" w:rsidRPr="009E32B7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 xml:space="preserve">Negatywy/slajdy/mikrofisze/ materiały z badań terenowych IAE PAN </w:t>
            </w:r>
          </w:p>
          <w:p w14:paraId="0A34A5C9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</w:t>
            </w:r>
          </w:p>
          <w:p w14:paraId="20C8C825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51B2E8CA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 </w:t>
            </w:r>
          </w:p>
          <w:p w14:paraId="579973CF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</w:t>
            </w:r>
          </w:p>
          <w:p w14:paraId="34FCB1A7" w14:textId="77777777" w:rsidR="005D6454" w:rsidRPr="008E4B88" w:rsidRDefault="005D6454" w:rsidP="005D6454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 </w:t>
            </w:r>
          </w:p>
          <w:p w14:paraId="5D382B4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EE069C7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Literackich Po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l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46D93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t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ekstowe</w:t>
            </w:r>
          </w:p>
          <w:p w14:paraId="4308490E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2FE786C3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6029B729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3B64954F" w14:textId="77777777" w:rsidR="005D6454" w:rsidRPr="008E4B88" w:rsidRDefault="005D6454" w:rsidP="005D645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1CC0C36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</w:p>
          <w:p w14:paraId="2A142540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Rękopisy</w:t>
            </w:r>
          </w:p>
          <w:p w14:paraId="61E5C6E3" w14:textId="77777777" w:rsidR="005D6454" w:rsidRPr="008E4B88" w:rsidRDefault="005D6454" w:rsidP="005D6454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Ikonografia (zdjęcia, rysunki)</w:t>
            </w:r>
          </w:p>
          <w:p w14:paraId="470BECF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F8EE59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Badań Systemowych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80BE47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B47C188" w14:textId="77777777" w:rsidR="005D6454" w:rsidRPr="008E4B88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2AD84943" w14:textId="77777777" w:rsidR="005D6454" w:rsidRDefault="005D6454" w:rsidP="005D6454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Raporty Badawcze</w:t>
            </w:r>
          </w:p>
          <w:p w14:paraId="467F546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D69F35" w14:textId="77777777" w:rsidR="005D6454" w:rsidRPr="009E32B7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  <w:r w:rsidRPr="009E32B7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DA68447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Badawczy Leśnictwa</w:t>
            </w:r>
          </w:p>
          <w:p w14:paraId="082D71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graficzne </w:t>
            </w:r>
          </w:p>
          <w:p w14:paraId="5261A60A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Karty zielnikowe </w:t>
            </w:r>
          </w:p>
          <w:p w14:paraId="072BB783" w14:textId="77777777" w:rsidR="005D6454" w:rsidRPr="008E4B88" w:rsidRDefault="005D6454" w:rsidP="005D645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Okazy owadów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2BC2F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Biologii Doświadczalnej im. Marcelego Nenckiego PAN</w:t>
            </w:r>
          </w:p>
          <w:p w14:paraId="30E2E47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Zasoby tekstowe </w:t>
            </w:r>
          </w:p>
          <w:p w14:paraId="0B64145C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196DC073" w14:textId="77777777" w:rsidR="005D6454" w:rsidRPr="008E4B88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Rozdziały Opera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Omnia</w:t>
            </w:r>
            <w:proofErr w:type="spellEnd"/>
          </w:p>
          <w:p w14:paraId="227CCA01" w14:textId="77777777" w:rsidR="005D6454" w:rsidRDefault="005D6454" w:rsidP="005D645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85E541E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5CDCEE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Botaniki im. Władysł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wa Szafera Polskiej Akademii Nauk</w:t>
            </w:r>
          </w:p>
          <w:p w14:paraId="038648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518EE07F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1473DC7" w14:textId="77777777" w:rsidR="005D6454" w:rsidRPr="008E4B88" w:rsidRDefault="005D6454" w:rsidP="005D645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5519ECBC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5E9BC26F" w14:textId="77777777" w:rsidR="005D6454" w:rsidRPr="008E4B88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187F09DF" w14:textId="77777777" w:rsidR="005D6454" w:rsidRDefault="005D6454" w:rsidP="005D645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</w:t>
            </w:r>
            <w:r>
              <w:rPr>
                <w:rFonts w:ascii="Arial" w:hAnsi="Arial" w:cs="Arial"/>
                <w:sz w:val="18"/>
                <w:szCs w:val="20"/>
              </w:rPr>
              <w:t xml:space="preserve"> zielnikowe</w:t>
            </w:r>
            <w:r w:rsidRPr="008E4B88">
              <w:rPr>
                <w:rFonts w:ascii="Arial" w:hAnsi="Arial" w:cs="Arial"/>
                <w:sz w:val="18"/>
                <w:szCs w:val="20"/>
              </w:rPr>
              <w:t>, okazy naukowe</w:t>
            </w:r>
          </w:p>
          <w:p w14:paraId="5CAA78EA" w14:textId="77777777" w:rsidR="005D6454" w:rsidRPr="008423D3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  <w:r w:rsidRPr="008423D3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2ED9F1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Chemii Bioorganicznej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0FD3FC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E836F08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23476E4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065E9AF9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766BFBA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7A119AB" w14:textId="77777777" w:rsidR="005D6454" w:rsidRPr="008E4B88" w:rsidRDefault="005D6454" w:rsidP="005D6454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Plakaty </w:t>
            </w:r>
          </w:p>
          <w:p w14:paraId="6A62885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16506B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Dendrologii PAN</w:t>
            </w:r>
          </w:p>
          <w:p w14:paraId="301803A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450A49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44C5F710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9A3F6FA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własne</w:t>
            </w:r>
          </w:p>
          <w:p w14:paraId="2246D0A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Informatory</w:t>
            </w:r>
          </w:p>
          <w:p w14:paraId="11C0606E" w14:textId="77777777" w:rsidR="005D6454" w:rsidRPr="008E4B88" w:rsidRDefault="005D6454" w:rsidP="005D6454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1C401ECD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2EA52D9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Rękopisy. </w:t>
            </w:r>
          </w:p>
          <w:p w14:paraId="52792765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Plany i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przerysy</w:t>
            </w:r>
            <w:proofErr w:type="spellEnd"/>
            <w:r w:rsidRPr="008E4B8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CE9425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Plakaty, postery z konferencji naukowych</w:t>
            </w:r>
          </w:p>
          <w:p w14:paraId="6BA36F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robocze rozmieszcz</w:t>
            </w:r>
            <w:r w:rsidRPr="008E4B88">
              <w:rPr>
                <w:rFonts w:ascii="Arial" w:hAnsi="Arial" w:cs="Arial"/>
                <w:sz w:val="18"/>
                <w:szCs w:val="20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</w:rPr>
              <w:t>nia gatunków drzewia</w:t>
            </w:r>
            <w:r>
              <w:rPr>
                <w:rFonts w:ascii="Arial" w:hAnsi="Arial" w:cs="Arial"/>
                <w:sz w:val="18"/>
                <w:szCs w:val="20"/>
              </w:rPr>
              <w:t>stych</w:t>
            </w:r>
          </w:p>
          <w:p w14:paraId="78041382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Mapy sekcji Arboretum</w:t>
            </w:r>
          </w:p>
          <w:p w14:paraId="4F6D69EC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Negatywy/slajdy/mikrofisze. Dokumentacja wypraw bot</w:t>
            </w:r>
            <w:r w:rsidRPr="008E4B88">
              <w:rPr>
                <w:rFonts w:ascii="Arial" w:hAnsi="Arial" w:cs="Arial"/>
                <w:sz w:val="18"/>
                <w:szCs w:val="20"/>
              </w:rPr>
              <w:t>a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nicznych </w:t>
            </w:r>
          </w:p>
          <w:p w14:paraId="33855AC7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Ikonografia. Zdjęcia </w:t>
            </w:r>
          </w:p>
          <w:p w14:paraId="1DF8482E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katalogi. </w:t>
            </w:r>
          </w:p>
          <w:p w14:paraId="58F5D5E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Teczki dokumentacji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wej. </w:t>
            </w:r>
          </w:p>
          <w:p w14:paraId="6A1C5D9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naukowe. </w:t>
            </w:r>
          </w:p>
          <w:p w14:paraId="5D3FD6DA" w14:textId="77777777" w:rsidR="005D6454" w:rsidRPr="008E4B88" w:rsidRDefault="005D6454" w:rsidP="005D645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badawcze, raporty. </w:t>
            </w:r>
          </w:p>
          <w:p w14:paraId="75225756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17D7EE5" w14:textId="77777777" w:rsidR="005D6454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679EC6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Filozofii i Socjologii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E6E599A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3A700EE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77F9C42F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Rozdziały</w:t>
            </w:r>
          </w:p>
          <w:p w14:paraId="43E8255A" w14:textId="77777777" w:rsidR="005D6454" w:rsidRPr="008E4B88" w:rsidRDefault="005D6454" w:rsidP="005D6454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3BEDC54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BB6685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Geografii i Przestrze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nego Zagospodarowania PAN</w:t>
            </w:r>
            <w:r w:rsidRPr="008E4B88">
              <w:rPr>
                <w:rFonts w:ascii="Arial" w:hAnsi="Arial" w:cs="Arial"/>
                <w:sz w:val="18"/>
                <w:szCs w:val="20"/>
              </w:rPr>
              <w:t>.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0FCCF3B9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44AEC331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7F831779" w14:textId="77777777" w:rsidR="005D6454" w:rsidRPr="008E4B88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</w:t>
            </w:r>
          </w:p>
          <w:p w14:paraId="632873A4" w14:textId="77777777" w:rsidR="005D6454" w:rsidRDefault="005D6454" w:rsidP="005D6454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 xml:space="preserve">Czasopisma, </w:t>
            </w:r>
            <w:r>
              <w:rPr>
                <w:rFonts w:ascii="Arial" w:hAnsi="Arial" w:cs="Arial"/>
                <w:sz w:val="18"/>
                <w:szCs w:val="20"/>
              </w:rPr>
              <w:t>artykuły</w:t>
            </w:r>
          </w:p>
          <w:p w14:paraId="21E94FFE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  <w:u w:val="single"/>
              </w:rPr>
              <w:t>Zasoby gra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ficzne </w:t>
            </w:r>
          </w:p>
          <w:p w14:paraId="0EAE8EF4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Starodruki </w:t>
            </w:r>
          </w:p>
          <w:p w14:paraId="59AEEBA6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Atlasy </w:t>
            </w:r>
          </w:p>
          <w:p w14:paraId="2693244F" w14:textId="77777777" w:rsidR="005D6454" w:rsidRPr="008E4B88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Mapy od XVII w.  do 1945r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., </w:t>
            </w:r>
          </w:p>
          <w:p w14:paraId="75E4BED7" w14:textId="77777777" w:rsidR="005D6454" w:rsidRDefault="005D6454" w:rsidP="005D6454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>Katalogi biblioteczne Bibliot</w:t>
            </w:r>
            <w:r w:rsidRPr="00F50B3D">
              <w:rPr>
                <w:rFonts w:ascii="Arial" w:hAnsi="Arial" w:cs="Arial"/>
                <w:sz w:val="18"/>
                <w:szCs w:val="20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</w:rPr>
              <w:t>ki Instytutu</w:t>
            </w:r>
          </w:p>
          <w:p w14:paraId="637A3DA2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F50B3D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39B4FAF" w14:textId="77777777" w:rsidR="005D6454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Dane naukowe, badawcze - </w:t>
            </w:r>
            <w:r>
              <w:rPr>
                <w:rFonts w:ascii="Arial" w:hAnsi="Arial" w:cs="Arial"/>
                <w:sz w:val="18"/>
                <w:szCs w:val="20"/>
              </w:rPr>
              <w:t xml:space="preserve">Centralna Baza Młynów w Polsce </w:t>
            </w:r>
          </w:p>
          <w:p w14:paraId="584CD2A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6392D1A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Medycyny Doświa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czalnej i Klinicznej im. M. Mo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sakowskiego PAN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2A840448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25A4FCB9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5801262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(zeszyty) - Ne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ropatologia Polska</w:t>
            </w:r>
          </w:p>
          <w:p w14:paraId="5D4E16E3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(pojedyncze artykuły) - publikacje nauk</w:t>
            </w:r>
            <w:r w:rsidRPr="008E4B88">
              <w:rPr>
                <w:rFonts w:ascii="Arial" w:hAnsi="Arial" w:cs="Arial"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sz w:val="18"/>
                <w:szCs w:val="20"/>
              </w:rPr>
              <w:t>we pracowników Instytutu</w:t>
            </w:r>
          </w:p>
          <w:p w14:paraId="17D0E1C7" w14:textId="77777777" w:rsidR="005D6454" w:rsidRPr="008E4B88" w:rsidRDefault="005D6454" w:rsidP="005D6454">
            <w:pPr>
              <w:pStyle w:val="Akapitzlist"/>
              <w:numPr>
                <w:ilvl w:val="0"/>
                <w:numId w:val="39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Dysertacje</w:t>
            </w:r>
          </w:p>
          <w:p w14:paraId="43724491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Zasoby hybrydowe (tzn. składaj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ą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ce się z metadanych i jednocz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e</w:t>
            </w: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śnie z zasobów np. tekstowych oraz graficznych i/lub audialnych)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1BD4E23" w14:textId="77777777" w:rsidR="005D6454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 xml:space="preserve">Dane naukowe, badawcze itp. </w:t>
            </w:r>
          </w:p>
          <w:p w14:paraId="266B57ED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F18F650" w14:textId="77777777" w:rsidR="005D6454" w:rsidRPr="008E4B88" w:rsidRDefault="005D6454" w:rsidP="005D645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Ochrony Przyrody PAN w Krakowie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ab/>
            </w:r>
          </w:p>
          <w:p w14:paraId="7BAE4562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67A8B736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4E898123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(zeszyty) </w:t>
            </w:r>
          </w:p>
          <w:p w14:paraId="0C2BF27C" w14:textId="77777777" w:rsidR="005D6454" w:rsidRPr="008E4B88" w:rsidRDefault="005D6454" w:rsidP="005D6454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Czasopisma (pojedy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8E4B88">
              <w:rPr>
                <w:rFonts w:ascii="Arial" w:hAnsi="Arial" w:cs="Arial"/>
                <w:sz w:val="18"/>
                <w:szCs w:val="20"/>
              </w:rPr>
              <w:t xml:space="preserve">cze artykuły) </w:t>
            </w:r>
          </w:p>
          <w:p w14:paraId="0D023F90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2A4D39DA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Mapy </w:t>
            </w:r>
          </w:p>
          <w:p w14:paraId="6FB11F0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79016B7F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Podstawowych Pr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8E4B88">
              <w:rPr>
                <w:rFonts w:ascii="Arial" w:hAnsi="Arial" w:cs="Arial"/>
                <w:b/>
                <w:sz w:val="18"/>
                <w:szCs w:val="20"/>
              </w:rPr>
              <w:t>blemów Techniki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4685DA74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tekstowe</w:t>
            </w:r>
          </w:p>
          <w:p w14:paraId="181A5C99" w14:textId="77777777" w:rsidR="005D6454" w:rsidRPr="008E4B88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artykuły) </w:t>
            </w:r>
          </w:p>
          <w:p w14:paraId="465F25DC" w14:textId="77777777" w:rsidR="005D6454" w:rsidRDefault="005D6454" w:rsidP="005D6454">
            <w:pPr>
              <w:pStyle w:val="Akapitzlist"/>
              <w:numPr>
                <w:ilvl w:val="0"/>
                <w:numId w:val="42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Inne dokumenty piśmiennicze</w:t>
            </w:r>
          </w:p>
          <w:p w14:paraId="4B3C3F50" w14:textId="77777777" w:rsidR="005D6454" w:rsidRPr="00F50B3D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  <w:r w:rsidRPr="00F50B3D">
              <w:rPr>
                <w:rFonts w:ascii="Arial" w:hAnsi="Arial" w:cs="Arial"/>
                <w:sz w:val="18"/>
                <w:szCs w:val="20"/>
              </w:rPr>
              <w:tab/>
            </w:r>
          </w:p>
          <w:p w14:paraId="6155CA7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Instytut Systematyki i Ewolucji Zwierząt Polskiej Akademii Nauk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3344E80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Zaso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by graficzne</w:t>
            </w:r>
          </w:p>
          <w:p w14:paraId="75857814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(kolekcja inkluzji zwierzęcych i roślinnych w bursztynie ba</w:t>
            </w:r>
            <w:r w:rsidRPr="008E4B88">
              <w:rPr>
                <w:rFonts w:ascii="Arial" w:hAnsi="Arial" w:cs="Arial"/>
                <w:sz w:val="18"/>
                <w:szCs w:val="20"/>
              </w:rPr>
              <w:t>ł</w:t>
            </w:r>
            <w:r w:rsidRPr="008E4B88">
              <w:rPr>
                <w:rFonts w:ascii="Arial" w:hAnsi="Arial" w:cs="Arial"/>
                <w:sz w:val="18"/>
                <w:szCs w:val="20"/>
              </w:rPr>
              <w:t>tyckim )</w:t>
            </w:r>
          </w:p>
          <w:p w14:paraId="1C5C91E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(b. kolekcja kopalnych krabów j</w:t>
            </w:r>
            <w:r w:rsidRPr="008E4B88">
              <w:rPr>
                <w:rFonts w:ascii="Arial" w:hAnsi="Arial" w:cs="Arial"/>
                <w:sz w:val="18"/>
                <w:szCs w:val="20"/>
              </w:rPr>
              <w:t>u</w:t>
            </w:r>
            <w:r w:rsidRPr="008E4B88">
              <w:rPr>
                <w:rFonts w:ascii="Arial" w:hAnsi="Arial" w:cs="Arial"/>
                <w:sz w:val="18"/>
                <w:szCs w:val="20"/>
              </w:rPr>
              <w:t>rajskich )</w:t>
            </w:r>
          </w:p>
          <w:p w14:paraId="2656F1EA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Obiekty, okazy naukowe (kolekcje współczesnych owadów - motyle </w:t>
            </w:r>
            <w:proofErr w:type="spellStart"/>
            <w:r w:rsidRPr="008E4B88">
              <w:rPr>
                <w:rFonts w:ascii="Arial" w:hAnsi="Arial" w:cs="Arial"/>
                <w:sz w:val="18"/>
                <w:szCs w:val="20"/>
              </w:rPr>
              <w:t>Lepidoptera</w:t>
            </w:r>
            <w:proofErr w:type="spellEnd"/>
          </w:p>
          <w:p w14:paraId="708B560D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owadów - owady bezskrzydłe )</w:t>
            </w:r>
          </w:p>
          <w:p w14:paraId="2C712BD5" w14:textId="77777777" w:rsidR="005D6454" w:rsidRPr="008E4B88" w:rsidRDefault="005D6454" w:rsidP="005D6454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>Obiekty, okazy naukowe (kolekcje współczesnych kr</w:t>
            </w:r>
            <w:r w:rsidRPr="008E4B88">
              <w:rPr>
                <w:rFonts w:ascii="Arial" w:hAnsi="Arial" w:cs="Arial"/>
                <w:sz w:val="18"/>
                <w:szCs w:val="20"/>
              </w:rPr>
              <w:t>ę</w:t>
            </w:r>
            <w:r w:rsidRPr="008E4B88">
              <w:rPr>
                <w:rFonts w:ascii="Arial" w:hAnsi="Arial" w:cs="Arial"/>
                <w:sz w:val="18"/>
                <w:szCs w:val="20"/>
              </w:rPr>
              <w:t>gowców )</w:t>
            </w:r>
          </w:p>
          <w:p w14:paraId="0CAB4EA4" w14:textId="77777777" w:rsidR="005D6454" w:rsidRPr="00B74E0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  <w:r w:rsidRPr="00B74E0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22F4AF43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b/>
                <w:sz w:val="18"/>
                <w:szCs w:val="20"/>
              </w:rPr>
              <w:t>Muzeum i Instytut Zoologii PAN</w:t>
            </w:r>
            <w:r w:rsidRPr="008E4B88">
              <w:rPr>
                <w:rFonts w:ascii="Arial" w:hAnsi="Arial" w:cs="Arial"/>
                <w:sz w:val="18"/>
                <w:szCs w:val="20"/>
              </w:rPr>
              <w:tab/>
            </w:r>
          </w:p>
          <w:p w14:paraId="1FF47455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8E4B88">
              <w:rPr>
                <w:rFonts w:ascii="Arial" w:hAnsi="Arial" w:cs="Arial"/>
                <w:sz w:val="18"/>
                <w:szCs w:val="20"/>
                <w:u w:val="single"/>
              </w:rPr>
              <w:t>Za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>soby tekstowe</w:t>
            </w:r>
          </w:p>
          <w:p w14:paraId="001FB64D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Książki, monografie </w:t>
            </w:r>
          </w:p>
          <w:p w14:paraId="5BA15E25" w14:textId="77777777" w:rsidR="005D6454" w:rsidRPr="008E4B88" w:rsidRDefault="005D6454" w:rsidP="005D6454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Czasopisma (pojedyncze prace)  </w:t>
            </w:r>
          </w:p>
          <w:p w14:paraId="58A597CB" w14:textId="77777777" w:rsidR="005D6454" w:rsidRPr="008E4B88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>Zasoby graficzne</w:t>
            </w:r>
          </w:p>
          <w:p w14:paraId="63BD339D" w14:textId="77777777" w:rsidR="005D6454" w:rsidRPr="008E4B88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Ikonografia (zdjęcia, rysunki) </w:t>
            </w:r>
          </w:p>
          <w:p w14:paraId="16E240CF" w14:textId="77777777" w:rsidR="005D6454" w:rsidRDefault="005D6454" w:rsidP="005D6454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20"/>
              </w:rPr>
            </w:pPr>
            <w:r w:rsidRPr="008E4B88">
              <w:rPr>
                <w:rFonts w:ascii="Arial" w:hAnsi="Arial" w:cs="Arial"/>
                <w:sz w:val="18"/>
                <w:szCs w:val="20"/>
              </w:rPr>
              <w:t xml:space="preserve">Kartoteki, katalogi </w:t>
            </w:r>
          </w:p>
          <w:p w14:paraId="6C720B50" w14:textId="77777777" w:rsidR="00341F63" w:rsidRPr="00341F63" w:rsidRDefault="00341F63" w:rsidP="00341F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33ADA21C" w14:textId="7338161B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  <w:r w:rsidR="005D6454" w:rsidRPr="0016221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730D2D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14F3D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DC783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FCDDC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D3EDA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5231B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4AC7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C10C57" w14:textId="499CD004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4D03281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24F27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797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C2C98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B7DA5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CFDEC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38A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F439A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541A6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85A2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B34F9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00FA0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83709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826F1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4EC0FA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21FA8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94B3A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BC163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ADC11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D6035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4A4AD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4E83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DCAAB" w14:textId="3AEBABB1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3784D48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DAAA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D8EBD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DCB37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DE52B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1933C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E4B4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E8F1F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9651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D3390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3FF2FA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59191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247102" w14:textId="794238DB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6210118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7E0E1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EE4C5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F44960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5AFCD8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6D86B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17C36" w14:textId="59B53806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0D67028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3D9BA6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D00F4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E7E4AC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C8350" w14:textId="77342683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1D864BF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1CE32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4401C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4ED43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EDF21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92F33F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8A84D7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AE24B8" w14:textId="52ECDC9A" w:rsidR="005D6454" w:rsidRDefault="00BF260D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7FC3815B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466A1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A60825E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7628B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4C2C9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B14574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C241F8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697DD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0E7F06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2BC6B2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80F602" w14:textId="77777777" w:rsidR="00791924" w:rsidRDefault="0079192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A72221" w14:textId="51D73323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41D5260D" w14:textId="77777777" w:rsidR="005D6454" w:rsidRDefault="005D6454" w:rsidP="005D64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21A74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1C020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85895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F302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C272F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C23A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47BA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7129F" w14:textId="2FC780A9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27721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BB7A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6868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7D3D5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6A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AECE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3C97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8BD8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2F4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5DFE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2A799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87F1F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5B909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C6B9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BD1E7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46BC1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B41D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09630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296E9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48FB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8A38C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B1B15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E330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2838C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1735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5B6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E00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8974A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A86A63" w14:textId="4228BC6B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020634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1618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C937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6E32B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9CC41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1B7A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45B90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D7BFE6" w14:textId="794C09CD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57E98E2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05A5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95CCF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E3E22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829F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1ED84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5CC74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55EFA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D85D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A2F2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70D04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F3021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EA43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F4F4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4619C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58FE3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1DE3C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B8ABB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A0D5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224B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D9CE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18F14" w14:textId="77777777" w:rsidR="00791924" w:rsidRDefault="0079192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F3E5EB" w14:textId="4D368FE3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1CC8702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82F4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7F64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0EC2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59CB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F31E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EB7E3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5557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123A7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5958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A3E42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73E5C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4420E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AEE43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75982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59D9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FC76A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FC7F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813EAA" w14:textId="011D2D74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164DC91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2930B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3E5B0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3816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D66E6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57443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1763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80A2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F53A1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3B3CC" w14:textId="5D77B8FC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49D553B4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F8FBE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E3B84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20ADC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B81B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F8D7F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82B19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6E2EB67" w14:textId="28B85A3C" w:rsidR="005D6454" w:rsidRDefault="00D76937" w:rsidP="005D64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2A6DC5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40AB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F01DF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B9942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762BDB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D628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3993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3CC75C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E40E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FAC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F0E54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99DDF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E4430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EBA9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D1699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CB94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2128E41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CE83E5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AB4FB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1DF2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E73C7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CC8F7E" w14:textId="2141C9EB" w:rsidR="005D6454" w:rsidRDefault="00D76937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5D6454">
              <w:rPr>
                <w:rFonts w:ascii="Arial" w:hAnsi="Arial" w:cs="Arial"/>
                <w:sz w:val="18"/>
                <w:szCs w:val="20"/>
              </w:rPr>
              <w:t>-2021</w:t>
            </w:r>
          </w:p>
          <w:p w14:paraId="63A99CC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F06D7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A51D2B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0F5CBC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68981E8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ED7511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EE6D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A161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DC6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6B5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CF6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7F4A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52DC3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FD62AA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3017C0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0BDF9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E731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BE1DFCC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534F8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1FC822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4DC07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DDF98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BAE837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6B71F3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FF6DBD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21CC3E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A545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695888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76495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E8C369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9D5215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2DFA6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2AAC0F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7A39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EC10DA" w14:textId="77777777" w:rsidR="005D6454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4F67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732CCC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6A59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6B6DA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A19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346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F8B5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F1B8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42C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6B0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9381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C9061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FC5F0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D656E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44CFA6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2879D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678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D6F9A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3CE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8DF68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EDA5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26BF3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566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0AC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61E6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795C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68ED59E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E491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6783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27C95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65371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FEAD8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53841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81FD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E0AD27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3860F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ECBFD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8797D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8A5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594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38967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F131B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D153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F2DF3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9361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300284C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BE8C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E267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E7373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D2B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CC82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3F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C68F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142A4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A65EA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68AE2D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5E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EE236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050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AC25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18F71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CB3B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6BB1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655E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F907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9A833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9D30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207A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BCE73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EF68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499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B4F7B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EF87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E2D1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4B8F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E91EB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4B5E6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1FA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7B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33C0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1AD2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C3E2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9D1F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F505C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2BEAB4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14AD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55B9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79DD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F80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358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EC429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4A5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10574A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804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A51B5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1604F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CA1C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3419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7624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2B2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285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3C472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8384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5E073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0826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9889F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1473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68A5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36C2C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B914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613F1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E17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8D8C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ACAC1" w14:textId="77777777" w:rsidR="00791924" w:rsidRDefault="0079192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F6C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59CB9E4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5261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462E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32AA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7663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90BE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9A27B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F22A9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58A28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60977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C2C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0A45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C5E5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B075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4489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60280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D304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62A89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8C04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F0519AB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67F9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9FF8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DD9E7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13FCD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D788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AB62E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FEFE9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7A585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C389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75337555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29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900D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30C6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0B24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53165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8DFB2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9BDE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1726DE3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7F71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E10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A538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55B9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68830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8950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F987B4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D7E8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04DD22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4170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336F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F6A29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08599F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3017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3C818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43156D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E591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08C5F7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F69DA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C90DC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3AB7AE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  <w:p w14:paraId="07A551A6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3A1310" w14:textId="77777777" w:rsidR="005D6454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FA2AC7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01E0DC8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C035A92" w14:textId="77777777" w:rsidR="007A23FE" w:rsidRPr="007A23FE" w:rsidRDefault="007A23FE" w:rsidP="007A23FE">
      <w:pPr>
        <w:spacing w:after="0"/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D6454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99B772D" w14:textId="77777777" w:rsidR="005D6454" w:rsidRPr="00141A92" w:rsidRDefault="005D6454" w:rsidP="005D64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5D6454" w:rsidRPr="00141A92" w:rsidRDefault="005D645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6454" w:rsidRPr="002B50C0" w14:paraId="0649C792" w14:textId="77777777" w:rsidTr="005D6454">
        <w:tc>
          <w:tcPr>
            <w:tcW w:w="2547" w:type="dxa"/>
          </w:tcPr>
          <w:p w14:paraId="1B78C46B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Utworzenie systemów baz wiedzy</w:t>
            </w:r>
          </w:p>
        </w:tc>
        <w:tc>
          <w:tcPr>
            <w:tcW w:w="1701" w:type="dxa"/>
          </w:tcPr>
          <w:p w14:paraId="03140C26" w14:textId="77777777" w:rsidR="005D6454" w:rsidRPr="00FE5DB0" w:rsidRDefault="005D6454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Pr="00FE5DB0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322C806" w14:textId="552E9995" w:rsidR="005D6454" w:rsidRPr="00141A92" w:rsidRDefault="005F5820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EBF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3543" w:type="dxa"/>
          </w:tcPr>
          <w:p w14:paraId="3977B9A4" w14:textId="77C6C5F6" w:rsidR="00F70865" w:rsidRDefault="00F70865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</w:t>
            </w:r>
            <w:r w:rsidR="00C708D4">
              <w:rPr>
                <w:rFonts w:ascii="Arial" w:hAnsi="Arial" w:cs="Arial"/>
                <w:sz w:val="18"/>
                <w:szCs w:val="18"/>
              </w:rPr>
              <w:t xml:space="preserve">-on, przesyłanie danych pomiędzy bazami wiedzy i POL-on, bazy wiedzy są </w:t>
            </w:r>
            <w:r w:rsidR="005F5820">
              <w:rPr>
                <w:rFonts w:ascii="Arial" w:hAnsi="Arial" w:cs="Arial"/>
                <w:sz w:val="18"/>
                <w:szCs w:val="18"/>
              </w:rPr>
              <w:t>w dalszym ciągu testowane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1198F9C" w14:textId="4BB5528E" w:rsidR="00F70865" w:rsidRDefault="00C708D4" w:rsidP="00DE4A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PBN, przesyłanie danych pomiędzy 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zami wiedzy i PBN, bazy wiedzy są </w:t>
            </w:r>
            <w:r w:rsidR="005F5820">
              <w:rPr>
                <w:rFonts w:ascii="Arial" w:hAnsi="Arial" w:cs="Arial"/>
                <w:sz w:val="18"/>
                <w:szCs w:val="18"/>
              </w:rPr>
              <w:t>w dalszym ciągu testowane</w:t>
            </w:r>
            <w:r w:rsidR="00FD239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06D31" w14:textId="062CE9EE" w:rsidR="00DE4AB7" w:rsidRPr="0099784F" w:rsidRDefault="00C708D4" w:rsidP="005F58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sprawozdawczy Polskiej Akademii Nauk, przesyłanie danych pomiędzy bazami wiedzy i Portalem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="0099784F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Polskiej Akademii Nauk, bazy wi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dzy są </w:t>
            </w:r>
            <w:r w:rsidR="005F5820">
              <w:rPr>
                <w:rFonts w:ascii="Arial" w:hAnsi="Arial" w:cs="Arial"/>
                <w:sz w:val="18"/>
                <w:szCs w:val="18"/>
              </w:rPr>
              <w:t>testowane</w:t>
            </w:r>
            <w:r w:rsidR="003C23A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D6454" w:rsidRPr="002B50C0" w14:paraId="6CD4B5D1" w14:textId="77777777" w:rsidTr="005D6454">
        <w:tc>
          <w:tcPr>
            <w:tcW w:w="2547" w:type="dxa"/>
          </w:tcPr>
          <w:p w14:paraId="5779EC8D" w14:textId="77777777" w:rsidR="005D6454" w:rsidRPr="00FE5DB0" w:rsidRDefault="005D6454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FE5DB0">
              <w:rPr>
                <w:rFonts w:ascii="Arial" w:hAnsi="Arial" w:cs="Arial"/>
                <w:sz w:val="18"/>
                <w:szCs w:val="18"/>
              </w:rPr>
              <w:t>Rozwój i modernizacja port</w:t>
            </w:r>
            <w:r w:rsidRPr="00FE5DB0">
              <w:rPr>
                <w:rFonts w:ascii="Arial" w:hAnsi="Arial" w:cs="Arial"/>
                <w:sz w:val="18"/>
                <w:szCs w:val="18"/>
              </w:rPr>
              <w:t>a</w:t>
            </w:r>
            <w:r w:rsidRPr="00FE5DB0">
              <w:rPr>
                <w:rFonts w:ascii="Arial" w:hAnsi="Arial" w:cs="Arial"/>
                <w:sz w:val="18"/>
                <w:szCs w:val="18"/>
              </w:rPr>
              <w:t>li RCIN</w:t>
            </w:r>
          </w:p>
        </w:tc>
        <w:tc>
          <w:tcPr>
            <w:tcW w:w="1701" w:type="dxa"/>
          </w:tcPr>
          <w:p w14:paraId="7B74C61E" w14:textId="60274F3F" w:rsidR="005D6454" w:rsidRPr="00FE5DB0" w:rsidRDefault="004E2FE3" w:rsidP="005D6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5D6454">
              <w:rPr>
                <w:rFonts w:ascii="Arial" w:hAnsi="Arial" w:cs="Arial"/>
                <w:sz w:val="18"/>
                <w:szCs w:val="18"/>
              </w:rPr>
              <w:t>-</w:t>
            </w:r>
            <w:r w:rsidR="005D6454" w:rsidRPr="00FE5DB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</w:tcPr>
          <w:p w14:paraId="49E1787D" w14:textId="77777777" w:rsidR="005D6454" w:rsidRPr="00141A92" w:rsidRDefault="005D6454" w:rsidP="005D64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573903" w14:textId="08C4680C" w:rsidR="0099784F" w:rsidRDefault="0099784F" w:rsidP="005D64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e-usługa OMNIS, </w:t>
            </w:r>
            <w:r w:rsidR="00FD239E">
              <w:rPr>
                <w:rFonts w:ascii="Arial" w:hAnsi="Arial" w:cs="Arial"/>
                <w:sz w:val="18"/>
                <w:szCs w:val="18"/>
              </w:rPr>
              <w:t>dane z portali RCIN będą mogły być wyszukiwane poprzez wyszukiwarkę OMNIS, modernizacja portali RCIN jest dopiero realizowana;</w:t>
            </w:r>
          </w:p>
          <w:p w14:paraId="38EFE749" w14:textId="4DC39E65" w:rsidR="00284E7D" w:rsidRDefault="00FD239E" w:rsidP="00284E7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284E7D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284E7D">
              <w:rPr>
                <w:rFonts w:ascii="Arial" w:hAnsi="Arial" w:cs="Arial"/>
                <w:sz w:val="18"/>
                <w:szCs w:val="18"/>
              </w:rPr>
              <w:t>u</w:t>
            </w:r>
            <w:r w:rsidR="00284E7D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proofErr w:type="spellStart"/>
            <w:r w:rsidR="00284E7D">
              <w:rPr>
                <w:rFonts w:ascii="Arial" w:hAnsi="Arial" w:cs="Arial"/>
                <w:sz w:val="18"/>
                <w:szCs w:val="18"/>
              </w:rPr>
              <w:t>Patrimonium</w:t>
            </w:r>
            <w:proofErr w:type="spellEnd"/>
            <w:r w:rsidR="00284E7D">
              <w:rPr>
                <w:rFonts w:ascii="Arial" w:hAnsi="Arial" w:cs="Arial"/>
                <w:sz w:val="18"/>
                <w:szCs w:val="18"/>
              </w:rPr>
              <w:t>, modernizacja po</w:t>
            </w:r>
            <w:r w:rsidR="00284E7D">
              <w:rPr>
                <w:rFonts w:ascii="Arial" w:hAnsi="Arial" w:cs="Arial"/>
                <w:sz w:val="18"/>
                <w:szCs w:val="18"/>
              </w:rPr>
              <w:t>r</w:t>
            </w:r>
            <w:r w:rsidR="00284E7D">
              <w:rPr>
                <w:rFonts w:ascii="Arial" w:hAnsi="Arial" w:cs="Arial"/>
                <w:sz w:val="18"/>
                <w:szCs w:val="18"/>
              </w:rPr>
              <w:t>tali RCIN jest dopiero realizowana;</w:t>
            </w:r>
          </w:p>
          <w:p w14:paraId="2797278B" w14:textId="15F5F76F" w:rsidR="005D6454" w:rsidRPr="003C23A6" w:rsidRDefault="00284E7D" w:rsidP="005D6454">
            <w:pPr>
              <w:rPr>
                <w:rFonts w:ascii="Arial" w:hAnsi="Arial" w:cs="Arial"/>
                <w:sz w:val="18"/>
                <w:szCs w:val="18"/>
              </w:rPr>
            </w:pPr>
            <w:r w:rsidRPr="003C23A6">
              <w:rPr>
                <w:rFonts w:ascii="Arial" w:hAnsi="Arial" w:cs="Arial"/>
                <w:sz w:val="18"/>
                <w:szCs w:val="18"/>
              </w:rPr>
              <w:t>KRONIK@,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3A6">
              <w:rPr>
                <w:rFonts w:ascii="Arial" w:hAnsi="Arial" w:cs="Arial"/>
                <w:sz w:val="18"/>
                <w:szCs w:val="18"/>
              </w:rPr>
              <w:t>dane z portali RCIN będą mogły być wyszukiwane poprzez wysz</w:t>
            </w:r>
            <w:r w:rsidR="003C23A6">
              <w:rPr>
                <w:rFonts w:ascii="Arial" w:hAnsi="Arial" w:cs="Arial"/>
                <w:sz w:val="18"/>
                <w:szCs w:val="18"/>
              </w:rPr>
              <w:t>u</w:t>
            </w:r>
            <w:r w:rsidR="003C23A6">
              <w:rPr>
                <w:rFonts w:ascii="Arial" w:hAnsi="Arial" w:cs="Arial"/>
                <w:sz w:val="18"/>
                <w:szCs w:val="18"/>
              </w:rPr>
              <w:t xml:space="preserve">kiwarkę </w:t>
            </w:r>
            <w:r w:rsidR="003C23A6" w:rsidRPr="003C23A6">
              <w:rPr>
                <w:rFonts w:ascii="Arial" w:hAnsi="Arial" w:cs="Arial"/>
                <w:sz w:val="18"/>
                <w:szCs w:val="18"/>
              </w:rPr>
              <w:t>KRONIK@</w:t>
            </w:r>
            <w:r w:rsidR="003C23A6">
              <w:rPr>
                <w:rFonts w:ascii="Arial" w:hAnsi="Arial" w:cs="Arial"/>
                <w:sz w:val="18"/>
                <w:szCs w:val="18"/>
              </w:rPr>
              <w:t>, modernizacja portali RCIN jest dopiero realizowana.</w:t>
            </w:r>
          </w:p>
        </w:tc>
      </w:tr>
    </w:tbl>
    <w:p w14:paraId="2AC8CEEF" w14:textId="0123B1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141"/>
        <w:gridCol w:w="3431"/>
      </w:tblGrid>
      <w:tr w:rsidR="007F5ABE" w:rsidRPr="002B50C0" w14:paraId="1581B854" w14:textId="77777777" w:rsidTr="007F5ABE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17E590FF" w14:textId="77777777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CF84D84" w14:textId="68D9FB69" w:rsidR="007F5ABE" w:rsidRPr="00141A92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41" w:type="dxa"/>
            <w:shd w:val="clear" w:color="auto" w:fill="D0CECE" w:themeFill="background2" w:themeFillShade="E6"/>
          </w:tcPr>
          <w:p w14:paraId="35BFD90C" w14:textId="053D019F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3431" w:type="dxa"/>
            <w:shd w:val="clear" w:color="auto" w:fill="D0CECE" w:themeFill="background2" w:themeFillShade="E6"/>
            <w:vAlign w:val="center"/>
          </w:tcPr>
          <w:p w14:paraId="3CC2BAB6" w14:textId="32F9E0BB" w:rsidR="007F5ABE" w:rsidRPr="002D7ADA" w:rsidRDefault="007F5AB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5ABE" w:rsidRPr="00713866" w14:paraId="6356ECF0" w14:textId="77777777" w:rsidTr="007F5ABE">
        <w:trPr>
          <w:trHeight w:val="724"/>
        </w:trPr>
        <w:tc>
          <w:tcPr>
            <w:tcW w:w="2293" w:type="dxa"/>
          </w:tcPr>
          <w:p w14:paraId="45F3A3A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Nieodpowiednie zarządzanie Projektem, wpływające na niemożliwość zrealizowania i rozliczenia Projektu</w:t>
            </w:r>
          </w:p>
        </w:tc>
        <w:tc>
          <w:tcPr>
            <w:tcW w:w="1633" w:type="dxa"/>
          </w:tcPr>
          <w:p w14:paraId="2EDA27B1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02318BF8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1D35454" w14:textId="7E7E96D1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Jasno określona struktura zarządcza i odp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wiedzialność poszczególnych osób za dane elementy Projektu oraz miesięczny monit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ring postępu prac pozwalający na bieżące diagnozowanie zagrożeń i wprowadzanie środków zaradczych w przypadku nieodp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wiedniego zarządzania.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zmiana..</w:t>
            </w:r>
          </w:p>
        </w:tc>
      </w:tr>
      <w:tr w:rsidR="007F5ABE" w:rsidRPr="00C1677D" w14:paraId="28CCDDE7" w14:textId="77777777" w:rsidTr="007F5ABE">
        <w:trPr>
          <w:trHeight w:val="724"/>
        </w:trPr>
        <w:tc>
          <w:tcPr>
            <w:tcW w:w="2293" w:type="dxa"/>
          </w:tcPr>
          <w:p w14:paraId="18CC9C8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Wzrost cen sprzętu np. z powodu zmian kursów walut</w:t>
            </w:r>
          </w:p>
        </w:tc>
        <w:tc>
          <w:tcPr>
            <w:tcW w:w="1633" w:type="dxa"/>
          </w:tcPr>
          <w:p w14:paraId="7C9E1C71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58B611B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5BD34EB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Wzrost cen spowoduje ograniczenie ilości kupowanego sprzętu. </w:t>
            </w:r>
          </w:p>
          <w:p w14:paraId="547F67CB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highlight w:val="yellow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Aby osiągnąć zaplanowane rezultaty musi nastąpić</w:t>
            </w:r>
          </w:p>
          <w:p w14:paraId="36BDC21F" w14:textId="182E98E0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intensyfikacja wykorzystania nowego sprzętu i sprzętu już posiadanego przez Partnerów np. poprzez wprowadzenie dwuzmianowej pracy.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13866" w14:paraId="6AB8CB09" w14:textId="77777777" w:rsidTr="007F5ABE">
        <w:trPr>
          <w:trHeight w:val="724"/>
        </w:trPr>
        <w:tc>
          <w:tcPr>
            <w:tcW w:w="2293" w:type="dxa"/>
          </w:tcPr>
          <w:p w14:paraId="5669BB1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Wymagane zasoby (praco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nicze) nie będą dostępne zgodnie z harmonogramem</w:t>
            </w:r>
          </w:p>
        </w:tc>
        <w:tc>
          <w:tcPr>
            <w:tcW w:w="1633" w:type="dxa"/>
          </w:tcPr>
          <w:p w14:paraId="313A2DF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002AF82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2213BFFB" w14:textId="1B477C6B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Rozłożenie zadań na pozostałych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 lub zatrudnienie dodatkowych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 na zastępstwo, co ograniczy skutki pojawiającego się ryzyka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. W stosunku do poprzedniego okresu sprawozdawczego nie nastąpiła zmiana.</w:t>
            </w:r>
          </w:p>
        </w:tc>
      </w:tr>
      <w:tr w:rsidR="007F5ABE" w:rsidRPr="00713866" w14:paraId="10C9EF46" w14:textId="77777777" w:rsidTr="007F5ABE">
        <w:trPr>
          <w:trHeight w:val="724"/>
        </w:trPr>
        <w:tc>
          <w:tcPr>
            <w:tcW w:w="2293" w:type="dxa"/>
          </w:tcPr>
          <w:p w14:paraId="4E5203B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Opóźnienia szkoleń dotycz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cych digitalizacji i obsługi oprogramowania</w:t>
            </w:r>
          </w:p>
        </w:tc>
        <w:tc>
          <w:tcPr>
            <w:tcW w:w="1633" w:type="dxa"/>
          </w:tcPr>
          <w:p w14:paraId="3B656F74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41" w:type="dxa"/>
          </w:tcPr>
          <w:p w14:paraId="3D71852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470E75CC" w14:textId="265A62AE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 oczekiwaniu na terminy szkoleń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cy zajmą się przygotowaniem materiałów do digitalizacji (odświeżenie obiektów, naprawy konserwatorskie, posortowanie, przygotow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 opisów, ustalenie kolejności) co poprawi płynność procesu digitalizacji. Dla przygot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wania zbiorów bibliotecznych można skorz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y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stać z doświadczeń instytutów konsorcjum RCIN. W razie potrzeby szkolenia mogą być przeprowadzone wewnątrz Projektu przez Partnerów posiadających doświadczenie z RCIN.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502F2D" w14:paraId="36DDBFF1" w14:textId="77777777" w:rsidTr="007F5ABE">
        <w:trPr>
          <w:trHeight w:val="724"/>
        </w:trPr>
        <w:tc>
          <w:tcPr>
            <w:tcW w:w="2293" w:type="dxa"/>
          </w:tcPr>
          <w:p w14:paraId="2DED13F1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Opóźnienia w dostarczaniu specjalistycznego sprzętu do digitalizacji</w:t>
            </w:r>
          </w:p>
        </w:tc>
        <w:tc>
          <w:tcPr>
            <w:tcW w:w="1633" w:type="dxa"/>
          </w:tcPr>
          <w:p w14:paraId="7B22D146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01C36AA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40DE9A99" w14:textId="340CD7F9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</w:rPr>
              <w:t>Zminimalizowanie tego ryzyka może nastąpić poprzez zapisanie kar umownych w dok</w:t>
            </w:r>
            <w:r w:rsidRPr="00346430">
              <w:rPr>
                <w:rFonts w:ascii="Arial" w:hAnsi="Arial" w:cs="Arial"/>
                <w:sz w:val="16"/>
                <w:szCs w:val="16"/>
              </w:rPr>
              <w:t>u</w:t>
            </w:r>
            <w:r w:rsidRPr="00346430">
              <w:rPr>
                <w:rFonts w:ascii="Arial" w:hAnsi="Arial" w:cs="Arial"/>
                <w:sz w:val="16"/>
                <w:szCs w:val="16"/>
              </w:rPr>
              <w:t>mentach przetargowych. Część prac można przenieść do instytutów już posiadających sprzęt do digitalizacji.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 xml:space="preserve"> W stosunku do p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>o</w:t>
            </w:r>
            <w:r w:rsidR="00AA146B" w:rsidRPr="00346430">
              <w:rPr>
                <w:rFonts w:ascii="Arial" w:hAnsi="Arial" w:cs="Arial"/>
                <w:sz w:val="16"/>
                <w:szCs w:val="16"/>
              </w:rPr>
              <w:t>przedniego okresu sprawozdawczego nie nastąpiła zmiana.</w:t>
            </w:r>
          </w:p>
        </w:tc>
      </w:tr>
      <w:tr w:rsidR="007F5ABE" w:rsidRPr="00713866" w14:paraId="6C1D5B05" w14:textId="77777777" w:rsidTr="007F5ABE">
        <w:trPr>
          <w:trHeight w:val="724"/>
        </w:trPr>
        <w:tc>
          <w:tcPr>
            <w:tcW w:w="2293" w:type="dxa"/>
          </w:tcPr>
          <w:p w14:paraId="741961A8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Pomieszczenia przeznacz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ne na sprzęt do digitalizacji nie zostaną przystosowane na czas wdrożenia</w:t>
            </w:r>
          </w:p>
        </w:tc>
        <w:tc>
          <w:tcPr>
            <w:tcW w:w="1633" w:type="dxa"/>
          </w:tcPr>
          <w:p w14:paraId="0CC45375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62C278DB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59A36317" w14:textId="05ED4BE6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Czasowe umieszczenie pracowni w innych pomieszczeniach instytucji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0C5A7F" w14:paraId="3ED4BE49" w14:textId="77777777" w:rsidTr="007F5ABE">
        <w:trPr>
          <w:trHeight w:val="724"/>
        </w:trPr>
        <w:tc>
          <w:tcPr>
            <w:tcW w:w="2293" w:type="dxa"/>
          </w:tcPr>
          <w:p w14:paraId="3D39BDB6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Nieoczekiwane komplikacje (w tym awarie) związane z instalacją specjalistycznego sprzętu do digitalizacji</w:t>
            </w:r>
          </w:p>
        </w:tc>
        <w:tc>
          <w:tcPr>
            <w:tcW w:w="1633" w:type="dxa"/>
          </w:tcPr>
          <w:p w14:paraId="6B2FC25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22403C0F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154CD003" w14:textId="78598ED6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Zapisanie w umowach z dystrybutorem sprzętu krótkiego czasu reakcji na awarie i usterki. Czasowe wprowadzenie zmianow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ści po usunięciu awarii do czasu nadgonienia planu oraz solidarne dzielenie się sprzętem i pracą z Partnerami </w:t>
            </w:r>
            <w:proofErr w:type="spellStart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digitalizującymi</w:t>
            </w:r>
            <w:proofErr w:type="spellEnd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podobne zasoby, celem intensyfikacji prac Partnerów zgłaszającym największe opóźnienia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. W stosunku do poprzedniego okresu sprawo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hAnsi="Arial" w:cs="Arial"/>
                <w:sz w:val="16"/>
                <w:szCs w:val="16"/>
                <w:lang w:eastAsia="pl-PL"/>
              </w:rPr>
              <w:t>dawczego nie nastąpiła zmiana.</w:t>
            </w:r>
          </w:p>
        </w:tc>
      </w:tr>
      <w:tr w:rsidR="007F5ABE" w:rsidRPr="000C5A7F" w14:paraId="41129719" w14:textId="77777777" w:rsidTr="007F5ABE">
        <w:trPr>
          <w:trHeight w:val="724"/>
        </w:trPr>
        <w:tc>
          <w:tcPr>
            <w:tcW w:w="2293" w:type="dxa"/>
          </w:tcPr>
          <w:p w14:paraId="2A20C07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Niewywiązywanie się 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trudnionych osób z obowią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1633" w:type="dxa"/>
          </w:tcPr>
          <w:p w14:paraId="458404A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B40ED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AAAAF44" w14:textId="6AF997EE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Zwiększenie kontroli nad pracownikami, przeprowadzenie dodatkowych szkoleń, stosowanie motywatorów, ostatecznie zwo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l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nienie nierzetelnych pracowników i zatru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nienie nowych, co jednak będzie generować dodatkowe koszty ze względu na koniec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ność przeprowadzenia szkoleń nowych osób. Wykorzystanie oprogramowania do zarz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ą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dzania procesem digitalizacji minimalizuje ryzyko, gdyż wprowadza pełną kontrolę nad przebiegiem prac. Ponadto w Projekcie przewidziano implementację funkcji weryfik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u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jących jakość prac.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niego okresu sprawozdawczego nie nastąp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i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ła zmiana.</w:t>
            </w:r>
          </w:p>
        </w:tc>
      </w:tr>
      <w:tr w:rsidR="007F5ABE" w:rsidRPr="00713866" w14:paraId="562134F2" w14:textId="77777777" w:rsidTr="007F5ABE">
        <w:trPr>
          <w:trHeight w:val="724"/>
        </w:trPr>
        <w:tc>
          <w:tcPr>
            <w:tcW w:w="2293" w:type="dxa"/>
          </w:tcPr>
          <w:p w14:paraId="013B7A4B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Zmiany w wymaganiach wykraczające poza przew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dziany pierwotnie zakres prac</w:t>
            </w:r>
          </w:p>
        </w:tc>
        <w:tc>
          <w:tcPr>
            <w:tcW w:w="1633" w:type="dxa"/>
          </w:tcPr>
          <w:p w14:paraId="61CF4B69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688CF5E0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02C18BEA" w14:textId="57895D0A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 Projekcie opracowane zostaną procedury związane ze zmianą w wymaganiach - każda zmiana będzie rozpatrywana w tym trybie i akceptowana lub nie w zależności od wagi (dla użytkownika) proponowanej zmiany i możliwości jej wykonania w założonym czasie i budżecie (lub zmiany zakresu innych prac).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0C5A7F" w14:paraId="7903F933" w14:textId="77777777" w:rsidTr="007F5ABE">
        <w:trPr>
          <w:trHeight w:val="724"/>
        </w:trPr>
        <w:tc>
          <w:tcPr>
            <w:tcW w:w="2293" w:type="dxa"/>
          </w:tcPr>
          <w:p w14:paraId="52F916CF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Zmiany w wymaganiach użytkowników</w:t>
            </w:r>
          </w:p>
        </w:tc>
        <w:tc>
          <w:tcPr>
            <w:tcW w:w="1633" w:type="dxa"/>
          </w:tcPr>
          <w:p w14:paraId="38ECED7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745E1DFB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wysokie</w:t>
            </w:r>
          </w:p>
        </w:tc>
        <w:tc>
          <w:tcPr>
            <w:tcW w:w="3431" w:type="dxa"/>
          </w:tcPr>
          <w:p w14:paraId="59B111C8" w14:textId="099B2428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Prace w Projekcie będą prowadzone w trybie przyrostowym, co pozwoli na szybkie reag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wanie na zmiany w wymaganiach.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ku do poprzedniego okresu sprawozdawcz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go nie nastąpiła zmiana.</w:t>
            </w:r>
          </w:p>
        </w:tc>
      </w:tr>
      <w:tr w:rsidR="007F5ABE" w:rsidRPr="00713866" w14:paraId="5A17AD1B" w14:textId="77777777" w:rsidTr="007F5ABE">
        <w:trPr>
          <w:trHeight w:val="724"/>
        </w:trPr>
        <w:tc>
          <w:tcPr>
            <w:tcW w:w="2293" w:type="dxa"/>
          </w:tcPr>
          <w:p w14:paraId="09441C1A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Zakres prac większy niż przewidziano pierwotnie </w:t>
            </w:r>
          </w:p>
          <w:p w14:paraId="14F6CB98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AED37E5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986367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CE35642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870E737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33" w:type="dxa"/>
          </w:tcPr>
          <w:p w14:paraId="6E62D629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  <w:p w14:paraId="60BED10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13664713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5C16098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6A38600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A58A595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35D54170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13C265A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41" w:type="dxa"/>
          </w:tcPr>
          <w:p w14:paraId="0B981B2C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31" w:type="dxa"/>
          </w:tcPr>
          <w:p w14:paraId="65571D9B" w14:textId="03F3BD5B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Przyrostowy charakter prac rozwojowych oraz bieżące monitorowanie postępu prac pozwoli na wychwycenie zagrożeń w zakr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sie złego oszacowania prac. Każda sytuacja rozpatrywana będzie indywidualnie z możl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wością: a) zmiany zakresu prac, pozostawi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jąc do realizacji krytyczne minimum funkcj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nalne, b) przesunięciach w budżecie Proje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tu, by zrealizować przewidziane do wykon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nia prace, c) wydłużenie czasu realizacji Projektu, d) zaangażowanie środków wł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snych instytutów w celu realizacji zadań.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dawczego nie nastąpiła zmiana.</w:t>
            </w:r>
          </w:p>
        </w:tc>
      </w:tr>
      <w:tr w:rsidR="007F5ABE" w:rsidRPr="00713866" w14:paraId="4F8A0441" w14:textId="77777777" w:rsidTr="007F5ABE">
        <w:trPr>
          <w:trHeight w:val="724"/>
        </w:trPr>
        <w:tc>
          <w:tcPr>
            <w:tcW w:w="2293" w:type="dxa"/>
          </w:tcPr>
          <w:p w14:paraId="5958D0EE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Niedoszacowanie lub prz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szacowanie czasu pracy</w:t>
            </w:r>
          </w:p>
        </w:tc>
        <w:tc>
          <w:tcPr>
            <w:tcW w:w="1633" w:type="dxa"/>
          </w:tcPr>
          <w:p w14:paraId="3F54186C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1839B889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79691650" w14:textId="054B7E41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 przypadku niedoszacowania czasu pracy Partnerzy muszą zapewnić środki na doda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kowe zasoby ludzkie. W przypadku przesz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cowania czasu pracy Partnerzy udostępnią dodatkowe zasoby ISP.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13866" w14:paraId="33F48B08" w14:textId="77777777" w:rsidTr="007F5ABE">
        <w:trPr>
          <w:trHeight w:val="724"/>
        </w:trPr>
        <w:tc>
          <w:tcPr>
            <w:tcW w:w="2293" w:type="dxa"/>
          </w:tcPr>
          <w:p w14:paraId="7CD221ED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Utrata kluczowych pracown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1633" w:type="dxa"/>
          </w:tcPr>
          <w:p w14:paraId="246C8C04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41" w:type="dxa"/>
          </w:tcPr>
          <w:p w14:paraId="7344464C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1D49D171" w14:textId="13DF1ACD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Działaniem zapobiegawczym mogą być negocjacje z kluczowym pracownikiem, który planuje odejść, podwyższenie jego wynagr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dzenia. Działaniem minimalizującym skutki ryzyka jest merytoryczne wsparcie Partnerów Projektu, wewnętrzne i zewnętrzne szkolenia nowo zatrudnionych osób.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sprawozdawczego nie nastąpiła zmiana.</w:t>
            </w:r>
          </w:p>
        </w:tc>
      </w:tr>
      <w:tr w:rsidR="007F5ABE" w:rsidRPr="0076594C" w14:paraId="6CF64A99" w14:textId="77777777" w:rsidTr="007F5ABE">
        <w:trPr>
          <w:trHeight w:val="724"/>
        </w:trPr>
        <w:tc>
          <w:tcPr>
            <w:tcW w:w="2293" w:type="dxa"/>
          </w:tcPr>
          <w:p w14:paraId="47868779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Inflacja</w:t>
            </w:r>
          </w:p>
        </w:tc>
        <w:tc>
          <w:tcPr>
            <w:tcW w:w="1633" w:type="dxa"/>
          </w:tcPr>
          <w:p w14:paraId="0F08176F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mała</w:t>
            </w:r>
          </w:p>
        </w:tc>
        <w:tc>
          <w:tcPr>
            <w:tcW w:w="2141" w:type="dxa"/>
          </w:tcPr>
          <w:p w14:paraId="4477B512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średnie</w:t>
            </w:r>
          </w:p>
        </w:tc>
        <w:tc>
          <w:tcPr>
            <w:tcW w:w="3431" w:type="dxa"/>
          </w:tcPr>
          <w:p w14:paraId="3F6A52C6" w14:textId="02F39084" w:rsidR="007F5ABE" w:rsidRPr="00346430" w:rsidRDefault="007F5ABE" w:rsidP="008B0EF6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Działaniem minimalizującym skutki pojawi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nia się nadmiernej inflacji jest równomierne rozłożenie kosztów, niepokrytych przez pozyskane środki, na Partnerów Projektu. W przypadku wysokiego wzrostu cen sprzętu niezbędnego do digitalizacji można zakupić tańsze, ale mniej wydajne maszyny, które będą wymagać wprowadzenia dwuzmian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wej pracy w celu terminowego zrealizowania Projektu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. W stosunku do poprzedniego okresu sprawozdawczego nie nastąpiła zmiana.</w:t>
            </w:r>
          </w:p>
        </w:tc>
      </w:tr>
      <w:tr w:rsidR="007F5ABE" w:rsidRPr="00713866" w14:paraId="5B462CEB" w14:textId="77777777" w:rsidTr="007F5ABE">
        <w:trPr>
          <w:trHeight w:val="724"/>
        </w:trPr>
        <w:tc>
          <w:tcPr>
            <w:tcW w:w="2293" w:type="dxa"/>
          </w:tcPr>
          <w:p w14:paraId="3815CF11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Brak ugruntowanej fachowej wiedzy w dziedzinie inżynierii technicznej</w:t>
            </w:r>
          </w:p>
        </w:tc>
        <w:tc>
          <w:tcPr>
            <w:tcW w:w="1633" w:type="dxa"/>
          </w:tcPr>
          <w:p w14:paraId="37B594AB" w14:textId="77777777" w:rsidR="007F5ABE" w:rsidRPr="00346430" w:rsidRDefault="007F5ABE" w:rsidP="008B0EF6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średni</w:t>
            </w:r>
          </w:p>
        </w:tc>
        <w:tc>
          <w:tcPr>
            <w:tcW w:w="2141" w:type="dxa"/>
          </w:tcPr>
          <w:p w14:paraId="4C1547A0" w14:textId="77777777" w:rsidR="007F5ABE" w:rsidRPr="00346430" w:rsidRDefault="007F5ABE" w:rsidP="008B0EF6">
            <w:pPr>
              <w:widowControl w:val="0"/>
              <w:suppressAutoHyphens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31" w:type="dxa"/>
          </w:tcPr>
          <w:p w14:paraId="6769A75B" w14:textId="01BC8A9D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</w:rPr>
            </w:pP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Szkolenia i instruktaże pracowników pozwolą na pełnie zrozumienie funkcjonowania pla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formy RCIN i zapewnią pracownikom meryt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o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ryczną wiedzę na temat technicznej infr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struktury wykorzystywanej w Projekcie.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 xml:space="preserve"> W stosunku do poprzedniego okresu sprawo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z</w:t>
            </w:r>
            <w:r w:rsidR="00AA146B" w:rsidRPr="00346430">
              <w:rPr>
                <w:rFonts w:ascii="Arial" w:eastAsia="Arial Unicode MS" w:hAnsi="Arial" w:cs="Arial"/>
                <w:kern w:val="1"/>
                <w:sz w:val="16"/>
                <w:szCs w:val="16"/>
                <w:lang w:eastAsia="pl-PL"/>
              </w:rPr>
              <w:t>dawczego nie nastąpiła zmiana.</w:t>
            </w:r>
          </w:p>
        </w:tc>
      </w:tr>
    </w:tbl>
    <w:p w14:paraId="636FAF07" w14:textId="77777777" w:rsidR="00346430" w:rsidRDefault="0034643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126"/>
        <w:gridCol w:w="3402"/>
      </w:tblGrid>
      <w:tr w:rsidR="0091332C" w:rsidRPr="006334BF" w14:paraId="061EEDF1" w14:textId="77777777" w:rsidTr="007F5ABE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D64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D64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D64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F5ABE" w:rsidRPr="00E46A8F" w14:paraId="7181F87A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68C" w14:textId="77777777" w:rsidR="007F5ABE" w:rsidRPr="00346430" w:rsidRDefault="007F5ABE" w:rsidP="007F5AB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Nieprzewidziane zmiany prawno-organizacyjne wpływające na działanie instytucji Partnera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7C23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73E68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E0A3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 xml:space="preserve">Negocjacje z instytucją nadrzędną Partnera, podpisanie odpowiednich aneksów do Umowy o Partnerstwie, </w:t>
            </w:r>
          </w:p>
          <w:p w14:paraId="0903CAA6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pozwalających na wypełnianie i utrzymanie wszystkich zadeklarowanych efektów Projektu. W ostateczności przejęcie części zadań od zagrożonego Partnera.</w:t>
            </w:r>
          </w:p>
        </w:tc>
      </w:tr>
      <w:tr w:rsidR="007F5ABE" w:rsidRPr="00E46A8F" w14:paraId="6E156832" w14:textId="77777777" w:rsidTr="008818E0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46AD" w14:textId="77777777" w:rsidR="007F5ABE" w:rsidRPr="00346430" w:rsidRDefault="007F5ABE" w:rsidP="007F5AB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Siła wyższa (powodzie, pożary, zamieszki, strajki generalne, działania zbro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j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ne, zakazy importu i ekspo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r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tu, wywłaszczenie)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131F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4F8D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niskie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84D9B" w14:textId="77777777" w:rsidR="007F5ABE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Aneksowanie umowy. Intensyfikacja działań po ustaniu zagrożenia u Partnera Projektu lub dla całego Projektu.</w:t>
            </w:r>
          </w:p>
          <w:p w14:paraId="0825E534" w14:textId="77777777" w:rsidR="00346430" w:rsidRPr="00346430" w:rsidRDefault="00346430" w:rsidP="00346430">
            <w:pPr>
              <w:rPr>
                <w:lang w:eastAsia="pl-PL"/>
              </w:rPr>
            </w:pPr>
          </w:p>
          <w:p w14:paraId="3D7C8C0B" w14:textId="77C99516" w:rsidR="009617F7" w:rsidRPr="00346430" w:rsidRDefault="009617F7" w:rsidP="00346430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Z powodu wystąpienia COVID-19 w 2020 r. nastąpiła  konieczność aneksowania umowy i przedłużenia terminu zakończenia projektu.</w:t>
            </w:r>
          </w:p>
        </w:tc>
      </w:tr>
      <w:tr w:rsidR="007F5ABE" w:rsidRPr="00451EA4" w14:paraId="2ADA40EE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DDC0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Nieuwzględnione wymag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 xml:space="preserve">nia </w:t>
            </w:r>
            <w:proofErr w:type="spellStart"/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pozafunkcjonalne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0D7BB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F7A1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9508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 xml:space="preserve">W ramach prac rozwojowych zaplanowane zostaną testy związane z wymaganiami </w:t>
            </w:r>
            <w:proofErr w:type="spellStart"/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pozafunkcjonalnymi</w:t>
            </w:r>
            <w:proofErr w:type="spellEnd"/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, np. testy wydajnościowe, testy penetracyjne.</w:t>
            </w:r>
          </w:p>
        </w:tc>
      </w:tr>
      <w:tr w:rsidR="007F5ABE" w:rsidRPr="0076594C" w14:paraId="40057AE1" w14:textId="77777777" w:rsidTr="007F5ABE">
        <w:trPr>
          <w:trHeight w:val="72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A8F4" w14:textId="77777777" w:rsidR="007F5ABE" w:rsidRPr="00346430" w:rsidRDefault="007F5ABE" w:rsidP="008B0EF6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Niedostateczne zabezpi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346430">
              <w:rPr>
                <w:rFonts w:ascii="Arial" w:hAnsi="Arial" w:cs="Arial"/>
                <w:sz w:val="16"/>
                <w:szCs w:val="16"/>
                <w:lang w:eastAsia="pl-PL"/>
              </w:rPr>
              <w:t>czenie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35EDA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A8C3E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znikome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2DF19" w14:textId="77777777" w:rsidR="007F5ABE" w:rsidRPr="00346430" w:rsidRDefault="007F5ABE" w:rsidP="008B0E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</w:pPr>
            <w:r w:rsidRPr="00346430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6"/>
                <w:lang w:eastAsia="pl-PL"/>
              </w:rPr>
              <w:t>Utworzenie podwójnego systemu kopii bezpieczeństwa całego systemu oraz gromadzonych danych.</w:t>
            </w:r>
          </w:p>
        </w:tc>
      </w:tr>
    </w:tbl>
    <w:p w14:paraId="4E9A933B" w14:textId="77777777" w:rsidR="00346430" w:rsidRPr="00346430" w:rsidRDefault="00346430" w:rsidP="00346430">
      <w:pPr>
        <w:spacing w:after="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C7EF0" w14:textId="60C9A563" w:rsidR="00947DCB" w:rsidRPr="00947DCB" w:rsidRDefault="00947DCB" w:rsidP="00947DC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947DCB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N/A</w:t>
      </w:r>
    </w:p>
    <w:p w14:paraId="7C3D3F0E" w14:textId="77777777" w:rsidR="00DE4AB7" w:rsidRPr="00DE4AB7" w:rsidRDefault="00DE4AB7" w:rsidP="00DE4AB7">
      <w:pPr>
        <w:spacing w:before="120" w:after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D1B4038" w14:textId="77777777" w:rsidR="00536DF7" w:rsidRPr="00536DF7" w:rsidRDefault="00BB059E" w:rsidP="00536DF7">
      <w:pPr>
        <w:pStyle w:val="Akapitzlist"/>
        <w:numPr>
          <w:ilvl w:val="0"/>
          <w:numId w:val="19"/>
        </w:numPr>
        <w:spacing w:before="120" w:after="0"/>
        <w:jc w:val="both"/>
        <w:rPr>
          <w:rFonts w:ascii="Arial" w:hAnsi="Arial" w:cs="Arial"/>
        </w:rPr>
      </w:pPr>
      <w:r w:rsidRPr="00536DF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36DF7">
        <w:rPr>
          <w:rFonts w:ascii="Arial" w:hAnsi="Arial" w:cs="Arial"/>
          <w:b/>
        </w:rPr>
        <w:t xml:space="preserve"> </w:t>
      </w:r>
    </w:p>
    <w:p w14:paraId="4DA98F4D" w14:textId="097B5EB7" w:rsidR="00536DF7" w:rsidRPr="00BD347B" w:rsidRDefault="00536DF7" w:rsidP="00536DF7">
      <w:pPr>
        <w:spacing w:before="120"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 xml:space="preserve">Dorota </w:t>
      </w:r>
      <w:proofErr w:type="spellStart"/>
      <w:r w:rsidRPr="00BD347B">
        <w:rPr>
          <w:rFonts w:ascii="Arial" w:hAnsi="Arial" w:cs="Arial"/>
          <w:sz w:val="20"/>
          <w:szCs w:val="20"/>
        </w:rPr>
        <w:t>Czarnocka-Cieciura</w:t>
      </w:r>
      <w:proofErr w:type="spellEnd"/>
    </w:p>
    <w:p w14:paraId="7CEB5E9A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Centralna Biblioteka Matematyczna</w:t>
      </w:r>
    </w:p>
    <w:p w14:paraId="6C992DC8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ul. Jana i Jędrzeja Śniadeckich 8</w:t>
      </w:r>
    </w:p>
    <w:p w14:paraId="4B7E4AF7" w14:textId="77777777" w:rsidR="00536DF7" w:rsidRPr="00BD347B" w:rsidRDefault="00536DF7" w:rsidP="00536DF7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00-656 Warszawa</w:t>
      </w:r>
    </w:p>
    <w:p w14:paraId="470EC291" w14:textId="77777777" w:rsidR="00536DF7" w:rsidRPr="00BD347B" w:rsidRDefault="00077EDA" w:rsidP="00536DF7">
      <w:pPr>
        <w:spacing w:after="0"/>
        <w:ind w:left="360"/>
        <w:jc w:val="both"/>
        <w:rPr>
          <w:rStyle w:val="Hipercze"/>
          <w:rFonts w:ascii="Arial" w:hAnsi="Arial" w:cs="Arial"/>
          <w:color w:val="auto"/>
          <w:sz w:val="20"/>
          <w:szCs w:val="20"/>
        </w:rPr>
      </w:pPr>
      <w:hyperlink r:id="rId9" w:history="1">
        <w:r w:rsidR="00536DF7" w:rsidRPr="00BD347B">
          <w:rPr>
            <w:rStyle w:val="Hipercze"/>
            <w:rFonts w:ascii="Arial" w:hAnsi="Arial" w:cs="Arial"/>
            <w:color w:val="auto"/>
            <w:sz w:val="20"/>
            <w:szCs w:val="20"/>
          </w:rPr>
          <w:t>d.czarnocka@impan.pl</w:t>
        </w:r>
      </w:hyperlink>
    </w:p>
    <w:p w14:paraId="75464274" w14:textId="7E234EAF" w:rsidR="00A92887" w:rsidRPr="00BD347B" w:rsidRDefault="00536DF7" w:rsidP="0033759E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BD347B">
        <w:rPr>
          <w:rFonts w:ascii="Arial" w:hAnsi="Arial" w:cs="Arial"/>
          <w:sz w:val="20"/>
          <w:szCs w:val="20"/>
        </w:rPr>
        <w:t>22 52 28 190</w:t>
      </w:r>
    </w:p>
    <w:sectPr w:rsidR="00A92887" w:rsidRPr="00BD347B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CE5AC" w14:textId="77777777" w:rsidR="006B5150" w:rsidRDefault="006B5150" w:rsidP="00BB2420">
      <w:pPr>
        <w:spacing w:after="0" w:line="240" w:lineRule="auto"/>
      </w:pPr>
      <w:r>
        <w:separator/>
      </w:r>
    </w:p>
  </w:endnote>
  <w:endnote w:type="continuationSeparator" w:id="0">
    <w:p w14:paraId="2FE2AB34" w14:textId="77777777" w:rsidR="006B5150" w:rsidRDefault="006B515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C30B9F3" w:rsidR="006B5150" w:rsidRDefault="006B515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7ED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14:paraId="402AEB21" w14:textId="77777777" w:rsidR="006B5150" w:rsidRDefault="006B51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08FF1" w14:textId="77777777" w:rsidR="006B5150" w:rsidRDefault="006B5150" w:rsidP="00BB2420">
      <w:pPr>
        <w:spacing w:after="0" w:line="240" w:lineRule="auto"/>
      </w:pPr>
      <w:r>
        <w:separator/>
      </w:r>
    </w:p>
  </w:footnote>
  <w:footnote w:type="continuationSeparator" w:id="0">
    <w:p w14:paraId="47E027F1" w14:textId="77777777" w:rsidR="006B5150" w:rsidRDefault="006B515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B5150" w:rsidRDefault="006B515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78F"/>
    <w:multiLevelType w:val="hybridMultilevel"/>
    <w:tmpl w:val="E16A2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F66A17"/>
    <w:multiLevelType w:val="hybridMultilevel"/>
    <w:tmpl w:val="9A4CF6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7506DE"/>
    <w:multiLevelType w:val="hybridMultilevel"/>
    <w:tmpl w:val="6B4E31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D3150"/>
    <w:multiLevelType w:val="hybridMultilevel"/>
    <w:tmpl w:val="23AC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E34ED9"/>
    <w:multiLevelType w:val="hybridMultilevel"/>
    <w:tmpl w:val="5BE01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32EAA"/>
    <w:multiLevelType w:val="hybridMultilevel"/>
    <w:tmpl w:val="B6DA5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3C09F7"/>
    <w:multiLevelType w:val="hybridMultilevel"/>
    <w:tmpl w:val="0F4C27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5A43E9"/>
    <w:multiLevelType w:val="hybridMultilevel"/>
    <w:tmpl w:val="ECF88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3EBD1C11"/>
    <w:multiLevelType w:val="hybridMultilevel"/>
    <w:tmpl w:val="E528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680E87"/>
    <w:multiLevelType w:val="hybridMultilevel"/>
    <w:tmpl w:val="18D60A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4E0C20"/>
    <w:multiLevelType w:val="hybridMultilevel"/>
    <w:tmpl w:val="9A683192"/>
    <w:lvl w:ilvl="0" w:tplc="E5964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44A38"/>
    <w:multiLevelType w:val="hybridMultilevel"/>
    <w:tmpl w:val="22B6E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219EB"/>
    <w:multiLevelType w:val="hybridMultilevel"/>
    <w:tmpl w:val="11EE4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DF2E9F"/>
    <w:multiLevelType w:val="hybridMultilevel"/>
    <w:tmpl w:val="4B7C4DB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06141C"/>
    <w:multiLevelType w:val="hybridMultilevel"/>
    <w:tmpl w:val="78F4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F22D2"/>
    <w:multiLevelType w:val="hybridMultilevel"/>
    <w:tmpl w:val="150499AA"/>
    <w:lvl w:ilvl="0" w:tplc="E5964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455A93"/>
    <w:multiLevelType w:val="hybridMultilevel"/>
    <w:tmpl w:val="0D8CF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5E117C"/>
    <w:multiLevelType w:val="hybridMultilevel"/>
    <w:tmpl w:val="CBA87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071EED"/>
    <w:multiLevelType w:val="hybridMultilevel"/>
    <w:tmpl w:val="21C83D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F2B25F6"/>
    <w:multiLevelType w:val="hybridMultilevel"/>
    <w:tmpl w:val="321E08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>
    <w:nsid w:val="72EE7639"/>
    <w:multiLevelType w:val="hybridMultilevel"/>
    <w:tmpl w:val="5F36F1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A13430"/>
    <w:multiLevelType w:val="hybridMultilevel"/>
    <w:tmpl w:val="A274E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768C35B7"/>
    <w:multiLevelType w:val="hybridMultilevel"/>
    <w:tmpl w:val="8188E3D0"/>
    <w:lvl w:ilvl="0" w:tplc="B628D540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86454F6"/>
    <w:multiLevelType w:val="hybridMultilevel"/>
    <w:tmpl w:val="43DA7B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AFD1D5E"/>
    <w:multiLevelType w:val="hybridMultilevel"/>
    <w:tmpl w:val="D9262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3717E3"/>
    <w:multiLevelType w:val="hybridMultilevel"/>
    <w:tmpl w:val="4A38C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F57075A"/>
    <w:multiLevelType w:val="hybridMultilevel"/>
    <w:tmpl w:val="4D8ECB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43"/>
  </w:num>
  <w:num w:numId="4">
    <w:abstractNumId w:val="22"/>
  </w:num>
  <w:num w:numId="5">
    <w:abstractNumId w:val="36"/>
  </w:num>
  <w:num w:numId="6">
    <w:abstractNumId w:val="6"/>
  </w:num>
  <w:num w:numId="7">
    <w:abstractNumId w:val="29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32"/>
  </w:num>
  <w:num w:numId="13">
    <w:abstractNumId w:val="28"/>
  </w:num>
  <w:num w:numId="14">
    <w:abstractNumId w:val="3"/>
  </w:num>
  <w:num w:numId="15">
    <w:abstractNumId w:val="37"/>
  </w:num>
  <w:num w:numId="16">
    <w:abstractNumId w:val="15"/>
  </w:num>
  <w:num w:numId="17">
    <w:abstractNumId w:val="26"/>
  </w:num>
  <w:num w:numId="18">
    <w:abstractNumId w:val="24"/>
  </w:num>
  <w:num w:numId="19">
    <w:abstractNumId w:val="20"/>
  </w:num>
  <w:num w:numId="20">
    <w:abstractNumId w:val="40"/>
  </w:num>
  <w:num w:numId="21">
    <w:abstractNumId w:val="23"/>
  </w:num>
  <w:num w:numId="22">
    <w:abstractNumId w:val="18"/>
  </w:num>
  <w:num w:numId="23">
    <w:abstractNumId w:val="30"/>
  </w:num>
  <w:num w:numId="24">
    <w:abstractNumId w:val="41"/>
  </w:num>
  <w:num w:numId="25">
    <w:abstractNumId w:val="5"/>
  </w:num>
  <w:num w:numId="26">
    <w:abstractNumId w:val="14"/>
  </w:num>
  <w:num w:numId="27">
    <w:abstractNumId w:val="45"/>
  </w:num>
  <w:num w:numId="28">
    <w:abstractNumId w:val="13"/>
  </w:num>
  <w:num w:numId="29">
    <w:abstractNumId w:val="9"/>
  </w:num>
  <w:num w:numId="30">
    <w:abstractNumId w:val="38"/>
  </w:num>
  <w:num w:numId="31">
    <w:abstractNumId w:val="1"/>
  </w:num>
  <w:num w:numId="32">
    <w:abstractNumId w:val="25"/>
  </w:num>
  <w:num w:numId="33">
    <w:abstractNumId w:val="34"/>
  </w:num>
  <w:num w:numId="34">
    <w:abstractNumId w:val="31"/>
  </w:num>
  <w:num w:numId="35">
    <w:abstractNumId w:val="19"/>
  </w:num>
  <w:num w:numId="36">
    <w:abstractNumId w:val="12"/>
  </w:num>
  <w:num w:numId="37">
    <w:abstractNumId w:val="35"/>
  </w:num>
  <w:num w:numId="38">
    <w:abstractNumId w:val="2"/>
  </w:num>
  <w:num w:numId="39">
    <w:abstractNumId w:val="33"/>
  </w:num>
  <w:num w:numId="40">
    <w:abstractNumId w:val="16"/>
  </w:num>
  <w:num w:numId="41">
    <w:abstractNumId w:val="39"/>
  </w:num>
  <w:num w:numId="42">
    <w:abstractNumId w:val="8"/>
  </w:num>
  <w:num w:numId="43">
    <w:abstractNumId w:val="21"/>
  </w:num>
  <w:num w:numId="44">
    <w:abstractNumId w:val="46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0E4"/>
    <w:rsid w:val="0006403E"/>
    <w:rsid w:val="00064E84"/>
    <w:rsid w:val="00070663"/>
    <w:rsid w:val="00071880"/>
    <w:rsid w:val="00077EDA"/>
    <w:rsid w:val="00084E5B"/>
    <w:rsid w:val="00085EBF"/>
    <w:rsid w:val="00087231"/>
    <w:rsid w:val="00095944"/>
    <w:rsid w:val="000A1DFB"/>
    <w:rsid w:val="000A2F32"/>
    <w:rsid w:val="000A3938"/>
    <w:rsid w:val="000B3E49"/>
    <w:rsid w:val="000E0060"/>
    <w:rsid w:val="000E01E9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4120"/>
    <w:rsid w:val="00176FBB"/>
    <w:rsid w:val="00181E97"/>
    <w:rsid w:val="00182A08"/>
    <w:rsid w:val="001A2EF2"/>
    <w:rsid w:val="001A44E6"/>
    <w:rsid w:val="001C2D74"/>
    <w:rsid w:val="001C7FAC"/>
    <w:rsid w:val="001E00E3"/>
    <w:rsid w:val="001E0CAC"/>
    <w:rsid w:val="001E16A3"/>
    <w:rsid w:val="001E1DEA"/>
    <w:rsid w:val="001E7199"/>
    <w:rsid w:val="001F24A0"/>
    <w:rsid w:val="001F67EC"/>
    <w:rsid w:val="0020330A"/>
    <w:rsid w:val="0020601B"/>
    <w:rsid w:val="002124EF"/>
    <w:rsid w:val="002246B9"/>
    <w:rsid w:val="00237279"/>
    <w:rsid w:val="00240D69"/>
    <w:rsid w:val="00241B5E"/>
    <w:rsid w:val="00252087"/>
    <w:rsid w:val="00263392"/>
    <w:rsid w:val="002649D9"/>
    <w:rsid w:val="00265194"/>
    <w:rsid w:val="00276199"/>
    <w:rsid w:val="00276C00"/>
    <w:rsid w:val="00284E7D"/>
    <w:rsid w:val="00287B5E"/>
    <w:rsid w:val="00293351"/>
    <w:rsid w:val="00294349"/>
    <w:rsid w:val="002A3C02"/>
    <w:rsid w:val="002A5452"/>
    <w:rsid w:val="002A5A6A"/>
    <w:rsid w:val="002B4889"/>
    <w:rsid w:val="002B50C0"/>
    <w:rsid w:val="002B6F21"/>
    <w:rsid w:val="002D0794"/>
    <w:rsid w:val="002D3D4A"/>
    <w:rsid w:val="002D7ADA"/>
    <w:rsid w:val="002E2FAF"/>
    <w:rsid w:val="002E3B8A"/>
    <w:rsid w:val="002F29A3"/>
    <w:rsid w:val="0030196F"/>
    <w:rsid w:val="00302775"/>
    <w:rsid w:val="00304D04"/>
    <w:rsid w:val="00310D8E"/>
    <w:rsid w:val="003221F2"/>
    <w:rsid w:val="00322614"/>
    <w:rsid w:val="00334A24"/>
    <w:rsid w:val="0033759E"/>
    <w:rsid w:val="003410FE"/>
    <w:rsid w:val="00341F63"/>
    <w:rsid w:val="00346430"/>
    <w:rsid w:val="003508E7"/>
    <w:rsid w:val="003542F1"/>
    <w:rsid w:val="00356A3E"/>
    <w:rsid w:val="003642B8"/>
    <w:rsid w:val="00377CC1"/>
    <w:rsid w:val="003A4115"/>
    <w:rsid w:val="003B3955"/>
    <w:rsid w:val="003B5B7A"/>
    <w:rsid w:val="003C23A6"/>
    <w:rsid w:val="003C7325"/>
    <w:rsid w:val="003D0348"/>
    <w:rsid w:val="003D7DD0"/>
    <w:rsid w:val="003E3144"/>
    <w:rsid w:val="003E43D6"/>
    <w:rsid w:val="00405EA4"/>
    <w:rsid w:val="0041034F"/>
    <w:rsid w:val="004118A3"/>
    <w:rsid w:val="00423A26"/>
    <w:rsid w:val="00425046"/>
    <w:rsid w:val="00427222"/>
    <w:rsid w:val="004350B8"/>
    <w:rsid w:val="004427E6"/>
    <w:rsid w:val="00444AAB"/>
    <w:rsid w:val="00450089"/>
    <w:rsid w:val="0047221E"/>
    <w:rsid w:val="004729D1"/>
    <w:rsid w:val="004968C4"/>
    <w:rsid w:val="004A5A86"/>
    <w:rsid w:val="004B5107"/>
    <w:rsid w:val="004C1D48"/>
    <w:rsid w:val="004D2444"/>
    <w:rsid w:val="004D65CA"/>
    <w:rsid w:val="004D69E8"/>
    <w:rsid w:val="004E2FE3"/>
    <w:rsid w:val="004F6E89"/>
    <w:rsid w:val="005029A2"/>
    <w:rsid w:val="00506984"/>
    <w:rsid w:val="005076A1"/>
    <w:rsid w:val="00513213"/>
    <w:rsid w:val="00517F12"/>
    <w:rsid w:val="0052102C"/>
    <w:rsid w:val="005212C8"/>
    <w:rsid w:val="00524E6C"/>
    <w:rsid w:val="005317E8"/>
    <w:rsid w:val="005332D6"/>
    <w:rsid w:val="00536DF7"/>
    <w:rsid w:val="00544DFE"/>
    <w:rsid w:val="005548F2"/>
    <w:rsid w:val="005734CE"/>
    <w:rsid w:val="005820D0"/>
    <w:rsid w:val="005840AB"/>
    <w:rsid w:val="00586664"/>
    <w:rsid w:val="00593290"/>
    <w:rsid w:val="005A0E33"/>
    <w:rsid w:val="005A12F7"/>
    <w:rsid w:val="005A1B30"/>
    <w:rsid w:val="005B1A32"/>
    <w:rsid w:val="005C0469"/>
    <w:rsid w:val="005C4483"/>
    <w:rsid w:val="005C6116"/>
    <w:rsid w:val="005C77BB"/>
    <w:rsid w:val="005D17CF"/>
    <w:rsid w:val="005D24AF"/>
    <w:rsid w:val="005D5AAB"/>
    <w:rsid w:val="005D6454"/>
    <w:rsid w:val="005D67C1"/>
    <w:rsid w:val="005D6E12"/>
    <w:rsid w:val="005E0ED8"/>
    <w:rsid w:val="005E6ABD"/>
    <w:rsid w:val="005F41FA"/>
    <w:rsid w:val="005F5820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B5150"/>
    <w:rsid w:val="006C78AE"/>
    <w:rsid w:val="006E0CFA"/>
    <w:rsid w:val="006E6205"/>
    <w:rsid w:val="00701800"/>
    <w:rsid w:val="00725708"/>
    <w:rsid w:val="00740A47"/>
    <w:rsid w:val="00744538"/>
    <w:rsid w:val="00746ABD"/>
    <w:rsid w:val="0077418F"/>
    <w:rsid w:val="00775C44"/>
    <w:rsid w:val="00776802"/>
    <w:rsid w:val="00791924"/>
    <w:rsid w:val="007924CE"/>
    <w:rsid w:val="00795AFA"/>
    <w:rsid w:val="007A23FE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5ABE"/>
    <w:rsid w:val="00803FBE"/>
    <w:rsid w:val="00805178"/>
    <w:rsid w:val="00806134"/>
    <w:rsid w:val="00830803"/>
    <w:rsid w:val="00830B70"/>
    <w:rsid w:val="00840749"/>
    <w:rsid w:val="00840A82"/>
    <w:rsid w:val="00854F6D"/>
    <w:rsid w:val="008572BB"/>
    <w:rsid w:val="0087452F"/>
    <w:rsid w:val="00875528"/>
    <w:rsid w:val="008818E0"/>
    <w:rsid w:val="00884686"/>
    <w:rsid w:val="00886A09"/>
    <w:rsid w:val="008A332F"/>
    <w:rsid w:val="008A52F6"/>
    <w:rsid w:val="008B0EF6"/>
    <w:rsid w:val="008B1234"/>
    <w:rsid w:val="008C4BCD"/>
    <w:rsid w:val="008C6721"/>
    <w:rsid w:val="008D3826"/>
    <w:rsid w:val="008F2D9B"/>
    <w:rsid w:val="008F3D56"/>
    <w:rsid w:val="008F67EE"/>
    <w:rsid w:val="008F7D54"/>
    <w:rsid w:val="00907F6D"/>
    <w:rsid w:val="00911190"/>
    <w:rsid w:val="0091332C"/>
    <w:rsid w:val="009256F2"/>
    <w:rsid w:val="00933BEC"/>
    <w:rsid w:val="009347B8"/>
    <w:rsid w:val="00936729"/>
    <w:rsid w:val="00947DCB"/>
    <w:rsid w:val="0095183B"/>
    <w:rsid w:val="00952126"/>
    <w:rsid w:val="00952617"/>
    <w:rsid w:val="009617F7"/>
    <w:rsid w:val="009663A6"/>
    <w:rsid w:val="00971A40"/>
    <w:rsid w:val="00976434"/>
    <w:rsid w:val="00980CCA"/>
    <w:rsid w:val="00984133"/>
    <w:rsid w:val="00992EA3"/>
    <w:rsid w:val="00995984"/>
    <w:rsid w:val="009967CA"/>
    <w:rsid w:val="0099784F"/>
    <w:rsid w:val="009A17FF"/>
    <w:rsid w:val="009A79FB"/>
    <w:rsid w:val="009B4423"/>
    <w:rsid w:val="009C4EAD"/>
    <w:rsid w:val="009C6140"/>
    <w:rsid w:val="009D074E"/>
    <w:rsid w:val="009D2FA4"/>
    <w:rsid w:val="009D7D8A"/>
    <w:rsid w:val="009E4C67"/>
    <w:rsid w:val="009E6A50"/>
    <w:rsid w:val="009F09BF"/>
    <w:rsid w:val="009F1DC8"/>
    <w:rsid w:val="009F437E"/>
    <w:rsid w:val="00A11788"/>
    <w:rsid w:val="00A307F2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46B"/>
    <w:rsid w:val="00AA4CAB"/>
    <w:rsid w:val="00AA51AD"/>
    <w:rsid w:val="00AA730D"/>
    <w:rsid w:val="00AB2E01"/>
    <w:rsid w:val="00AC3D63"/>
    <w:rsid w:val="00AC7E26"/>
    <w:rsid w:val="00AD45BB"/>
    <w:rsid w:val="00AE1643"/>
    <w:rsid w:val="00AE3A6C"/>
    <w:rsid w:val="00AF09B8"/>
    <w:rsid w:val="00AF567D"/>
    <w:rsid w:val="00B12FCC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4887"/>
    <w:rsid w:val="00B87D3D"/>
    <w:rsid w:val="00B91243"/>
    <w:rsid w:val="00BA481C"/>
    <w:rsid w:val="00BB059E"/>
    <w:rsid w:val="00BB2420"/>
    <w:rsid w:val="00BB49AC"/>
    <w:rsid w:val="00BB5ACE"/>
    <w:rsid w:val="00BB7380"/>
    <w:rsid w:val="00BC1BD2"/>
    <w:rsid w:val="00BC5456"/>
    <w:rsid w:val="00BC6BE4"/>
    <w:rsid w:val="00BD347B"/>
    <w:rsid w:val="00BD6FD0"/>
    <w:rsid w:val="00BE47CD"/>
    <w:rsid w:val="00BE5BF9"/>
    <w:rsid w:val="00BF260D"/>
    <w:rsid w:val="00C1106C"/>
    <w:rsid w:val="00C127F4"/>
    <w:rsid w:val="00C26361"/>
    <w:rsid w:val="00C302F1"/>
    <w:rsid w:val="00C3575F"/>
    <w:rsid w:val="00C42AEA"/>
    <w:rsid w:val="00C57985"/>
    <w:rsid w:val="00C6599F"/>
    <w:rsid w:val="00C6751B"/>
    <w:rsid w:val="00C708D4"/>
    <w:rsid w:val="00CA319F"/>
    <w:rsid w:val="00CA516B"/>
    <w:rsid w:val="00CC7E21"/>
    <w:rsid w:val="00CD2A6E"/>
    <w:rsid w:val="00CD7C07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4E8C"/>
    <w:rsid w:val="00D76937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AB7"/>
    <w:rsid w:val="00DE6249"/>
    <w:rsid w:val="00DE731D"/>
    <w:rsid w:val="00E0076D"/>
    <w:rsid w:val="00E07A12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43D"/>
    <w:rsid w:val="00E71256"/>
    <w:rsid w:val="00E71BCF"/>
    <w:rsid w:val="00E74E6B"/>
    <w:rsid w:val="00E81D7C"/>
    <w:rsid w:val="00E83FA4"/>
    <w:rsid w:val="00E86020"/>
    <w:rsid w:val="00E87EEE"/>
    <w:rsid w:val="00EA0B4F"/>
    <w:rsid w:val="00EC2AFC"/>
    <w:rsid w:val="00EF71D4"/>
    <w:rsid w:val="00F138F7"/>
    <w:rsid w:val="00F2008A"/>
    <w:rsid w:val="00F21D9E"/>
    <w:rsid w:val="00F25348"/>
    <w:rsid w:val="00F31BA1"/>
    <w:rsid w:val="00F40D17"/>
    <w:rsid w:val="00F45506"/>
    <w:rsid w:val="00F60062"/>
    <w:rsid w:val="00F613CC"/>
    <w:rsid w:val="00F70865"/>
    <w:rsid w:val="00F76777"/>
    <w:rsid w:val="00F83F2F"/>
    <w:rsid w:val="00F86555"/>
    <w:rsid w:val="00F86C58"/>
    <w:rsid w:val="00FB5DAC"/>
    <w:rsid w:val="00FC3B03"/>
    <w:rsid w:val="00FD239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36D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.czarnocka@imp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62F69-9966-4A66-86CE-313CD8DB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2929</Words>
  <Characters>17580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2021-08-09T08:41:00Z</dcterms:created>
  <dcterms:modified xsi:type="dcterms:W3CDTF">2021-08-09T08:46:00Z</dcterms:modified>
</cp:coreProperties>
</file>