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BC57A9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3810</wp:posOffset>
                </wp:positionV>
                <wp:extent cx="2038350" cy="866775"/>
                <wp:effectExtent l="0" t="0" r="0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103513831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BC57A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68.25pt;margin-left:0.3pt;margin-top:0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60.5pt;z-index:251659264" filled="f" fillcolor="#bbe0e3" stroked="f">
                <v:textbox inset="0,0,0,0">
                  <w:txbxContent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21 kwietnia 2021 r.</w:t>
      </w:r>
      <w:bookmarkEnd w:id="0"/>
    </w:p>
    <w:p w:rsidR="003B330C" w:rsidRDefault="00BC57A9" w:rsidP="003B330C"/>
    <w:p w:rsidR="003B330C" w:rsidRDefault="00BC57A9" w:rsidP="003B330C"/>
    <w:p w:rsidR="003B330C" w:rsidRDefault="00BC57A9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BC57A9" w:rsidP="003B330C">
      <w:pPr>
        <w:tabs>
          <w:tab w:val="left" w:pos="3735"/>
          <w:tab w:val="left" w:pos="4095"/>
        </w:tabs>
      </w:pPr>
    </w:p>
    <w:p w:rsidR="003B330C" w:rsidRDefault="00BC57A9" w:rsidP="003B330C">
      <w:pPr>
        <w:tabs>
          <w:tab w:val="left" w:pos="409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</w:t>
      </w:r>
      <w:r w:rsidRPr="00350829">
        <w:rPr>
          <w:rFonts w:ascii="Calibri" w:hAnsi="Calibri"/>
        </w:rPr>
        <w:t>.</w:t>
      </w:r>
      <w:r>
        <w:rPr>
          <w:rFonts w:ascii="Calibri" w:hAnsi="Calibri"/>
        </w:rPr>
        <w:t>7</w:t>
      </w:r>
      <w:r>
        <w:rPr>
          <w:rFonts w:ascii="Calibri" w:hAnsi="Calibri"/>
        </w:rPr>
        <w:t>7</w:t>
      </w:r>
      <w:r w:rsidRPr="00350829">
        <w:rPr>
          <w:rFonts w:ascii="Calibri" w:hAnsi="Calibri"/>
        </w:rPr>
        <w:t>.</w:t>
      </w:r>
      <w:r>
        <w:rPr>
          <w:rFonts w:ascii="Calibri" w:hAnsi="Calibri"/>
        </w:rPr>
        <w:t>2021</w:t>
      </w:r>
      <w:r>
        <w:rPr>
          <w:rFonts w:ascii="Calibri" w:hAnsi="Calibri"/>
        </w:rPr>
        <w:t>.MW</w:t>
      </w:r>
      <w:bookmarkEnd w:id="1"/>
    </w:p>
    <w:p w:rsidR="00DA0D2D" w:rsidRPr="00E71405" w:rsidRDefault="00BC57A9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  <w:szCs w:val="28"/>
        </w:rPr>
      </w:pPr>
    </w:p>
    <w:p w:rsidR="00784982" w:rsidRPr="00D460E8" w:rsidRDefault="00BC57A9" w:rsidP="00784982">
      <w:pPr>
        <w:suppressAutoHyphens/>
        <w:ind w:left="5670" w:right="-468"/>
        <w:jc w:val="both"/>
        <w:rPr>
          <w:rFonts w:ascii="Calibri" w:hAnsi="Calibri" w:cs="Calibri"/>
          <w:b/>
          <w:sz w:val="28"/>
          <w:szCs w:val="28"/>
        </w:rPr>
      </w:pPr>
      <w:r w:rsidRPr="00D460E8">
        <w:rPr>
          <w:rFonts w:ascii="Calibri" w:hAnsi="Calibri" w:cs="Calibri"/>
          <w:b/>
          <w:sz w:val="28"/>
          <w:szCs w:val="28"/>
          <w:lang w:eastAsia="ar-SA"/>
        </w:rPr>
        <w:t xml:space="preserve">Rada </w:t>
      </w:r>
      <w:r w:rsidRPr="00D460E8">
        <w:rPr>
          <w:rFonts w:ascii="Calibri" w:hAnsi="Calibri" w:cs="Calibri"/>
          <w:b/>
          <w:sz w:val="28"/>
          <w:szCs w:val="28"/>
        </w:rPr>
        <w:t>Gminy Świercze</w:t>
      </w:r>
    </w:p>
    <w:p w:rsidR="00784982" w:rsidRPr="00D460E8" w:rsidRDefault="00BC57A9" w:rsidP="00784982">
      <w:pPr>
        <w:ind w:left="5670"/>
        <w:rPr>
          <w:rFonts w:ascii="Calibri" w:hAnsi="Calibri" w:cs="Calibri"/>
          <w:b/>
          <w:sz w:val="28"/>
          <w:szCs w:val="28"/>
        </w:rPr>
      </w:pPr>
      <w:r w:rsidRPr="00D460E8">
        <w:rPr>
          <w:rFonts w:ascii="Calibri" w:hAnsi="Calibri" w:cs="Calibri"/>
          <w:b/>
          <w:sz w:val="28"/>
          <w:szCs w:val="28"/>
        </w:rPr>
        <w:t>ul. Pułtuska 47</w:t>
      </w:r>
    </w:p>
    <w:p w:rsidR="00DA0D2D" w:rsidRPr="00E71405" w:rsidRDefault="00BC57A9" w:rsidP="00784982">
      <w:pPr>
        <w:ind w:left="5670"/>
        <w:rPr>
          <w:sz w:val="28"/>
          <w:szCs w:val="28"/>
        </w:rPr>
      </w:pPr>
      <w:r w:rsidRPr="00D460E8">
        <w:rPr>
          <w:rFonts w:ascii="Calibri" w:hAnsi="Calibri" w:cs="Calibri"/>
          <w:b/>
          <w:sz w:val="28"/>
          <w:szCs w:val="28"/>
        </w:rPr>
        <w:t>06-150 Świercze</w:t>
      </w:r>
    </w:p>
    <w:p w:rsidR="00DA0D2D" w:rsidRPr="002E050E" w:rsidRDefault="00BC57A9" w:rsidP="00DA0D2D">
      <w:pPr>
        <w:ind w:firstLine="4962"/>
        <w:jc w:val="both"/>
        <w:rPr>
          <w:rFonts w:cstheme="minorHAnsi"/>
          <w:sz w:val="28"/>
          <w:szCs w:val="28"/>
        </w:rPr>
      </w:pPr>
    </w:p>
    <w:p w:rsidR="00DA0D2D" w:rsidRDefault="00BC57A9" w:rsidP="00DA0D2D">
      <w:pPr>
        <w:autoSpaceDE w:val="0"/>
        <w:autoSpaceDN w:val="0"/>
        <w:adjustRightInd w:val="0"/>
        <w:ind w:firstLine="4962"/>
        <w:rPr>
          <w:rFonts w:ascii="Calibri" w:hAnsi="Calibri" w:cs="Arial"/>
        </w:rPr>
      </w:pPr>
    </w:p>
    <w:p w:rsidR="00E8304C" w:rsidRPr="005560EE" w:rsidRDefault="00BC57A9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E8304C" w:rsidRDefault="00BC57A9" w:rsidP="000A36FB">
      <w:pPr>
        <w:spacing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05659E" w:rsidRPr="005560EE" w:rsidRDefault="00BC57A9" w:rsidP="00B23B1E">
      <w:pPr>
        <w:spacing w:line="276" w:lineRule="auto"/>
        <w:jc w:val="both"/>
        <w:rPr>
          <w:rFonts w:asciiTheme="minorHAnsi" w:hAnsiTheme="minorHAnsi" w:cstheme="minorHAnsi"/>
        </w:rPr>
      </w:pPr>
    </w:p>
    <w:p w:rsidR="00E8304C" w:rsidRPr="005560EE" w:rsidRDefault="00BC57A9" w:rsidP="000A36FB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0A36FB" w:rsidRDefault="00BC57A9" w:rsidP="0063753D">
      <w:pPr>
        <w:pStyle w:val="Teksttreci40"/>
        <w:shd w:val="clear" w:color="auto" w:fill="auto"/>
        <w:spacing w:line="360" w:lineRule="auto"/>
        <w:ind w:right="-2" w:firstLine="0"/>
        <w:rPr>
          <w:rFonts w:asciiTheme="minorHAnsi" w:hAnsiTheme="minorHAnsi" w:cstheme="minorHAnsi"/>
          <w:b w:val="0"/>
          <w:sz w:val="24"/>
        </w:rPr>
      </w:pPr>
      <w:r>
        <w:rPr>
          <w:b w:val="0"/>
          <w:sz w:val="24"/>
          <w:szCs w:val="24"/>
        </w:rPr>
        <w:t xml:space="preserve">uchwały Rady Gminy Świercze Nr 176/XXII/2021 z dnia 23 marca 2021 r. </w:t>
      </w:r>
      <w:r>
        <w:rPr>
          <w:b w:val="0"/>
          <w:i/>
          <w:sz w:val="24"/>
          <w:szCs w:val="24"/>
        </w:rPr>
        <w:t>w sprawie z</w:t>
      </w:r>
      <w:r>
        <w:rPr>
          <w:b w:val="0"/>
          <w:i/>
          <w:sz w:val="24"/>
          <w:szCs w:val="24"/>
        </w:rPr>
        <w:t xml:space="preserve">asad korzystania z gminnych obiektów użyteczności publicznej, </w:t>
      </w:r>
      <w:r w:rsidRPr="0063753D">
        <w:rPr>
          <w:rFonts w:asciiTheme="minorHAnsi" w:hAnsiTheme="minorHAnsi" w:cstheme="minorHAnsi"/>
          <w:sz w:val="24"/>
        </w:rPr>
        <w:t xml:space="preserve">w części, </w:t>
      </w:r>
      <w:r>
        <w:rPr>
          <w:rFonts w:asciiTheme="minorHAnsi" w:hAnsiTheme="minorHAnsi" w:cstheme="minorHAnsi"/>
          <w:b w:val="0"/>
          <w:sz w:val="24"/>
        </w:rPr>
        <w:t>w zakresie ustaleń zawartych</w:t>
      </w:r>
      <w:r>
        <w:rPr>
          <w:rFonts w:asciiTheme="minorHAnsi" w:hAnsiTheme="minorHAnsi" w:cstheme="minorHAnsi"/>
          <w:b w:val="0"/>
          <w:sz w:val="24"/>
        </w:rPr>
        <w:t xml:space="preserve"> </w:t>
      </w:r>
      <w:r>
        <w:rPr>
          <w:rFonts w:asciiTheme="minorHAnsi" w:hAnsiTheme="minorHAnsi" w:cstheme="minorHAnsi"/>
          <w:b w:val="0"/>
          <w:sz w:val="24"/>
        </w:rPr>
        <w:br/>
      </w:r>
      <w:r>
        <w:rPr>
          <w:rFonts w:asciiTheme="minorHAnsi" w:hAnsiTheme="minorHAnsi" w:cstheme="minorHAnsi"/>
          <w:b w:val="0"/>
          <w:sz w:val="24"/>
        </w:rPr>
        <w:t xml:space="preserve">w: </w:t>
      </w:r>
      <w:r>
        <w:rPr>
          <w:rFonts w:asciiTheme="minorHAnsi" w:hAnsiTheme="minorHAnsi" w:cstheme="minorHAnsi"/>
          <w:b w:val="0"/>
          <w:sz w:val="24"/>
        </w:rPr>
        <w:t>§ 2</w:t>
      </w:r>
      <w:r>
        <w:rPr>
          <w:rFonts w:asciiTheme="minorHAnsi" w:hAnsiTheme="minorHAnsi" w:cstheme="minorHAnsi"/>
          <w:b w:val="0"/>
          <w:sz w:val="24"/>
        </w:rPr>
        <w:t>;</w:t>
      </w:r>
      <w:r>
        <w:rPr>
          <w:rFonts w:asciiTheme="minorHAnsi" w:hAnsiTheme="minorHAnsi" w:cstheme="minorHAnsi"/>
          <w:b w:val="0"/>
          <w:sz w:val="24"/>
        </w:rPr>
        <w:t xml:space="preserve"> § 4 ust. 1</w:t>
      </w:r>
      <w:r>
        <w:rPr>
          <w:rFonts w:asciiTheme="minorHAnsi" w:hAnsiTheme="minorHAnsi" w:cstheme="minorHAnsi"/>
          <w:b w:val="0"/>
          <w:sz w:val="24"/>
        </w:rPr>
        <w:t xml:space="preserve">, ust. </w:t>
      </w:r>
      <w:r>
        <w:rPr>
          <w:rFonts w:asciiTheme="minorHAnsi" w:hAnsiTheme="minorHAnsi" w:cstheme="minorHAnsi"/>
          <w:b w:val="0"/>
          <w:sz w:val="24"/>
        </w:rPr>
        <w:t>5</w:t>
      </w:r>
      <w:r>
        <w:rPr>
          <w:rFonts w:asciiTheme="minorHAnsi" w:hAnsiTheme="minorHAnsi" w:cstheme="minorHAnsi"/>
          <w:b w:val="0"/>
          <w:sz w:val="24"/>
        </w:rPr>
        <w:t xml:space="preserve"> i ust. 7 pkt 2, 3 i 4;</w:t>
      </w:r>
      <w:r>
        <w:rPr>
          <w:rFonts w:asciiTheme="minorHAnsi" w:hAnsiTheme="minorHAnsi" w:cstheme="minorHAnsi"/>
          <w:b w:val="0"/>
          <w:sz w:val="24"/>
        </w:rPr>
        <w:t xml:space="preserve"> § </w:t>
      </w:r>
      <w:r>
        <w:rPr>
          <w:rFonts w:asciiTheme="minorHAnsi" w:hAnsiTheme="minorHAnsi" w:cstheme="minorHAnsi"/>
          <w:b w:val="0"/>
          <w:sz w:val="24"/>
        </w:rPr>
        <w:t>5 ust. 6 i ust. 7 pkt 2, 3 i 4.</w:t>
      </w:r>
    </w:p>
    <w:p w:rsidR="000A6656" w:rsidRPr="000466FC" w:rsidRDefault="00BC57A9" w:rsidP="0063753D">
      <w:pPr>
        <w:pStyle w:val="Teksttreci40"/>
        <w:shd w:val="clear" w:color="auto" w:fill="auto"/>
        <w:spacing w:line="360" w:lineRule="auto"/>
        <w:ind w:right="-2" w:firstLine="0"/>
        <w:rPr>
          <w:rFonts w:asciiTheme="minorHAnsi" w:hAnsiTheme="minorHAnsi" w:cstheme="minorHAnsi"/>
          <w:b w:val="0"/>
          <w:sz w:val="16"/>
        </w:rPr>
      </w:pPr>
    </w:p>
    <w:p w:rsidR="00E8304C" w:rsidRPr="00D7631A" w:rsidRDefault="00BC57A9" w:rsidP="008C561D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F9246D" w:rsidRDefault="00BC57A9" w:rsidP="00BD675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23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marca 2021</w:t>
      </w:r>
      <w:r>
        <w:rPr>
          <w:rFonts w:asciiTheme="minorHAnsi" w:hAnsiTheme="minorHAnsi" w:cstheme="minorHAnsi"/>
        </w:rPr>
        <w:t xml:space="preserve"> r. Rada </w:t>
      </w:r>
      <w:r>
        <w:rPr>
          <w:rFonts w:asciiTheme="minorHAnsi" w:hAnsiTheme="minorHAnsi" w:cstheme="minorHAnsi"/>
        </w:rPr>
        <w:t>Gminy Świercze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podjęła </w:t>
      </w:r>
      <w:r>
        <w:rPr>
          <w:rFonts w:asciiTheme="minorHAnsi" w:hAnsiTheme="minorHAnsi" w:cstheme="minorHAnsi"/>
        </w:rPr>
        <w:t>uchwałę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>Nr 176/</w:t>
      </w:r>
      <w:r>
        <w:rPr>
          <w:rFonts w:ascii="Calibri" w:hAnsi="Calibri" w:cs="Calibri"/>
        </w:rPr>
        <w:t>XXII/</w:t>
      </w:r>
      <w:r>
        <w:rPr>
          <w:rFonts w:ascii="Calibri" w:hAnsi="Calibri" w:cs="Calibri"/>
        </w:rPr>
        <w:t xml:space="preserve">2021 </w:t>
      </w:r>
      <w:r w:rsidRPr="00055231">
        <w:rPr>
          <w:rFonts w:asciiTheme="minorHAnsi" w:hAnsiTheme="minorHAnsi" w:cstheme="minorHAnsi"/>
          <w:i/>
        </w:rPr>
        <w:t>w sprawie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zasad korzystania z gminnych obiektów użyteczności publicznej. </w:t>
      </w:r>
    </w:p>
    <w:p w:rsidR="00C81939" w:rsidRPr="004A1960" w:rsidRDefault="00BC57A9" w:rsidP="00BD675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 ocenie organu nadzoru </w:t>
      </w:r>
      <w:r>
        <w:rPr>
          <w:rFonts w:asciiTheme="minorHAnsi" w:hAnsiTheme="minorHAnsi" w:cstheme="minorHAnsi"/>
        </w:rPr>
        <w:t>postanowienia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uchwały </w:t>
      </w:r>
      <w:r>
        <w:rPr>
          <w:rFonts w:asciiTheme="minorHAnsi" w:hAnsiTheme="minorHAnsi" w:cstheme="minorHAnsi"/>
        </w:rPr>
        <w:t xml:space="preserve">wskazane w sentencji rozstrzygnięcia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>sposób istotny narusza</w:t>
      </w:r>
      <w:r>
        <w:rPr>
          <w:rFonts w:asciiTheme="minorHAnsi" w:hAnsiTheme="minorHAnsi" w:cstheme="minorHAnsi"/>
        </w:rPr>
        <w:t>ją</w:t>
      </w:r>
      <w:r>
        <w:rPr>
          <w:rFonts w:asciiTheme="minorHAnsi" w:hAnsiTheme="minorHAnsi" w:cstheme="minorHAnsi"/>
        </w:rPr>
        <w:t xml:space="preserve"> prawo</w:t>
      </w:r>
      <w:r>
        <w:rPr>
          <w:rFonts w:asciiTheme="minorHAnsi" w:hAnsiTheme="minorHAnsi" w:cstheme="minorHAnsi"/>
        </w:rPr>
        <w:t xml:space="preserve">. </w:t>
      </w:r>
    </w:p>
    <w:p w:rsidR="002A6175" w:rsidRDefault="00BC57A9" w:rsidP="00AE169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80B99">
        <w:rPr>
          <w:rFonts w:asciiTheme="minorHAnsi" w:eastAsiaTheme="minorHAnsi" w:hAnsiTheme="minorHAnsi" w:cstheme="minorHAnsi"/>
        </w:rPr>
        <w:t xml:space="preserve">Warunkiem stwierdzenia </w:t>
      </w:r>
      <w:r w:rsidRPr="00480B99">
        <w:rPr>
          <w:rFonts w:asciiTheme="minorHAnsi" w:eastAsiaTheme="minorHAnsi" w:hAnsiTheme="minorHAnsi" w:cstheme="minorHAnsi"/>
        </w:rPr>
        <w:t>nieważności</w:t>
      </w:r>
      <w:r w:rsidRPr="00480B99">
        <w:rPr>
          <w:rFonts w:asciiTheme="minorHAnsi" w:eastAsiaTheme="minorHAnsi" w:hAnsiTheme="minorHAnsi" w:cstheme="minorHAnsi"/>
        </w:rPr>
        <w:t xml:space="preserve"> aktu</w:t>
      </w:r>
      <w:r w:rsidRPr="00480B99">
        <w:rPr>
          <w:rFonts w:asciiTheme="minorHAnsi" w:eastAsiaTheme="minorHAnsi" w:hAnsiTheme="minorHAnsi" w:cstheme="minorHAnsi"/>
        </w:rPr>
        <w:t xml:space="preserve"> prawa miejscowego uchwalonego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przez gminę</w:t>
      </w:r>
      <w:r w:rsidRPr="00480B99">
        <w:rPr>
          <w:rFonts w:asciiTheme="minorHAnsi" w:eastAsiaTheme="minorHAnsi" w:hAnsiTheme="minorHAnsi" w:cstheme="minorHAnsi"/>
        </w:rPr>
        <w:t xml:space="preserve"> jest u</w:t>
      </w:r>
      <w:r>
        <w:rPr>
          <w:rFonts w:asciiTheme="minorHAnsi" w:eastAsiaTheme="minorHAnsi" w:hAnsiTheme="minorHAnsi" w:cstheme="minorHAnsi"/>
        </w:rPr>
        <w:t>znanie, że naruszenie prawa miał</w:t>
      </w:r>
      <w:r w:rsidRPr="00480B99">
        <w:rPr>
          <w:rFonts w:asciiTheme="minorHAnsi" w:eastAsiaTheme="minorHAnsi" w:hAnsiTheme="minorHAnsi" w:cstheme="minorHAnsi"/>
        </w:rPr>
        <w:t>o charakter istotny (art. 91 ust. 1 i 4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ustawy o sa</w:t>
      </w:r>
      <w:r>
        <w:rPr>
          <w:rFonts w:asciiTheme="minorHAnsi" w:eastAsiaTheme="minorHAnsi" w:hAnsiTheme="minorHAnsi" w:cstheme="minorHAnsi"/>
        </w:rPr>
        <w:t>morzą</w:t>
      </w:r>
      <w:r w:rsidRPr="00480B99">
        <w:rPr>
          <w:rFonts w:asciiTheme="minorHAnsi" w:eastAsiaTheme="minorHAnsi" w:hAnsiTheme="minorHAnsi" w:cstheme="minorHAnsi"/>
        </w:rPr>
        <w:t>dzie gminn</w:t>
      </w:r>
      <w:r>
        <w:rPr>
          <w:rFonts w:asciiTheme="minorHAnsi" w:eastAsiaTheme="minorHAnsi" w:hAnsiTheme="minorHAnsi" w:cstheme="minorHAnsi"/>
        </w:rPr>
        <w:t>ym</w:t>
      </w:r>
      <w:r w:rsidRPr="00480B99">
        <w:rPr>
          <w:rFonts w:asciiTheme="minorHAnsi" w:eastAsiaTheme="minorHAnsi" w:hAnsiTheme="minorHAnsi" w:cstheme="minorHAnsi"/>
        </w:rPr>
        <w:t>). Ustawodawca nie zdefinio</w:t>
      </w:r>
      <w:r>
        <w:rPr>
          <w:rFonts w:asciiTheme="minorHAnsi" w:eastAsiaTheme="minorHAnsi" w:hAnsiTheme="minorHAnsi" w:cstheme="minorHAnsi"/>
        </w:rPr>
        <w:t>wał, co należ</w:t>
      </w:r>
      <w:r>
        <w:rPr>
          <w:rFonts w:asciiTheme="minorHAnsi" w:eastAsiaTheme="minorHAnsi" w:hAnsiTheme="minorHAnsi" w:cstheme="minorHAnsi"/>
        </w:rPr>
        <w:t>y rozumieć pod poję</w:t>
      </w:r>
      <w:r w:rsidRPr="00480B99">
        <w:rPr>
          <w:rFonts w:asciiTheme="minorHAnsi" w:eastAsiaTheme="minorHAnsi" w:hAnsiTheme="minorHAnsi" w:cstheme="minorHAnsi"/>
        </w:rPr>
        <w:t>ciem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isto</w:t>
      </w:r>
      <w:r>
        <w:rPr>
          <w:rFonts w:asciiTheme="minorHAnsi" w:eastAsiaTheme="minorHAnsi" w:hAnsiTheme="minorHAnsi" w:cstheme="minorHAnsi"/>
        </w:rPr>
        <w:t>tnego naruszenia prawa. Z</w:t>
      </w:r>
      <w:r w:rsidRPr="00480B99">
        <w:rPr>
          <w:rFonts w:asciiTheme="minorHAnsi" w:eastAsiaTheme="minorHAnsi" w:hAnsiTheme="minorHAnsi" w:cstheme="minorHAnsi"/>
        </w:rPr>
        <w:t xml:space="preserve">a istotne </w:t>
      </w:r>
      <w:r w:rsidRPr="00480B99">
        <w:rPr>
          <w:rFonts w:asciiTheme="minorHAnsi" w:eastAsiaTheme="minorHAnsi" w:hAnsiTheme="minorHAnsi" w:cstheme="minorHAnsi"/>
        </w:rPr>
        <w:t>naruszenie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prawa, w omawianym tu </w:t>
      </w:r>
      <w:r w:rsidRPr="00480B99">
        <w:rPr>
          <w:rFonts w:asciiTheme="minorHAnsi" w:eastAsiaTheme="minorHAnsi" w:hAnsiTheme="minorHAnsi" w:cstheme="minorHAnsi"/>
        </w:rPr>
        <w:t>kontekście</w:t>
      </w:r>
      <w:r w:rsidRPr="00480B99">
        <w:rPr>
          <w:rFonts w:asciiTheme="minorHAnsi" w:eastAsiaTheme="minorHAnsi" w:hAnsiTheme="minorHAnsi" w:cstheme="minorHAnsi"/>
        </w:rPr>
        <w:t>, nale</w:t>
      </w:r>
      <w:r>
        <w:rPr>
          <w:rFonts w:asciiTheme="minorHAnsi" w:eastAsiaTheme="minorHAnsi" w:hAnsiTheme="minorHAnsi" w:cstheme="minorHAnsi"/>
        </w:rPr>
        <w:t>ż</w:t>
      </w:r>
      <w:r w:rsidRPr="00480B99">
        <w:rPr>
          <w:rFonts w:asciiTheme="minorHAnsi" w:eastAsiaTheme="minorHAnsi" w:hAnsiTheme="minorHAnsi" w:cstheme="minorHAnsi"/>
        </w:rPr>
        <w:t>y przede wszystkim uzna</w:t>
      </w:r>
      <w:r>
        <w:rPr>
          <w:rFonts w:asciiTheme="minorHAnsi" w:eastAsiaTheme="minorHAnsi" w:hAnsiTheme="minorHAnsi" w:cstheme="minorHAnsi"/>
        </w:rPr>
        <w:t>ć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następujące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przypadki: </w:t>
      </w:r>
      <w:r>
        <w:rPr>
          <w:rFonts w:asciiTheme="minorHAnsi" w:eastAsiaTheme="minorHAnsi" w:hAnsiTheme="minorHAnsi" w:cstheme="minorHAnsi"/>
        </w:rPr>
        <w:t>przekroczenie przez radę</w:t>
      </w:r>
      <w:r w:rsidRPr="00480B99">
        <w:rPr>
          <w:rFonts w:asciiTheme="minorHAnsi" w:eastAsiaTheme="minorHAnsi" w:hAnsiTheme="minorHAnsi" w:cstheme="minorHAnsi"/>
        </w:rPr>
        <w:t xml:space="preserve"> gminy </w:t>
      </w:r>
      <w:r>
        <w:rPr>
          <w:rFonts w:asciiTheme="minorHAnsi" w:eastAsiaTheme="minorHAnsi" w:hAnsiTheme="minorHAnsi" w:cstheme="minorHAnsi"/>
        </w:rPr>
        <w:t>upoważnienia</w:t>
      </w:r>
      <w:r w:rsidRPr="00480B99">
        <w:rPr>
          <w:rFonts w:asciiTheme="minorHAnsi" w:eastAsiaTheme="minorHAnsi" w:hAnsiTheme="minorHAnsi" w:cstheme="minorHAnsi"/>
        </w:rPr>
        <w:t xml:space="preserve"> ustawowe</w:t>
      </w:r>
      <w:r>
        <w:rPr>
          <w:rFonts w:asciiTheme="minorHAnsi" w:eastAsiaTheme="minorHAnsi" w:hAnsiTheme="minorHAnsi" w:cstheme="minorHAnsi"/>
        </w:rPr>
        <w:t>go</w:t>
      </w:r>
      <w:r w:rsidRPr="00480B99">
        <w:rPr>
          <w:rFonts w:asciiTheme="minorHAnsi" w:eastAsiaTheme="minorHAnsi" w:hAnsiTheme="minorHAnsi" w:cstheme="minorHAnsi"/>
        </w:rPr>
        <w:t xml:space="preserve"> (</w:t>
      </w:r>
      <w:r w:rsidRPr="00480B99">
        <w:rPr>
          <w:rFonts w:asciiTheme="minorHAnsi" w:eastAsiaTheme="minorHAnsi" w:hAnsiTheme="minorHAnsi" w:cstheme="minorHAnsi"/>
        </w:rPr>
        <w:t>zarówno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w </w:t>
      </w:r>
      <w:r w:rsidRPr="00480B99">
        <w:rPr>
          <w:rFonts w:asciiTheme="minorHAnsi" w:eastAsiaTheme="minorHAnsi" w:hAnsiTheme="minorHAnsi" w:cstheme="minorHAnsi"/>
        </w:rPr>
        <w:t xml:space="preserve">aspekcie przedmiotowym, jak i podmiotowym), </w:t>
      </w:r>
      <w:r w:rsidRPr="00480B99">
        <w:rPr>
          <w:rFonts w:asciiTheme="minorHAnsi" w:eastAsiaTheme="minorHAnsi" w:hAnsiTheme="minorHAnsi" w:cstheme="minorHAnsi"/>
        </w:rPr>
        <w:t>niepełne</w:t>
      </w:r>
      <w:r w:rsidRPr="00480B99">
        <w:rPr>
          <w:rFonts w:asciiTheme="minorHAnsi" w:eastAsiaTheme="minorHAnsi" w:hAnsiTheme="minorHAnsi" w:cstheme="minorHAnsi"/>
        </w:rPr>
        <w:t xml:space="preserve"> wykonanie </w:t>
      </w:r>
      <w:r w:rsidRPr="00480B99">
        <w:rPr>
          <w:rFonts w:asciiTheme="minorHAnsi" w:eastAsiaTheme="minorHAnsi" w:hAnsiTheme="minorHAnsi" w:cstheme="minorHAnsi"/>
        </w:rPr>
        <w:t>upoważnienia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ustawowego </w:t>
      </w:r>
      <w:r w:rsidRPr="00480B99">
        <w:rPr>
          <w:rFonts w:asciiTheme="minorHAnsi" w:eastAsiaTheme="minorHAnsi" w:hAnsiTheme="minorHAnsi" w:cstheme="minorHAnsi"/>
        </w:rPr>
        <w:t>rzutu</w:t>
      </w:r>
      <w:r w:rsidRPr="00480B99">
        <w:rPr>
          <w:rFonts w:asciiTheme="minorHAnsi" w:eastAsiaTheme="minorHAnsi" w:hAnsiTheme="minorHAnsi" w:cstheme="minorHAnsi"/>
        </w:rPr>
        <w:t>jące</w:t>
      </w:r>
      <w:r w:rsidRPr="00480B99">
        <w:rPr>
          <w:rFonts w:asciiTheme="minorHAnsi" w:eastAsiaTheme="minorHAnsi" w:hAnsiTheme="minorHAnsi" w:cstheme="minorHAnsi"/>
        </w:rPr>
        <w:t xml:space="preserve"> na </w:t>
      </w:r>
      <w:r w:rsidRPr="00480B99">
        <w:rPr>
          <w:rFonts w:asciiTheme="minorHAnsi" w:eastAsiaTheme="minorHAnsi" w:hAnsiTheme="minorHAnsi" w:cstheme="minorHAnsi"/>
        </w:rPr>
        <w:t>realizacji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celów</w:t>
      </w:r>
      <w:r w:rsidRPr="00480B99">
        <w:rPr>
          <w:rFonts w:asciiTheme="minorHAnsi" w:eastAsiaTheme="minorHAnsi" w:hAnsiTheme="minorHAnsi" w:cstheme="minorHAnsi"/>
        </w:rPr>
        <w:t xml:space="preserve"> danego aktu, </w:t>
      </w:r>
      <w:r w:rsidRPr="00480B99">
        <w:rPr>
          <w:rFonts w:asciiTheme="minorHAnsi" w:eastAsiaTheme="minorHAnsi" w:hAnsiTheme="minorHAnsi" w:cstheme="minorHAnsi"/>
        </w:rPr>
        <w:t>przyjęcie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rozwiązań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naruszających</w:t>
      </w:r>
      <w:r w:rsidRPr="007F7FC7">
        <w:rPr>
          <w:rFonts w:asciiTheme="minorHAnsi" w:eastAsiaTheme="minorHAnsi" w:hAnsiTheme="minorHAnsi" w:cstheme="minorHAnsi"/>
        </w:rPr>
        <w:t xml:space="preserve"> zasady poprawnej legislacji, w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tym poprzez uchwalenie </w:t>
      </w:r>
      <w:r w:rsidRPr="007F7FC7">
        <w:rPr>
          <w:rFonts w:asciiTheme="minorHAnsi" w:eastAsiaTheme="minorHAnsi" w:hAnsiTheme="minorHAnsi" w:cstheme="minorHAnsi"/>
        </w:rPr>
        <w:t>przepisów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niejednoznaczny</w:t>
      </w:r>
      <w:r>
        <w:rPr>
          <w:rFonts w:asciiTheme="minorHAnsi" w:eastAsiaTheme="minorHAnsi" w:hAnsiTheme="minorHAnsi" w:cstheme="minorHAnsi"/>
        </w:rPr>
        <w:t>ch lub dysfunkcjonalnych, przyję</w:t>
      </w:r>
      <w:r w:rsidRPr="007F7FC7">
        <w:rPr>
          <w:rFonts w:asciiTheme="minorHAnsi" w:eastAsiaTheme="minorHAnsi" w:hAnsiTheme="minorHAnsi" w:cstheme="minorHAnsi"/>
        </w:rPr>
        <w:t xml:space="preserve">cie </w:t>
      </w:r>
      <w:r w:rsidRPr="007F7FC7">
        <w:rPr>
          <w:rFonts w:asciiTheme="minorHAnsi" w:eastAsiaTheme="minorHAnsi" w:hAnsiTheme="minorHAnsi" w:cstheme="minorHAnsi"/>
        </w:rPr>
        <w:t>rozwiązań</w:t>
      </w:r>
      <w:r w:rsidRPr="007F7FC7">
        <w:rPr>
          <w:rFonts w:asciiTheme="minorHAnsi" w:eastAsiaTheme="minorHAnsi" w:hAnsiTheme="minorHAnsi" w:cstheme="minorHAnsi"/>
        </w:rPr>
        <w:t xml:space="preserve"> sprzecznych z aktami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wyższego</w:t>
      </w:r>
      <w:r>
        <w:rPr>
          <w:rFonts w:asciiTheme="minorHAnsi" w:eastAsiaTheme="minorHAnsi" w:hAnsiTheme="minorHAnsi" w:cstheme="minorHAnsi"/>
        </w:rPr>
        <w:t xml:space="preserve"> rzę</w:t>
      </w:r>
      <w:r w:rsidRPr="007F7FC7">
        <w:rPr>
          <w:rFonts w:asciiTheme="minorHAnsi" w:eastAsiaTheme="minorHAnsi" w:hAnsiTheme="minorHAnsi" w:cstheme="minorHAnsi"/>
        </w:rPr>
        <w:t xml:space="preserve">du, a </w:t>
      </w:r>
      <w:r w:rsidRPr="007F7FC7">
        <w:rPr>
          <w:rFonts w:asciiTheme="minorHAnsi" w:eastAsiaTheme="minorHAnsi" w:hAnsiTheme="minorHAnsi" w:cstheme="minorHAnsi"/>
        </w:rPr>
        <w:t>także</w:t>
      </w:r>
      <w:r w:rsidRPr="007F7FC7">
        <w:rPr>
          <w:rFonts w:asciiTheme="minorHAnsi" w:eastAsiaTheme="minorHAnsi" w:hAnsiTheme="minorHAnsi" w:cstheme="minorHAnsi"/>
        </w:rPr>
        <w:t xml:space="preserve"> naruszenie trybu uchwalenia danego aktu prawa miejscowego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w stopniu, </w:t>
      </w:r>
      <w:r w:rsidRPr="007F7FC7">
        <w:rPr>
          <w:rFonts w:asciiTheme="minorHAnsi" w:eastAsiaTheme="minorHAnsi" w:hAnsiTheme="minorHAnsi" w:cstheme="minorHAnsi"/>
        </w:rPr>
        <w:t>który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może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rzutować</w:t>
      </w:r>
      <w:r w:rsidRPr="007F7FC7">
        <w:rPr>
          <w:rFonts w:asciiTheme="minorHAnsi" w:eastAsiaTheme="minorHAnsi" w:hAnsiTheme="minorHAnsi" w:cstheme="minorHAnsi"/>
        </w:rPr>
        <w:t xml:space="preserve"> na </w:t>
      </w:r>
      <w:r w:rsidRPr="007F7FC7">
        <w:rPr>
          <w:rFonts w:asciiTheme="minorHAnsi" w:eastAsiaTheme="minorHAnsi" w:hAnsiTheme="minorHAnsi" w:cstheme="minorHAnsi"/>
        </w:rPr>
        <w:t>samą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możliwość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podjęcia</w:t>
      </w:r>
      <w:r w:rsidRPr="007F7FC7">
        <w:rPr>
          <w:rFonts w:asciiTheme="minorHAnsi" w:eastAsiaTheme="minorHAnsi" w:hAnsiTheme="minorHAnsi" w:cstheme="minorHAnsi"/>
        </w:rPr>
        <w:t xml:space="preserve"> danej </w:t>
      </w:r>
      <w:r w:rsidRPr="007F7FC7">
        <w:rPr>
          <w:rFonts w:asciiTheme="minorHAnsi" w:eastAsiaTheme="minorHAnsi" w:hAnsiTheme="minorHAnsi" w:cstheme="minorHAnsi"/>
        </w:rPr>
        <w:t>uchwały</w:t>
      </w:r>
      <w:r w:rsidRPr="007F7FC7">
        <w:rPr>
          <w:rFonts w:asciiTheme="minorHAnsi" w:eastAsiaTheme="minorHAnsi" w:hAnsiTheme="minorHAnsi" w:cstheme="minorHAnsi"/>
        </w:rPr>
        <w:t xml:space="preserve"> lub na</w:t>
      </w:r>
      <w:r>
        <w:rPr>
          <w:rFonts w:asciiTheme="minorHAnsi" w:eastAsiaTheme="minorHAnsi" w:hAnsiTheme="minorHAnsi" w:cstheme="minorHAnsi"/>
        </w:rPr>
        <w:t xml:space="preserve"> treść</w:t>
      </w:r>
      <w:r w:rsidRPr="007F7FC7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kontrolowanego aktu. Opisane wyżej przypadki godzą bowiem m.in. w konstytucyjną </w:t>
      </w:r>
      <w:r>
        <w:rPr>
          <w:rFonts w:asciiTheme="minorHAnsi" w:eastAsiaTheme="minorHAnsi" w:hAnsiTheme="minorHAnsi" w:cstheme="minorHAnsi"/>
        </w:rPr>
        <w:lastRenderedPageBreak/>
        <w:t>zasadę</w:t>
      </w:r>
      <w:r w:rsidRPr="007F7FC7">
        <w:rPr>
          <w:rFonts w:asciiTheme="minorHAnsi" w:eastAsiaTheme="minorHAnsi" w:hAnsiTheme="minorHAnsi" w:cstheme="minorHAnsi"/>
        </w:rPr>
        <w:t xml:space="preserve"> legalizmu (art. 7 Konstyt</w:t>
      </w:r>
      <w:r w:rsidRPr="007F7FC7">
        <w:rPr>
          <w:rFonts w:asciiTheme="minorHAnsi" w:eastAsiaTheme="minorHAnsi" w:hAnsiTheme="minorHAnsi" w:cstheme="minorHAnsi"/>
        </w:rPr>
        <w:t xml:space="preserve">ucji RP), </w:t>
      </w:r>
      <w:r w:rsidRPr="007F7FC7">
        <w:rPr>
          <w:rFonts w:asciiTheme="minorHAnsi" w:eastAsiaTheme="minorHAnsi" w:hAnsiTheme="minorHAnsi" w:cstheme="minorHAnsi"/>
        </w:rPr>
        <w:t>której</w:t>
      </w:r>
      <w:r w:rsidRPr="007F7FC7">
        <w:rPr>
          <w:rFonts w:asciiTheme="minorHAnsi" w:eastAsiaTheme="minorHAnsi" w:hAnsiTheme="minorHAnsi" w:cstheme="minorHAnsi"/>
        </w:rPr>
        <w:t xml:space="preserve"> istotn</w:t>
      </w:r>
      <w:r>
        <w:rPr>
          <w:rFonts w:asciiTheme="minorHAnsi" w:eastAsiaTheme="minorHAnsi" w:hAnsiTheme="minorHAnsi" w:cstheme="minorHAnsi"/>
        </w:rPr>
        <w:t xml:space="preserve">ym elementem jest nakaz ścisłego </w:t>
      </w:r>
      <w:r w:rsidRPr="007F7FC7">
        <w:rPr>
          <w:rFonts w:asciiTheme="minorHAnsi" w:eastAsiaTheme="minorHAnsi" w:hAnsiTheme="minorHAnsi" w:cstheme="minorHAnsi"/>
        </w:rPr>
        <w:t xml:space="preserve">interpretowania kompetencji </w:t>
      </w:r>
      <w:r w:rsidRPr="007F7FC7">
        <w:rPr>
          <w:rFonts w:asciiTheme="minorHAnsi" w:eastAsiaTheme="minorHAnsi" w:hAnsiTheme="minorHAnsi" w:cstheme="minorHAnsi"/>
        </w:rPr>
        <w:t>organów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władzy</w:t>
      </w:r>
      <w:r w:rsidRPr="007F7FC7">
        <w:rPr>
          <w:rFonts w:asciiTheme="minorHAnsi" w:eastAsiaTheme="minorHAnsi" w:hAnsiTheme="minorHAnsi" w:cstheme="minorHAnsi"/>
        </w:rPr>
        <w:t xml:space="preserve"> publicznej, w tym kompetycji </w:t>
      </w:r>
      <w:r w:rsidRPr="007F7FC7">
        <w:rPr>
          <w:rFonts w:asciiTheme="minorHAnsi" w:eastAsiaTheme="minorHAnsi" w:hAnsiTheme="minorHAnsi" w:cstheme="minorHAnsi"/>
        </w:rPr>
        <w:t>władz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lokalnych (art. </w:t>
      </w:r>
      <w:r w:rsidRPr="007F7FC7">
        <w:rPr>
          <w:rFonts w:asciiTheme="minorHAnsi" w:eastAsiaTheme="minorHAnsi" w:hAnsiTheme="minorHAnsi" w:cstheme="minorHAnsi"/>
        </w:rPr>
        <w:t xml:space="preserve">94 Konstytucji RP), zasady </w:t>
      </w:r>
      <w:r w:rsidRPr="007F7FC7">
        <w:rPr>
          <w:rFonts w:asciiTheme="minorHAnsi" w:eastAsiaTheme="minorHAnsi" w:hAnsiTheme="minorHAnsi" w:cstheme="minorHAnsi"/>
        </w:rPr>
        <w:t>pewności</w:t>
      </w:r>
      <w:r w:rsidRPr="007F7FC7">
        <w:rPr>
          <w:rFonts w:asciiTheme="minorHAnsi" w:eastAsiaTheme="minorHAnsi" w:hAnsiTheme="minorHAnsi" w:cstheme="minorHAnsi"/>
        </w:rPr>
        <w:t xml:space="preserve"> i </w:t>
      </w:r>
      <w:r w:rsidRPr="007F7FC7">
        <w:rPr>
          <w:rFonts w:asciiTheme="minorHAnsi" w:eastAsiaTheme="minorHAnsi" w:hAnsiTheme="minorHAnsi" w:cstheme="minorHAnsi"/>
        </w:rPr>
        <w:t>jednoznaczności</w:t>
      </w:r>
      <w:r>
        <w:rPr>
          <w:rFonts w:asciiTheme="minorHAnsi" w:eastAsiaTheme="minorHAnsi" w:hAnsiTheme="minorHAnsi" w:cstheme="minorHAnsi"/>
        </w:rPr>
        <w:t xml:space="preserve"> prawa</w:t>
      </w:r>
      <w:r w:rsidRPr="007F7FC7">
        <w:rPr>
          <w:rFonts w:asciiTheme="minorHAnsi" w:eastAsiaTheme="minorHAnsi" w:hAnsiTheme="minorHAnsi" w:cstheme="minorHAnsi"/>
        </w:rPr>
        <w:t>,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a takż</w:t>
      </w:r>
      <w:r w:rsidRPr="007F7FC7">
        <w:rPr>
          <w:rFonts w:asciiTheme="minorHAnsi" w:eastAsiaTheme="minorHAnsi" w:hAnsiTheme="minorHAnsi" w:cstheme="minorHAnsi"/>
        </w:rPr>
        <w:t>e</w:t>
      </w:r>
      <w:r>
        <w:rPr>
          <w:rFonts w:asciiTheme="minorHAnsi" w:eastAsiaTheme="minorHAnsi" w:hAnsiTheme="minorHAnsi" w:cstheme="minorHAnsi"/>
        </w:rPr>
        <w:t xml:space="preserve"> konstytucyjny wymó</w:t>
      </w:r>
      <w:r>
        <w:rPr>
          <w:rFonts w:asciiTheme="minorHAnsi" w:eastAsiaTheme="minorHAnsi" w:hAnsiTheme="minorHAnsi" w:cstheme="minorHAnsi"/>
        </w:rPr>
        <w:t>g, aby </w:t>
      </w:r>
      <w:r w:rsidRPr="007F7FC7">
        <w:rPr>
          <w:rFonts w:asciiTheme="minorHAnsi" w:eastAsiaTheme="minorHAnsi" w:hAnsiTheme="minorHAnsi" w:cstheme="minorHAnsi"/>
        </w:rPr>
        <w:t>ograniczenie</w:t>
      </w:r>
      <w:r w:rsidRPr="007F7FC7">
        <w:rPr>
          <w:rFonts w:asciiTheme="minorHAnsi" w:eastAsiaTheme="minorHAnsi" w:hAnsiTheme="minorHAnsi" w:cstheme="minorHAnsi"/>
        </w:rPr>
        <w:t xml:space="preserve"> praw i </w:t>
      </w:r>
      <w:r w:rsidRPr="007F7FC7">
        <w:rPr>
          <w:rFonts w:asciiTheme="minorHAnsi" w:eastAsiaTheme="minorHAnsi" w:hAnsiTheme="minorHAnsi" w:cstheme="minorHAnsi"/>
        </w:rPr>
        <w:t>wolności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następowało</w:t>
      </w:r>
      <w:r w:rsidRPr="007F7FC7">
        <w:rPr>
          <w:rFonts w:asciiTheme="minorHAnsi" w:eastAsiaTheme="minorHAnsi" w:hAnsiTheme="minorHAnsi" w:cstheme="minorHAnsi"/>
        </w:rPr>
        <w:t xml:space="preserve"> na podstawie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ustawy (art. 31 ust. 3 Konstytucji RP). </w:t>
      </w:r>
      <w:r>
        <w:rPr>
          <w:rFonts w:asciiTheme="minorHAnsi" w:eastAsiaTheme="minorHAnsi" w:hAnsiTheme="minorHAnsi" w:cstheme="minorHAnsi"/>
        </w:rPr>
        <w:t>Innymi słowy p</w:t>
      </w:r>
      <w:r w:rsidRPr="00CD23AB">
        <w:rPr>
          <w:rFonts w:asciiTheme="minorHAnsi" w:hAnsiTheme="minorHAnsi" w:cstheme="minorHAnsi"/>
        </w:rPr>
        <w:t>rzez naruszenie prawa</w:t>
      </w:r>
      <w:r>
        <w:rPr>
          <w:rFonts w:asciiTheme="minorHAnsi" w:hAnsiTheme="minorHAnsi" w:cstheme="minorHAnsi"/>
        </w:rPr>
        <w:t xml:space="preserve"> w sposób istotny w doktrynie i </w:t>
      </w:r>
      <w:r w:rsidRPr="00CD23AB">
        <w:rPr>
          <w:rFonts w:asciiTheme="minorHAnsi" w:hAnsiTheme="minorHAnsi" w:cstheme="minorHAnsi"/>
        </w:rPr>
        <w:t>orzecznictwie sądów administracyjnych uznaje się uchybienia prowadzące do takich skutków, które nie mogą zo</w:t>
      </w:r>
      <w:r w:rsidRPr="00CD23AB">
        <w:rPr>
          <w:rFonts w:asciiTheme="minorHAnsi" w:hAnsiTheme="minorHAnsi" w:cstheme="minorHAnsi"/>
        </w:rPr>
        <w:t xml:space="preserve">stać zaakceptowane w demokratycznym państwie prawnym, które wpływają na treść uchwały (por. wyrok NSA z 11 lutego 1998 r. </w:t>
      </w:r>
      <w:hyperlink r:id="rId10" w:anchor="/document/520127501?cm=DOCUMENT" w:tgtFrame="_blank" w:history="1"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>Wr</w:t>
        </w:r>
        <w:proofErr w:type="spellEnd"/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1459/97</w:t>
        </w:r>
      </w:hyperlink>
      <w:r w:rsidRPr="00CD23AB">
        <w:rPr>
          <w:rFonts w:asciiTheme="minorHAnsi" w:hAnsiTheme="minorHAnsi" w:cstheme="minorHAnsi"/>
        </w:rPr>
        <w:t xml:space="preserve">). </w:t>
      </w:r>
    </w:p>
    <w:p w:rsidR="006031B2" w:rsidRPr="006031B2" w:rsidRDefault="00BC57A9" w:rsidP="00736E1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FE30F7">
        <w:rPr>
          <w:rFonts w:asciiTheme="minorHAnsi" w:hAnsiTheme="minorHAnsi" w:cstheme="minorHAnsi"/>
        </w:rPr>
        <w:t>Pods</w:t>
      </w:r>
      <w:r w:rsidRPr="00FE30F7">
        <w:rPr>
          <w:rFonts w:asciiTheme="minorHAnsi" w:hAnsiTheme="minorHAnsi" w:cstheme="minorHAnsi"/>
        </w:rPr>
        <w:t>tawę prawną</w:t>
      </w:r>
      <w:r w:rsidRPr="00FE30F7">
        <w:rPr>
          <w:rFonts w:asciiTheme="minorHAnsi" w:hAnsiTheme="minorHAnsi" w:cstheme="minorHAnsi"/>
        </w:rPr>
        <w:t xml:space="preserve"> uchwały </w:t>
      </w:r>
      <w:r w:rsidRPr="00356310">
        <w:rPr>
          <w:rFonts w:asciiTheme="minorHAnsi" w:hAnsiTheme="minorHAnsi" w:cstheme="minorHAnsi"/>
        </w:rPr>
        <w:t xml:space="preserve">Rady Gminy Świercze Nr 176/XXII/2021 z dnia 23 marca 2021 r. </w:t>
      </w:r>
      <w:r w:rsidRPr="00356310">
        <w:rPr>
          <w:rFonts w:asciiTheme="minorHAnsi" w:hAnsiTheme="minorHAnsi" w:cstheme="minorHAnsi"/>
          <w:i/>
        </w:rPr>
        <w:t>w sprawie zasad korzystania z gminnych obiektów użyteczności publicznej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stanowił, m.in. </w:t>
      </w:r>
      <w:r>
        <w:rPr>
          <w:rFonts w:asciiTheme="minorHAnsi" w:eastAsiaTheme="minorHAnsi" w:hAnsiTheme="minorHAnsi" w:cstheme="minorHAnsi"/>
        </w:rPr>
        <w:t>art. 40 ust. </w:t>
      </w:r>
      <w:r w:rsidRPr="006031B2">
        <w:rPr>
          <w:rFonts w:asciiTheme="minorHAnsi" w:eastAsiaTheme="minorHAnsi" w:hAnsiTheme="minorHAnsi" w:cstheme="minorHAnsi"/>
        </w:rPr>
        <w:t>2 pkt 4 ustawy z dnia 8 marca 1990 r. o samorządzie gminnym</w:t>
      </w:r>
      <w:r>
        <w:rPr>
          <w:rFonts w:asciiTheme="minorHAnsi" w:eastAsiaTheme="minorHAnsi" w:hAnsiTheme="minorHAnsi" w:cstheme="minorHAnsi"/>
        </w:rPr>
        <w:t xml:space="preserve"> </w:t>
      </w:r>
      <w:r w:rsidRPr="006031B2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Dz. U. z 2020 r. poz. 713, z późn</w:t>
      </w:r>
      <w:r>
        <w:rPr>
          <w:rFonts w:asciiTheme="minorHAnsi" w:eastAsiaTheme="minorHAnsi" w:hAnsiTheme="minorHAnsi" w:cstheme="minorHAnsi"/>
        </w:rPr>
        <w:t>. zm.</w:t>
      </w:r>
      <w:r w:rsidRPr="006031B2">
        <w:rPr>
          <w:rFonts w:asciiTheme="minorHAnsi" w:eastAsiaTheme="minorHAnsi" w:hAnsiTheme="minorHAnsi" w:cstheme="minorHAnsi"/>
        </w:rPr>
        <w:t>)</w:t>
      </w:r>
      <w:r>
        <w:rPr>
          <w:rFonts w:asciiTheme="minorHAnsi" w:eastAsiaTheme="minorHAnsi" w:hAnsiTheme="minorHAnsi" w:cstheme="minorHAnsi"/>
        </w:rPr>
        <w:t>, zwanej dalej: „u.s.g.” oraz</w:t>
      </w:r>
      <w:r w:rsidRPr="006031B2">
        <w:rPr>
          <w:rFonts w:asciiTheme="minorHAnsi" w:eastAsiaTheme="minorHAnsi" w:hAnsiTheme="minorHAnsi" w:cstheme="minorHAnsi"/>
        </w:rPr>
        <w:t xml:space="preserve"> art. 4 ust. 1 pkt 2 i ust. 2 ust</w:t>
      </w:r>
      <w:r>
        <w:rPr>
          <w:rFonts w:asciiTheme="minorHAnsi" w:eastAsiaTheme="minorHAnsi" w:hAnsiTheme="minorHAnsi" w:cstheme="minorHAnsi"/>
        </w:rPr>
        <w:t>awy z dnia 20 grudnia 1996 r. o </w:t>
      </w:r>
      <w:r w:rsidRPr="006031B2">
        <w:rPr>
          <w:rFonts w:asciiTheme="minorHAnsi" w:eastAsiaTheme="minorHAnsi" w:hAnsiTheme="minorHAnsi" w:cstheme="minorHAnsi"/>
        </w:rPr>
        <w:t>gospodarce</w:t>
      </w:r>
      <w:r>
        <w:rPr>
          <w:rFonts w:asciiTheme="minorHAnsi" w:eastAsiaTheme="minorHAnsi" w:hAnsiTheme="minorHAnsi" w:cstheme="minorHAnsi"/>
        </w:rPr>
        <w:t xml:space="preserve"> </w:t>
      </w:r>
      <w:r w:rsidRPr="006031B2">
        <w:rPr>
          <w:rFonts w:asciiTheme="minorHAnsi" w:eastAsiaTheme="minorHAnsi" w:hAnsiTheme="minorHAnsi" w:cstheme="minorHAnsi"/>
        </w:rPr>
        <w:t>kom</w:t>
      </w:r>
      <w:r>
        <w:rPr>
          <w:rFonts w:asciiTheme="minorHAnsi" w:eastAsiaTheme="minorHAnsi" w:hAnsiTheme="minorHAnsi" w:cstheme="minorHAnsi"/>
        </w:rPr>
        <w:t>unalnej (Dz. U. z 2021 r. poz. 679</w:t>
      </w:r>
      <w:r>
        <w:rPr>
          <w:rFonts w:asciiTheme="minorHAnsi" w:eastAsiaTheme="minorHAnsi" w:hAnsiTheme="minorHAnsi" w:cstheme="minorHAnsi"/>
        </w:rPr>
        <w:t xml:space="preserve">), zwanej dalej: „u.g.k.”. </w:t>
      </w:r>
    </w:p>
    <w:p w:rsidR="00A76557" w:rsidRPr="003C2ACE" w:rsidRDefault="00BC57A9" w:rsidP="008569E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Zgodnie z art. 40 ust. </w:t>
      </w:r>
      <w:r w:rsidRPr="006031B2">
        <w:rPr>
          <w:rFonts w:asciiTheme="minorHAnsi" w:eastAsiaTheme="minorHAnsi" w:hAnsiTheme="minorHAnsi" w:cstheme="minorHAnsi"/>
        </w:rPr>
        <w:t>2 pkt 4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u.s.g. </w:t>
      </w:r>
      <w:r>
        <w:rPr>
          <w:rFonts w:asciiTheme="minorHAnsi" w:eastAsiaTheme="minorHAnsi" w:hAnsiTheme="minorHAnsi" w:cstheme="minorHAnsi"/>
        </w:rPr>
        <w:t>n</w:t>
      </w:r>
      <w:r w:rsidRPr="007D643E">
        <w:rPr>
          <w:rFonts w:asciiTheme="minorHAnsi" w:hAnsiTheme="minorHAnsi" w:cstheme="minorHAnsi"/>
        </w:rPr>
        <w:t xml:space="preserve">a podstawie </w:t>
      </w:r>
      <w:r>
        <w:rPr>
          <w:rFonts w:asciiTheme="minorHAnsi" w:hAnsiTheme="minorHAnsi" w:cstheme="minorHAnsi"/>
        </w:rPr>
        <w:t>przepisów u.s.g.</w:t>
      </w:r>
      <w:r w:rsidRPr="007D643E">
        <w:rPr>
          <w:rFonts w:asciiTheme="minorHAnsi" w:hAnsiTheme="minorHAnsi" w:cstheme="minorHAnsi"/>
        </w:rPr>
        <w:t xml:space="preserve"> organy gminy mogą wydawać akty prawa miejscowego w zakresie zasad i trybu ko</w:t>
      </w:r>
      <w:r>
        <w:rPr>
          <w:rFonts w:asciiTheme="minorHAnsi" w:hAnsiTheme="minorHAnsi" w:cstheme="minorHAnsi"/>
        </w:rPr>
        <w:t>rzystania z gminnych obiektów i </w:t>
      </w:r>
      <w:r w:rsidRPr="007D643E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rządzeń użyteczności publicznej. </w:t>
      </w:r>
      <w:r w:rsidRPr="003C2ACE">
        <w:rPr>
          <w:rFonts w:asciiTheme="minorHAnsi" w:hAnsiTheme="minorHAnsi" w:cstheme="minorHAnsi"/>
        </w:rPr>
        <w:t>Z przepisu tego wynika upoważnienie dla organów gminy, mające charakter klauzuli generalnej, do wydawania aktów p</w:t>
      </w:r>
      <w:r w:rsidRPr="003C2ACE">
        <w:rPr>
          <w:rFonts w:asciiTheme="minorHAnsi" w:hAnsiTheme="minorHAnsi" w:cstheme="minorHAnsi"/>
        </w:rPr>
        <w:t xml:space="preserve">rawa miejscowego. </w:t>
      </w:r>
    </w:p>
    <w:p w:rsidR="00ED6067" w:rsidRDefault="00BC57A9" w:rsidP="003C2AC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kolei z</w:t>
      </w:r>
      <w:r w:rsidRPr="003C2ACE">
        <w:rPr>
          <w:rFonts w:asciiTheme="minorHAnsi" w:hAnsiTheme="minorHAnsi" w:cstheme="minorHAnsi"/>
        </w:rPr>
        <w:t xml:space="preserve">godnie </w:t>
      </w:r>
      <w:r w:rsidRPr="003C2ACE">
        <w:rPr>
          <w:rFonts w:asciiTheme="minorHAnsi" w:eastAsiaTheme="minorHAnsi" w:hAnsiTheme="minorHAnsi" w:cstheme="minorHAnsi"/>
        </w:rPr>
        <w:t>z art. 4 ust. 1 pkt 2 u.g.k.</w:t>
      </w:r>
      <w:r w:rsidRPr="003C2ACE">
        <w:rPr>
          <w:rFonts w:asciiTheme="minorHAnsi" w:eastAsiaTheme="minorHAnsi" w:hAnsiTheme="minorHAnsi" w:cstheme="minorHAnsi"/>
        </w:rPr>
        <w:t xml:space="preserve"> j</w:t>
      </w:r>
      <w:r w:rsidRPr="003C2ACE">
        <w:rPr>
          <w:rFonts w:asciiTheme="minorHAnsi" w:hAnsiTheme="minorHAnsi" w:cstheme="minorHAnsi"/>
        </w:rPr>
        <w:t>eżeli przepisy szczególne nie stanowią inaczej, organy stanowiące jednostek samorząd</w:t>
      </w:r>
      <w:r w:rsidRPr="003C2ACE">
        <w:rPr>
          <w:rFonts w:asciiTheme="minorHAnsi" w:hAnsiTheme="minorHAnsi" w:cstheme="minorHAnsi"/>
        </w:rPr>
        <w:t>u terytorialnego postanawiają o wysokości cen i </w:t>
      </w:r>
      <w:r w:rsidRPr="003C2ACE">
        <w:rPr>
          <w:rFonts w:asciiTheme="minorHAnsi" w:hAnsiTheme="minorHAnsi" w:cstheme="minorHAnsi"/>
        </w:rPr>
        <w:t>opłat albo o sposobie ustalania cen i opła</w:t>
      </w:r>
      <w:r w:rsidRPr="003C2ACE">
        <w:rPr>
          <w:rFonts w:asciiTheme="minorHAnsi" w:hAnsiTheme="minorHAnsi" w:cstheme="minorHAnsi"/>
        </w:rPr>
        <w:t>t za usługi komun</w:t>
      </w:r>
      <w:r w:rsidRPr="003C2ACE">
        <w:rPr>
          <w:rFonts w:asciiTheme="minorHAnsi" w:hAnsiTheme="minorHAnsi" w:cstheme="minorHAnsi"/>
        </w:rPr>
        <w:t>alne o </w:t>
      </w:r>
      <w:r w:rsidRPr="003C2ACE">
        <w:rPr>
          <w:rFonts w:asciiTheme="minorHAnsi" w:hAnsiTheme="minorHAnsi" w:cstheme="minorHAnsi"/>
        </w:rPr>
        <w:t>charakterze użyteczności publicznej oraz za korzystanie z obiektów i urządzeń użyteczności publicznej jednostek samorządu terytorialnego.</w:t>
      </w:r>
      <w:r w:rsidRPr="003C2ACE">
        <w:rPr>
          <w:rFonts w:asciiTheme="minorHAnsi" w:hAnsiTheme="minorHAnsi" w:cstheme="minorHAnsi"/>
        </w:rPr>
        <w:t xml:space="preserve"> </w:t>
      </w:r>
      <w:r w:rsidRPr="003C2ACE">
        <w:rPr>
          <w:rFonts w:asciiTheme="minorHAnsi" w:hAnsiTheme="minorHAnsi" w:cstheme="minorHAnsi"/>
        </w:rPr>
        <w:t>Uprawnienia, o których mowa w ust. 1 pkt 2, organy stanowiące jednostek samorządu terytorialnego mogą powierzyć</w:t>
      </w:r>
      <w:r w:rsidRPr="003C2ACE">
        <w:rPr>
          <w:rFonts w:asciiTheme="minorHAnsi" w:hAnsiTheme="minorHAnsi" w:cstheme="minorHAnsi"/>
        </w:rPr>
        <w:t xml:space="preserve"> org</w:t>
      </w:r>
      <w:r w:rsidRPr="003C2ACE">
        <w:rPr>
          <w:rFonts w:asciiTheme="minorHAnsi" w:hAnsiTheme="minorHAnsi" w:cstheme="minorHAnsi"/>
        </w:rPr>
        <w:t xml:space="preserve">anom wykonawczym tych jednostek (art. 40 ust. 2 u.g.k.). </w:t>
      </w:r>
    </w:p>
    <w:p w:rsidR="00D622B0" w:rsidRPr="003C2ACE" w:rsidRDefault="00BC57A9" w:rsidP="00D622B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hAnsiTheme="minorHAnsi" w:cstheme="minorHAnsi"/>
        </w:rPr>
        <w:t xml:space="preserve">Jak wskazał Naczelny Sąd Administracyjny w wyroku z dnia 26 listopada 2013 r. sygn. </w:t>
      </w:r>
      <w:r>
        <w:rPr>
          <w:rFonts w:asciiTheme="minorHAnsi" w:hAnsiTheme="minorHAnsi" w:cstheme="minorHAnsi"/>
        </w:rPr>
        <w:br/>
      </w:r>
      <w:r w:rsidRPr="003C2ACE">
        <w:rPr>
          <w:rFonts w:asciiTheme="minorHAnsi" w:hAnsiTheme="minorHAnsi" w:cstheme="minorHAnsi"/>
        </w:rPr>
        <w:t>I OSK 1901/13 art. 4 ust. 1 pkt 2 u.g.k</w:t>
      </w:r>
      <w:r w:rsidRPr="003C2ACE">
        <w:rPr>
          <w:rFonts w:asciiTheme="minorHAnsi" w:hAnsiTheme="minorHAnsi" w:cstheme="minorHAnsi"/>
        </w:rPr>
        <w:t xml:space="preserve">. zawiera normę prawną upoważniającą organ stanowiący samorządu terytorialnego do podjęcia aktu prawa miejscowego, a zawarte w art. 4 ust. 1 pkt 2 u.g.k., umocowanie do stanowienia aktów prawa miejscowego wchodzi do uzupełnienia systemu delegacji zawartej </w:t>
      </w:r>
      <w:r w:rsidRPr="003C2ACE">
        <w:rPr>
          <w:rFonts w:asciiTheme="minorHAnsi" w:hAnsiTheme="minorHAnsi" w:cstheme="minorHAnsi"/>
        </w:rPr>
        <w:t>w art. 40 ust. 2 u.s.g. (System Informacji Prawnej Lex nr 1418773).</w:t>
      </w:r>
    </w:p>
    <w:p w:rsidR="0018518B" w:rsidRPr="003C2ACE" w:rsidRDefault="00BC57A9" w:rsidP="003C2AC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eastAsiaTheme="minorHAnsi" w:hAnsiTheme="minorHAnsi" w:cstheme="minorHAnsi"/>
        </w:rPr>
        <w:t xml:space="preserve">W </w:t>
      </w:r>
      <w:r w:rsidRPr="003C2ACE">
        <w:rPr>
          <w:rFonts w:asciiTheme="minorHAnsi" w:eastAsiaTheme="minorHAnsi" w:hAnsiTheme="minorHAnsi" w:cstheme="minorHAnsi"/>
        </w:rPr>
        <w:t xml:space="preserve">§ 2 uchwały Rada postanowiła, że: </w:t>
      </w:r>
      <w:r w:rsidRPr="003C2ACE">
        <w:rPr>
          <w:rFonts w:asciiTheme="minorHAnsi" w:eastAsiaTheme="minorHAnsi" w:hAnsiTheme="minorHAnsi" w:cstheme="minorHAnsi"/>
          <w:i/>
        </w:rPr>
        <w:t>„§ 2.</w:t>
      </w:r>
      <w:r w:rsidRPr="003C2ACE">
        <w:rPr>
          <w:rFonts w:asciiTheme="minorHAnsi" w:eastAsiaTheme="minorHAnsi" w:hAnsiTheme="minorHAnsi" w:cstheme="minorHAnsi"/>
        </w:rPr>
        <w:t xml:space="preserve"> </w:t>
      </w:r>
      <w:r w:rsidRPr="003C2ACE">
        <w:rPr>
          <w:rFonts w:asciiTheme="minorHAnsi" w:eastAsiaTheme="minorHAnsi" w:hAnsiTheme="minorHAnsi" w:cstheme="minorHAnsi"/>
          <w:i/>
        </w:rPr>
        <w:t>Zasady korzystania ze świetlic wiejskich na terenie Gminy Świercze określa Wójt Gminy Świercze”.</w:t>
      </w:r>
      <w:r w:rsidRPr="003C2ACE">
        <w:rPr>
          <w:rFonts w:asciiTheme="minorHAnsi" w:eastAsiaTheme="minorHAnsi" w:hAnsiTheme="minorHAnsi" w:cstheme="minorHAnsi"/>
          <w:i/>
        </w:rPr>
        <w:t xml:space="preserve"> </w:t>
      </w:r>
      <w:r w:rsidRPr="003C2ACE">
        <w:rPr>
          <w:rFonts w:asciiTheme="minorHAnsi" w:hAnsiTheme="minorHAnsi" w:cstheme="minorHAnsi"/>
        </w:rPr>
        <w:t xml:space="preserve">Przywołane ustalenie </w:t>
      </w:r>
      <w:r w:rsidRPr="003C2ACE">
        <w:rPr>
          <w:rFonts w:asciiTheme="minorHAnsi" w:hAnsiTheme="minorHAnsi" w:cstheme="minorHAnsi"/>
        </w:rPr>
        <w:t xml:space="preserve">uchwały </w:t>
      </w:r>
      <w:r w:rsidRPr="003C2ACE">
        <w:rPr>
          <w:rFonts w:asciiTheme="minorHAnsi" w:hAnsiTheme="minorHAnsi" w:cstheme="minorHAnsi"/>
        </w:rPr>
        <w:t>stanowi w istocie su</w:t>
      </w:r>
      <w:r w:rsidRPr="003C2ACE">
        <w:rPr>
          <w:rFonts w:asciiTheme="minorHAnsi" w:hAnsiTheme="minorHAnsi" w:cstheme="minorHAnsi"/>
        </w:rPr>
        <w:t>bdelegację kompetencji Rady Gminy</w:t>
      </w:r>
      <w:r w:rsidRPr="003C2ACE">
        <w:rPr>
          <w:rFonts w:asciiTheme="minorHAnsi" w:hAnsiTheme="minorHAnsi" w:cstheme="minorHAnsi"/>
        </w:rPr>
        <w:t xml:space="preserve"> na </w:t>
      </w:r>
      <w:r w:rsidRPr="003C2ACE">
        <w:rPr>
          <w:rFonts w:asciiTheme="minorHAnsi" w:hAnsiTheme="minorHAnsi" w:cstheme="minorHAnsi"/>
        </w:rPr>
        <w:t>organ wykonawczy Gminy.</w:t>
      </w:r>
    </w:p>
    <w:p w:rsidR="0018518B" w:rsidRPr="003C2ACE" w:rsidRDefault="00BC57A9" w:rsidP="003C2AC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hAnsiTheme="minorHAnsi" w:cstheme="minorHAnsi"/>
        </w:rPr>
        <w:t xml:space="preserve">Organ nadzoru wskazuje, że w polskim systemie prawnym, zgodnie z art. 92 ust. 2 Konstytucji RP funkcjonuje </w:t>
      </w:r>
      <w:r w:rsidRPr="003C2ACE">
        <w:rPr>
          <w:rFonts w:asciiTheme="minorHAnsi" w:hAnsiTheme="minorHAnsi" w:cstheme="minorHAnsi"/>
          <w:b/>
        </w:rPr>
        <w:t>zakaz praktyki subdelegacji.</w:t>
      </w:r>
      <w:r w:rsidRPr="003C2ACE">
        <w:rPr>
          <w:rFonts w:asciiTheme="minorHAnsi" w:hAnsiTheme="minorHAnsi" w:cstheme="minorHAnsi"/>
        </w:rPr>
        <w:t xml:space="preserve"> Konsekwencją rozwiązania ujętego w § 2 uchwały jest </w:t>
      </w:r>
      <w:r w:rsidRPr="003C2ACE">
        <w:rPr>
          <w:rFonts w:asciiTheme="minorHAnsi" w:hAnsiTheme="minorHAnsi" w:cstheme="minorHAnsi"/>
        </w:rPr>
        <w:lastRenderedPageBreak/>
        <w:t>przenie</w:t>
      </w:r>
      <w:r w:rsidRPr="003C2ACE">
        <w:rPr>
          <w:rFonts w:asciiTheme="minorHAnsi" w:hAnsiTheme="minorHAnsi" w:cstheme="minorHAnsi"/>
        </w:rPr>
        <w:t>sienie kompetencji Rady na inny organ (Wójta Gminy Świercze) oraz zmiana formy aktu prawnego, do których to czynności brak jest jakichkolwiek podstaw prawnych (</w:t>
      </w:r>
      <w:r w:rsidRPr="003C2ACE">
        <w:rPr>
          <w:rFonts w:asciiTheme="minorHAnsi" w:hAnsiTheme="minorHAnsi" w:cstheme="minorHAnsi"/>
        </w:rPr>
        <w:t xml:space="preserve">por. </w:t>
      </w:r>
      <w:r w:rsidRPr="003C2ACE">
        <w:rPr>
          <w:rFonts w:asciiTheme="minorHAnsi" w:hAnsiTheme="minorHAnsi" w:cstheme="minorHAnsi"/>
        </w:rPr>
        <w:t xml:space="preserve">wyrok Wojewódzkiego Sądu Administracyjnego w Gliwicach z dnia 17 stycznia 2007 r. II SA/G1 </w:t>
      </w:r>
      <w:r w:rsidRPr="003C2ACE">
        <w:rPr>
          <w:rFonts w:asciiTheme="minorHAnsi" w:hAnsiTheme="minorHAnsi" w:cstheme="minorHAnsi"/>
        </w:rPr>
        <w:t xml:space="preserve">629/06). </w:t>
      </w:r>
    </w:p>
    <w:p w:rsidR="008569EB" w:rsidRPr="003C2ACE" w:rsidRDefault="00BC57A9" w:rsidP="008569E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Użyte w art. 40 ust. 2 pkt 4 u.s.g. pojęcie „zasady i tryb korzystania”</w:t>
      </w:r>
      <w:r w:rsidRPr="003C2ACE">
        <w:rPr>
          <w:rFonts w:asciiTheme="minorHAnsi" w:hAnsiTheme="minorHAnsi" w:cstheme="minorHAnsi"/>
        </w:rPr>
        <w:t xml:space="preserve"> zawiera </w:t>
      </w:r>
      <w:r w:rsidRPr="00E27028">
        <w:rPr>
          <w:rFonts w:asciiTheme="minorHAnsi" w:hAnsiTheme="minorHAnsi" w:cstheme="minorHAnsi"/>
          <w:b/>
        </w:rPr>
        <w:t>upoważnienie</w:t>
      </w:r>
      <w:r w:rsidRPr="003C2ACE">
        <w:rPr>
          <w:rFonts w:asciiTheme="minorHAnsi" w:hAnsiTheme="minorHAnsi" w:cstheme="minorHAnsi"/>
        </w:rPr>
        <w:t xml:space="preserve"> </w:t>
      </w:r>
      <w:r w:rsidRPr="00E27028">
        <w:rPr>
          <w:rFonts w:asciiTheme="minorHAnsi" w:hAnsiTheme="minorHAnsi" w:cstheme="minorHAnsi"/>
          <w:b/>
        </w:rPr>
        <w:t xml:space="preserve">dla organu stanowiącego </w:t>
      </w:r>
      <w:r w:rsidRPr="00113A5B">
        <w:rPr>
          <w:rFonts w:asciiTheme="minorHAnsi" w:hAnsiTheme="minorHAnsi" w:cstheme="minorHAnsi"/>
        </w:rPr>
        <w:t xml:space="preserve">gminy do formułowania w stosunku do </w:t>
      </w:r>
      <w:r>
        <w:rPr>
          <w:rFonts w:asciiTheme="minorHAnsi" w:hAnsiTheme="minorHAnsi" w:cstheme="minorHAnsi"/>
        </w:rPr>
        <w:t>obiekt</w:t>
      </w:r>
      <w:r w:rsidRPr="00113A5B">
        <w:rPr>
          <w:rFonts w:asciiTheme="minorHAnsi" w:hAnsiTheme="minorHAnsi" w:cstheme="minorHAnsi"/>
        </w:rPr>
        <w:t>ów i urządzeń użyteczności publicznej norm i zasad prawidłowego postępowania, ustalania</w:t>
      </w:r>
      <w:r w:rsidRPr="00113A5B">
        <w:rPr>
          <w:rFonts w:asciiTheme="minorHAnsi" w:hAnsiTheme="minorHAnsi" w:cstheme="minorHAnsi"/>
        </w:rPr>
        <w:t xml:space="preserve"> obowiązujących reguł zachowania się, określenia ustalonego porządku zachowania się</w:t>
      </w:r>
      <w:r w:rsidRPr="003C2ACE">
        <w:rPr>
          <w:rFonts w:asciiTheme="minorHAnsi" w:hAnsiTheme="minorHAnsi" w:cstheme="minorHAnsi"/>
        </w:rPr>
        <w:t>. Oznacza to w konsekw</w:t>
      </w:r>
      <w:r>
        <w:rPr>
          <w:rFonts w:asciiTheme="minorHAnsi" w:hAnsiTheme="minorHAnsi" w:cstheme="minorHAnsi"/>
        </w:rPr>
        <w:t>encji kompetencję rady gminy do </w:t>
      </w:r>
      <w:r w:rsidRPr="003C2ACE">
        <w:rPr>
          <w:rFonts w:asciiTheme="minorHAnsi" w:hAnsiTheme="minorHAnsi" w:cstheme="minorHAnsi"/>
        </w:rPr>
        <w:t>wprowadzenia reguł dotyczących obowiązującego sposobu zachowania się podmiotów, które przebywają na terenach lub w obie</w:t>
      </w:r>
      <w:r w:rsidRPr="003C2ACE">
        <w:rPr>
          <w:rFonts w:asciiTheme="minorHAnsi" w:hAnsiTheme="minorHAnsi" w:cstheme="minorHAnsi"/>
        </w:rPr>
        <w:t>ktach o jakich mowa w art</w:t>
      </w:r>
      <w:r>
        <w:rPr>
          <w:rFonts w:asciiTheme="minorHAnsi" w:hAnsiTheme="minorHAnsi" w:cstheme="minorHAnsi"/>
        </w:rPr>
        <w:t>. 40 ust. 2 pkt 4 u.s.g. (wyrok WSA w </w:t>
      </w:r>
      <w:r w:rsidRPr="003C2ACE">
        <w:rPr>
          <w:rFonts w:asciiTheme="minorHAnsi" w:hAnsiTheme="minorHAnsi" w:cstheme="minorHAnsi"/>
        </w:rPr>
        <w:t>Krakowie z dnia 3 grudnia 2013 r. sygn. III SA/Kr 731/13 Lex nr 1407671).</w:t>
      </w:r>
    </w:p>
    <w:p w:rsidR="008569EB" w:rsidRPr="003C2ACE" w:rsidRDefault="00BC57A9" w:rsidP="008569E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Zatem </w:t>
      </w:r>
      <w:r w:rsidRPr="003C2ACE">
        <w:rPr>
          <w:rFonts w:asciiTheme="minorHAnsi" w:hAnsiTheme="minorHAnsi" w:cstheme="minorHAnsi"/>
        </w:rPr>
        <w:t>art. 40 ust. 2 pkt 4 u.s.g. upoważnia Radę G</w:t>
      </w:r>
      <w:r>
        <w:rPr>
          <w:rFonts w:asciiTheme="minorHAnsi" w:hAnsiTheme="minorHAnsi" w:cstheme="minorHAnsi"/>
        </w:rPr>
        <w:t xml:space="preserve">miny </w:t>
      </w:r>
      <w:r w:rsidRPr="003C2ACE">
        <w:rPr>
          <w:rFonts w:asciiTheme="minorHAnsi" w:hAnsiTheme="minorHAnsi" w:cstheme="minorHAnsi"/>
        </w:rPr>
        <w:t>do stanowienia aktów prawa miejscowego w zakresie tworzenia zasa</w:t>
      </w:r>
      <w:r w:rsidRPr="003C2ACE">
        <w:rPr>
          <w:rFonts w:asciiTheme="minorHAnsi" w:hAnsiTheme="minorHAnsi" w:cstheme="minorHAnsi"/>
        </w:rPr>
        <w:t>d i trybu korzystania z obiektów i urządzeń użyteczności publicznej przez społeczność lokalną, natomiast poza zakresem wskazanego upoważnienia pozostają sprawy związane z zasadami i trybem gospodarowania i korzystania z tego mienia przez jednostkę nim gosp</w:t>
      </w:r>
      <w:r w:rsidRPr="003C2ACE">
        <w:rPr>
          <w:rFonts w:asciiTheme="minorHAnsi" w:hAnsiTheme="minorHAnsi" w:cstheme="minorHAnsi"/>
        </w:rPr>
        <w:t>odarującą.</w:t>
      </w:r>
    </w:p>
    <w:p w:rsidR="00897A12" w:rsidRPr="003C2ACE" w:rsidRDefault="00BC57A9" w:rsidP="00897A1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hAnsiTheme="minorHAnsi" w:cstheme="minorHAnsi"/>
        </w:rPr>
        <w:t>Unormowanie art. 40 ust. 2 pkt 4 u.s.g.</w:t>
      </w:r>
      <w:r>
        <w:rPr>
          <w:rFonts w:asciiTheme="minorHAnsi" w:hAnsiTheme="minorHAnsi" w:cstheme="minorHAnsi"/>
        </w:rPr>
        <w:t>,</w:t>
      </w:r>
      <w:r w:rsidRPr="003C2ACE">
        <w:rPr>
          <w:rFonts w:asciiTheme="minorHAnsi" w:hAnsiTheme="minorHAnsi" w:cstheme="minorHAnsi"/>
        </w:rPr>
        <w:t xml:space="preserve"> przewidując określenie zasad korzystania z obiektów użyteczności publicznej</w:t>
      </w:r>
      <w:r>
        <w:rPr>
          <w:rFonts w:asciiTheme="minorHAnsi" w:hAnsiTheme="minorHAnsi" w:cstheme="minorHAnsi"/>
        </w:rPr>
        <w:t>,</w:t>
      </w:r>
      <w:r w:rsidRPr="003C2ACE">
        <w:rPr>
          <w:rFonts w:asciiTheme="minorHAnsi" w:hAnsiTheme="minorHAnsi" w:cstheme="minorHAnsi"/>
        </w:rPr>
        <w:t xml:space="preserve"> zakłada uprawnienie </w:t>
      </w:r>
      <w:r w:rsidRPr="003C2ACE">
        <w:rPr>
          <w:rFonts w:asciiTheme="minorHAnsi" w:hAnsiTheme="minorHAnsi" w:cstheme="minorHAnsi"/>
        </w:rPr>
        <w:t xml:space="preserve">Rady Gminy </w:t>
      </w:r>
      <w:r w:rsidRPr="003C2ACE">
        <w:rPr>
          <w:rFonts w:asciiTheme="minorHAnsi" w:hAnsiTheme="minorHAnsi" w:cstheme="minorHAnsi"/>
        </w:rPr>
        <w:t>do określenia w ramach tych zasad jednej z najistotniejszych zasad korzystania z takich obiektów</w:t>
      </w:r>
      <w:r w:rsidRPr="003C2ACE">
        <w:rPr>
          <w:rFonts w:asciiTheme="minorHAnsi" w:hAnsiTheme="minorHAnsi" w:cstheme="minorHAnsi"/>
        </w:rPr>
        <w:t xml:space="preserve"> t.j. zasady korzystania odpłatnego lub korzystania nieodpłatnego. Niewątpliwie kwestia ta stanowi z punktu widzenia interesów członków społeczności lokalnej jedną z najistotniejszych regulacji dotyczących zasad skorzystania z obiektu użyteczności publiczn</w:t>
      </w:r>
      <w:r w:rsidRPr="003C2ACE">
        <w:rPr>
          <w:rFonts w:asciiTheme="minorHAnsi" w:hAnsiTheme="minorHAnsi" w:cstheme="minorHAnsi"/>
        </w:rPr>
        <w:t>ej, decyduje bowiem o materialnej dostępności danego obiektu użyteczności publicznej dla poszczególnych osób i celowym jest unormowanie jej aktem mającym rangę przepisu prawa miejscowego.</w:t>
      </w:r>
    </w:p>
    <w:p w:rsidR="0060306F" w:rsidRPr="003C2ACE" w:rsidRDefault="00BC57A9" w:rsidP="00A109C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rgan nadzoru wskazuje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iż Wójt Gminy nie jest</w:t>
      </w:r>
      <w:r>
        <w:rPr>
          <w:rFonts w:asciiTheme="minorHAnsi" w:hAnsiTheme="minorHAnsi" w:cstheme="minorHAnsi"/>
        </w:rPr>
        <w:t xml:space="preserve"> organem właściwym do </w:t>
      </w:r>
      <w:r>
        <w:rPr>
          <w:rFonts w:asciiTheme="minorHAnsi" w:hAnsiTheme="minorHAnsi" w:cstheme="minorHAnsi"/>
        </w:rPr>
        <w:t>określenia zasad korzystania ze świetlic wiejskich na terenie Gminy Św</w:t>
      </w:r>
      <w:r>
        <w:rPr>
          <w:rFonts w:asciiTheme="minorHAnsi" w:hAnsiTheme="minorHAnsi" w:cstheme="minorHAnsi"/>
        </w:rPr>
        <w:t xml:space="preserve">iercze, </w:t>
      </w:r>
      <w:r>
        <w:rPr>
          <w:rFonts w:asciiTheme="minorHAnsi" w:hAnsiTheme="minorHAnsi" w:cstheme="minorHAnsi"/>
        </w:rPr>
        <w:t>w tym decydowania o </w:t>
      </w:r>
      <w:r w:rsidRPr="003C2ACE">
        <w:rPr>
          <w:rFonts w:asciiTheme="minorHAnsi" w:hAnsiTheme="minorHAnsi" w:cstheme="minorHAnsi"/>
        </w:rPr>
        <w:t>zasadach odpłatnego lub nieodpłatnego korzystania z takich obiektów, jako obiektów użyteczności publicznej.</w:t>
      </w:r>
    </w:p>
    <w:p w:rsidR="00B131BF" w:rsidRPr="00B131BF" w:rsidRDefault="00BC57A9" w:rsidP="00B131B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hAnsiTheme="minorHAnsi" w:cstheme="minorHAnsi"/>
        </w:rPr>
        <w:t xml:space="preserve">Świetlice wiejskie to pomieszczenia przeznaczone do spędzania czasu </w:t>
      </w:r>
      <w:r>
        <w:rPr>
          <w:rFonts w:asciiTheme="minorHAnsi" w:hAnsiTheme="minorHAnsi" w:cstheme="minorHAnsi"/>
        </w:rPr>
        <w:t>wolnego, rekreacji i </w:t>
      </w:r>
      <w:r w:rsidRPr="003C2ACE">
        <w:rPr>
          <w:rFonts w:asciiTheme="minorHAnsi" w:hAnsiTheme="minorHAnsi" w:cstheme="minorHAnsi"/>
        </w:rPr>
        <w:t>edukacji, rozwijania zainteresowań i integracji lokalnych społeczności. Świetlice te mają charakter obiektów użyteczności publicznej. Samorządy gminne zakładające świe</w:t>
      </w:r>
      <w:r w:rsidRPr="003C2ACE">
        <w:rPr>
          <w:rFonts w:asciiTheme="minorHAnsi" w:hAnsiTheme="minorHAnsi" w:cstheme="minorHAnsi"/>
        </w:rPr>
        <w:t>tlice wiejskie realizują w ten sposób zadania służące zaspokajaniu zbiorowych potrzeb wspólnoty mieszkańców.</w:t>
      </w:r>
      <w:r>
        <w:rPr>
          <w:rFonts w:asciiTheme="minorHAnsi" w:hAnsiTheme="minorHAnsi" w:cstheme="minorHAnsi"/>
        </w:rPr>
        <w:t xml:space="preserve"> </w:t>
      </w:r>
      <w:r w:rsidRPr="003C2ACE">
        <w:rPr>
          <w:rFonts w:asciiTheme="minorHAnsi" w:hAnsiTheme="minorHAnsi" w:cstheme="minorHAnsi"/>
        </w:rPr>
        <w:t>Zatem kompetencje w tym zakre</w:t>
      </w:r>
      <w:r>
        <w:rPr>
          <w:rFonts w:asciiTheme="minorHAnsi" w:hAnsiTheme="minorHAnsi" w:cstheme="minorHAnsi"/>
        </w:rPr>
        <w:t xml:space="preserve">sie przysługiwały Radzie Gminy (wyrok </w:t>
      </w:r>
      <w:r>
        <w:rPr>
          <w:rFonts w:asciiTheme="minorHAnsi" w:hAnsiTheme="minorHAnsi" w:cstheme="minorHAnsi"/>
        </w:rPr>
        <w:t>WSA</w:t>
      </w:r>
      <w:r w:rsidRPr="00B131BF">
        <w:rPr>
          <w:rFonts w:asciiTheme="minorHAnsi" w:hAnsiTheme="minorHAnsi" w:cstheme="minorHAnsi"/>
        </w:rPr>
        <w:t xml:space="preserve"> w Gdańsku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 18 września 2014 </w:t>
      </w:r>
      <w:r w:rsidRPr="00B131BF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, </w:t>
      </w:r>
      <w:r w:rsidRPr="00B131BF">
        <w:rPr>
          <w:rFonts w:asciiTheme="minorHAnsi" w:hAnsiTheme="minorHAnsi" w:cstheme="minorHAnsi"/>
        </w:rPr>
        <w:t>II SA/Gd 395/14</w:t>
      </w:r>
      <w:r>
        <w:rPr>
          <w:rFonts w:asciiTheme="minorHAnsi" w:hAnsiTheme="minorHAnsi" w:cstheme="minorHAnsi"/>
        </w:rPr>
        <w:t>).</w:t>
      </w:r>
    </w:p>
    <w:p w:rsidR="00B131BF" w:rsidRPr="00B131BF" w:rsidRDefault="00BC57A9" w:rsidP="00B131BF">
      <w:pPr>
        <w:spacing w:line="360" w:lineRule="auto"/>
        <w:rPr>
          <w:rFonts w:asciiTheme="minorHAnsi" w:hAnsiTheme="minorHAnsi" w:cstheme="minorHAnsi"/>
        </w:rPr>
      </w:pPr>
    </w:p>
    <w:p w:rsidR="00D45AA0" w:rsidRDefault="00BC57A9" w:rsidP="003C2AC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hAnsiTheme="minorHAnsi" w:cstheme="minorHAnsi"/>
        </w:rPr>
        <w:lastRenderedPageBreak/>
        <w:t>Podkreśli</w:t>
      </w:r>
      <w:r>
        <w:rPr>
          <w:rFonts w:asciiTheme="minorHAnsi" w:hAnsiTheme="minorHAnsi" w:cstheme="minorHAnsi"/>
        </w:rPr>
        <w:t>ć nadto należy,</w:t>
      </w:r>
      <w:r>
        <w:rPr>
          <w:rFonts w:asciiTheme="minorHAnsi" w:hAnsiTheme="minorHAnsi" w:cstheme="minorHAnsi"/>
        </w:rPr>
        <w:t xml:space="preserve"> że jak wynika z </w:t>
      </w:r>
      <w:r w:rsidRPr="003C2ACE">
        <w:rPr>
          <w:rFonts w:asciiTheme="minorHAnsi" w:hAnsiTheme="minorHAnsi" w:cstheme="minorHAnsi"/>
        </w:rPr>
        <w:t xml:space="preserve">art. 41 ust. 1 u.s.g. akty prawa miejscowego ustanawia </w:t>
      </w:r>
      <w:r w:rsidRPr="003C2ACE">
        <w:rPr>
          <w:rFonts w:asciiTheme="minorHAnsi" w:hAnsiTheme="minorHAnsi" w:cstheme="minorHAnsi"/>
        </w:rPr>
        <w:t xml:space="preserve">Rada Gminy </w:t>
      </w:r>
      <w:r w:rsidRPr="003C2ACE">
        <w:rPr>
          <w:rFonts w:asciiTheme="minorHAnsi" w:hAnsiTheme="minorHAnsi" w:cstheme="minorHAnsi"/>
        </w:rPr>
        <w:t>w formie uchwały. Wójt natomiast, zgodnie z art. 41 ust. 2, 3 i 4 u.s.g. jest upoważniony do wydawania aktów prawa miejscowego w formie zarządzenia, jedynie w zakresie przep</w:t>
      </w:r>
      <w:r w:rsidRPr="003C2ACE">
        <w:rPr>
          <w:rFonts w:asciiTheme="minorHAnsi" w:hAnsiTheme="minorHAnsi" w:cstheme="minorHAnsi"/>
        </w:rPr>
        <w:t>isów porządkowych, w przypadku niecierpiącym zwłoki i podlegają one zatw</w:t>
      </w:r>
      <w:r>
        <w:rPr>
          <w:rFonts w:asciiTheme="minorHAnsi" w:hAnsiTheme="minorHAnsi" w:cstheme="minorHAnsi"/>
        </w:rPr>
        <w:t>ierdzeniu na </w:t>
      </w:r>
      <w:r w:rsidRPr="003C2ACE">
        <w:rPr>
          <w:rFonts w:asciiTheme="minorHAnsi" w:hAnsiTheme="minorHAnsi" w:cstheme="minorHAnsi"/>
        </w:rPr>
        <w:t>najbliższej sesji rady gminy, po</w:t>
      </w:r>
      <w:r>
        <w:rPr>
          <w:rFonts w:asciiTheme="minorHAnsi" w:hAnsiTheme="minorHAnsi" w:cstheme="minorHAnsi"/>
        </w:rPr>
        <w:t>d</w:t>
      </w:r>
      <w:r w:rsidRPr="003C2ACE">
        <w:rPr>
          <w:rFonts w:asciiTheme="minorHAnsi" w:hAnsiTheme="minorHAnsi" w:cstheme="minorHAnsi"/>
        </w:rPr>
        <w:t xml:space="preserve"> rygorem utraty mocy obowiązującej. Wydane zarządzenie nie mogłoby mieć zatem charakteru aktu prawa miejscowego.</w:t>
      </w:r>
    </w:p>
    <w:p w:rsidR="00443BDC" w:rsidRDefault="00BC57A9" w:rsidP="00443BD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204873">
        <w:rPr>
          <w:rFonts w:asciiTheme="minorHAnsi" w:hAnsiTheme="minorHAnsi" w:cstheme="minorHAnsi"/>
        </w:rPr>
        <w:t>Ponadto, zgodnie z art. 1</w:t>
      </w:r>
      <w:r w:rsidRPr="00204873">
        <w:rPr>
          <w:rFonts w:asciiTheme="minorHAnsi" w:hAnsiTheme="minorHAnsi" w:cstheme="minorHAnsi"/>
        </w:rPr>
        <w:t>8 ust. 1 u.s.g.</w:t>
      </w:r>
      <w:r>
        <w:rPr>
          <w:rFonts w:asciiTheme="minorHAnsi" w:hAnsiTheme="minorHAnsi" w:cstheme="minorHAnsi"/>
        </w:rPr>
        <w:t>: „</w:t>
      </w:r>
      <w:r w:rsidRPr="00F94DAB">
        <w:rPr>
          <w:rFonts w:asciiTheme="minorHAnsi" w:hAnsiTheme="minorHAnsi" w:cstheme="minorHAnsi"/>
          <w:i/>
        </w:rPr>
        <w:t>Do właściwości rady gminy należą wszystkie sprawy pozostające w zakresie działania gminy o ile ustawy nie stanowią inaczej</w:t>
      </w:r>
      <w:r>
        <w:rPr>
          <w:rFonts w:asciiTheme="minorHAnsi" w:hAnsiTheme="minorHAnsi" w:cstheme="minorHAnsi"/>
          <w:i/>
        </w:rPr>
        <w:t>”</w:t>
      </w:r>
      <w:r>
        <w:rPr>
          <w:rFonts w:asciiTheme="minorHAnsi" w:hAnsiTheme="minorHAnsi" w:cstheme="minorHAnsi"/>
        </w:rPr>
        <w:t xml:space="preserve">. </w:t>
      </w:r>
      <w:r w:rsidRPr="00204873">
        <w:rPr>
          <w:rFonts w:asciiTheme="minorHAnsi" w:hAnsiTheme="minorHAnsi" w:cstheme="minorHAnsi"/>
        </w:rPr>
        <w:t xml:space="preserve">W </w:t>
      </w:r>
      <w:hyperlink r:id="rId11" w:anchor="/document/16793509?unitId=art(18)ust(1)&amp;cm=DOCUMENT" w:tgtFrame="_blank" w:history="1">
        <w:r w:rsidRPr="00204873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18 u</w:t>
        </w:r>
        <w:r w:rsidRPr="00204873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st. 1</w:t>
        </w:r>
      </w:hyperlink>
      <w:r w:rsidRPr="00204873">
        <w:rPr>
          <w:rFonts w:asciiTheme="minorHAnsi" w:hAnsiTheme="minorHAnsi" w:cstheme="minorHAnsi"/>
        </w:rPr>
        <w:t xml:space="preserve"> u.s.g. </w:t>
      </w:r>
      <w:r>
        <w:rPr>
          <w:rFonts w:asciiTheme="minorHAnsi" w:hAnsiTheme="minorHAnsi" w:cstheme="minorHAnsi"/>
        </w:rPr>
        <w:t>zostało ustanowione</w:t>
      </w:r>
      <w:r w:rsidRPr="00204873">
        <w:rPr>
          <w:rFonts w:asciiTheme="minorHAnsi" w:hAnsiTheme="minorHAnsi" w:cstheme="minorHAnsi"/>
        </w:rPr>
        <w:t xml:space="preserve"> domniemanie właściwości rady gminy we wszystkich sprawach pozostających w zakresie działania gminy, o ile ustawy nie stanowią inaczej. Powyżej powołany przepis wskazuje na podstawowy charakter </w:t>
      </w:r>
      <w:r w:rsidRPr="00204873">
        <w:rPr>
          <w:rFonts w:asciiTheme="minorHAnsi" w:hAnsiTheme="minorHAnsi" w:cstheme="minorHAnsi"/>
        </w:rPr>
        <w:t xml:space="preserve">Rady Gminy </w:t>
      </w:r>
      <w:r w:rsidRPr="00204873">
        <w:rPr>
          <w:rFonts w:asciiTheme="minorHAnsi" w:hAnsiTheme="minorHAnsi" w:cstheme="minorHAnsi"/>
        </w:rPr>
        <w:t xml:space="preserve">w systemie </w:t>
      </w:r>
      <w:r w:rsidRPr="00204873">
        <w:rPr>
          <w:rFonts w:asciiTheme="minorHAnsi" w:hAnsiTheme="minorHAnsi" w:cstheme="minorHAnsi"/>
        </w:rPr>
        <w:t>organów gminy, która jako organ o charakterze kolegialnym i wieloosobowym jest uprawniona do pod</w:t>
      </w:r>
      <w:r>
        <w:rPr>
          <w:rFonts w:asciiTheme="minorHAnsi" w:hAnsiTheme="minorHAnsi" w:cstheme="minorHAnsi"/>
        </w:rPr>
        <w:t>ejmowania działań związanych ze </w:t>
      </w:r>
      <w:r w:rsidRPr="00204873">
        <w:rPr>
          <w:rFonts w:asciiTheme="minorHAnsi" w:hAnsiTheme="minorHAnsi" w:cstheme="minorHAnsi"/>
        </w:rPr>
        <w:t>stanowieniem (</w:t>
      </w:r>
      <w:hyperlink r:id="rId12" w:anchor="/document/16793509?unitId=art(15)ust(1)&amp;cm=DOCUMENT" w:tgtFrame="_blank" w:history="1">
        <w:r w:rsidRPr="00204873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15 ust.</w:t>
        </w:r>
        <w:r w:rsidRPr="00204873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 xml:space="preserve"> 1</w:t>
        </w:r>
      </w:hyperlink>
      <w:r w:rsidRPr="00204873">
        <w:rPr>
          <w:rFonts w:asciiTheme="minorHAnsi" w:hAnsiTheme="minorHAnsi" w:cstheme="minorHAnsi"/>
        </w:rPr>
        <w:t xml:space="preserve"> u.s.g.) lub kontrolą (</w:t>
      </w:r>
      <w:hyperlink r:id="rId13" w:anchor="/document/16793509?unitId=art(18(a))ust(1)&amp;cm=DOCUMENT" w:tgtFrame="_blank" w:history="1">
        <w:r w:rsidRPr="00204873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18a ust. 1</w:t>
        </w:r>
      </w:hyperlink>
      <w:r w:rsidRPr="00204873">
        <w:rPr>
          <w:rFonts w:asciiTheme="minorHAnsi" w:hAnsiTheme="minorHAnsi" w:cstheme="minorHAnsi"/>
        </w:rPr>
        <w:t xml:space="preserve"> u.s.g.).</w:t>
      </w:r>
      <w:r>
        <w:rPr>
          <w:rFonts w:asciiTheme="minorHAnsi" w:hAnsiTheme="minorHAnsi" w:cstheme="minorHAnsi"/>
        </w:rPr>
        <w:t xml:space="preserve"> </w:t>
      </w:r>
    </w:p>
    <w:p w:rsidR="00A606FC" w:rsidRPr="00A606FC" w:rsidRDefault="00BC57A9" w:rsidP="00A606F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A4476B">
        <w:rPr>
          <w:rFonts w:asciiTheme="minorHAnsi" w:hAnsiTheme="minorHAnsi" w:cstheme="minorHAnsi"/>
        </w:rPr>
        <w:t xml:space="preserve">Natomiast zakres kompetencji organu wykonawczego gminy określa </w:t>
      </w:r>
      <w:hyperlink r:id="rId14" w:anchor="/document/16793509?unitId=art(30)&amp;cm=DOCUMENT" w:tgtFrame="_blank" w:history="1">
        <w:r w:rsidRPr="00A4476B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30</w:t>
        </w:r>
      </w:hyperlink>
      <w:r>
        <w:rPr>
          <w:rFonts w:asciiTheme="minorHAnsi" w:hAnsiTheme="minorHAnsi" w:cstheme="minorHAnsi"/>
        </w:rPr>
        <w:t xml:space="preserve"> u.s.g., zgodnie z </w:t>
      </w:r>
      <w:r w:rsidRPr="00A4476B">
        <w:rPr>
          <w:rFonts w:asciiTheme="minorHAnsi" w:hAnsiTheme="minorHAnsi" w:cstheme="minorHAnsi"/>
        </w:rPr>
        <w:t xml:space="preserve">którym wójt wykonuje uchwały rady gminy i zadania gminy określone przepisami prawa. Przy czym </w:t>
      </w:r>
      <w:r>
        <w:rPr>
          <w:rFonts w:asciiTheme="minorHAnsi" w:hAnsiTheme="minorHAnsi" w:cstheme="minorHAnsi"/>
        </w:rPr>
        <w:t xml:space="preserve">zaznaczyć należy, że </w:t>
      </w:r>
      <w:r w:rsidRPr="00A4476B">
        <w:rPr>
          <w:rFonts w:asciiTheme="minorHAnsi" w:hAnsiTheme="minorHAnsi" w:cstheme="minorHAnsi"/>
        </w:rPr>
        <w:t>wykonywanie przez wójta uchwał rady gminy to ur</w:t>
      </w:r>
      <w:r w:rsidRPr="00A4476B">
        <w:rPr>
          <w:rFonts w:asciiTheme="minorHAnsi" w:hAnsiTheme="minorHAnsi" w:cstheme="minorHAnsi"/>
        </w:rPr>
        <w:t xml:space="preserve">zeczywistnianie woli organu stanowiącego wyrażanej w formie i w trybie przewidzianych przepisami prawa za pomocą dostępnych organowi wykonawczemu środków prawnych lub czynności materialno-technicznych. </w:t>
      </w:r>
      <w:r>
        <w:rPr>
          <w:rFonts w:asciiTheme="minorHAnsi" w:hAnsiTheme="minorHAnsi" w:cstheme="minorHAnsi"/>
        </w:rPr>
        <w:t>W</w:t>
      </w:r>
      <w:r w:rsidRPr="00A4476B">
        <w:rPr>
          <w:rFonts w:asciiTheme="minorHAnsi" w:hAnsiTheme="minorHAnsi" w:cstheme="minorHAnsi"/>
        </w:rPr>
        <w:t xml:space="preserve">ykonywanie </w:t>
      </w:r>
      <w:r>
        <w:rPr>
          <w:rFonts w:asciiTheme="minorHAnsi" w:hAnsiTheme="minorHAnsi" w:cstheme="minorHAnsi"/>
        </w:rPr>
        <w:t xml:space="preserve">przez organ wykonawczy gminy </w:t>
      </w:r>
      <w:r w:rsidRPr="00A4476B">
        <w:rPr>
          <w:rFonts w:asciiTheme="minorHAnsi" w:hAnsiTheme="minorHAnsi" w:cstheme="minorHAnsi"/>
        </w:rPr>
        <w:t>zadań określo</w:t>
      </w:r>
      <w:r w:rsidRPr="00A4476B">
        <w:rPr>
          <w:rFonts w:asciiTheme="minorHAnsi" w:hAnsiTheme="minorHAnsi" w:cstheme="minorHAnsi"/>
        </w:rPr>
        <w:t>nych przepisami prawa to urzeczywistnianie woli prawodawcy za pomocą przypisanych organowi wykonawczemu środków prawnych lub czynności materialno-technicznych</w:t>
      </w:r>
      <w:r>
        <w:rPr>
          <w:rFonts w:asciiTheme="minorHAnsi" w:hAnsiTheme="minorHAnsi" w:cstheme="minorHAnsi"/>
        </w:rPr>
        <w:t xml:space="preserve"> (por. w</w:t>
      </w:r>
      <w:r w:rsidRPr="00A606FC">
        <w:rPr>
          <w:rFonts w:asciiTheme="minorHAnsi" w:hAnsiTheme="minorHAnsi" w:cstheme="minorHAnsi"/>
        </w:rPr>
        <w:t>yrok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WSA</w:t>
      </w:r>
      <w:r w:rsidRPr="00A606FC">
        <w:rPr>
          <w:rFonts w:asciiTheme="minorHAnsi" w:hAnsiTheme="minorHAnsi" w:cstheme="minorHAnsi"/>
        </w:rPr>
        <w:t xml:space="preserve"> w Łodzi</w:t>
      </w:r>
      <w:r>
        <w:rPr>
          <w:rFonts w:asciiTheme="minorHAnsi" w:hAnsiTheme="minorHAnsi" w:cstheme="minorHAnsi"/>
        </w:rPr>
        <w:t xml:space="preserve"> </w:t>
      </w:r>
      <w:r w:rsidRPr="00A606FC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5 lutego 2020 r., </w:t>
      </w:r>
      <w:r>
        <w:rPr>
          <w:rFonts w:asciiTheme="minorHAnsi" w:hAnsiTheme="minorHAnsi" w:cstheme="minorHAnsi"/>
        </w:rPr>
        <w:t>III </w:t>
      </w:r>
      <w:r w:rsidRPr="00A606FC">
        <w:rPr>
          <w:rFonts w:asciiTheme="minorHAnsi" w:hAnsiTheme="minorHAnsi" w:cstheme="minorHAnsi"/>
        </w:rPr>
        <w:t>SA/Łd 975/19</w:t>
      </w:r>
      <w:r>
        <w:rPr>
          <w:rFonts w:asciiTheme="minorHAnsi" w:hAnsiTheme="minorHAnsi" w:cstheme="minorHAnsi"/>
        </w:rPr>
        <w:t xml:space="preserve">). </w:t>
      </w:r>
    </w:p>
    <w:p w:rsidR="00027B0F" w:rsidRPr="003C2ACE" w:rsidRDefault="00BC57A9" w:rsidP="00027B0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Mając na uwadze powyższe, </w:t>
      </w:r>
      <w:r>
        <w:rPr>
          <w:rFonts w:asciiTheme="minorHAnsi" w:hAnsiTheme="minorHAnsi" w:cstheme="minorHAnsi"/>
        </w:rPr>
        <w:t xml:space="preserve">organ </w:t>
      </w:r>
      <w:r>
        <w:rPr>
          <w:rFonts w:asciiTheme="minorHAnsi" w:hAnsiTheme="minorHAnsi" w:cstheme="minorHAnsi"/>
        </w:rPr>
        <w:t xml:space="preserve">nadzoru wskazuje, że </w:t>
      </w:r>
      <w:r>
        <w:rPr>
          <w:rFonts w:asciiTheme="minorHAnsi" w:hAnsiTheme="minorHAnsi" w:cstheme="minorHAnsi"/>
        </w:rPr>
        <w:t>ustaleniem zawartym w § </w:t>
      </w:r>
      <w:r>
        <w:rPr>
          <w:rFonts w:asciiTheme="minorHAnsi" w:hAnsiTheme="minorHAnsi" w:cstheme="minorHAnsi"/>
        </w:rPr>
        <w:t xml:space="preserve">2 uchwały, którym Rada </w:t>
      </w:r>
      <w:r>
        <w:rPr>
          <w:rFonts w:asciiTheme="minorHAnsi" w:hAnsiTheme="minorHAnsi" w:cstheme="minorHAnsi"/>
        </w:rPr>
        <w:t>przekazała</w:t>
      </w:r>
      <w:r w:rsidRPr="003C2A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Wójtowi</w:t>
      </w:r>
      <w:r>
        <w:rPr>
          <w:rFonts w:asciiTheme="minorHAnsi" w:hAnsiTheme="minorHAnsi" w:cstheme="minorHAnsi"/>
        </w:rPr>
        <w:t xml:space="preserve"> G</w:t>
      </w:r>
      <w:r w:rsidRPr="003C2ACE">
        <w:rPr>
          <w:rFonts w:asciiTheme="minorHAnsi" w:hAnsiTheme="minorHAnsi" w:cstheme="minorHAnsi"/>
        </w:rPr>
        <w:t>miny</w:t>
      </w:r>
      <w:r>
        <w:rPr>
          <w:rFonts w:asciiTheme="minorHAnsi" w:hAnsiTheme="minorHAnsi" w:cstheme="minorHAnsi"/>
        </w:rPr>
        <w:t xml:space="preserve"> własne </w:t>
      </w:r>
      <w:r w:rsidRPr="003C2ACE">
        <w:rPr>
          <w:rFonts w:asciiTheme="minorHAnsi" w:hAnsiTheme="minorHAnsi" w:cstheme="minorHAnsi"/>
        </w:rPr>
        <w:t>kompetencje w</w:t>
      </w:r>
      <w:r>
        <w:rPr>
          <w:rFonts w:asciiTheme="minorHAnsi" w:hAnsiTheme="minorHAnsi" w:cstheme="minorHAnsi"/>
        </w:rPr>
        <w:t xml:space="preserve"> </w:t>
      </w:r>
      <w:r w:rsidRPr="003C2ACE">
        <w:rPr>
          <w:rFonts w:asciiTheme="minorHAnsi" w:hAnsiTheme="minorHAnsi" w:cstheme="minorHAnsi"/>
        </w:rPr>
        <w:t xml:space="preserve">zakresie </w:t>
      </w:r>
      <w:r>
        <w:rPr>
          <w:rFonts w:asciiTheme="minorHAnsi" w:hAnsiTheme="minorHAnsi" w:cstheme="minorHAnsi"/>
        </w:rPr>
        <w:t>określenia zasad korzystania ze </w:t>
      </w:r>
      <w:r w:rsidRPr="003C2ACE">
        <w:rPr>
          <w:rFonts w:asciiTheme="minorHAnsi" w:hAnsiTheme="minorHAnsi" w:cstheme="minorHAnsi"/>
        </w:rPr>
        <w:t>świetlic wiejskich</w:t>
      </w:r>
      <w:r>
        <w:rPr>
          <w:rFonts w:asciiTheme="minorHAnsi" w:hAnsiTheme="minorHAnsi" w:cstheme="minorHAnsi"/>
        </w:rPr>
        <w:t>, Rada Gminy Świercze w sposób istotny naruszyła</w:t>
      </w:r>
      <w:r w:rsidRPr="003C2ACE">
        <w:rPr>
          <w:rFonts w:asciiTheme="minorHAnsi" w:hAnsiTheme="minorHAnsi" w:cstheme="minorHAnsi"/>
        </w:rPr>
        <w:t xml:space="preserve"> prawo. </w:t>
      </w:r>
    </w:p>
    <w:p w:rsidR="00150A22" w:rsidRDefault="00BC57A9" w:rsidP="00AA550E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§ 4 ust. 1 uchwały </w:t>
      </w:r>
      <w:r>
        <w:rPr>
          <w:rFonts w:asciiTheme="minorHAnsi" w:hAnsiTheme="minorHAnsi" w:cstheme="minorHAnsi"/>
        </w:rPr>
        <w:t xml:space="preserve">Rada Gminy postanowiła, że: </w:t>
      </w:r>
      <w:r w:rsidRPr="00AA550E">
        <w:rPr>
          <w:rFonts w:asciiTheme="minorHAnsi" w:hAnsiTheme="minorHAnsi" w:cstheme="minorHAnsi"/>
          <w:i/>
        </w:rPr>
        <w:t>„</w:t>
      </w:r>
      <w:r w:rsidRPr="00AA550E">
        <w:rPr>
          <w:rFonts w:asciiTheme="minorHAnsi" w:eastAsiaTheme="minorHAnsi" w:hAnsiTheme="minorHAnsi" w:cstheme="minorHAnsi"/>
          <w:i/>
        </w:rPr>
        <w:t>§ 4.</w:t>
      </w:r>
      <w:r w:rsidRPr="00AA550E">
        <w:rPr>
          <w:rFonts w:asciiTheme="minorHAnsi" w:eastAsiaTheme="minorHAnsi" w:hAnsiTheme="minorHAnsi" w:cstheme="minorHAnsi"/>
          <w:i/>
        </w:rPr>
        <w:t>1. Boisko jest własnością Gminy Świercze administrowaną w ramach zwykłego zarządu przez Wójta Gminy</w:t>
      </w:r>
      <w:r w:rsidRPr="00AA550E">
        <w:rPr>
          <w:rFonts w:asciiTheme="minorHAnsi" w:eastAsiaTheme="minorHAnsi" w:hAnsiTheme="minorHAnsi" w:cstheme="minorHAnsi"/>
          <w:i/>
        </w:rPr>
        <w:t xml:space="preserve"> </w:t>
      </w:r>
      <w:r w:rsidRPr="00AA550E">
        <w:rPr>
          <w:rFonts w:asciiTheme="minorHAnsi" w:eastAsiaTheme="minorHAnsi" w:hAnsiTheme="minorHAnsi" w:cstheme="minorHAnsi"/>
          <w:i/>
        </w:rPr>
        <w:t>Świercze lub inną osobę przez niego upoważnioną</w:t>
      </w:r>
      <w:r>
        <w:rPr>
          <w:rFonts w:asciiTheme="minorHAnsi" w:eastAsiaTheme="minorHAnsi" w:hAnsiTheme="minorHAnsi" w:cstheme="minorHAnsi"/>
          <w:i/>
        </w:rPr>
        <w:t>”</w:t>
      </w:r>
      <w:r w:rsidRPr="00AA550E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</w:p>
    <w:p w:rsidR="001D310B" w:rsidRDefault="00BC57A9" w:rsidP="005531A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Tymczasem zgodnie z art. 30 ust. 2 pkt 3 u.s.g. do zadań wójta należy go</w:t>
      </w:r>
      <w:r>
        <w:rPr>
          <w:rFonts w:asciiTheme="minorHAnsi" w:hAnsiTheme="minorHAnsi" w:cstheme="minorHAnsi"/>
        </w:rPr>
        <w:t>spodarowanie mieniem komunalnym</w:t>
      </w:r>
      <w:r>
        <w:rPr>
          <w:rFonts w:asciiTheme="minorHAnsi" w:hAnsiTheme="minorHAnsi" w:cstheme="minorHAnsi"/>
        </w:rPr>
        <w:t xml:space="preserve">. </w:t>
      </w:r>
      <w:r w:rsidRPr="003C2ACE">
        <w:rPr>
          <w:rFonts w:asciiTheme="minorHAnsi" w:hAnsiTheme="minorHAnsi" w:cstheme="minorHAnsi"/>
        </w:rPr>
        <w:t>Uprawnienia wójta, jako organu zarządzającego</w:t>
      </w:r>
      <w:r>
        <w:rPr>
          <w:rFonts w:asciiTheme="minorHAnsi" w:hAnsiTheme="minorHAnsi" w:cstheme="minorHAnsi"/>
        </w:rPr>
        <w:t>,</w:t>
      </w:r>
      <w:r w:rsidRPr="003C2ACE">
        <w:rPr>
          <w:rFonts w:asciiTheme="minorHAnsi" w:hAnsiTheme="minorHAnsi" w:cstheme="minorHAnsi"/>
        </w:rPr>
        <w:t xml:space="preserve"> do gospodarowania nieruchomościami gminnym</w:t>
      </w:r>
      <w:r>
        <w:rPr>
          <w:rFonts w:asciiTheme="minorHAnsi" w:hAnsiTheme="minorHAnsi" w:cstheme="minorHAnsi"/>
        </w:rPr>
        <w:t>i</w:t>
      </w:r>
      <w:r w:rsidRPr="003C2ACE">
        <w:rPr>
          <w:rFonts w:asciiTheme="minorHAnsi" w:hAnsiTheme="minorHAnsi" w:cstheme="minorHAnsi"/>
        </w:rPr>
        <w:t xml:space="preserve"> w tym zakresie </w:t>
      </w:r>
      <w:r>
        <w:rPr>
          <w:rFonts w:asciiTheme="minorHAnsi" w:hAnsiTheme="minorHAnsi" w:cstheme="minorHAnsi"/>
        </w:rPr>
        <w:t>określone</w:t>
      </w:r>
      <w:r w:rsidRPr="003C2ACE">
        <w:rPr>
          <w:rFonts w:asciiTheme="minorHAnsi" w:hAnsiTheme="minorHAnsi" w:cstheme="minorHAnsi"/>
        </w:rPr>
        <w:t xml:space="preserve"> są bowiem przez przepisy szczególne. </w:t>
      </w:r>
    </w:p>
    <w:p w:rsidR="001D310B" w:rsidRPr="009836A9" w:rsidRDefault="00BC57A9" w:rsidP="009836A9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Rada Gminy w sposób istotny naruszyła prawo poprzez ograniczenie w uchwale roli organu wykonawczego do administratora boiska wielofunkcyjnego, </w:t>
      </w:r>
      <w:r>
        <w:rPr>
          <w:rFonts w:asciiTheme="minorHAnsi" w:hAnsiTheme="minorHAnsi" w:cstheme="minorHAnsi"/>
        </w:rPr>
        <w:t xml:space="preserve">nie uwzględniając regulacji zawartej </w:t>
      </w:r>
      <w:r>
        <w:rPr>
          <w:rFonts w:asciiTheme="minorHAnsi" w:hAnsiTheme="minorHAnsi" w:cstheme="minorHAnsi"/>
        </w:rPr>
        <w:lastRenderedPageBreak/>
        <w:t>w </w:t>
      </w:r>
      <w:r>
        <w:rPr>
          <w:rFonts w:asciiTheme="minorHAnsi" w:hAnsiTheme="minorHAnsi" w:cstheme="minorHAnsi"/>
        </w:rPr>
        <w:t>art. 30 ust. 2 pkt </w:t>
      </w:r>
      <w:r>
        <w:rPr>
          <w:rFonts w:asciiTheme="minorHAnsi" w:hAnsiTheme="minorHAnsi" w:cstheme="minorHAnsi"/>
        </w:rPr>
        <w:t>3 u.s.g. Z</w:t>
      </w:r>
      <w:r>
        <w:rPr>
          <w:rFonts w:asciiTheme="minorHAnsi" w:hAnsiTheme="minorHAnsi" w:cstheme="minorHAnsi"/>
        </w:rPr>
        <w:t xml:space="preserve">godnie z </w:t>
      </w:r>
      <w:r>
        <w:rPr>
          <w:rFonts w:asciiTheme="minorHAnsi" w:hAnsiTheme="minorHAnsi" w:cstheme="minorHAnsi"/>
        </w:rPr>
        <w:t xml:space="preserve">przywołaną regulacją </w:t>
      </w:r>
      <w:r>
        <w:rPr>
          <w:rFonts w:asciiTheme="minorHAnsi" w:hAnsiTheme="minorHAnsi" w:cstheme="minorHAnsi"/>
        </w:rPr>
        <w:t>gestii Wójta le</w:t>
      </w:r>
      <w:r>
        <w:rPr>
          <w:rFonts w:asciiTheme="minorHAnsi" w:hAnsiTheme="minorHAnsi" w:cstheme="minorHAnsi"/>
        </w:rPr>
        <w:t xml:space="preserve">ży gospodarowanie mieniem komunalnym a nie wyłącznie administrowanie </w:t>
      </w:r>
      <w:r>
        <w:rPr>
          <w:rFonts w:asciiTheme="minorHAnsi" w:hAnsiTheme="minorHAnsi" w:cstheme="minorHAnsi"/>
        </w:rPr>
        <w:t>boiskiem i j</w:t>
      </w:r>
      <w:r>
        <w:rPr>
          <w:rFonts w:asciiTheme="minorHAnsi" w:hAnsiTheme="minorHAnsi" w:cstheme="minorHAnsi"/>
        </w:rPr>
        <w:t>edynie Wójt może zadecydować kto będzie pełnił funkcję administratora tego obiektu.</w:t>
      </w:r>
    </w:p>
    <w:p w:rsidR="006C7260" w:rsidRDefault="00BC57A9" w:rsidP="00843C02">
      <w:pPr>
        <w:spacing w:line="360" w:lineRule="auto"/>
        <w:ind w:firstLine="851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W § 4 </w:t>
      </w:r>
      <w:r>
        <w:rPr>
          <w:rFonts w:asciiTheme="minorHAnsi" w:eastAsiaTheme="minorHAnsi" w:hAnsiTheme="minorHAnsi" w:cstheme="minorHAnsi"/>
        </w:rPr>
        <w:t xml:space="preserve">uchwały </w:t>
      </w:r>
      <w:r>
        <w:rPr>
          <w:rFonts w:asciiTheme="minorHAnsi" w:eastAsiaTheme="minorHAnsi" w:hAnsiTheme="minorHAnsi" w:cstheme="minorHAnsi"/>
        </w:rPr>
        <w:t>Rada Gminy ustalając zasady korzystania z boiska wielofunkcyjnego w Świszewie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nałożyła w ust. 5 na kierownika grupy następujące obowiązki:</w:t>
      </w:r>
    </w:p>
    <w:p w:rsidR="00294500" w:rsidRPr="00294500" w:rsidRDefault="00BC57A9" w:rsidP="008B26FF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</w:rPr>
        <w:t>„</w:t>
      </w:r>
      <w:r>
        <w:rPr>
          <w:rFonts w:asciiTheme="minorHAnsi" w:eastAsiaTheme="minorHAnsi" w:hAnsiTheme="minorHAnsi" w:cstheme="minorHAnsi"/>
          <w:i/>
        </w:rPr>
        <w:t>1)</w:t>
      </w:r>
      <w:r>
        <w:rPr>
          <w:rFonts w:asciiTheme="minorHAnsi" w:eastAsiaTheme="minorHAnsi" w:hAnsiTheme="minorHAnsi" w:cstheme="minorHAnsi"/>
          <w:i/>
        </w:rPr>
        <w:tab/>
      </w:r>
      <w:r w:rsidRPr="00294500">
        <w:rPr>
          <w:rFonts w:asciiTheme="minorHAnsi" w:eastAsiaTheme="minorHAnsi" w:hAnsiTheme="minorHAnsi" w:cstheme="minorHAnsi"/>
          <w:i/>
        </w:rPr>
        <w:t>zapoznanie grupy z regulaminem oraz zasadami korzystania z boiska;</w:t>
      </w:r>
    </w:p>
    <w:p w:rsidR="00294500" w:rsidRPr="00294500" w:rsidRDefault="00BC57A9" w:rsidP="008B26FF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2)</w:t>
      </w:r>
      <w:r>
        <w:rPr>
          <w:rFonts w:asciiTheme="minorHAnsi" w:eastAsiaTheme="minorHAnsi" w:hAnsiTheme="minorHAnsi" w:cstheme="minorHAnsi"/>
          <w:i/>
        </w:rPr>
        <w:tab/>
      </w:r>
      <w:r w:rsidRPr="00294500">
        <w:rPr>
          <w:rFonts w:asciiTheme="minorHAnsi" w:eastAsiaTheme="minorHAnsi" w:hAnsiTheme="minorHAnsi" w:cstheme="minorHAnsi"/>
          <w:i/>
        </w:rPr>
        <w:t>każdorazowe sprawdzenie przed zajęciami stanu boiska oraz urządzeń na nim się znajdujących;</w:t>
      </w:r>
    </w:p>
    <w:p w:rsidR="00294500" w:rsidRPr="00294500" w:rsidRDefault="00BC57A9" w:rsidP="008B26FF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3)</w:t>
      </w:r>
      <w:r>
        <w:rPr>
          <w:rFonts w:asciiTheme="minorHAnsi" w:eastAsiaTheme="minorHAnsi" w:hAnsiTheme="minorHAnsi" w:cstheme="minorHAnsi"/>
          <w:i/>
        </w:rPr>
        <w:tab/>
      </w:r>
      <w:r w:rsidRPr="00294500">
        <w:rPr>
          <w:rFonts w:asciiTheme="minorHAnsi" w:eastAsiaTheme="minorHAnsi" w:hAnsiTheme="minorHAnsi" w:cstheme="minorHAnsi"/>
          <w:i/>
        </w:rPr>
        <w:t>zgłaszanie wszelkich uwag</w:t>
      </w:r>
      <w:r w:rsidRPr="00294500">
        <w:rPr>
          <w:rFonts w:asciiTheme="minorHAnsi" w:eastAsiaTheme="minorHAnsi" w:hAnsiTheme="minorHAnsi" w:cstheme="minorHAnsi"/>
          <w:i/>
        </w:rPr>
        <w:t xml:space="preserve"> osobie obsługującej boisko;</w:t>
      </w:r>
    </w:p>
    <w:p w:rsidR="00294500" w:rsidRPr="00294500" w:rsidRDefault="00BC57A9" w:rsidP="008B26FF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4)</w:t>
      </w:r>
      <w:r>
        <w:rPr>
          <w:rFonts w:asciiTheme="minorHAnsi" w:eastAsiaTheme="minorHAnsi" w:hAnsiTheme="minorHAnsi" w:cstheme="minorHAnsi"/>
          <w:i/>
        </w:rPr>
        <w:tab/>
      </w:r>
      <w:r w:rsidRPr="00294500">
        <w:rPr>
          <w:rFonts w:asciiTheme="minorHAnsi" w:eastAsiaTheme="minorHAnsi" w:hAnsiTheme="minorHAnsi" w:cstheme="minorHAnsi"/>
          <w:i/>
        </w:rPr>
        <w:t>sprawdzenie wyposażenia grupy we właściwy strój i sprzęt sportowy;</w:t>
      </w:r>
    </w:p>
    <w:p w:rsidR="00843C02" w:rsidRPr="00294500" w:rsidRDefault="00BC57A9" w:rsidP="008B26FF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i/>
        </w:rPr>
        <w:t>5)</w:t>
      </w:r>
      <w:r>
        <w:rPr>
          <w:rFonts w:asciiTheme="minorHAnsi" w:eastAsiaTheme="minorHAnsi" w:hAnsiTheme="minorHAnsi" w:cstheme="minorHAnsi"/>
          <w:i/>
        </w:rPr>
        <w:tab/>
      </w:r>
      <w:r w:rsidRPr="00294500">
        <w:rPr>
          <w:rFonts w:asciiTheme="minorHAnsi" w:eastAsiaTheme="minorHAnsi" w:hAnsiTheme="minorHAnsi" w:cstheme="minorHAnsi"/>
          <w:i/>
        </w:rPr>
        <w:t>przebywanie z uczestnikami i nadzorowanie przebiegu zajęć</w:t>
      </w:r>
      <w:r>
        <w:rPr>
          <w:rFonts w:asciiTheme="minorHAnsi" w:eastAsiaTheme="minorHAnsi" w:hAnsiTheme="minorHAnsi" w:cstheme="minorHAnsi"/>
        </w:rPr>
        <w:t>”</w:t>
      </w:r>
      <w:r w:rsidRPr="00294500">
        <w:rPr>
          <w:rFonts w:asciiTheme="minorHAnsi" w:eastAsiaTheme="minorHAnsi" w:hAnsiTheme="minorHAnsi" w:cstheme="minorHAnsi"/>
        </w:rPr>
        <w:t>.</w:t>
      </w:r>
    </w:p>
    <w:p w:rsidR="00843C02" w:rsidRDefault="00BC57A9" w:rsidP="00E63A88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 kolei w § 5 uchwały Rada Gminy </w:t>
      </w:r>
      <w:r>
        <w:rPr>
          <w:rFonts w:asciiTheme="minorHAnsi" w:eastAsiaTheme="minorHAnsi" w:hAnsiTheme="minorHAnsi" w:cstheme="minorHAnsi"/>
        </w:rPr>
        <w:t>usta</w:t>
      </w:r>
      <w:r>
        <w:rPr>
          <w:rFonts w:asciiTheme="minorHAnsi" w:eastAsiaTheme="minorHAnsi" w:hAnsiTheme="minorHAnsi" w:cstheme="minorHAnsi"/>
        </w:rPr>
        <w:t xml:space="preserve">lając zasady korzystania z hali sportowej w Świerczach </w:t>
      </w:r>
      <w:r>
        <w:rPr>
          <w:rFonts w:asciiTheme="minorHAnsi" w:eastAsiaTheme="minorHAnsi" w:hAnsiTheme="minorHAnsi" w:cstheme="minorHAnsi"/>
        </w:rPr>
        <w:t>na</w:t>
      </w:r>
      <w:r>
        <w:rPr>
          <w:rFonts w:asciiTheme="minorHAnsi" w:eastAsiaTheme="minorHAnsi" w:hAnsiTheme="minorHAnsi" w:cstheme="minorHAnsi"/>
        </w:rPr>
        <w:t>łożyła w ust. 6</w:t>
      </w:r>
      <w:r>
        <w:rPr>
          <w:rFonts w:asciiTheme="minorHAnsi" w:eastAsiaTheme="minorHAnsi" w:hAnsiTheme="minorHAnsi" w:cstheme="minorHAnsi"/>
        </w:rPr>
        <w:t xml:space="preserve"> na kierownika grupy następują</w:t>
      </w:r>
      <w:r>
        <w:rPr>
          <w:rFonts w:asciiTheme="minorHAnsi" w:eastAsiaTheme="minorHAnsi" w:hAnsiTheme="minorHAnsi" w:cstheme="minorHAnsi"/>
        </w:rPr>
        <w:t>ce obowiązki:</w:t>
      </w:r>
    </w:p>
    <w:p w:rsidR="00777F70" w:rsidRPr="00777F70" w:rsidRDefault="00BC57A9" w:rsidP="008B26F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777F70">
        <w:rPr>
          <w:rFonts w:asciiTheme="minorHAnsi" w:eastAsiaTheme="minorHAnsi" w:hAnsiTheme="minorHAnsi" w:cstheme="minorHAnsi"/>
          <w:i/>
        </w:rPr>
        <w:t>„</w:t>
      </w:r>
      <w:r>
        <w:rPr>
          <w:rFonts w:asciiTheme="minorHAnsi" w:eastAsiaTheme="minorHAnsi" w:hAnsiTheme="minorHAnsi" w:cstheme="minorHAnsi"/>
          <w:i/>
          <w:lang w:eastAsia="en-US"/>
        </w:rPr>
        <w:t>1)</w:t>
      </w:r>
      <w:r>
        <w:rPr>
          <w:rFonts w:asciiTheme="minorHAnsi" w:eastAsiaTheme="minorHAnsi" w:hAnsiTheme="minorHAnsi" w:cstheme="minorHAnsi"/>
          <w:i/>
          <w:lang w:eastAsia="en-US"/>
        </w:rPr>
        <w:tab/>
      </w:r>
      <w:r w:rsidRPr="00777F70">
        <w:rPr>
          <w:rFonts w:asciiTheme="minorHAnsi" w:eastAsiaTheme="minorHAnsi" w:hAnsiTheme="minorHAnsi" w:cstheme="minorHAnsi"/>
          <w:i/>
          <w:lang w:eastAsia="en-US"/>
        </w:rPr>
        <w:t>zapoznanie grupy z regulaminem oraz zasadami korzystania z obiektu;</w:t>
      </w:r>
    </w:p>
    <w:p w:rsidR="00777F70" w:rsidRPr="00777F70" w:rsidRDefault="00BC57A9" w:rsidP="008B26F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  <w:lang w:eastAsia="en-US"/>
        </w:rPr>
      </w:pPr>
      <w:r>
        <w:rPr>
          <w:rFonts w:asciiTheme="minorHAnsi" w:eastAsiaTheme="minorHAnsi" w:hAnsiTheme="minorHAnsi" w:cstheme="minorHAnsi"/>
          <w:i/>
          <w:lang w:eastAsia="en-US"/>
        </w:rPr>
        <w:t>2)</w:t>
      </w:r>
      <w:r>
        <w:rPr>
          <w:rFonts w:asciiTheme="minorHAnsi" w:eastAsiaTheme="minorHAnsi" w:hAnsiTheme="minorHAnsi" w:cstheme="minorHAnsi"/>
          <w:i/>
          <w:lang w:eastAsia="en-US"/>
        </w:rPr>
        <w:tab/>
      </w:r>
      <w:r w:rsidRPr="00777F70">
        <w:rPr>
          <w:rFonts w:asciiTheme="minorHAnsi" w:eastAsiaTheme="minorHAnsi" w:hAnsiTheme="minorHAnsi" w:cstheme="minorHAnsi"/>
          <w:i/>
          <w:lang w:eastAsia="en-US"/>
        </w:rPr>
        <w:t>każdorazowe sprawdzenie przed zajęciami pomieszczeń hali, sanitariatów, sz</w:t>
      </w:r>
      <w:r>
        <w:rPr>
          <w:rFonts w:asciiTheme="minorHAnsi" w:eastAsiaTheme="minorHAnsi" w:hAnsiTheme="minorHAnsi" w:cstheme="minorHAnsi"/>
          <w:i/>
          <w:lang w:eastAsia="en-US"/>
        </w:rPr>
        <w:t>atni i korytarzy w </w:t>
      </w:r>
      <w:r w:rsidRPr="00777F70">
        <w:rPr>
          <w:rFonts w:asciiTheme="minorHAnsi" w:eastAsiaTheme="minorHAnsi" w:hAnsiTheme="minorHAnsi" w:cstheme="minorHAnsi"/>
          <w:i/>
          <w:lang w:eastAsia="en-US"/>
        </w:rPr>
        <w:t>obrębie hali</w:t>
      </w:r>
      <w:r>
        <w:rPr>
          <w:rFonts w:asciiTheme="minorHAnsi" w:eastAsiaTheme="minorHAnsi" w:hAnsiTheme="minorHAnsi" w:cstheme="minorHAnsi"/>
          <w:i/>
          <w:lang w:eastAsia="en-US"/>
        </w:rPr>
        <w:t xml:space="preserve"> </w:t>
      </w:r>
      <w:r w:rsidRPr="00777F70">
        <w:rPr>
          <w:rFonts w:asciiTheme="minorHAnsi" w:eastAsiaTheme="minorHAnsi" w:hAnsiTheme="minorHAnsi" w:cstheme="minorHAnsi"/>
          <w:i/>
          <w:lang w:eastAsia="en-US"/>
        </w:rPr>
        <w:t xml:space="preserve">oraz urządzeń </w:t>
      </w:r>
      <w:r w:rsidRPr="00777F70">
        <w:rPr>
          <w:rFonts w:asciiTheme="minorHAnsi" w:eastAsiaTheme="minorHAnsi" w:hAnsiTheme="minorHAnsi" w:cstheme="minorHAnsi"/>
          <w:i/>
          <w:lang w:eastAsia="en-US"/>
        </w:rPr>
        <w:t>znajdujących się w tych pomieszczeniach;</w:t>
      </w:r>
    </w:p>
    <w:p w:rsidR="00777F70" w:rsidRPr="00777F70" w:rsidRDefault="00BC57A9" w:rsidP="008B26F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  <w:lang w:eastAsia="en-US"/>
        </w:rPr>
      </w:pPr>
      <w:r>
        <w:rPr>
          <w:rFonts w:asciiTheme="minorHAnsi" w:eastAsiaTheme="minorHAnsi" w:hAnsiTheme="minorHAnsi" w:cstheme="minorHAnsi"/>
          <w:i/>
          <w:lang w:eastAsia="en-US"/>
        </w:rPr>
        <w:t>3)</w:t>
      </w:r>
      <w:r>
        <w:rPr>
          <w:rFonts w:asciiTheme="minorHAnsi" w:eastAsiaTheme="minorHAnsi" w:hAnsiTheme="minorHAnsi" w:cstheme="minorHAnsi"/>
          <w:i/>
          <w:lang w:eastAsia="en-US"/>
        </w:rPr>
        <w:tab/>
      </w:r>
      <w:r w:rsidRPr="00777F70">
        <w:rPr>
          <w:rFonts w:asciiTheme="minorHAnsi" w:eastAsiaTheme="minorHAnsi" w:hAnsiTheme="minorHAnsi" w:cstheme="minorHAnsi"/>
          <w:i/>
          <w:lang w:eastAsia="en-US"/>
        </w:rPr>
        <w:t>zgłaszanie wszelkich uwag pracownikowi obsługi hali;</w:t>
      </w:r>
    </w:p>
    <w:p w:rsidR="00777F70" w:rsidRPr="00777F70" w:rsidRDefault="00BC57A9" w:rsidP="008B26F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  <w:lang w:eastAsia="en-US"/>
        </w:rPr>
      </w:pPr>
      <w:r>
        <w:rPr>
          <w:rFonts w:asciiTheme="minorHAnsi" w:eastAsiaTheme="minorHAnsi" w:hAnsiTheme="minorHAnsi" w:cstheme="minorHAnsi"/>
          <w:i/>
          <w:lang w:eastAsia="en-US"/>
        </w:rPr>
        <w:t>4)</w:t>
      </w:r>
      <w:r>
        <w:rPr>
          <w:rFonts w:asciiTheme="minorHAnsi" w:eastAsiaTheme="minorHAnsi" w:hAnsiTheme="minorHAnsi" w:cstheme="minorHAnsi"/>
          <w:i/>
          <w:lang w:eastAsia="en-US"/>
        </w:rPr>
        <w:tab/>
      </w:r>
      <w:r w:rsidRPr="00777F70">
        <w:rPr>
          <w:rFonts w:asciiTheme="minorHAnsi" w:eastAsiaTheme="minorHAnsi" w:hAnsiTheme="minorHAnsi" w:cstheme="minorHAnsi"/>
          <w:i/>
          <w:lang w:eastAsia="en-US"/>
        </w:rPr>
        <w:t>sprawdzenie wyposażenia grupy we właściwy strój sportowy;</w:t>
      </w:r>
    </w:p>
    <w:p w:rsidR="00777F70" w:rsidRPr="00777F70" w:rsidRDefault="00BC57A9" w:rsidP="008B26F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  <w:lang w:eastAsia="en-US"/>
        </w:rPr>
      </w:pPr>
      <w:r>
        <w:rPr>
          <w:rFonts w:asciiTheme="minorHAnsi" w:eastAsiaTheme="minorHAnsi" w:hAnsiTheme="minorHAnsi" w:cstheme="minorHAnsi"/>
          <w:i/>
          <w:lang w:eastAsia="en-US"/>
        </w:rPr>
        <w:t>5)</w:t>
      </w:r>
      <w:r>
        <w:rPr>
          <w:rFonts w:asciiTheme="minorHAnsi" w:eastAsiaTheme="minorHAnsi" w:hAnsiTheme="minorHAnsi" w:cstheme="minorHAnsi"/>
          <w:i/>
          <w:lang w:eastAsia="en-US"/>
        </w:rPr>
        <w:tab/>
      </w:r>
      <w:r w:rsidRPr="00777F70">
        <w:rPr>
          <w:rFonts w:asciiTheme="minorHAnsi" w:eastAsiaTheme="minorHAnsi" w:hAnsiTheme="minorHAnsi" w:cstheme="minorHAnsi"/>
          <w:i/>
          <w:lang w:eastAsia="en-US"/>
        </w:rPr>
        <w:t>przebywanie z uczestnikami i nadzorowanie przebiegu zajęć;</w:t>
      </w:r>
    </w:p>
    <w:p w:rsidR="00CF3038" w:rsidRPr="00777F70" w:rsidRDefault="00BC57A9" w:rsidP="008B26F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  <w:lang w:eastAsia="en-US"/>
        </w:rPr>
        <w:t>6)</w:t>
      </w:r>
      <w:r>
        <w:rPr>
          <w:rFonts w:asciiTheme="minorHAnsi" w:eastAsiaTheme="minorHAnsi" w:hAnsiTheme="minorHAnsi" w:cstheme="minorHAnsi"/>
          <w:i/>
          <w:lang w:eastAsia="en-US"/>
        </w:rPr>
        <w:tab/>
      </w:r>
      <w:r w:rsidRPr="00777F70">
        <w:rPr>
          <w:rFonts w:asciiTheme="minorHAnsi" w:eastAsiaTheme="minorHAnsi" w:hAnsiTheme="minorHAnsi" w:cstheme="minorHAnsi"/>
          <w:i/>
          <w:lang w:eastAsia="en-US"/>
        </w:rPr>
        <w:t>przestrzeganie zasad bezpieczeńst</w:t>
      </w:r>
      <w:r w:rsidRPr="00777F70">
        <w:rPr>
          <w:rFonts w:asciiTheme="minorHAnsi" w:eastAsiaTheme="minorHAnsi" w:hAnsiTheme="minorHAnsi" w:cstheme="minorHAnsi"/>
          <w:i/>
          <w:lang w:eastAsia="en-US"/>
        </w:rPr>
        <w:t>wa przy korzystaniu z hali, urządzeń stanowiących jej wyposażenie oraz</w:t>
      </w:r>
      <w:r>
        <w:rPr>
          <w:rFonts w:asciiTheme="minorHAnsi" w:eastAsiaTheme="minorHAnsi" w:hAnsiTheme="minorHAnsi" w:cstheme="minorHAnsi"/>
          <w:i/>
          <w:lang w:eastAsia="en-US"/>
        </w:rPr>
        <w:t xml:space="preserve"> z szatni i sanitariatów”.</w:t>
      </w:r>
    </w:p>
    <w:p w:rsidR="00D25781" w:rsidRDefault="00BC57A9" w:rsidP="00652A39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Organ nadzoru zaznacza, że przepisy stanowiące podstawę do podjęcia uchwały w przedmiocie określenia zasad korzystania z ob</w:t>
      </w:r>
      <w:r>
        <w:rPr>
          <w:rFonts w:asciiTheme="minorHAnsi" w:eastAsiaTheme="minorHAnsi" w:hAnsiTheme="minorHAnsi" w:cstheme="minorHAnsi"/>
        </w:rPr>
        <w:t>iektów użyteczności publicznej nie p</w:t>
      </w:r>
      <w:r>
        <w:rPr>
          <w:rFonts w:asciiTheme="minorHAnsi" w:eastAsiaTheme="minorHAnsi" w:hAnsiTheme="minorHAnsi" w:cstheme="minorHAnsi"/>
        </w:rPr>
        <w:t>rzewidują delegacji do nakładania obowiązków na „kierownika grupy”</w:t>
      </w:r>
      <w:r>
        <w:rPr>
          <w:rFonts w:asciiTheme="minorHAnsi" w:eastAsiaTheme="minorHAnsi" w:hAnsiTheme="minorHAnsi" w:cstheme="minorHAnsi"/>
        </w:rPr>
        <w:t xml:space="preserve">. Obowiązki określone w § 4 ust. 5 </w:t>
      </w:r>
      <w:r>
        <w:rPr>
          <w:rFonts w:asciiTheme="minorHAnsi" w:eastAsiaTheme="minorHAnsi" w:hAnsiTheme="minorHAnsi" w:cstheme="minorHAnsi"/>
        </w:rPr>
        <w:br/>
        <w:t>i w § 5 ust. 6 uchwały Rada nałożyła na osoby trzecie, które to obowiązki te osoby mają wykonywać wobec członków grupy korzystających z boiska wielofunkcy</w:t>
      </w:r>
      <w:r>
        <w:rPr>
          <w:rFonts w:asciiTheme="minorHAnsi" w:eastAsiaTheme="minorHAnsi" w:hAnsiTheme="minorHAnsi" w:cstheme="minorHAnsi"/>
        </w:rPr>
        <w:t xml:space="preserve">jnego lub hali sportowej. </w:t>
      </w:r>
    </w:p>
    <w:p w:rsidR="00274A3F" w:rsidRPr="00A15558" w:rsidRDefault="00BC57A9" w:rsidP="00A1555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A15558">
        <w:rPr>
          <w:rFonts w:asciiTheme="minorHAnsi" w:eastAsiaTheme="minorHAnsi" w:hAnsiTheme="minorHAnsi" w:cstheme="minorHAnsi"/>
        </w:rPr>
        <w:t>Wyjaśnić należy, że zakwestionowane przez organ nadzoru</w:t>
      </w:r>
      <w:r>
        <w:rPr>
          <w:rFonts w:asciiTheme="minorHAnsi" w:eastAsiaTheme="minorHAnsi" w:hAnsiTheme="minorHAnsi" w:cstheme="minorHAnsi"/>
        </w:rPr>
        <w:t xml:space="preserve"> postanowienia, podjęte zostały, m.in. </w:t>
      </w:r>
      <w:r w:rsidRPr="00A15558">
        <w:rPr>
          <w:rFonts w:asciiTheme="minorHAnsi" w:eastAsiaTheme="minorHAnsi" w:hAnsiTheme="minorHAnsi" w:cstheme="minorHAnsi"/>
        </w:rPr>
        <w:t xml:space="preserve">na podstawie art. 40 ust. 2 pkt 4 </w:t>
      </w:r>
      <w:r>
        <w:rPr>
          <w:rFonts w:asciiTheme="minorHAnsi" w:eastAsiaTheme="minorHAnsi" w:hAnsiTheme="minorHAnsi" w:cstheme="minorHAnsi"/>
        </w:rPr>
        <w:t xml:space="preserve">u.s.g. </w:t>
      </w:r>
      <w:r w:rsidRPr="00A15558">
        <w:rPr>
          <w:rFonts w:asciiTheme="minorHAnsi" w:eastAsiaTheme="minorHAnsi" w:hAnsiTheme="minorHAnsi" w:cstheme="minorHAnsi"/>
        </w:rPr>
        <w:t xml:space="preserve">Granice swobody prawodawczej </w:t>
      </w:r>
      <w:r w:rsidRPr="00A15558">
        <w:rPr>
          <w:rFonts w:asciiTheme="minorHAnsi" w:eastAsiaTheme="minorHAnsi" w:hAnsiTheme="minorHAnsi" w:cstheme="minorHAnsi"/>
        </w:rPr>
        <w:t xml:space="preserve">Rady Gminy </w:t>
      </w:r>
      <w:r w:rsidRPr="00A15558">
        <w:rPr>
          <w:rFonts w:asciiTheme="minorHAnsi" w:eastAsiaTheme="minorHAnsi" w:hAnsiTheme="minorHAnsi" w:cstheme="minorHAnsi"/>
        </w:rPr>
        <w:t xml:space="preserve">zakreślone są nie tylko przepisami </w:t>
      </w:r>
      <w:r>
        <w:rPr>
          <w:rFonts w:asciiTheme="minorHAnsi" w:eastAsiaTheme="minorHAnsi" w:hAnsiTheme="minorHAnsi" w:cstheme="minorHAnsi"/>
        </w:rPr>
        <w:t>u.s.g</w:t>
      </w:r>
      <w:r w:rsidRPr="00A15558">
        <w:rPr>
          <w:rFonts w:asciiTheme="minorHAnsi" w:eastAsiaTheme="minorHAnsi" w:hAnsiTheme="minorHAnsi" w:cstheme="minorHAnsi"/>
        </w:rPr>
        <w:t xml:space="preserve">, ale także </w:t>
      </w:r>
      <w:r w:rsidRPr="00A15558">
        <w:rPr>
          <w:rFonts w:asciiTheme="minorHAnsi" w:eastAsiaTheme="minorHAnsi" w:hAnsiTheme="minorHAnsi" w:cstheme="minorHAnsi"/>
        </w:rPr>
        <w:t>ustawami szczególnymi. R</w:t>
      </w:r>
      <w:r>
        <w:rPr>
          <w:rFonts w:asciiTheme="minorHAnsi" w:eastAsiaTheme="minorHAnsi" w:hAnsiTheme="minorHAnsi" w:cstheme="minorHAnsi"/>
        </w:rPr>
        <w:t>ada G</w:t>
      </w:r>
      <w:r>
        <w:rPr>
          <w:rFonts w:asciiTheme="minorHAnsi" w:eastAsiaTheme="minorHAnsi" w:hAnsiTheme="minorHAnsi" w:cstheme="minorHAnsi"/>
        </w:rPr>
        <w:t>miny, podejmując uchwałę w </w:t>
      </w:r>
      <w:r w:rsidRPr="00A15558">
        <w:rPr>
          <w:rFonts w:asciiTheme="minorHAnsi" w:eastAsiaTheme="minorHAnsi" w:hAnsiTheme="minorHAnsi" w:cstheme="minorHAnsi"/>
        </w:rPr>
        <w:t>sprawie regulaminu korzystania z gminnego obiektu użyteczności publicznej, zobowiązana jest</w:t>
      </w:r>
      <w:r>
        <w:rPr>
          <w:rFonts w:asciiTheme="minorHAnsi" w:eastAsiaTheme="minorHAnsi" w:hAnsiTheme="minorHAnsi" w:cstheme="minorHAnsi"/>
        </w:rPr>
        <w:t> </w:t>
      </w:r>
      <w:r w:rsidRPr="00A15558">
        <w:rPr>
          <w:rFonts w:asciiTheme="minorHAnsi" w:eastAsiaTheme="minorHAnsi" w:hAnsiTheme="minorHAnsi" w:cstheme="minorHAnsi"/>
        </w:rPr>
        <w:t xml:space="preserve">przestrzegania przepisów </w:t>
      </w:r>
      <w:r>
        <w:rPr>
          <w:rFonts w:asciiTheme="minorHAnsi" w:eastAsiaTheme="minorHAnsi" w:hAnsiTheme="minorHAnsi" w:cstheme="minorHAnsi"/>
        </w:rPr>
        <w:t>u.s.g</w:t>
      </w:r>
      <w:r>
        <w:rPr>
          <w:rFonts w:asciiTheme="minorHAnsi" w:eastAsiaTheme="minorHAnsi" w:hAnsiTheme="minorHAnsi" w:cstheme="minorHAnsi"/>
        </w:rPr>
        <w:t>.,</w:t>
      </w:r>
      <w:r w:rsidRPr="00A15558">
        <w:rPr>
          <w:rFonts w:asciiTheme="minorHAnsi" w:eastAsiaTheme="minorHAnsi" w:hAnsiTheme="minorHAnsi" w:cstheme="minorHAnsi"/>
        </w:rPr>
        <w:t xml:space="preserve"> ale także innych przepisów powszechnie obowiązujących. Stanowienie aktów pr</w:t>
      </w:r>
      <w:r w:rsidRPr="00A15558">
        <w:rPr>
          <w:rFonts w:asciiTheme="minorHAnsi" w:eastAsiaTheme="minorHAnsi" w:hAnsiTheme="minorHAnsi" w:cstheme="minorHAnsi"/>
        </w:rPr>
        <w:t>awa miejscowego przez organ samorządu te</w:t>
      </w:r>
      <w:r>
        <w:rPr>
          <w:rFonts w:asciiTheme="minorHAnsi" w:eastAsiaTheme="minorHAnsi" w:hAnsiTheme="minorHAnsi" w:cstheme="minorHAnsi"/>
        </w:rPr>
        <w:t>rytorialnego musi następować na </w:t>
      </w:r>
      <w:r w:rsidRPr="00A15558">
        <w:rPr>
          <w:rFonts w:asciiTheme="minorHAnsi" w:eastAsiaTheme="minorHAnsi" w:hAnsiTheme="minorHAnsi" w:cstheme="minorHAnsi"/>
        </w:rPr>
        <w:t xml:space="preserve">podstawie i w granicach upoważnień zawartych w ustawie. Uchwały organów jednostek samorządu terytorialnego, stanowiące akt prawa miejscowego, winny zatem regulować kwestie </w:t>
      </w:r>
      <w:r w:rsidRPr="00A15558">
        <w:rPr>
          <w:rFonts w:asciiTheme="minorHAnsi" w:eastAsiaTheme="minorHAnsi" w:hAnsiTheme="minorHAnsi" w:cstheme="minorHAnsi"/>
        </w:rPr>
        <w:lastRenderedPageBreak/>
        <w:t>wynikające z</w:t>
      </w:r>
      <w:r w:rsidRPr="00A15558">
        <w:rPr>
          <w:rFonts w:asciiTheme="minorHAnsi" w:eastAsiaTheme="minorHAnsi" w:hAnsiTheme="minorHAnsi" w:cstheme="minorHAnsi"/>
        </w:rPr>
        <w:t xml:space="preserve"> delegacji ustawowej w taki sposób, by przyjęte w oparciu o nią normy uzupełniały, wydane przez inne podmioty, przepisy powszechnie obowiązujące, kształtujące prawa i obowiązki ich adresatów. Stanowienie przez </w:t>
      </w:r>
      <w:r w:rsidRPr="00A15558">
        <w:rPr>
          <w:rFonts w:asciiTheme="minorHAnsi" w:eastAsiaTheme="minorHAnsi" w:hAnsiTheme="minorHAnsi" w:cstheme="minorHAnsi"/>
        </w:rPr>
        <w:t xml:space="preserve">Radę Gminy </w:t>
      </w:r>
      <w:r w:rsidRPr="00A15558">
        <w:rPr>
          <w:rFonts w:asciiTheme="minorHAnsi" w:eastAsiaTheme="minorHAnsi" w:hAnsiTheme="minorHAnsi" w:cstheme="minorHAnsi"/>
        </w:rPr>
        <w:t>prawa powszechnie obowiązującego na</w:t>
      </w:r>
      <w:r w:rsidRPr="00A15558">
        <w:rPr>
          <w:rFonts w:asciiTheme="minorHAnsi" w:eastAsiaTheme="minorHAnsi" w:hAnsiTheme="minorHAnsi" w:cstheme="minorHAnsi"/>
        </w:rPr>
        <w:t xml:space="preserve"> podstawie ogólnej normy kompetencyjnej zawartej w art. 40 ust. 2 wskaza</w:t>
      </w:r>
      <w:r>
        <w:rPr>
          <w:rFonts w:asciiTheme="minorHAnsi" w:eastAsiaTheme="minorHAnsi" w:hAnsiTheme="minorHAnsi" w:cstheme="minorHAnsi"/>
        </w:rPr>
        <w:t>nej ustawy jest możliwe tylko w </w:t>
      </w:r>
      <w:r w:rsidRPr="00A15558">
        <w:rPr>
          <w:rFonts w:asciiTheme="minorHAnsi" w:eastAsiaTheme="minorHAnsi" w:hAnsiTheme="minorHAnsi" w:cstheme="minorHAnsi"/>
        </w:rPr>
        <w:t>ramach przyznanych gminie kompetencji, związanych z realizacją nałożonych na nią zadań.</w:t>
      </w:r>
    </w:p>
    <w:p w:rsidR="00E01E07" w:rsidRPr="00294500" w:rsidRDefault="00BC57A9" w:rsidP="00E01E07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Ustalenia Rady w tym zakresie nie mieszczą się zatem w upoważnie</w:t>
      </w:r>
      <w:r>
        <w:rPr>
          <w:rFonts w:asciiTheme="minorHAnsi" w:eastAsiaTheme="minorHAnsi" w:hAnsiTheme="minorHAnsi" w:cstheme="minorHAnsi"/>
        </w:rPr>
        <w:t xml:space="preserve">niu zawartym w art. 40 ust. 2 pkt 4 u.s.g. i art. 4 ust. 1 pkt 2 i ust. 2 u.g.k. </w:t>
      </w:r>
    </w:p>
    <w:p w:rsidR="00F617E3" w:rsidRPr="00F617E3" w:rsidRDefault="00BC57A9" w:rsidP="00F617E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istotnie naruszające prawo znać należy postanowienia uchwały zawarte zarówno w § 4 ust. 7 pkt 2, 3 i 4, jak i w §</w:t>
      </w:r>
      <w:r>
        <w:rPr>
          <w:rFonts w:asciiTheme="minorHAnsi" w:hAnsiTheme="minorHAnsi" w:cstheme="minorHAnsi"/>
        </w:rPr>
        <w:t> 5 ust. 7 pkt 2, 3 i 4 w zakresie, w jakim Rada Gminy uzna</w:t>
      </w:r>
      <w:r>
        <w:rPr>
          <w:rFonts w:asciiTheme="minorHAnsi" w:hAnsiTheme="minorHAnsi" w:cstheme="minorHAnsi"/>
        </w:rPr>
        <w:t>ła za niezbędne podanie przez kierownika grupy zwracającego się o udostępnienie boiska (§ 4 ust. 7) i hali sportowej (§ 5 ust. 7) następujących danych: adresu zamieszkania, numeru dowodu osobistego</w:t>
      </w:r>
      <w:r>
        <w:rPr>
          <w:rFonts w:asciiTheme="minorHAnsi" w:hAnsiTheme="minorHAnsi" w:cstheme="minorHAnsi"/>
        </w:rPr>
        <w:t xml:space="preserve">, numeru telefonu kontaktowego. </w:t>
      </w:r>
      <w:r w:rsidRPr="00F617E3">
        <w:rPr>
          <w:rFonts w:asciiTheme="minorHAnsi" w:hAnsiTheme="minorHAnsi" w:cstheme="minorHAnsi"/>
        </w:rPr>
        <w:t>Tymczasem brak przepisu pra</w:t>
      </w:r>
      <w:r w:rsidRPr="00F617E3">
        <w:rPr>
          <w:rFonts w:asciiTheme="minorHAnsi" w:hAnsiTheme="minorHAnsi" w:cstheme="minorHAnsi"/>
        </w:rPr>
        <w:t xml:space="preserve">wnego, który stanowiłby podstawę dla takiego żądania. Żaden przepis prawa nie daje wprost uprawnienia dla organu do pozyskania </w:t>
      </w:r>
      <w:r>
        <w:rPr>
          <w:rFonts w:asciiTheme="minorHAnsi" w:hAnsiTheme="minorHAnsi" w:cstheme="minorHAnsi"/>
        </w:rPr>
        <w:t xml:space="preserve">wskazanych </w:t>
      </w:r>
      <w:r w:rsidRPr="00F617E3">
        <w:rPr>
          <w:rFonts w:asciiTheme="minorHAnsi" w:hAnsiTheme="minorHAnsi" w:cstheme="minorHAnsi"/>
        </w:rPr>
        <w:t>danych.</w:t>
      </w:r>
    </w:p>
    <w:p w:rsidR="009D643B" w:rsidRPr="009D643B" w:rsidRDefault="00BC57A9" w:rsidP="009D643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9D643B">
        <w:rPr>
          <w:rFonts w:asciiTheme="minorHAnsi" w:hAnsiTheme="minorHAnsi" w:cstheme="minorHAnsi"/>
        </w:rPr>
        <w:t xml:space="preserve">Ponadto należy zwrócić uwagę, że wprowadzenie obligatoryjności danych w powyższym zakresie skutkuje w konsekwencji </w:t>
      </w:r>
      <w:r w:rsidRPr="000130BC">
        <w:rPr>
          <w:rFonts w:asciiTheme="minorHAnsi" w:hAnsiTheme="minorHAnsi" w:cstheme="minorHAnsi"/>
        </w:rPr>
        <w:t xml:space="preserve">ograniczeniem kręgu </w:t>
      </w:r>
      <w:r>
        <w:rPr>
          <w:rFonts w:asciiTheme="minorHAnsi" w:hAnsiTheme="minorHAnsi" w:cstheme="minorHAnsi"/>
        </w:rPr>
        <w:t>osób korzystających hali sportowej w Świerczach i boiska wielofunkcyjnego w Świeszewie</w:t>
      </w:r>
      <w:r w:rsidRPr="009D643B">
        <w:rPr>
          <w:rFonts w:asciiTheme="minorHAnsi" w:hAnsiTheme="minorHAnsi" w:cstheme="minorHAnsi"/>
        </w:rPr>
        <w:t>, wykluczając osoby</w:t>
      </w:r>
      <w:r>
        <w:rPr>
          <w:rFonts w:asciiTheme="minorHAnsi" w:hAnsiTheme="minorHAnsi" w:cstheme="minorHAnsi"/>
        </w:rPr>
        <w:t xml:space="preserve">, które nie </w:t>
      </w:r>
      <w:r>
        <w:rPr>
          <w:rFonts w:asciiTheme="minorHAnsi" w:hAnsiTheme="minorHAnsi" w:cstheme="minorHAnsi"/>
        </w:rPr>
        <w:t>posiadają telefonu.</w:t>
      </w:r>
    </w:p>
    <w:p w:rsidR="009D643B" w:rsidRPr="006D6FC1" w:rsidRDefault="00BC57A9" w:rsidP="006D6FC1">
      <w:pPr>
        <w:spacing w:line="360" w:lineRule="auto"/>
        <w:ind w:firstLine="709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Żądanie podania danych (tj. adresu zamieszkania, numeru dowodu osobistego, numeru telefonu kontaktowego) przez zwracającego się o udostepnienie boiska lub hali sportowej</w:t>
      </w:r>
      <w:r>
        <w:rPr>
          <w:rFonts w:asciiTheme="minorHAnsi" w:hAnsiTheme="minorHAnsi" w:cstheme="minorHAnsi"/>
        </w:rPr>
        <w:t>, w </w:t>
      </w:r>
      <w:r w:rsidRPr="009D643B">
        <w:rPr>
          <w:rFonts w:asciiTheme="minorHAnsi" w:hAnsiTheme="minorHAnsi" w:cstheme="minorHAnsi"/>
        </w:rPr>
        <w:t>przypadku gdy brak jest przepisu wprost stanowiącego podstawę d</w:t>
      </w:r>
      <w:r w:rsidRPr="009D643B">
        <w:rPr>
          <w:rFonts w:asciiTheme="minorHAnsi" w:hAnsiTheme="minorHAnsi" w:cstheme="minorHAnsi"/>
        </w:rPr>
        <w:t xml:space="preserve">la przetwarzania tej </w:t>
      </w:r>
      <w:r w:rsidRPr="006D6FC1">
        <w:rPr>
          <w:rFonts w:asciiTheme="minorHAnsi" w:hAnsiTheme="minorHAnsi" w:cstheme="minorHAnsi"/>
        </w:rPr>
        <w:t xml:space="preserve">danej, jest nadmiarowe i niezgodne z zasadą minimalizacji danych wyrażoną w </w:t>
      </w:r>
      <w:hyperlink r:id="rId15" w:anchor="/document/68636690?unitId=art(5)ust(1)lit(c)&amp;cm=DOCUMENT" w:history="1">
        <w:r w:rsidRPr="006D6FC1">
          <w:rPr>
            <w:rFonts w:asciiTheme="minorHAnsi" w:hAnsiTheme="minorHAnsi" w:cstheme="minorHAnsi"/>
          </w:rPr>
          <w:t>art. 5 ust. 1 lit. c</w:t>
        </w:r>
      </w:hyperlink>
      <w:r w:rsidRPr="006D6FC1">
        <w:rPr>
          <w:rFonts w:asciiTheme="minorHAnsi" w:hAnsiTheme="minorHAnsi" w:cstheme="minorHAnsi"/>
        </w:rPr>
        <w:t xml:space="preserve"> </w:t>
      </w:r>
      <w:r w:rsidRPr="006D6FC1">
        <w:rPr>
          <w:rFonts w:asciiTheme="minorHAnsi" w:hAnsiTheme="minorHAnsi" w:cstheme="minorHAnsi"/>
        </w:rPr>
        <w:t xml:space="preserve">Rozporządzenia Parlamentu Europejskiego </w:t>
      </w:r>
      <w:r w:rsidRPr="006D6FC1">
        <w:rPr>
          <w:rFonts w:asciiTheme="minorHAnsi" w:hAnsiTheme="minorHAnsi" w:cstheme="minorHAnsi"/>
        </w:rPr>
        <w:t xml:space="preserve">i Rady (UE) </w:t>
      </w:r>
      <w:hyperlink r:id="rId16" w:history="1">
        <w:r w:rsidRPr="006D6FC1">
          <w:rPr>
            <w:rFonts w:asciiTheme="minorHAnsi" w:hAnsiTheme="minorHAnsi" w:cstheme="minorHAnsi"/>
          </w:rPr>
          <w:t>2016/679</w:t>
        </w:r>
      </w:hyperlink>
      <w:r w:rsidRPr="006D6FC1">
        <w:rPr>
          <w:rFonts w:asciiTheme="minorHAnsi" w:hAnsiTheme="minorHAnsi" w:cstheme="minorHAnsi"/>
        </w:rPr>
        <w:t xml:space="preserve"> z dnia 27 kwietnia 2016 r. w sprawie ochrony osób fizycznych w związku z przetwarzaniem danych osobowych i w sprawie swobod</w:t>
      </w:r>
      <w:r w:rsidRPr="006D6FC1">
        <w:rPr>
          <w:rFonts w:asciiTheme="minorHAnsi" w:hAnsiTheme="minorHAnsi" w:cstheme="minorHAnsi"/>
        </w:rPr>
        <w:t xml:space="preserve">nego przepływu takich danych oraz uchylenia dyrektywy nr </w:t>
      </w:r>
      <w:hyperlink r:id="rId17" w:history="1">
        <w:r w:rsidRPr="006D6FC1">
          <w:rPr>
            <w:rFonts w:asciiTheme="minorHAnsi" w:hAnsiTheme="minorHAnsi" w:cstheme="minorHAnsi"/>
          </w:rPr>
          <w:t>95/46/WE</w:t>
        </w:r>
      </w:hyperlink>
      <w:r w:rsidRPr="006D6FC1">
        <w:rPr>
          <w:rFonts w:asciiTheme="minorHAnsi" w:hAnsiTheme="minorHAnsi" w:cstheme="minorHAnsi"/>
        </w:rPr>
        <w:t xml:space="preserve"> (ogólne rozporządzenie o ochronie danych osobowych) – </w:t>
      </w:r>
      <w:r>
        <w:rPr>
          <w:rFonts w:asciiTheme="minorHAnsi" w:hAnsiTheme="minorHAnsi" w:cstheme="minorHAnsi"/>
        </w:rPr>
        <w:t>Dz.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Urz. UE. L 119 z 04.05</w:t>
      </w:r>
      <w:r>
        <w:rPr>
          <w:rFonts w:asciiTheme="minorHAnsi" w:hAnsiTheme="minorHAnsi" w:cstheme="minorHAnsi"/>
        </w:rPr>
        <w:t>.2016</w:t>
      </w:r>
      <w:r w:rsidRPr="006D6FC1">
        <w:rPr>
          <w:rFonts w:asciiTheme="minorHAnsi" w:hAnsiTheme="minorHAnsi" w:cstheme="minorHAnsi"/>
        </w:rPr>
        <w:t>, zwanego dalej „RODO”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D643B">
        <w:rPr>
          <w:rFonts w:asciiTheme="minorHAnsi" w:hAnsiTheme="minorHAnsi" w:cstheme="minorHAnsi"/>
        </w:rPr>
        <w:t xml:space="preserve">Obligatoryjność podania pozostałych zakwestionowanych danych także pozostaje w sprzeczności ze wskazana zasadą. Zgodnie z nią zbierane dane osobowe muszą być adekwatne, stosowne oraz ograniczone do tego, co niezbędne do celów, </w:t>
      </w:r>
      <w:r w:rsidRPr="009D643B">
        <w:rPr>
          <w:rFonts w:asciiTheme="minorHAnsi" w:hAnsiTheme="minorHAnsi" w:cstheme="minorHAnsi"/>
        </w:rPr>
        <w:t xml:space="preserve">w których są przetwarzane („minimalizacja danych”). W przedmiotowej sprawie, jak wskazano wyżej, warunek ten nie jest spełniony. </w:t>
      </w:r>
    </w:p>
    <w:p w:rsidR="002A0856" w:rsidRDefault="00BC57A9" w:rsidP="009D643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9D643B">
        <w:rPr>
          <w:rFonts w:asciiTheme="minorHAnsi" w:hAnsiTheme="minorHAnsi" w:cstheme="minorHAnsi"/>
        </w:rPr>
        <w:t xml:space="preserve">W ocenie organu nadzoru brak jest zatem podstaw prawnych do żądania podania </w:t>
      </w:r>
      <w:r w:rsidRPr="009D643B">
        <w:rPr>
          <w:rFonts w:asciiTheme="minorHAnsi" w:hAnsiTheme="minorHAnsi" w:cstheme="minorHAnsi"/>
        </w:rPr>
        <w:br/>
        <w:t>wskazanych danych osobowych. Stanowi to o przekro</w:t>
      </w:r>
      <w:r w:rsidRPr="009D643B">
        <w:rPr>
          <w:rFonts w:asciiTheme="minorHAnsi" w:hAnsiTheme="minorHAnsi" w:cstheme="minorHAnsi"/>
        </w:rPr>
        <w:t>czeniu zakresu upoważnienia ustawowego. Tym niemniej należy podkreślić, że dopuszczalne byłoby pozy</w:t>
      </w:r>
      <w:r>
        <w:rPr>
          <w:rFonts w:asciiTheme="minorHAnsi" w:hAnsiTheme="minorHAnsi" w:cstheme="minorHAnsi"/>
        </w:rPr>
        <w:t xml:space="preserve">skanie tych danych wyłącznie </w:t>
      </w:r>
      <w:r>
        <w:rPr>
          <w:rFonts w:asciiTheme="minorHAnsi" w:hAnsiTheme="minorHAnsi" w:cstheme="minorHAnsi"/>
        </w:rPr>
        <w:lastRenderedPageBreak/>
        <w:t>na </w:t>
      </w:r>
      <w:r w:rsidRPr="009D643B">
        <w:rPr>
          <w:rFonts w:asciiTheme="minorHAnsi" w:hAnsiTheme="minorHAnsi" w:cstheme="minorHAnsi"/>
        </w:rPr>
        <w:t xml:space="preserve">zasadzie dobrowolności ich podania przez </w:t>
      </w:r>
      <w:r>
        <w:rPr>
          <w:rFonts w:asciiTheme="minorHAnsi" w:hAnsiTheme="minorHAnsi" w:cstheme="minorHAnsi"/>
        </w:rPr>
        <w:t xml:space="preserve">kierownika zwracającego się o udostepnienie obiektów użyteczności publicznej </w:t>
      </w:r>
      <w:r w:rsidRPr="009D643B">
        <w:rPr>
          <w:rFonts w:asciiTheme="minorHAnsi" w:hAnsiTheme="minorHAnsi" w:cstheme="minorHAnsi"/>
        </w:rPr>
        <w:t>(podsta</w:t>
      </w:r>
      <w:r w:rsidRPr="009D643B">
        <w:rPr>
          <w:rFonts w:asciiTheme="minorHAnsi" w:hAnsiTheme="minorHAnsi" w:cstheme="minorHAnsi"/>
        </w:rPr>
        <w:t xml:space="preserve">wę przetwarzania stanowi wówczas </w:t>
      </w:r>
      <w:r>
        <w:rPr>
          <w:rFonts w:asciiTheme="minorHAnsi" w:hAnsiTheme="minorHAnsi" w:cstheme="minorHAnsi"/>
        </w:rPr>
        <w:t xml:space="preserve">jego </w:t>
      </w:r>
      <w:r w:rsidRPr="009D643B">
        <w:rPr>
          <w:rFonts w:asciiTheme="minorHAnsi" w:hAnsiTheme="minorHAnsi" w:cstheme="minorHAnsi"/>
        </w:rPr>
        <w:t>zgoda)</w:t>
      </w:r>
      <w:r>
        <w:rPr>
          <w:rFonts w:asciiTheme="minorHAnsi" w:hAnsiTheme="minorHAnsi" w:cstheme="minorHAnsi"/>
        </w:rPr>
        <w:t>.</w:t>
      </w:r>
    </w:p>
    <w:p w:rsidR="00810976" w:rsidRPr="007D12A1" w:rsidRDefault="00BC57A9" w:rsidP="00810976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color w:val="000000"/>
        </w:rPr>
        <w:t>Na podstawie uchwały nie sposób</w:t>
      </w:r>
      <w:r w:rsidRPr="006D6FC1">
        <w:rPr>
          <w:rFonts w:asciiTheme="minorHAnsi" w:hAnsiTheme="minorHAnsi" w:cstheme="minorHAnsi"/>
          <w:color w:val="000000"/>
        </w:rPr>
        <w:t xml:space="preserve"> ocenić czy dane są zbie</w:t>
      </w:r>
      <w:r>
        <w:rPr>
          <w:rFonts w:asciiTheme="minorHAnsi" w:hAnsiTheme="minorHAnsi" w:cstheme="minorHAnsi"/>
          <w:color w:val="000000"/>
        </w:rPr>
        <w:t>rane w konkretnych, wyraźnych i </w:t>
      </w:r>
      <w:r w:rsidRPr="006D6FC1">
        <w:rPr>
          <w:rFonts w:asciiTheme="minorHAnsi" w:hAnsiTheme="minorHAnsi" w:cstheme="minorHAnsi"/>
          <w:color w:val="000000"/>
        </w:rPr>
        <w:t>prawnie uzasadnionych celach („ograniczenie celu”), c</w:t>
      </w:r>
      <w:r>
        <w:rPr>
          <w:rFonts w:asciiTheme="minorHAnsi" w:hAnsiTheme="minorHAnsi" w:cstheme="minorHAnsi"/>
          <w:color w:val="000000"/>
        </w:rPr>
        <w:t>zy są one adekwatne, stosowne i </w:t>
      </w:r>
      <w:r w:rsidRPr="006D6FC1">
        <w:rPr>
          <w:rFonts w:asciiTheme="minorHAnsi" w:hAnsiTheme="minorHAnsi" w:cstheme="minorHAnsi"/>
          <w:color w:val="000000"/>
        </w:rPr>
        <w:t xml:space="preserve">ograniczone do tego, co niezbędne do </w:t>
      </w:r>
      <w:r w:rsidRPr="006D6FC1">
        <w:rPr>
          <w:rFonts w:asciiTheme="minorHAnsi" w:hAnsiTheme="minorHAnsi" w:cstheme="minorHAnsi"/>
          <w:color w:val="000000"/>
        </w:rPr>
        <w:t>celów, w których są przetwarzane („minimalizacja</w:t>
      </w:r>
      <w:r w:rsidRPr="004E5A0C">
        <w:rPr>
          <w:rFonts w:ascii="Calibri" w:hAnsi="Calibri" w:cs="Calibri"/>
          <w:color w:val="000000"/>
        </w:rPr>
        <w:t xml:space="preserve"> danych”), przez co nie sposób także określić, iż przetwarzanie tych danych następuje zgodnie z prawem, rzetelnie i w sposób przejrzysty dla osoby, której dane dotyczą („zgodność z prawem, rzetelność i przejr</w:t>
      </w:r>
      <w:r w:rsidRPr="004E5A0C">
        <w:rPr>
          <w:rFonts w:ascii="Calibri" w:hAnsi="Calibri" w:cs="Calibri"/>
          <w:color w:val="000000"/>
        </w:rPr>
        <w:t xml:space="preserve">zystość”). </w:t>
      </w:r>
      <w:r>
        <w:rPr>
          <w:rFonts w:ascii="Calibri" w:hAnsi="Calibri" w:cs="Calibri"/>
          <w:color w:val="000000"/>
        </w:rPr>
        <w:t xml:space="preserve">Ponadto do </w:t>
      </w:r>
      <w:r w:rsidRPr="007D12A1">
        <w:rPr>
          <w:rFonts w:ascii="Calibri" w:hAnsi="Calibri" w:cs="Calibri"/>
        </w:rPr>
        <w:t xml:space="preserve">przetwarzania </w:t>
      </w:r>
      <w:r>
        <w:rPr>
          <w:rFonts w:ascii="Calibri" w:hAnsi="Calibri" w:cs="Calibri"/>
        </w:rPr>
        <w:t>tych danych</w:t>
      </w:r>
      <w:r w:rsidRPr="007D12A1">
        <w:rPr>
          <w:rFonts w:ascii="Calibri" w:hAnsi="Calibri" w:cs="Calibri"/>
        </w:rPr>
        <w:t xml:space="preserve"> musi istnieć wyraźna delegacja ustawowa, która nie może pozostać domniemaną. Zgodnie z art. 6 ust. 1 lit. c i e oraz ust. 3 </w:t>
      </w:r>
      <w:r>
        <w:rPr>
          <w:rFonts w:ascii="Calibri" w:hAnsi="Calibri" w:cs="Calibri"/>
        </w:rPr>
        <w:t xml:space="preserve">RODO </w:t>
      </w:r>
      <w:r w:rsidRPr="007D12A1">
        <w:rPr>
          <w:rFonts w:ascii="Calibri" w:hAnsi="Calibri" w:cs="Calibri"/>
        </w:rPr>
        <w:t xml:space="preserve"> przetwarzanie jest zgodne z prawem wyłącznie w przypadkach, gdy - i w takim za</w:t>
      </w:r>
      <w:r w:rsidRPr="007D12A1">
        <w:rPr>
          <w:rFonts w:ascii="Calibri" w:hAnsi="Calibri" w:cs="Calibri"/>
        </w:rPr>
        <w:t xml:space="preserve">kresie, </w:t>
      </w:r>
      <w:r>
        <w:rPr>
          <w:rFonts w:ascii="Calibri" w:hAnsi="Calibri" w:cs="Calibri"/>
        </w:rPr>
        <w:t>w jakim - spełniony jest co </w:t>
      </w:r>
      <w:r w:rsidRPr="007D12A1">
        <w:rPr>
          <w:rFonts w:ascii="Calibri" w:hAnsi="Calibri" w:cs="Calibri"/>
        </w:rPr>
        <w:t>najmniej jeden z poniższych warunków: przetwarzanie jest niezbędne do wypełnienia obowiązku prawnego ciążącego na administratorze lub przetwarzanie jest niezbędne do wykonania zadania realizowanego w interesie publicznym</w:t>
      </w:r>
      <w:r w:rsidRPr="007D12A1">
        <w:rPr>
          <w:rFonts w:ascii="Calibri" w:hAnsi="Calibri" w:cs="Calibri"/>
        </w:rPr>
        <w:t xml:space="preserve"> lub w ramach sprawowania władzy publicznej powierzonej administratorowi. Podstawa przetwarzania, o którym mowa w ust. 1 li</w:t>
      </w:r>
      <w:r>
        <w:rPr>
          <w:rFonts w:ascii="Calibri" w:hAnsi="Calibri" w:cs="Calibri"/>
        </w:rPr>
        <w:t>t. c i e, musi być określona: w </w:t>
      </w:r>
      <w:r w:rsidRPr="007D12A1">
        <w:rPr>
          <w:rFonts w:ascii="Calibri" w:hAnsi="Calibri" w:cs="Calibri"/>
        </w:rPr>
        <w:t>prawie Unii lub w prawie państwa członkowskiego, któremu podlega administrator. Istotnym jest że cel </w:t>
      </w:r>
      <w:r w:rsidRPr="007D12A1">
        <w:rPr>
          <w:rFonts w:ascii="Calibri" w:hAnsi="Calibri" w:cs="Calibri"/>
        </w:rPr>
        <w:t>przetwarzania musi być określony w tej podstawie prawnej lub, w przypadku przetwarzania, o którym mowa w ust. 1 lit. e - musi być ono niezbędne do wy</w:t>
      </w:r>
      <w:r>
        <w:rPr>
          <w:rFonts w:ascii="Calibri" w:hAnsi="Calibri" w:cs="Calibri"/>
        </w:rPr>
        <w:t>konania zadania realizowanego w </w:t>
      </w:r>
      <w:r w:rsidRPr="007D12A1">
        <w:rPr>
          <w:rFonts w:ascii="Calibri" w:hAnsi="Calibri" w:cs="Calibri"/>
        </w:rPr>
        <w:t>interesie publicznym lub w ramach sprawowania władzy publicznej powierzonej</w:t>
      </w:r>
      <w:r w:rsidRPr="007D12A1">
        <w:rPr>
          <w:rFonts w:ascii="Calibri" w:hAnsi="Calibri" w:cs="Calibri"/>
        </w:rPr>
        <w:t xml:space="preserve"> administratorowi. Podstawa prawna może zawierać przepisy szczegółowe dostosowujące stosowanie przepisów niniejszego rozporządzenia, w tym: ogólne warunki zgodności z prawem przetwarzania przez administratora; rodzaj danych podlegających przetwarzaniu; oso</w:t>
      </w:r>
      <w:r w:rsidRPr="007D12A1">
        <w:rPr>
          <w:rFonts w:ascii="Calibri" w:hAnsi="Calibri" w:cs="Calibri"/>
        </w:rPr>
        <w:t>by, których dane dotyczą; podmioty, którym można ujawnić dane osobowe; cele, w których można je ujawnić; ograniczenia celu; okresy przechowywania; oraz operacje i procedury przetwarzania, w tym środki zapewniające zgodność z prawem i rzetelność przetwarzan</w:t>
      </w:r>
      <w:r w:rsidRPr="007D12A1">
        <w:rPr>
          <w:rFonts w:ascii="Calibri" w:hAnsi="Calibri" w:cs="Calibri"/>
        </w:rPr>
        <w:t>ia, w tym w innych szczególnych sytuacjach związanych z  przetwarzaniem, o których mowa w rozdziale IX. Prawo Unii lub prawo państwa członkowskiego muszą służyć realizacji celu leżącego w interesie publicznym, oraz być proporcjonalne do wyznaczonego, prawn</w:t>
      </w:r>
      <w:r w:rsidRPr="007D12A1">
        <w:rPr>
          <w:rFonts w:ascii="Calibri" w:hAnsi="Calibri" w:cs="Calibri"/>
        </w:rPr>
        <w:t xml:space="preserve">ie uzasadnionego celu. </w:t>
      </w:r>
    </w:p>
    <w:p w:rsidR="006A62EF" w:rsidRDefault="00BC57A9" w:rsidP="00F617E3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 w:rsidRPr="004E5A0C">
        <w:rPr>
          <w:rFonts w:ascii="Calibri" w:hAnsi="Calibri" w:cs="Calibri"/>
          <w:color w:val="000000"/>
        </w:rPr>
        <w:t>Na etapie podania, poprzedzającego decyzję o zawarciu umowy najmu</w:t>
      </w:r>
      <w:r>
        <w:rPr>
          <w:rFonts w:ascii="Calibri" w:hAnsi="Calibri" w:cs="Calibri"/>
          <w:color w:val="000000"/>
        </w:rPr>
        <w:t xml:space="preserve"> (z wyłączeniem podmiotów, o których mowa w § 1 ust. 1 pkt 4 uchwały) </w:t>
      </w:r>
      <w:r w:rsidRPr="004E5A0C">
        <w:rPr>
          <w:rFonts w:ascii="Calibri" w:hAnsi="Calibri" w:cs="Calibri"/>
          <w:color w:val="000000"/>
        </w:rPr>
        <w:t xml:space="preserve">nieadekwatne jest podawanie takich choćby danych jak: </w:t>
      </w:r>
      <w:r>
        <w:rPr>
          <w:rFonts w:ascii="Calibri" w:hAnsi="Calibri" w:cs="Calibri"/>
          <w:color w:val="000000"/>
        </w:rPr>
        <w:t>adresu zamieszkania, numeru dowodu osobiste</w:t>
      </w:r>
      <w:r>
        <w:rPr>
          <w:rFonts w:ascii="Calibri" w:hAnsi="Calibri" w:cs="Calibri"/>
          <w:color w:val="000000"/>
        </w:rPr>
        <w:t xml:space="preserve">go wraz z </w:t>
      </w:r>
      <w:r w:rsidRPr="004E5A0C">
        <w:rPr>
          <w:rFonts w:ascii="Calibri" w:hAnsi="Calibri" w:cs="Calibri"/>
          <w:color w:val="000000"/>
        </w:rPr>
        <w:t>numerem telefonu kontaktowego. Udostępnienie takich danych jest przedwczesne. N</w:t>
      </w:r>
      <w:r>
        <w:rPr>
          <w:rFonts w:ascii="Calibri" w:hAnsi="Calibri" w:cs="Calibri"/>
          <w:color w:val="000000"/>
        </w:rPr>
        <w:t>ie są one przy tym niezbędne na </w:t>
      </w:r>
      <w:r w:rsidRPr="004E5A0C">
        <w:rPr>
          <w:rFonts w:ascii="Calibri" w:hAnsi="Calibri" w:cs="Calibri"/>
          <w:color w:val="000000"/>
        </w:rPr>
        <w:t>tym etapie – do rozpatrzenia podania o dostępność pomieszczeń do najmu</w:t>
      </w:r>
      <w:r>
        <w:rPr>
          <w:rFonts w:ascii="Calibri" w:hAnsi="Calibri" w:cs="Calibri"/>
          <w:color w:val="000000"/>
        </w:rPr>
        <w:t xml:space="preserve">. </w:t>
      </w:r>
    </w:p>
    <w:p w:rsidR="00FC3AA6" w:rsidRPr="00F617E3" w:rsidRDefault="00BC57A9" w:rsidP="00F617E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lastRenderedPageBreak/>
        <w:t>Wobec powyższego brak delegacji dla Rady Gminy do żądania poda</w:t>
      </w:r>
      <w:r>
        <w:rPr>
          <w:rFonts w:ascii="Calibri" w:hAnsi="Calibri" w:cs="Calibri"/>
          <w:color w:val="000000"/>
        </w:rPr>
        <w:t>nia danych wskazanych w § 4 ust. 7 pkt 2, 3 i 4 oraz w § 5 ust. 7</w:t>
      </w:r>
      <w:r>
        <w:rPr>
          <w:rFonts w:ascii="Calibri" w:hAnsi="Calibri" w:cs="Calibri"/>
          <w:color w:val="000000"/>
        </w:rPr>
        <w:t xml:space="preserve"> pkt 2, 3 i 4 uchwały. </w:t>
      </w:r>
    </w:p>
    <w:p w:rsidR="00EA3EDE" w:rsidRDefault="00BC57A9" w:rsidP="0086032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C2ACE">
        <w:rPr>
          <w:rFonts w:asciiTheme="minorHAnsi" w:hAnsiTheme="minorHAnsi" w:cstheme="minorHAnsi"/>
        </w:rPr>
        <w:t>Ponadto unormowana w art. 7 Konstytucji RP zasada praworządności wymaga, by materia regulowana wydanym aktem normatywnym wynikała z upoważnienia ustawowego i nie przek</w:t>
      </w:r>
      <w:r w:rsidRPr="003C2ACE">
        <w:rPr>
          <w:rFonts w:asciiTheme="minorHAnsi" w:hAnsiTheme="minorHAnsi" w:cstheme="minorHAnsi"/>
        </w:rPr>
        <w:t>raczała zakresu tego upoważnienia. Oznacza to, że każde unormowanie wykraczające poza udzielone upoważnienie jest naruszeniem normy upoważniającej, a więc stanowi naruszenie konstytucyjnych warunków legalności aktu prawa miejscowego wydanego na podstawie u</w:t>
      </w:r>
      <w:r w:rsidRPr="003C2ACE">
        <w:rPr>
          <w:rFonts w:asciiTheme="minorHAnsi" w:hAnsiTheme="minorHAnsi" w:cstheme="minorHAnsi"/>
        </w:rPr>
        <w:t>poważnienia ustawowego. Należy również podkreślić, że zgodnie z art. 94 Konstytucji RP regulacje zawarte w akcie prawa miejscowego mają na celu jedynie „uzupełnienie” przepisów powszechnie obowiązujących rangi ustawowej, kształtujących prawa i obowiązki ic</w:t>
      </w:r>
      <w:r w:rsidRPr="003C2ACE">
        <w:rPr>
          <w:rFonts w:asciiTheme="minorHAnsi" w:hAnsiTheme="minorHAnsi" w:cstheme="minorHAnsi"/>
        </w:rPr>
        <w:t>h adresatów, a więc nie są wydawane w celu wykonania ustawy tak jak rozporządzenie w rozumieniu art. 92 Konstytucji RP (wyrok NSA z dnia 18 września 2012 r. sygn. akt II OSK 1524/12).</w:t>
      </w:r>
    </w:p>
    <w:p w:rsidR="00860329" w:rsidRPr="004E5A0C" w:rsidRDefault="00BC57A9" w:rsidP="00860329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hd w:val="clear" w:color="auto" w:fill="FFFFFF"/>
        </w:rPr>
      </w:pPr>
      <w:r w:rsidRPr="004E5A0C">
        <w:rPr>
          <w:rFonts w:ascii="Calibri" w:hAnsi="Calibri" w:cs="Calibri"/>
        </w:rPr>
        <w:t xml:space="preserve">Natomiast z art. 169 ust. 4 Konstytucji RP wynika, iż w granicach ustaw </w:t>
      </w:r>
      <w:r w:rsidRPr="004E5A0C">
        <w:rPr>
          <w:rFonts w:ascii="Calibri" w:hAnsi="Calibri" w:cs="Calibri"/>
        </w:rPr>
        <w:t>określany jest ustrój wewnętrzny jednostek samorządu terytorialnego. Zgodnie z ustaloną w art. 87 Konstytucji RP hierarchią źródeł prawa, akty prawa miejscowego nie mogą regulować materii należącej do przepisów wyższego rzędu i nie mogą być z nimi sprzeczn</w:t>
      </w:r>
      <w:r w:rsidRPr="004E5A0C">
        <w:rPr>
          <w:rFonts w:ascii="Calibri" w:hAnsi="Calibri" w:cs="Calibri"/>
        </w:rPr>
        <w:t>e.</w:t>
      </w:r>
      <w:r w:rsidRPr="004E5A0C">
        <w:rPr>
          <w:rFonts w:ascii="Helvetica" w:hAnsi="Helvetica"/>
          <w:shd w:val="clear" w:color="auto" w:fill="FFFFFF"/>
        </w:rPr>
        <w:t xml:space="preserve"> </w:t>
      </w:r>
      <w:r w:rsidRPr="004E5A0C">
        <w:rPr>
          <w:rFonts w:ascii="Calibri" w:hAnsi="Calibri" w:cs="Calibri"/>
          <w:shd w:val="clear" w:color="auto" w:fill="FFFFFF"/>
        </w:rPr>
        <w:t xml:space="preserve">W literaturze przedmiotu zwraca się uwagę, że konstytucyjna formuła wydawania aktów prawa miejscowego na podstawie </w:t>
      </w:r>
      <w:r w:rsidRPr="004E5A0C">
        <w:rPr>
          <w:rFonts w:ascii="Calibri" w:hAnsi="Calibri" w:cs="Calibri"/>
          <w:shd w:val="clear" w:color="auto" w:fill="FFFFFF"/>
        </w:rPr>
        <w:br/>
        <w:t>i w granicach upoważnień zawartych w ustawie oznacza, że akty prawa miejscowego, jako akty o charakterze zależnym (pochodnym), stanowione</w:t>
      </w:r>
      <w:r w:rsidRPr="004E5A0C">
        <w:rPr>
          <w:rFonts w:ascii="Calibri" w:hAnsi="Calibri" w:cs="Calibri"/>
          <w:shd w:val="clear" w:color="auto" w:fill="FFFFFF"/>
        </w:rPr>
        <w:t xml:space="preserve"> mogą być wyłącznie na podstawie upoważnienia zawartego w ustawie i to upoważnienia wyraźnego, a nie tylko pośrednio wynikającego z przepisów ustawowych. Tylko bowiem organy władzy ustawodawczej samoistnie mogą stanowić normy prawne powszechnie obowiązując</w:t>
      </w:r>
      <w:r w:rsidRPr="004E5A0C">
        <w:rPr>
          <w:rFonts w:ascii="Calibri" w:hAnsi="Calibri" w:cs="Calibri"/>
          <w:shd w:val="clear" w:color="auto" w:fill="FFFFFF"/>
        </w:rPr>
        <w:t>e. Wszystkie inne organy mogą je stanowić tylko z upoważnienia ustawy, muszą legitymować się wyraźnie udzielonym upoważnieniem, nie jest bowiem dopuszczalne domniemywanie kompetencji prawodawczych (D. Dąbek, Prawo miejscowe, Kraków 2007, s. 87). Stanowisko</w:t>
      </w:r>
      <w:r w:rsidRPr="004E5A0C">
        <w:rPr>
          <w:rFonts w:ascii="Calibri" w:hAnsi="Calibri" w:cs="Calibri"/>
          <w:shd w:val="clear" w:color="auto" w:fill="FFFFFF"/>
        </w:rPr>
        <w:t xml:space="preserve"> to jest powszechnie akceptowane również w orzecznictwie sądowoadministracyjnym (wyrok </w:t>
      </w:r>
      <w:r>
        <w:rPr>
          <w:rFonts w:ascii="Calibri" w:hAnsi="Calibri" w:cs="Calibri"/>
          <w:shd w:val="clear" w:color="auto" w:fill="FFFFFF"/>
        </w:rPr>
        <w:t>NSA</w:t>
      </w:r>
      <w:r w:rsidRPr="004E5A0C">
        <w:rPr>
          <w:rFonts w:ascii="Calibri" w:hAnsi="Calibri" w:cs="Calibri"/>
          <w:shd w:val="clear" w:color="auto" w:fill="FFFFFF"/>
        </w:rPr>
        <w:t xml:space="preserve"> z 28 lutego 2003 r. sygn. akt I SA/Lu 882/02, wyrok </w:t>
      </w:r>
      <w:r>
        <w:rPr>
          <w:rFonts w:ascii="Calibri" w:hAnsi="Calibri" w:cs="Calibri"/>
          <w:shd w:val="clear" w:color="auto" w:fill="FFFFFF"/>
        </w:rPr>
        <w:t>NSA</w:t>
      </w:r>
      <w:r>
        <w:rPr>
          <w:rFonts w:ascii="Calibri" w:hAnsi="Calibri" w:cs="Calibri"/>
          <w:shd w:val="clear" w:color="auto" w:fill="FFFFFF"/>
        </w:rPr>
        <w:br/>
      </w:r>
      <w:r w:rsidRPr="004E5A0C">
        <w:rPr>
          <w:rFonts w:ascii="Calibri" w:hAnsi="Calibri" w:cs="Calibri"/>
          <w:shd w:val="clear" w:color="auto" w:fill="FFFFFF"/>
        </w:rPr>
        <w:t xml:space="preserve">z 29 maja 2009 r. sygn. akt I OSK 178/09, 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 Rzeszowie z 7 </w:t>
      </w:r>
      <w:r>
        <w:rPr>
          <w:rFonts w:ascii="Calibri" w:hAnsi="Calibri" w:cs="Calibri"/>
          <w:shd w:val="clear" w:color="auto" w:fill="FFFFFF"/>
        </w:rPr>
        <w:t>listopada 2007 r., sygn. akt II </w:t>
      </w:r>
      <w:r w:rsidRPr="004E5A0C">
        <w:rPr>
          <w:rFonts w:ascii="Calibri" w:hAnsi="Calibri" w:cs="Calibri"/>
          <w:shd w:val="clear" w:color="auto" w:fill="FFFFFF"/>
        </w:rPr>
        <w:t>SA/Rz 585</w:t>
      </w:r>
      <w:r w:rsidRPr="004E5A0C">
        <w:rPr>
          <w:rFonts w:ascii="Calibri" w:hAnsi="Calibri" w:cs="Calibri"/>
          <w:shd w:val="clear" w:color="auto" w:fill="FFFFFF"/>
        </w:rPr>
        <w:t xml:space="preserve">/07, 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 Gliwicach z 8 listopada 2007 r. sygn. akt II SA/GL 531/07, 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 Lublinie z 18 listopada 2008 r., sygn. akt III SA/Lu 309/08, 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 Lublinie z </w:t>
      </w:r>
      <w:r>
        <w:rPr>
          <w:rFonts w:ascii="Calibri" w:hAnsi="Calibri" w:cs="Calibri"/>
          <w:shd w:val="clear" w:color="auto" w:fill="FFFFFF"/>
        </w:rPr>
        <w:t>7 maja 2012 </w:t>
      </w:r>
      <w:r w:rsidRPr="004E5A0C">
        <w:rPr>
          <w:rFonts w:ascii="Calibri" w:hAnsi="Calibri" w:cs="Calibri"/>
          <w:shd w:val="clear" w:color="auto" w:fill="FFFFFF"/>
        </w:rPr>
        <w:t>r. sygn. akt III SA/Lu 89/12).</w:t>
      </w:r>
    </w:p>
    <w:p w:rsidR="002E2D3B" w:rsidRDefault="00BC57A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Konkludując, stwierdzić należy, że </w:t>
      </w:r>
      <w:r w:rsidRPr="00C8466D">
        <w:rPr>
          <w:rFonts w:asciiTheme="minorHAnsi" w:hAnsiTheme="minorHAnsi" w:cstheme="minorHAnsi"/>
        </w:rPr>
        <w:t xml:space="preserve">organ </w:t>
      </w:r>
      <w:r w:rsidRPr="00C8466D">
        <w:rPr>
          <w:rFonts w:asciiTheme="minorHAnsi" w:hAnsiTheme="minorHAnsi" w:cstheme="minorHAnsi"/>
        </w:rPr>
        <w:t xml:space="preserve">stanowiący </w:t>
      </w:r>
      <w:r>
        <w:rPr>
          <w:rFonts w:asciiTheme="minorHAnsi" w:hAnsiTheme="minorHAnsi" w:cstheme="minorHAnsi"/>
        </w:rPr>
        <w:t>Gminy</w:t>
      </w:r>
      <w:r w:rsidRPr="00C8466D">
        <w:rPr>
          <w:rFonts w:asciiTheme="minorHAnsi" w:hAnsiTheme="minorHAnsi" w:cstheme="minorHAnsi"/>
        </w:rPr>
        <w:t>, wykonujący kompetencję prawodawczą przewidzianą w upoważnieniu ustawowym, je</w:t>
      </w:r>
      <w:r>
        <w:rPr>
          <w:rFonts w:asciiTheme="minorHAnsi" w:hAnsiTheme="minorHAnsi" w:cstheme="minorHAnsi"/>
        </w:rPr>
        <w:t>st zobowiązany działać ściśle w granicach tego upoważnienia</w:t>
      </w:r>
      <w:r>
        <w:rPr>
          <w:rFonts w:asciiTheme="minorHAnsi" w:hAnsiTheme="minorHAnsi" w:cstheme="minorHAnsi"/>
        </w:rPr>
        <w:t>.</w:t>
      </w:r>
    </w:p>
    <w:p w:rsidR="002C21D4" w:rsidRDefault="00BC57A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Reasumując, w ocenie organu nadzoru stwierdzenie nieważności uchwały </w:t>
      </w:r>
      <w:r w:rsidRPr="0051653D">
        <w:rPr>
          <w:rFonts w:asciiTheme="minorHAnsi" w:hAnsiTheme="minorHAnsi" w:cstheme="minorHAnsi"/>
          <w:b/>
        </w:rPr>
        <w:t>w części</w:t>
      </w:r>
      <w:r>
        <w:rPr>
          <w:rFonts w:asciiTheme="minorHAnsi" w:hAnsiTheme="minorHAnsi" w:cstheme="minorHAnsi"/>
        </w:rPr>
        <w:t xml:space="preserve"> wskazanej w sentencji n</w:t>
      </w:r>
      <w:r>
        <w:rPr>
          <w:rFonts w:asciiTheme="minorHAnsi" w:hAnsiTheme="minorHAnsi" w:cstheme="minorHAnsi"/>
        </w:rPr>
        <w:t>iniejszego rozstrzygnięcia nadzorczego</w:t>
      </w:r>
      <w:r>
        <w:rPr>
          <w:rFonts w:asciiTheme="minorHAnsi" w:hAnsiTheme="minorHAnsi" w:cstheme="minorHAnsi"/>
        </w:rPr>
        <w:t>,</w:t>
      </w:r>
      <w:r w:rsidRPr="004F26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jest w pełni</w:t>
      </w:r>
      <w:r w:rsidRPr="004F26F8">
        <w:rPr>
          <w:rFonts w:asciiTheme="minorHAnsi" w:hAnsiTheme="minorHAnsi" w:cstheme="minorHAnsi"/>
        </w:rPr>
        <w:t xml:space="preserve"> uzasadnione.</w:t>
      </w:r>
    </w:p>
    <w:p w:rsidR="002B0751" w:rsidRPr="00C17B48" w:rsidRDefault="00BC57A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C17B48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2B0751" w:rsidRDefault="00BC57A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Informuję, że rozstrzygnięcie nadzorcze wstrzymuje wykonanie </w:t>
      </w:r>
      <w:r>
        <w:rPr>
          <w:rFonts w:asciiTheme="minorHAnsi" w:hAnsiTheme="minorHAnsi" w:cstheme="minorHAnsi"/>
        </w:rPr>
        <w:t xml:space="preserve">postanowień </w:t>
      </w:r>
      <w:r w:rsidRPr="00C17B48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objętych niniejszym rozstrzygnięciem </w:t>
      </w:r>
      <w:r>
        <w:rPr>
          <w:rFonts w:asciiTheme="minorHAnsi" w:hAnsiTheme="minorHAnsi" w:cstheme="minorHAnsi"/>
        </w:rPr>
        <w:t>z mocy prawa</w:t>
      </w:r>
      <w:r>
        <w:rPr>
          <w:rFonts w:asciiTheme="minorHAnsi" w:hAnsiTheme="minorHAnsi" w:cstheme="minorHAnsi"/>
        </w:rPr>
        <w:t>, z </w:t>
      </w:r>
      <w:r w:rsidRPr="00C17B48">
        <w:rPr>
          <w:rFonts w:asciiTheme="minorHAnsi" w:hAnsiTheme="minorHAnsi" w:cstheme="minorHAnsi"/>
        </w:rPr>
        <w:t>dniem jego doręczenia.</w:t>
      </w:r>
    </w:p>
    <w:p w:rsidR="00DC5208" w:rsidRDefault="00BC57A9" w:rsidP="008D4167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69C7" w:rsidTr="00E54148">
        <w:tc>
          <w:tcPr>
            <w:tcW w:w="4814" w:type="dxa"/>
          </w:tcPr>
          <w:p w:rsidR="009D50A1" w:rsidRDefault="00BC57A9" w:rsidP="00E5414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9D50A1" w:rsidRDefault="00BC57A9" w:rsidP="00E5414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9D50A1" w:rsidRDefault="00BC57A9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9D50A1" w:rsidRDefault="00BC57A9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9D50A1" w:rsidRPr="00F10D15" w:rsidRDefault="00BC57A9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096F3B" w:rsidRDefault="00BC57A9" w:rsidP="00ED117C">
      <w:pPr>
        <w:pStyle w:val="Teksttreci40"/>
        <w:shd w:val="clear" w:color="auto" w:fill="auto"/>
        <w:spacing w:line="360" w:lineRule="auto"/>
        <w:ind w:right="-2"/>
        <w:rPr>
          <w:b w:val="0"/>
          <w:sz w:val="24"/>
          <w:szCs w:val="24"/>
        </w:rPr>
      </w:pPr>
    </w:p>
    <w:sectPr w:rsidR="002960B0" w:rsidRPr="00096F3B" w:rsidSect="00AA77C0">
      <w:foot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7A9" w:rsidRDefault="00BC57A9">
      <w:r>
        <w:separator/>
      </w:r>
    </w:p>
  </w:endnote>
  <w:endnote w:type="continuationSeparator" w:id="0">
    <w:p w:rsidR="00BC57A9" w:rsidRDefault="00BC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949310"/>
      <w:docPartObj>
        <w:docPartGallery w:val="Page Numbers (Bottom of Page)"/>
        <w:docPartUnique/>
      </w:docPartObj>
    </w:sdtPr>
    <w:sdtEndPr/>
    <w:sdtContent>
      <w:p w:rsidR="00E54148" w:rsidRDefault="00BC57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54148" w:rsidRDefault="00BC5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7A9" w:rsidRDefault="00BC57A9">
      <w:r>
        <w:separator/>
      </w:r>
    </w:p>
  </w:footnote>
  <w:footnote w:type="continuationSeparator" w:id="0">
    <w:p w:rsidR="00BC57A9" w:rsidRDefault="00BC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110C"/>
    <w:multiLevelType w:val="hybridMultilevel"/>
    <w:tmpl w:val="A4EEB186"/>
    <w:lvl w:ilvl="0" w:tplc="1E82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848FF2" w:tentative="1">
      <w:start w:val="1"/>
      <w:numFmt w:val="lowerLetter"/>
      <w:lvlText w:val="%2."/>
      <w:lvlJc w:val="left"/>
      <w:pPr>
        <w:ind w:left="1440" w:hanging="360"/>
      </w:pPr>
    </w:lvl>
    <w:lvl w:ilvl="2" w:tplc="CBF03930" w:tentative="1">
      <w:start w:val="1"/>
      <w:numFmt w:val="lowerRoman"/>
      <w:lvlText w:val="%3."/>
      <w:lvlJc w:val="right"/>
      <w:pPr>
        <w:ind w:left="2160" w:hanging="180"/>
      </w:pPr>
    </w:lvl>
    <w:lvl w:ilvl="3" w:tplc="45F417BE" w:tentative="1">
      <w:start w:val="1"/>
      <w:numFmt w:val="decimal"/>
      <w:lvlText w:val="%4."/>
      <w:lvlJc w:val="left"/>
      <w:pPr>
        <w:ind w:left="2880" w:hanging="360"/>
      </w:pPr>
    </w:lvl>
    <w:lvl w:ilvl="4" w:tplc="50DA1AF8" w:tentative="1">
      <w:start w:val="1"/>
      <w:numFmt w:val="lowerLetter"/>
      <w:lvlText w:val="%5."/>
      <w:lvlJc w:val="left"/>
      <w:pPr>
        <w:ind w:left="3600" w:hanging="360"/>
      </w:pPr>
    </w:lvl>
    <w:lvl w:ilvl="5" w:tplc="E496ED50" w:tentative="1">
      <w:start w:val="1"/>
      <w:numFmt w:val="lowerRoman"/>
      <w:lvlText w:val="%6."/>
      <w:lvlJc w:val="right"/>
      <w:pPr>
        <w:ind w:left="4320" w:hanging="180"/>
      </w:pPr>
    </w:lvl>
    <w:lvl w:ilvl="6" w:tplc="99F6F4E8" w:tentative="1">
      <w:start w:val="1"/>
      <w:numFmt w:val="decimal"/>
      <w:lvlText w:val="%7."/>
      <w:lvlJc w:val="left"/>
      <w:pPr>
        <w:ind w:left="5040" w:hanging="360"/>
      </w:pPr>
    </w:lvl>
    <w:lvl w:ilvl="7" w:tplc="329C183E" w:tentative="1">
      <w:start w:val="1"/>
      <w:numFmt w:val="lowerLetter"/>
      <w:lvlText w:val="%8."/>
      <w:lvlJc w:val="left"/>
      <w:pPr>
        <w:ind w:left="5760" w:hanging="360"/>
      </w:pPr>
    </w:lvl>
    <w:lvl w:ilvl="8" w:tplc="8264C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2CA0"/>
    <w:multiLevelType w:val="multilevel"/>
    <w:tmpl w:val="7310963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084977"/>
    <w:multiLevelType w:val="multilevel"/>
    <w:tmpl w:val="2CD43490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C7"/>
    <w:rsid w:val="00BC57A9"/>
    <w:rsid w:val="00DA69C7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3A0DD-124B-4C81-8763-0E11258E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131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customStyle="1" w:styleId="Default">
    <w:name w:val="Default"/>
    <w:rsid w:val="0060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2A3A7F"/>
  </w:style>
  <w:style w:type="character" w:customStyle="1" w:styleId="Teksttreci2">
    <w:name w:val="Tekst treści (2)_"/>
    <w:basedOn w:val="Domylnaczcionkaakapitu"/>
    <w:link w:val="Teksttreci20"/>
    <w:rsid w:val="00A362D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62D5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ny"/>
    <w:rsid w:val="00FB4C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B4C06"/>
    <w:rPr>
      <w:b/>
      <w:bCs/>
    </w:rPr>
  </w:style>
  <w:style w:type="character" w:customStyle="1" w:styleId="Teksttreci3">
    <w:name w:val="Tekst treści (3)_"/>
    <w:basedOn w:val="Domylnaczcionkaakapitu"/>
    <w:link w:val="Teksttreci30"/>
    <w:rsid w:val="00C553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5530A"/>
    <w:pPr>
      <w:widowControl w:val="0"/>
      <w:shd w:val="clear" w:color="auto" w:fill="FFFFFF"/>
      <w:spacing w:line="365" w:lineRule="exact"/>
      <w:ind w:hanging="340"/>
      <w:jc w:val="center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ng-binding">
    <w:name w:val="ng-binding"/>
    <w:basedOn w:val="Normalny"/>
    <w:rsid w:val="00A606FC"/>
    <w:pPr>
      <w:spacing w:before="100" w:beforeAutospacing="1" w:after="100" w:afterAutospacing="1"/>
    </w:pPr>
  </w:style>
  <w:style w:type="character" w:customStyle="1" w:styleId="ng-binding1">
    <w:name w:val="ng-binding1"/>
    <w:basedOn w:val="Domylnaczcionkaakapitu"/>
    <w:rsid w:val="00A606FC"/>
  </w:style>
  <w:style w:type="character" w:customStyle="1" w:styleId="Nagwek2Znak">
    <w:name w:val="Nagłówek 2 Znak"/>
    <w:basedOn w:val="Domylnaczcionkaakapitu"/>
    <w:link w:val="Nagwek2"/>
    <w:uiPriority w:val="9"/>
    <w:rsid w:val="00B131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6D6FC1"/>
  </w:style>
  <w:style w:type="paragraph" w:styleId="Tekstpodstawowy2">
    <w:name w:val="Body Text 2"/>
    <w:basedOn w:val="Normalny"/>
    <w:link w:val="Tekstpodstawowy2Znak"/>
    <w:rsid w:val="00810976"/>
    <w:pPr>
      <w:widowControl w:val="0"/>
      <w:suppressAutoHyphens/>
      <w:jc w:val="both"/>
    </w:pPr>
    <w:rPr>
      <w:rFonts w:eastAsia="Lucida Sans Unicode"/>
    </w:rPr>
  </w:style>
  <w:style w:type="character" w:customStyle="1" w:styleId="Tekstpodstawowy2Znak">
    <w:name w:val="Tekst podstawowy 2 Znak"/>
    <w:basedOn w:val="Domylnaczcionkaakapitu"/>
    <w:link w:val="Tekstpodstawowy2"/>
    <w:rsid w:val="00810976"/>
    <w:rPr>
      <w:rFonts w:ascii="Times New Roman" w:eastAsia="Lucida Sans Unicode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F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galis.pl/document-view.seam?documentId=mfrxilrvgaytgnbsge4c44dboaxdcmjqgqztk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m2tsnrrguytsltqmfyc4mzuhaztgnjqg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922E-9FEE-4C5D-99DA-AE4778FF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3261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2021-04-22T10:02:00Z</dcterms:created>
  <dcterms:modified xsi:type="dcterms:W3CDTF">2021-04-22T10:02:00Z</dcterms:modified>
</cp:coreProperties>
</file>