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3F8" w14:textId="77777777" w:rsidR="00B20B43" w:rsidRPr="00063441" w:rsidRDefault="00B20B43" w:rsidP="00B20B43">
      <w:pPr>
        <w:spacing w:after="120"/>
        <w:rPr>
          <w:rFonts w:ascii="Arial" w:hAnsi="Arial" w:cs="Arial"/>
          <w:u w:val="single"/>
        </w:rPr>
      </w:pPr>
      <w:r w:rsidRPr="00063441">
        <w:rPr>
          <w:rFonts w:ascii="Arial" w:hAnsi="Arial" w:cs="Arial"/>
          <w:u w:val="single"/>
        </w:rPr>
        <w:t xml:space="preserve">Ocena funkcjonowania pakietu ustaw tzw. </w:t>
      </w:r>
      <w:r w:rsidRPr="00063441">
        <w:rPr>
          <w:rFonts w:ascii="Arial" w:hAnsi="Arial" w:cs="Arial"/>
          <w:i/>
          <w:u w:val="single"/>
        </w:rPr>
        <w:t>Konstytucji biznesu</w:t>
      </w:r>
    </w:p>
    <w:p w14:paraId="073866B5" w14:textId="4C161385" w:rsidR="00B20B43" w:rsidRPr="00063441" w:rsidRDefault="00B20B43" w:rsidP="00B20B43">
      <w:pPr>
        <w:spacing w:after="120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>Ministerstwo Rozwoju i Technologii dokonało analizy funkcjonowania pakietu ustaw tzw.</w:t>
      </w:r>
      <w:r>
        <w:rPr>
          <w:rFonts w:ascii="Arial" w:hAnsi="Arial" w:cs="Arial"/>
          <w:szCs w:val="24"/>
        </w:rPr>
        <w:t> </w:t>
      </w:r>
      <w:r w:rsidRPr="00063441">
        <w:rPr>
          <w:rFonts w:ascii="Arial" w:hAnsi="Arial" w:cs="Arial"/>
          <w:i/>
          <w:szCs w:val="24"/>
        </w:rPr>
        <w:t>Konstytucji biznesu</w:t>
      </w:r>
      <w:r w:rsidRPr="00063441">
        <w:rPr>
          <w:rFonts w:ascii="Arial" w:hAnsi="Arial" w:cs="Arial"/>
          <w:szCs w:val="24"/>
        </w:rPr>
        <w:t>, które weszły w życie w 2018 r. Rada Ministrów przyjęła ocenę 20 czerwca 2022 r.</w:t>
      </w:r>
    </w:p>
    <w:p w14:paraId="19C8D76B" w14:textId="77777777" w:rsidR="00B20B43" w:rsidRPr="00063441" w:rsidRDefault="00B20B43" w:rsidP="00B20B43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Cs w:val="24"/>
        </w:rPr>
      </w:pPr>
      <w:r w:rsidRPr="00063441">
        <w:rPr>
          <w:rFonts w:ascii="Arial" w:eastAsiaTheme="minorHAnsi" w:hAnsi="Arial" w:cs="Arial"/>
          <w:szCs w:val="24"/>
        </w:rPr>
        <w:t xml:space="preserve">Celem </w:t>
      </w:r>
      <w:r w:rsidRPr="00063441">
        <w:rPr>
          <w:rFonts w:ascii="Arial" w:eastAsiaTheme="minorHAnsi" w:hAnsi="Arial" w:cs="Arial"/>
          <w:i/>
          <w:szCs w:val="24"/>
        </w:rPr>
        <w:t>Konstytucji biznesu</w:t>
      </w:r>
      <w:r w:rsidRPr="00063441">
        <w:rPr>
          <w:rFonts w:ascii="Arial" w:eastAsiaTheme="minorHAnsi" w:hAnsi="Arial" w:cs="Arial"/>
          <w:szCs w:val="24"/>
        </w:rPr>
        <w:t xml:space="preserve"> było zreformowanie i uproszczenie przepisów dotyczących prowadzenia działalności gospodarczej. Przygotowanie oceny zostało zaplanowane na etapie prac nad projektami ustaw wchodzącymi w skład pakietu. </w:t>
      </w:r>
    </w:p>
    <w:p w14:paraId="48FCD70C" w14:textId="77777777" w:rsidR="00B20B43" w:rsidRPr="00063441" w:rsidRDefault="00B20B43" w:rsidP="00B20B43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szCs w:val="24"/>
        </w:rPr>
      </w:pPr>
      <w:r w:rsidRPr="00063441">
        <w:rPr>
          <w:rFonts w:ascii="Arial" w:hAnsi="Arial" w:cs="Arial"/>
          <w:b/>
          <w:szCs w:val="24"/>
        </w:rPr>
        <w:t xml:space="preserve">Wyniki oceny </w:t>
      </w:r>
      <w:r w:rsidRPr="00063441">
        <w:rPr>
          <w:rFonts w:ascii="Arial" w:hAnsi="Arial" w:cs="Arial"/>
          <w:b/>
          <w:i/>
          <w:szCs w:val="24"/>
        </w:rPr>
        <w:t>Konstytucji biznesu</w:t>
      </w:r>
    </w:p>
    <w:p w14:paraId="26D2C386" w14:textId="77777777" w:rsidR="00B20B43" w:rsidRPr="00063441" w:rsidRDefault="00B20B43" w:rsidP="00B20B4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 xml:space="preserve">Rozwiązania wprowadzone </w:t>
      </w:r>
      <w:r w:rsidRPr="00063441">
        <w:rPr>
          <w:rFonts w:ascii="Arial" w:hAnsi="Arial" w:cs="Arial"/>
          <w:i/>
          <w:szCs w:val="24"/>
        </w:rPr>
        <w:t>Konstytucją biznesu</w:t>
      </w:r>
      <w:r w:rsidRPr="00063441">
        <w:rPr>
          <w:rFonts w:ascii="Arial" w:hAnsi="Arial" w:cs="Arial"/>
          <w:szCs w:val="24"/>
        </w:rPr>
        <w:t xml:space="preserve"> przyczyniły się do pozytywnej zmiany dla funkcjonowania przedsiębiorców, o czym świadczą m.in. następujące dane:</w:t>
      </w:r>
    </w:p>
    <w:p w14:paraId="7EA3AF30" w14:textId="77777777" w:rsidR="00B20B43" w:rsidRPr="00063441" w:rsidRDefault="00B20B43" w:rsidP="00B20B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063441">
        <w:rPr>
          <w:rFonts w:ascii="Arial" w:hAnsi="Arial" w:cs="Arial"/>
        </w:rPr>
        <w:t>z ulgi na start (tj. dobrowolnego zwolnienia ze składek na ubezpieczenia społeczne w początkowym okresie prowadzenia działalności gospodarczej) korzysta ok. 200 tys. przedsiębiorców rocznie;</w:t>
      </w:r>
    </w:p>
    <w:p w14:paraId="6884B786" w14:textId="77777777" w:rsidR="00B20B43" w:rsidRPr="00063441" w:rsidRDefault="00B20B43" w:rsidP="00B20B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063441">
        <w:rPr>
          <w:rFonts w:ascii="Arial" w:hAnsi="Arial" w:cs="Arial"/>
        </w:rPr>
        <w:t>z tzw. działalności nieewidencjonowanej (tj. zwolnienia z szeregu obowiązków publicznoprawnych działalności wykonywanych na mniejszą skalę, takich jak obowiązki rejestracyjne) w 2020 r. skorzystało ok. 23,5 tys. osób;</w:t>
      </w:r>
    </w:p>
    <w:p w14:paraId="46818FE2" w14:textId="77777777" w:rsidR="00B20B43" w:rsidRPr="00063441" w:rsidRDefault="00B20B43" w:rsidP="00B20B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063441">
        <w:rPr>
          <w:rFonts w:ascii="Arial" w:hAnsi="Arial" w:cs="Arial"/>
        </w:rPr>
        <w:t>popularnością cieszy się możliwość ustanawiania w firmach prokurentów, charakteryzujących się znacznie szerszym zakresem działania niż zwykli pełnomocnicy – z tego nowego rozwiązania korzysta już ponad 2,2 tys. firm;</w:t>
      </w:r>
    </w:p>
    <w:p w14:paraId="7379A2C5" w14:textId="77777777" w:rsidR="00B20B43" w:rsidRPr="00063441" w:rsidRDefault="00B20B43" w:rsidP="00B20B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063441">
        <w:rPr>
          <w:rFonts w:ascii="Arial" w:hAnsi="Arial" w:cs="Arial"/>
        </w:rPr>
        <w:t>wzrasta rola Rzecznika MŚP we wsparciu przedsiębiorców, czego wyrazem jest rosnąca liczba wniosków o podjęcie interwencji (np. w 2019 r. było to ok. 1100 wniosków o interwencję, w 2020 r. ponad 2800, a w 2021 r. ponad 3300);</w:t>
      </w:r>
    </w:p>
    <w:p w14:paraId="1C665F52" w14:textId="77777777" w:rsidR="00B20B43" w:rsidRPr="00063441" w:rsidRDefault="00B20B43" w:rsidP="00B20B43">
      <w:pPr>
        <w:autoSpaceDE w:val="0"/>
        <w:autoSpaceDN w:val="0"/>
        <w:adjustRightInd w:val="0"/>
        <w:spacing w:after="120"/>
        <w:ind w:left="96"/>
        <w:jc w:val="both"/>
        <w:rPr>
          <w:rFonts w:ascii="Arial" w:hAnsi="Arial" w:cs="Arial"/>
          <w:sz w:val="20"/>
        </w:rPr>
      </w:pPr>
      <w:r w:rsidRPr="00063441">
        <w:rPr>
          <w:rFonts w:ascii="Arial" w:hAnsi="Arial" w:cs="Arial"/>
          <w:szCs w:val="24"/>
        </w:rPr>
        <w:t xml:space="preserve">Ponadto obserwuje się zwiększenie roli przedsiębiorcy w obrocie gospodarczym, lepszą ochronę praw przedsiębiorców, kierowanie się przez sądy powszechne, jak również urzędy zasadami takimi jak </w:t>
      </w:r>
      <w:r w:rsidRPr="00063441">
        <w:rPr>
          <w:rFonts w:ascii="Arial" w:eastAsia="FedraSerifAStdDemi" w:hAnsi="Arial" w:cs="Arial"/>
          <w:szCs w:val="24"/>
        </w:rPr>
        <w:t>rozstrzyganie wątpliwości na korzyść przedsiębiorcy</w:t>
      </w:r>
      <w:r w:rsidRPr="00063441">
        <w:rPr>
          <w:rFonts w:ascii="Arial" w:hAnsi="Arial" w:cs="Arial"/>
          <w:szCs w:val="24"/>
        </w:rPr>
        <w:t>. Na uwagę zasługują również postępy w cyfryzacji otoczenia biznesowego, które zostały zakotwiczone w </w:t>
      </w:r>
      <w:r w:rsidRPr="00063441">
        <w:rPr>
          <w:rFonts w:ascii="Arial" w:hAnsi="Arial" w:cs="Arial"/>
          <w:i/>
          <w:szCs w:val="24"/>
        </w:rPr>
        <w:t>Konstytucji biznesu</w:t>
      </w:r>
      <w:r w:rsidRPr="00063441">
        <w:rPr>
          <w:rFonts w:ascii="Arial" w:hAnsi="Arial" w:cs="Arial"/>
          <w:szCs w:val="24"/>
        </w:rPr>
        <w:t xml:space="preserve">, a okazały się niezwykle istotne w czasie pandemii COVID-19 np.: </w:t>
      </w:r>
    </w:p>
    <w:p w14:paraId="1E639B17" w14:textId="6B935F50" w:rsidR="00B20B43" w:rsidRPr="00063441" w:rsidRDefault="00B20B43" w:rsidP="00B20B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1134" w:hanging="589"/>
        <w:contextualSpacing w:val="0"/>
        <w:jc w:val="both"/>
        <w:rPr>
          <w:rFonts w:ascii="Arial" w:hAnsi="Arial" w:cs="Arial"/>
        </w:rPr>
      </w:pPr>
      <w:r w:rsidRPr="00063441">
        <w:rPr>
          <w:rFonts w:ascii="Arial" w:hAnsi="Arial" w:cs="Arial"/>
        </w:rPr>
        <w:t>rozwinął się portal biznes.gov.pl, który oferuje m.in. dostęp do ok. 400 usług online oraz ponad 1000 opisów procedur (popularność portalu rośnie od ponad 4 lat w</w:t>
      </w:r>
      <w:r>
        <w:rPr>
          <w:rFonts w:ascii="Arial" w:hAnsi="Arial" w:cs="Arial"/>
        </w:rPr>
        <w:t> </w:t>
      </w:r>
      <w:r w:rsidRPr="00063441">
        <w:rPr>
          <w:rFonts w:ascii="Arial" w:hAnsi="Arial" w:cs="Arial"/>
        </w:rPr>
        <w:t>tempie 75% rocznie),</w:t>
      </w:r>
    </w:p>
    <w:p w14:paraId="6E419413" w14:textId="77777777" w:rsidR="00B20B43" w:rsidRPr="00063441" w:rsidRDefault="00B20B43" w:rsidP="00B20B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1134" w:hanging="589"/>
        <w:contextualSpacing w:val="0"/>
        <w:jc w:val="both"/>
        <w:rPr>
          <w:rFonts w:ascii="Arial" w:hAnsi="Arial" w:cs="Arial"/>
          <w:i/>
        </w:rPr>
      </w:pPr>
      <w:r w:rsidRPr="00063441">
        <w:rPr>
          <w:rFonts w:ascii="Arial" w:hAnsi="Arial" w:cs="Arial"/>
        </w:rPr>
        <w:t xml:space="preserve">możliwe stało się uiszczanie opłat, uzyskanie zaświadczenia o niezaleganiu w podatkach, składkach bez osobistej wizyty w urzędzie, czy np. złożenie zapytania przez przedsiębiorcę do właściwego ministerstwa poprzez skrzynkę </w:t>
      </w:r>
      <w:proofErr w:type="spellStart"/>
      <w:r w:rsidRPr="00063441">
        <w:rPr>
          <w:rFonts w:ascii="Arial" w:hAnsi="Arial" w:cs="Arial"/>
        </w:rPr>
        <w:t>ePUAP</w:t>
      </w:r>
      <w:proofErr w:type="spellEnd"/>
      <w:r w:rsidRPr="00063441">
        <w:rPr>
          <w:rFonts w:ascii="Arial" w:hAnsi="Arial" w:cs="Arial"/>
        </w:rPr>
        <w:t>, albo drogą mailową oraz otrzymanie informacji zwrotnej w takiej samej formie. Z kolei zmiany wprowadzone w Kodeksie postępowania administracyjnego, umożliwiające załatwianie spraw urzędowych ustnie, telefonicznie, za pomocą środków komunikacji elektronicznej lub za pomocą innych środków łączności wpisały się w trend upraszczania i ułatwiania załatwiania spraw urzędowych.</w:t>
      </w:r>
    </w:p>
    <w:p w14:paraId="64DA8B1F" w14:textId="77777777" w:rsidR="00B20B43" w:rsidRPr="00063441" w:rsidRDefault="00B20B43" w:rsidP="00B20B4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 xml:space="preserve">Ocena była przedmiotem konsultacji i opiniowania z największymi organizacjami reprezentującymi przedsiębiorców oraz z ministerstwami i innymi urzędami. </w:t>
      </w:r>
    </w:p>
    <w:p w14:paraId="39FC15E1" w14:textId="17B2D30F" w:rsidR="00EF7269" w:rsidRDefault="00B20B43" w:rsidP="00972D9D">
      <w:pPr>
        <w:autoSpaceDE w:val="0"/>
        <w:autoSpaceDN w:val="0"/>
        <w:adjustRightInd w:val="0"/>
        <w:spacing w:after="120"/>
        <w:jc w:val="both"/>
      </w:pPr>
      <w:r w:rsidRPr="00063441">
        <w:rPr>
          <w:rStyle w:val="Pogrubienie"/>
          <w:rFonts w:ascii="Arial" w:hAnsi="Arial" w:cs="Arial"/>
          <w:szCs w:val="24"/>
        </w:rPr>
        <w:t xml:space="preserve">Więcej informacji o </w:t>
      </w:r>
      <w:r w:rsidRPr="00063441">
        <w:rPr>
          <w:rStyle w:val="Pogrubienie"/>
          <w:rFonts w:ascii="Arial" w:hAnsi="Arial" w:cs="Arial"/>
          <w:i/>
          <w:szCs w:val="24"/>
        </w:rPr>
        <w:t>Konstytucji biznesu</w:t>
      </w:r>
      <w:r w:rsidRPr="00063441">
        <w:rPr>
          <w:rStyle w:val="Pogrubienie"/>
          <w:rFonts w:ascii="Arial" w:hAnsi="Arial" w:cs="Arial"/>
          <w:szCs w:val="24"/>
        </w:rPr>
        <w:t xml:space="preserve"> można uzyskać na stronie: </w:t>
      </w:r>
      <w:hyperlink r:id="rId5" w:history="1">
        <w:r w:rsidRPr="00063441">
          <w:rPr>
            <w:rStyle w:val="Hipercze"/>
            <w:rFonts w:ascii="Arial" w:hAnsi="Arial" w:cs="Arial"/>
            <w:szCs w:val="24"/>
          </w:rPr>
          <w:t>https://www.gov.pl/web/rozwoj-technologia/konstytucja-biznesu-wchodzi-w-zycie</w:t>
        </w:r>
      </w:hyperlink>
      <w:r>
        <w:rPr>
          <w:rStyle w:val="Hipercze"/>
          <w:rFonts w:ascii="Arial" w:hAnsi="Arial" w:cs="Arial"/>
          <w:szCs w:val="24"/>
        </w:rPr>
        <w:t>.</w:t>
      </w:r>
    </w:p>
    <w:sectPr w:rsidR="00EF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edraSerifAStdDem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126"/>
    <w:multiLevelType w:val="hybridMultilevel"/>
    <w:tmpl w:val="2538432E"/>
    <w:lvl w:ilvl="0" w:tplc="9F5CF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498"/>
    <w:multiLevelType w:val="hybridMultilevel"/>
    <w:tmpl w:val="8444C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A4914"/>
    <w:multiLevelType w:val="hybridMultilevel"/>
    <w:tmpl w:val="798C91CE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A6F1DD7"/>
    <w:multiLevelType w:val="hybridMultilevel"/>
    <w:tmpl w:val="E81AD2AA"/>
    <w:lvl w:ilvl="0" w:tplc="56BAA00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48955">
    <w:abstractNumId w:val="0"/>
  </w:num>
  <w:num w:numId="2" w16cid:durableId="751506239">
    <w:abstractNumId w:val="3"/>
  </w:num>
  <w:num w:numId="3" w16cid:durableId="1277132073">
    <w:abstractNumId w:val="2"/>
  </w:num>
  <w:num w:numId="4" w16cid:durableId="42762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3"/>
    <w:rsid w:val="00972D9D"/>
    <w:rsid w:val="00B20B43"/>
    <w:rsid w:val="00E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892"/>
  <w15:chartTrackingRefBased/>
  <w15:docId w15:val="{CF85ED4C-A351-4F00-BC71-90355ED5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B4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20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0B4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0B43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0B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0B4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0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zwoj-technologia/konstytucja-biznesu-wchodzi-w-zy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Joanna</dc:creator>
  <cp:keywords/>
  <dc:description/>
  <cp:lastModifiedBy>Pohl Joanna</cp:lastModifiedBy>
  <cp:revision>2</cp:revision>
  <dcterms:created xsi:type="dcterms:W3CDTF">2022-07-18T10:49:00Z</dcterms:created>
  <dcterms:modified xsi:type="dcterms:W3CDTF">2022-07-18T11:03:00Z</dcterms:modified>
</cp:coreProperties>
</file>