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9581" w14:textId="30DF2FE6" w:rsidR="00AF5441" w:rsidRDefault="008A39ED" w:rsidP="008A39ED">
      <w:pPr>
        <w:pStyle w:val="Nagwek1"/>
        <w:rPr>
          <w:rFonts w:ascii="Times New Roman" w:eastAsia="Times New Roman" w:hAnsi="Times New Roman" w:cs="Times New Roman"/>
          <w:szCs w:val="24"/>
          <w:lang w:eastAsia="pl-PL"/>
        </w:rPr>
      </w:pPr>
      <w:r w:rsidRPr="008A39ED">
        <w:rPr>
          <w:rFonts w:ascii="Times New Roman" w:eastAsia="Times New Roman" w:hAnsi="Times New Roman" w:cs="Times New Roman"/>
          <w:szCs w:val="24"/>
          <w:lang w:eastAsia="pl-PL"/>
        </w:rPr>
        <w:t>Załącznik B.70.</w:t>
      </w:r>
    </w:p>
    <w:p w14:paraId="7D3D4525" w14:textId="77777777" w:rsidR="008A39ED" w:rsidRPr="008A39ED" w:rsidRDefault="008A39ED" w:rsidP="008A39ED">
      <w:pPr>
        <w:pStyle w:val="Nagwek1"/>
        <w:rPr>
          <w:rFonts w:ascii="Times New Roman" w:eastAsia="Times New Roman" w:hAnsi="Times New Roman" w:cs="Times New Roman"/>
          <w:szCs w:val="24"/>
          <w:lang w:eastAsia="pl-PL"/>
        </w:rPr>
      </w:pPr>
    </w:p>
    <w:p w14:paraId="12E86455" w14:textId="1B0B460C" w:rsidR="008A39ED" w:rsidRDefault="008A39ED" w:rsidP="008A39ED">
      <w:pPr>
        <w:spacing w:after="240" w:line="240" w:lineRule="auto"/>
        <w:rPr>
          <w:rFonts w:ascii="Times New Roman" w:eastAsia="Times New Roman" w:hAnsi="Times New Roman" w:cs="Times New Roman"/>
          <w:b/>
          <w:sz w:val="28"/>
          <w:szCs w:val="28"/>
          <w:lang w:eastAsia="pl-PL"/>
        </w:rPr>
      </w:pPr>
      <w:r w:rsidRPr="008A39ED">
        <w:rPr>
          <w:rFonts w:ascii="Times New Roman" w:eastAsia="Times New Roman" w:hAnsi="Times New Roman" w:cs="Times New Roman"/>
          <w:b/>
          <w:sz w:val="28"/>
          <w:szCs w:val="28"/>
          <w:lang w:eastAsia="pl-PL"/>
        </w:rPr>
        <w:t>LECZENIE PACJENTÓW Z CHOROBAMI SIATKÓWKI (ICD-10</w:t>
      </w:r>
      <w:r w:rsidR="00FF4D29">
        <w:rPr>
          <w:rFonts w:ascii="Times New Roman" w:eastAsia="Times New Roman" w:hAnsi="Times New Roman" w:cs="Times New Roman"/>
          <w:b/>
          <w:sz w:val="28"/>
          <w:szCs w:val="28"/>
          <w:lang w:eastAsia="pl-PL"/>
        </w:rPr>
        <w:t>:</w:t>
      </w:r>
      <w:r w:rsidRPr="008A39ED">
        <w:rPr>
          <w:rFonts w:ascii="Times New Roman" w:eastAsia="Times New Roman" w:hAnsi="Times New Roman" w:cs="Times New Roman"/>
          <w:b/>
          <w:sz w:val="28"/>
          <w:szCs w:val="28"/>
          <w:lang w:eastAsia="pl-PL"/>
        </w:rPr>
        <w:t xml:space="preserve"> H35.</w:t>
      </w:r>
      <w:r w:rsidR="00B74BA1">
        <w:rPr>
          <w:rFonts w:ascii="Times New Roman" w:eastAsia="Times New Roman" w:hAnsi="Times New Roman" w:cs="Times New Roman"/>
          <w:b/>
          <w:sz w:val="28"/>
          <w:szCs w:val="28"/>
          <w:lang w:eastAsia="pl-PL"/>
        </w:rPr>
        <w:t>3</w:t>
      </w:r>
      <w:r w:rsidRPr="008A39ED">
        <w:rPr>
          <w:rFonts w:ascii="Times New Roman" w:eastAsia="Times New Roman" w:hAnsi="Times New Roman" w:cs="Times New Roman"/>
          <w:b/>
          <w:sz w:val="28"/>
          <w:szCs w:val="28"/>
          <w:lang w:eastAsia="pl-PL"/>
        </w:rPr>
        <w:t>, H36.0)</w:t>
      </w:r>
    </w:p>
    <w:tbl>
      <w:tblPr>
        <w:tblpPr w:leftFromText="141" w:rightFromText="141" w:vertAnchor="text" w:horzAnchor="margin" w:tblpXSpec="center" w:tblpY="24"/>
        <w:tblW w:w="153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3" w:type="dxa"/>
        </w:tblCellMar>
        <w:tblLook w:val="04A0" w:firstRow="1" w:lastRow="0" w:firstColumn="1" w:lastColumn="0" w:noHBand="0" w:noVBand="1"/>
      </w:tblPr>
      <w:tblGrid>
        <w:gridCol w:w="6799"/>
        <w:gridCol w:w="4299"/>
        <w:gridCol w:w="4300"/>
      </w:tblGrid>
      <w:tr w:rsidR="008A39ED" w:rsidRPr="008A39ED" w14:paraId="184D198E" w14:textId="77777777" w:rsidTr="00EA1F9C">
        <w:trPr>
          <w:trHeight w:val="567"/>
        </w:trPr>
        <w:tc>
          <w:tcPr>
            <w:tcW w:w="15398" w:type="dxa"/>
            <w:gridSpan w:val="3"/>
            <w:vAlign w:val="center"/>
            <w:hideMark/>
          </w:tcPr>
          <w:p w14:paraId="0CDD13CB" w14:textId="77777777" w:rsidR="008A39ED" w:rsidRPr="008A39ED" w:rsidRDefault="008A39ED" w:rsidP="008A39ED">
            <w:pPr>
              <w:spacing w:after="0" w:line="240" w:lineRule="auto"/>
              <w:jc w:val="center"/>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ZAKRES ŚWIADCZENIA GWARANTOWANEGO</w:t>
            </w:r>
          </w:p>
        </w:tc>
      </w:tr>
      <w:tr w:rsidR="008A39ED" w:rsidRPr="008A39ED" w14:paraId="180A01A3" w14:textId="77777777" w:rsidTr="00EA1F9C">
        <w:trPr>
          <w:trHeight w:val="567"/>
        </w:trPr>
        <w:tc>
          <w:tcPr>
            <w:tcW w:w="6799" w:type="dxa"/>
            <w:vAlign w:val="center"/>
            <w:hideMark/>
          </w:tcPr>
          <w:p w14:paraId="60DA2903" w14:textId="77777777" w:rsidR="008A39ED" w:rsidRPr="008A39ED" w:rsidRDefault="008A39ED" w:rsidP="008A39ED">
            <w:pPr>
              <w:spacing w:after="0" w:line="240" w:lineRule="auto"/>
              <w:jc w:val="center"/>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ŚWIADCZENIOBIORCY</w:t>
            </w:r>
          </w:p>
        </w:tc>
        <w:tc>
          <w:tcPr>
            <w:tcW w:w="4299" w:type="dxa"/>
            <w:vAlign w:val="center"/>
            <w:hideMark/>
          </w:tcPr>
          <w:p w14:paraId="2C643C6C" w14:textId="77777777" w:rsidR="008A39ED" w:rsidRPr="008A39ED" w:rsidRDefault="008A39ED" w:rsidP="008A39ED">
            <w:pPr>
              <w:spacing w:after="0" w:line="240" w:lineRule="auto"/>
              <w:jc w:val="center"/>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SCHEMAT DAWKOWANIA LEKÓW</w:t>
            </w:r>
          </w:p>
          <w:p w14:paraId="1C6EB708" w14:textId="77777777" w:rsidR="008A39ED" w:rsidRPr="008A39ED" w:rsidRDefault="008A39ED" w:rsidP="008A39ED">
            <w:pPr>
              <w:spacing w:after="0" w:line="240" w:lineRule="auto"/>
              <w:jc w:val="center"/>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W PROGRAMIE</w:t>
            </w:r>
          </w:p>
        </w:tc>
        <w:tc>
          <w:tcPr>
            <w:tcW w:w="4300" w:type="dxa"/>
            <w:vAlign w:val="center"/>
            <w:hideMark/>
          </w:tcPr>
          <w:p w14:paraId="5E705F6F" w14:textId="77777777" w:rsidR="008A39ED" w:rsidRPr="008A39ED" w:rsidRDefault="008A39ED" w:rsidP="008A39ED">
            <w:pPr>
              <w:spacing w:after="0" w:line="240" w:lineRule="auto"/>
              <w:jc w:val="center"/>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BADANIA DIAGNOSTYCZNE WYKONYWANE W RAMACH PROGRAMU</w:t>
            </w:r>
          </w:p>
        </w:tc>
      </w:tr>
      <w:tr w:rsidR="008A39ED" w:rsidRPr="008A39ED" w14:paraId="00798D3F" w14:textId="77777777" w:rsidTr="00EA1F9C">
        <w:trPr>
          <w:trHeight w:val="567"/>
        </w:trPr>
        <w:tc>
          <w:tcPr>
            <w:tcW w:w="15398" w:type="dxa"/>
            <w:gridSpan w:val="3"/>
            <w:vAlign w:val="center"/>
          </w:tcPr>
          <w:p w14:paraId="52ED9BA9" w14:textId="77777777" w:rsidR="008A39ED" w:rsidRPr="008A39ED" w:rsidRDefault="008A39ED" w:rsidP="008A39ED">
            <w:pPr>
              <w:numPr>
                <w:ilvl w:val="0"/>
                <w:numId w:val="7"/>
              </w:numPr>
              <w:spacing w:after="0" w:line="240" w:lineRule="auto"/>
              <w:contextualSpacing/>
              <w:jc w:val="center"/>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LECZENIE PACJENTÓW Z WYSIĘKOWYM ZWYRODNIENIEM PLAMKI ZWIĄZANYM Z WIEKIEM (AMD)</w:t>
            </w:r>
          </w:p>
        </w:tc>
      </w:tr>
      <w:tr w:rsidR="008A39ED" w:rsidRPr="008A39ED" w14:paraId="0389A987" w14:textId="77777777" w:rsidTr="00EA1F9C">
        <w:trPr>
          <w:trHeight w:val="20"/>
        </w:trPr>
        <w:tc>
          <w:tcPr>
            <w:tcW w:w="6799" w:type="dxa"/>
          </w:tcPr>
          <w:p w14:paraId="522C5E1C" w14:textId="77777777" w:rsidR="008A39ED" w:rsidRPr="008A39ED" w:rsidRDefault="008A39ED" w:rsidP="008A39ED">
            <w:pPr>
              <w:numPr>
                <w:ilvl w:val="0"/>
                <w:numId w:val="1"/>
              </w:numPr>
              <w:spacing w:before="120"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Leczenie neowaskularnej (wysiękowej) postaci zwyrodnienia plamki związanego z wiekiem afliberceptem</w:t>
            </w:r>
          </w:p>
          <w:p w14:paraId="0B23492B"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Pacjent jest kwalifikowany do programu przez Zespół Koordynacyjny do Spraw Leczenia Chorób Siatkówki, powoływany przez Prezesa Narodowego Funduszu Zdrowia.</w:t>
            </w:r>
          </w:p>
          <w:p w14:paraId="63BAB243"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Każdorazowo pacjenta do podania kolejnej dawki leku kwalifikuje lekarz prowadzący.</w:t>
            </w:r>
          </w:p>
          <w:p w14:paraId="0C55A4A9"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p>
          <w:p w14:paraId="4C9AA596" w14:textId="77777777" w:rsidR="008A39ED" w:rsidRPr="008A39ED" w:rsidRDefault="008A39ED" w:rsidP="008A39ED">
            <w:pPr>
              <w:numPr>
                <w:ilvl w:val="1"/>
                <w:numId w:val="1"/>
              </w:numPr>
              <w:spacing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Kryteria kwalifikacji</w:t>
            </w:r>
          </w:p>
          <w:p w14:paraId="63CF3C30"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obecność aktywnej (pierwotnej lub wtórnej), klasycznej, ukrytej lub mieszanej neowaskularyzacji podsiatkówkowej (CNV) zajmującej ponad 50% zmiany w przebiegu AMD potwierdzona w OCT (optycznej koherentnej tomografii) i angiografii fluoresceinowej lub badaniu angio-OCT;</w:t>
            </w:r>
          </w:p>
          <w:p w14:paraId="2044EF55"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wiek powyżej 45. roku życia;</w:t>
            </w:r>
          </w:p>
          <w:p w14:paraId="0F9E46F4"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wielkość zmiany mniejsza niż 12 DA (12 powierzchni tarczy nerwu wzrokowego);</w:t>
            </w:r>
          </w:p>
          <w:p w14:paraId="4614C586"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najlepsza skorygowana ostrość wzroku (BCVA) w leczonym oku 0,2-0,8 określona według tablicy Snellena (lub odpowiednio ekwiwalent ETDRS);</w:t>
            </w:r>
          </w:p>
          <w:p w14:paraId="25EA7914"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zgoda pacjenta na wykonanie iniekcji doszklistkowych;</w:t>
            </w:r>
          </w:p>
          <w:p w14:paraId="2F33AE1D"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brak dominującego zaniku geograficznego;</w:t>
            </w:r>
          </w:p>
          <w:p w14:paraId="6CAB4AB3"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brak dominującego wylewu krwi;</w:t>
            </w:r>
          </w:p>
          <w:p w14:paraId="025DAFC4"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przed rozpoczęciem leczenia brak istotnego, trwałego uszkodzenia struktury dołka (istotne uszkodzenie struktury jest zdefiniowane jako obecne zwłóknienie lub atrofia w dołku albo istotna przewlekła tarczowata blizna).</w:t>
            </w:r>
          </w:p>
          <w:p w14:paraId="5F2C93B2"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Kryteria kwalifikacji muszą być spełnione łącznie.</w:t>
            </w:r>
          </w:p>
          <w:p w14:paraId="4C2AF4EC" w14:textId="77777777" w:rsidR="008A39ED" w:rsidRPr="008A39ED" w:rsidRDefault="008A39ED" w:rsidP="008A39ED">
            <w:pPr>
              <w:spacing w:after="60" w:line="276" w:lineRule="auto"/>
              <w:jc w:val="both"/>
              <w:rPr>
                <w:rFonts w:ascii="Times New Roman" w:eastAsia="Calibri" w:hAnsi="Times New Roman" w:cs="Times New Roman"/>
                <w:sz w:val="20"/>
                <w:szCs w:val="20"/>
              </w:rPr>
            </w:pPr>
          </w:p>
          <w:p w14:paraId="2702E9BD" w14:textId="77777777" w:rsidR="008A39ED" w:rsidRPr="008A39ED" w:rsidRDefault="008A39ED" w:rsidP="008A39ED">
            <w:pPr>
              <w:numPr>
                <w:ilvl w:val="1"/>
                <w:numId w:val="1"/>
              </w:numPr>
              <w:spacing w:after="60" w:line="276" w:lineRule="auto"/>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Kryteria włączenia do programu pacjentów leczonych uprzednio w ramach jednorodnych grup pacjentów lub w programie leczenie neowaskularnej (wysiękowej) postaci zwyrodnienia plamki związanego z wiekiem (AMD), którzy zostali wyłączeni z programu (ponowna kwalifikacja), lub u świadczeniodawców, którzy nie posiadali umowy na udzielanie świadczeń opieki zdrowotnej finansowanych ze środków publicznych</w:t>
            </w:r>
          </w:p>
          <w:p w14:paraId="35CDAFA2"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Do programu kwalifikowani są również pacjenci wyłączeni z niego w oparciu o pkt. 8 kryteriów wyłączenia oraz którzy przed wprowadzeniem programu rozpoczęli leczenie wysiękowej postaci AMD iniekcjami doszklistkowymi przeciwciała monoklonalnego anty-VEGF lub rekombinowanego białka fuzyjnego:</w:t>
            </w:r>
          </w:p>
          <w:p w14:paraId="2ED7A7A1" w14:textId="77777777" w:rsidR="008A39ED" w:rsidRPr="008A39ED" w:rsidRDefault="008A39ED" w:rsidP="008A39ED">
            <w:pPr>
              <w:numPr>
                <w:ilvl w:val="3"/>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w ramach świadczeń gwarantowanych rozliczanych w ramach grupy </w:t>
            </w:r>
            <w:r w:rsidRPr="008A39ED">
              <w:rPr>
                <w:rFonts w:ascii="Times New Roman" w:eastAsia="Calibri" w:hAnsi="Times New Roman" w:cs="Times New Roman"/>
                <w:bCs/>
                <w:sz w:val="20"/>
                <w:szCs w:val="20"/>
                <w:lang w:eastAsia="pl-PL"/>
              </w:rPr>
              <w:t xml:space="preserve">B84 - </w:t>
            </w:r>
            <w:r w:rsidRPr="008A39ED">
              <w:rPr>
                <w:rFonts w:ascii="Times New Roman" w:eastAsia="Calibri" w:hAnsi="Times New Roman" w:cs="Times New Roman"/>
                <w:sz w:val="20"/>
                <w:szCs w:val="20"/>
              </w:rPr>
              <w:t xml:space="preserve">Małe zabiegi witreoretinalne </w:t>
            </w:r>
          </w:p>
          <w:p w14:paraId="224693CC" w14:textId="77777777" w:rsidR="008A39ED" w:rsidRPr="008A39ED" w:rsidRDefault="008A39ED" w:rsidP="008A39ED">
            <w:pPr>
              <w:spacing w:after="60" w:line="276" w:lineRule="auto"/>
              <w:ind w:left="454"/>
              <w:jc w:val="both"/>
              <w:rPr>
                <w:rFonts w:ascii="Times New Roman" w:eastAsia="Times New Roman" w:hAnsi="Times New Roman" w:cs="Times New Roman"/>
                <w:sz w:val="20"/>
                <w:szCs w:val="20"/>
                <w:lang w:eastAsia="pl-PL"/>
              </w:rPr>
            </w:pPr>
            <w:r w:rsidRPr="008A39ED">
              <w:rPr>
                <w:rFonts w:ascii="Times New Roman" w:eastAsia="Calibri" w:hAnsi="Times New Roman" w:cs="Times New Roman"/>
                <w:sz w:val="20"/>
                <w:szCs w:val="20"/>
              </w:rPr>
              <w:t>lub</w:t>
            </w:r>
            <w:r w:rsidRPr="008A39ED">
              <w:rPr>
                <w:rFonts w:ascii="Times New Roman" w:eastAsia="Times New Roman" w:hAnsi="Times New Roman" w:cs="Times New Roman"/>
                <w:sz w:val="20"/>
                <w:szCs w:val="20"/>
                <w:lang w:eastAsia="pl-PL"/>
              </w:rPr>
              <w:t xml:space="preserve"> </w:t>
            </w:r>
          </w:p>
          <w:p w14:paraId="08A0B774" w14:textId="77777777" w:rsidR="008A39ED" w:rsidRPr="008A39ED" w:rsidRDefault="008A39ED" w:rsidP="008A39ED">
            <w:pPr>
              <w:numPr>
                <w:ilvl w:val="3"/>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u świadczeniodawców, którzy nie posiadali umowy na udzielanie świadczeń opieki zdrowotnej finansowanych ze środków publicznych </w:t>
            </w:r>
          </w:p>
          <w:p w14:paraId="18AA956A"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pod warunkiem, że w chwili rozpoczęcia terapii spełniali kryteria włączenia do programu. Jeżeli wykazano w tym czasie skuteczność leczenia, wtedy terapia powinna być kontynuowana zgodnie z zapisami programu.</w:t>
            </w:r>
          </w:p>
          <w:p w14:paraId="6332C6CB" w14:textId="77777777" w:rsidR="008A39ED" w:rsidRPr="008A39ED" w:rsidRDefault="008A39ED" w:rsidP="008A39ED">
            <w:pPr>
              <w:spacing w:after="60" w:line="276" w:lineRule="auto"/>
              <w:ind w:left="34" w:firstLine="1"/>
              <w:jc w:val="both"/>
              <w:rPr>
                <w:rFonts w:ascii="Times New Roman" w:eastAsia="Calibri" w:hAnsi="Times New Roman" w:cs="Times New Roman"/>
                <w:sz w:val="20"/>
                <w:szCs w:val="20"/>
              </w:rPr>
            </w:pPr>
          </w:p>
          <w:p w14:paraId="2E0137EF" w14:textId="77777777" w:rsidR="008A39ED" w:rsidRPr="008A39ED" w:rsidRDefault="008A39ED" w:rsidP="008A39ED">
            <w:pPr>
              <w:numPr>
                <w:ilvl w:val="1"/>
                <w:numId w:val="1"/>
              </w:numPr>
              <w:spacing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Określenie czasu leczenia w programie</w:t>
            </w:r>
          </w:p>
          <w:p w14:paraId="7FCB8BA9"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Leczenie trwa do czasu podjęcia przez lekarza prowadzącego decyzji </w:t>
            </w:r>
            <w:r w:rsidRPr="008A39ED">
              <w:rPr>
                <w:rFonts w:ascii="Times New Roman" w:eastAsia="Calibri" w:hAnsi="Times New Roman" w:cs="Times New Roman"/>
                <w:sz w:val="20"/>
                <w:szCs w:val="20"/>
                <w:lang w:eastAsia="pl-PL"/>
              </w:rPr>
              <w:t>o wyłączeniu</w:t>
            </w:r>
            <w:r w:rsidRPr="008A39ED">
              <w:rPr>
                <w:rFonts w:ascii="Times New Roman" w:eastAsia="Calibri" w:hAnsi="Times New Roman" w:cs="Times New Roman"/>
                <w:bCs/>
                <w:sz w:val="20"/>
                <w:szCs w:val="20"/>
                <w:lang w:eastAsia="pl-PL"/>
              </w:rPr>
              <w:t xml:space="preserve"> pacjenta z programu zgodnie z kryteriami wyłączenia. </w:t>
            </w:r>
          </w:p>
          <w:p w14:paraId="3EB9C94E"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p>
          <w:p w14:paraId="786C995D" w14:textId="77777777" w:rsidR="008A39ED" w:rsidRPr="008A39ED" w:rsidRDefault="008A39ED" w:rsidP="008A39ED">
            <w:pPr>
              <w:numPr>
                <w:ilvl w:val="1"/>
                <w:numId w:val="1"/>
              </w:numPr>
              <w:spacing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Kryteria wyłączenia</w:t>
            </w:r>
          </w:p>
          <w:p w14:paraId="7944716E"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nadwrażliwość na</w:t>
            </w:r>
            <w:r w:rsidRPr="008A39ED">
              <w:rPr>
                <w:rFonts w:ascii="Times New Roman" w:eastAsia="Calibri" w:hAnsi="Times New Roman" w:cs="Times New Roman"/>
                <w:sz w:val="20"/>
                <w:szCs w:val="20"/>
              </w:rPr>
              <w:t xml:space="preserve"> </w:t>
            </w:r>
            <w:proofErr w:type="spellStart"/>
            <w:r w:rsidRPr="008A39ED">
              <w:rPr>
                <w:rFonts w:ascii="Times New Roman" w:eastAsia="Calibri" w:hAnsi="Times New Roman" w:cs="Times New Roman"/>
                <w:bCs/>
                <w:sz w:val="20"/>
                <w:szCs w:val="20"/>
                <w:lang w:eastAsia="pl-PL"/>
              </w:rPr>
              <w:t>aflibercept</w:t>
            </w:r>
            <w:proofErr w:type="spellEnd"/>
            <w:r w:rsidRPr="008A39ED">
              <w:rPr>
                <w:rFonts w:ascii="Times New Roman" w:eastAsia="Calibri" w:hAnsi="Times New Roman" w:cs="Times New Roman"/>
                <w:bCs/>
                <w:sz w:val="20"/>
                <w:szCs w:val="20"/>
                <w:lang w:eastAsia="pl-PL"/>
              </w:rPr>
              <w:t xml:space="preserve"> lub na którąkolwiek substancję pomocniczą;</w:t>
            </w:r>
          </w:p>
          <w:p w14:paraId="51C0717C"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czynne zakażenie oka lub jego okolic;</w:t>
            </w:r>
          </w:p>
          <w:p w14:paraId="5ECE8ADF"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czynne ciężkie zapalenie wnętrza gałki;</w:t>
            </w:r>
          </w:p>
          <w:p w14:paraId="34B26B46"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okres ciąży lub karmienia piersią;</w:t>
            </w:r>
          </w:p>
          <w:p w14:paraId="3BCA233D"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wystąpienie działań niepożądanych związanych z lekiem uniemożliwiających jego dalsze stosowanie;</w:t>
            </w:r>
          </w:p>
          <w:p w14:paraId="54B6A796"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proofErr w:type="spellStart"/>
            <w:r w:rsidRPr="008A39ED">
              <w:rPr>
                <w:rFonts w:ascii="Times New Roman" w:eastAsia="Calibri" w:hAnsi="Times New Roman" w:cs="Times New Roman"/>
                <w:sz w:val="20"/>
                <w:szCs w:val="20"/>
              </w:rPr>
              <w:t>przedarciowe</w:t>
            </w:r>
            <w:proofErr w:type="spellEnd"/>
            <w:r w:rsidRPr="008A39ED">
              <w:rPr>
                <w:rFonts w:ascii="Times New Roman" w:eastAsia="Calibri" w:hAnsi="Times New Roman" w:cs="Times New Roman"/>
                <w:sz w:val="20"/>
                <w:szCs w:val="20"/>
              </w:rPr>
              <w:t xml:space="preserve"> odwarstwienie siatkówki lub otwór w plamce 3. lub 4. stopnia;</w:t>
            </w:r>
          </w:p>
          <w:p w14:paraId="7E4809D1"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progresja choroby definiowana jako:</w:t>
            </w:r>
          </w:p>
          <w:p w14:paraId="2CAD9F72" w14:textId="77777777" w:rsidR="008A39ED" w:rsidRPr="008A39ED" w:rsidRDefault="008A39ED" w:rsidP="008A39ED">
            <w:pPr>
              <w:numPr>
                <w:ilvl w:val="3"/>
                <w:numId w:val="1"/>
              </w:numPr>
              <w:spacing w:after="60" w:line="276" w:lineRule="auto"/>
              <w:jc w:val="both"/>
              <w:rPr>
                <w:rFonts w:ascii="Times New Roman" w:hAnsi="Times New Roman" w:cs="Times New Roman"/>
                <w:sz w:val="20"/>
                <w:szCs w:val="20"/>
              </w:rPr>
            </w:pPr>
            <w:r w:rsidRPr="008A39ED">
              <w:rPr>
                <w:rFonts w:ascii="Times New Roman" w:eastAsia="Calibri" w:hAnsi="Times New Roman" w:cs="Times New Roman"/>
                <w:bCs/>
                <w:sz w:val="20"/>
                <w:szCs w:val="20"/>
                <w:lang w:eastAsia="pl-PL"/>
              </w:rPr>
              <w:t>pogorszenie najlepszej skorygowanej ostrości wzroku (BCVA) do wartości &lt; 0,2 określonej według tablicy Snellena (lub odpowiednio ekwiwalent ETDRS) utrzymujące się dłużej niż 2 miesiące</w:t>
            </w:r>
          </w:p>
          <w:p w14:paraId="1BCAB075" w14:textId="77777777" w:rsidR="008A39ED" w:rsidRPr="008A39ED" w:rsidRDefault="008A39ED" w:rsidP="008A39ED">
            <w:pPr>
              <w:spacing w:after="60" w:line="276" w:lineRule="auto"/>
              <w:ind w:left="454"/>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lub</w:t>
            </w:r>
          </w:p>
          <w:p w14:paraId="49E03C63" w14:textId="77777777" w:rsidR="008A39ED" w:rsidRPr="008A39ED" w:rsidRDefault="008A39ED" w:rsidP="008A39ED">
            <w:pPr>
              <w:numPr>
                <w:ilvl w:val="3"/>
                <w:numId w:val="1"/>
              </w:numPr>
              <w:spacing w:after="60" w:line="276" w:lineRule="auto"/>
              <w:jc w:val="both"/>
              <w:rPr>
                <w:rFonts w:ascii="Times New Roman" w:eastAsia="Calibri" w:hAnsi="Times New Roman" w:cs="Times New Roman"/>
                <w:bCs/>
                <w:sz w:val="20"/>
                <w:szCs w:val="20"/>
              </w:rPr>
            </w:pPr>
            <w:r w:rsidRPr="008A39ED">
              <w:rPr>
                <w:rFonts w:ascii="Times New Roman" w:eastAsia="Calibri" w:hAnsi="Times New Roman" w:cs="Times New Roman"/>
                <w:sz w:val="20"/>
                <w:szCs w:val="20"/>
              </w:rPr>
              <w:t>obecność trwałego uszkodzenia struktury dołka, która uniemożliwia uzyskanie u pacjenta stabilizacji lub poprawy czynnościowej (istotne uszkodzenie struktury jest zdefiniowane jako obecne zwłóknienie lub atrofia w dołku albo istotna przewlekła tarczowata blizna);</w:t>
            </w:r>
          </w:p>
          <w:p w14:paraId="3A799189"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rPr>
              <w:t xml:space="preserve">brak aktywnego leczenia w postaci podawania iniekcji </w:t>
            </w:r>
            <w:proofErr w:type="spellStart"/>
            <w:r w:rsidRPr="008A39ED">
              <w:rPr>
                <w:rFonts w:ascii="Times New Roman" w:eastAsia="Calibri" w:hAnsi="Times New Roman" w:cs="Times New Roman"/>
                <w:bCs/>
                <w:sz w:val="20"/>
                <w:szCs w:val="20"/>
              </w:rPr>
              <w:t>afliberceptu</w:t>
            </w:r>
            <w:proofErr w:type="spellEnd"/>
            <w:r w:rsidRPr="008A39ED">
              <w:rPr>
                <w:rFonts w:ascii="Times New Roman" w:eastAsia="Calibri" w:hAnsi="Times New Roman" w:cs="Times New Roman"/>
                <w:bCs/>
                <w:sz w:val="20"/>
                <w:szCs w:val="20"/>
              </w:rPr>
              <w:t xml:space="preserve"> w okresie 4 miesięcy od podania ostatniej dawki leku;</w:t>
            </w:r>
          </w:p>
          <w:p w14:paraId="64D0FA00"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brak współpracy pacjenta z lekarzem prowadzącym (niezgłaszanie się z powodów nieuzasadnionych na określone przez program minimum 2 kolejne punkty kontrolne). </w:t>
            </w:r>
          </w:p>
          <w:p w14:paraId="4013CBE9" w14:textId="77777777" w:rsidR="008A39ED" w:rsidRPr="008A39ED" w:rsidRDefault="008A39ED" w:rsidP="008A39ED">
            <w:pPr>
              <w:spacing w:after="60" w:line="276" w:lineRule="auto"/>
              <w:ind w:left="596"/>
              <w:jc w:val="both"/>
              <w:rPr>
                <w:rFonts w:ascii="Times New Roman" w:eastAsia="Calibri" w:hAnsi="Times New Roman" w:cs="Times New Roman"/>
                <w:bCs/>
                <w:sz w:val="20"/>
                <w:szCs w:val="20"/>
              </w:rPr>
            </w:pPr>
          </w:p>
          <w:p w14:paraId="5282716D" w14:textId="77777777" w:rsidR="008A39ED" w:rsidRPr="008A39ED" w:rsidRDefault="008A39ED" w:rsidP="008A39ED">
            <w:pPr>
              <w:numPr>
                <w:ilvl w:val="0"/>
                <w:numId w:val="1"/>
              </w:numPr>
              <w:spacing w:after="60" w:line="276" w:lineRule="auto"/>
              <w:contextualSpacing/>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 xml:space="preserve">Leczenie neowaskularnej (wysiękowej) postaci zwyrodnienia plamki związanego z wiekiem </w:t>
            </w:r>
            <w:proofErr w:type="spellStart"/>
            <w:r w:rsidRPr="008A39ED">
              <w:rPr>
                <w:rFonts w:ascii="Times New Roman" w:eastAsia="Calibri" w:hAnsi="Times New Roman" w:cs="Times New Roman"/>
                <w:b/>
                <w:bCs/>
                <w:sz w:val="20"/>
                <w:szCs w:val="20"/>
                <w:lang w:eastAsia="pl-PL"/>
              </w:rPr>
              <w:t>ranibizumabem</w:t>
            </w:r>
            <w:proofErr w:type="spellEnd"/>
          </w:p>
          <w:p w14:paraId="71463CE2"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Pacjent jest kwalifikowany do programu przez Zespół Koordynacyjny do Spraw Leczenia Chorób Siatkówki, powoływany przez Prezesa Narodowego Funduszu Zdrowia.</w:t>
            </w:r>
          </w:p>
          <w:p w14:paraId="2E9AA596"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Każdorazowo pacjenta do podania kolejnej dawki leku kwalifikuje lekarz prowadzący.</w:t>
            </w:r>
          </w:p>
          <w:p w14:paraId="7DCF2C27"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p>
          <w:p w14:paraId="0FDDCB02" w14:textId="77777777" w:rsidR="008A39ED" w:rsidRPr="008A39ED" w:rsidRDefault="008A39ED" w:rsidP="008A39ED">
            <w:pPr>
              <w:numPr>
                <w:ilvl w:val="1"/>
                <w:numId w:val="1"/>
              </w:numPr>
              <w:spacing w:after="60" w:line="276" w:lineRule="auto"/>
              <w:contextualSpacing/>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Kryteria kwalifikacji</w:t>
            </w:r>
          </w:p>
          <w:p w14:paraId="4AC1C280"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obecność aktywnej (pierwotnej lub wtórnej), klasycznej, ukrytej lub mieszanej neowaskularyzacji podsiatkówkowej (CNV) zajmującej ponad 50% zmiany w przebiegu AMD potwierdzona w OCT (optycznej koherentnej tomografii) i angiografii fluoresceinowej lub badaniu angio-OCT;</w:t>
            </w:r>
          </w:p>
          <w:p w14:paraId="064F79E0"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wiek powyżej 45. roku życia;</w:t>
            </w:r>
          </w:p>
          <w:p w14:paraId="320343E4"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wielkość zmiany mniejsza niż 12 DA (12 powierzchni tarczy nerwu wzrokowego);</w:t>
            </w:r>
          </w:p>
          <w:p w14:paraId="4250608A"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najlepsza skorygowana ostrość wzroku (BCVA) w leczonym oku 0,2-0,8 określona według tablicy Snellena (lub odpowiednio ekwiwalent ETDRS);</w:t>
            </w:r>
          </w:p>
          <w:p w14:paraId="20945864"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zgoda pacjenta na wykonanie iniekcji doszklistkowych;</w:t>
            </w:r>
          </w:p>
          <w:p w14:paraId="760FA807"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brak dominującego zaniku geograficznego;</w:t>
            </w:r>
          </w:p>
          <w:p w14:paraId="51ADFB1E"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brak dominującego wylewu krwi.</w:t>
            </w:r>
          </w:p>
          <w:p w14:paraId="1A87A15E" w14:textId="77777777" w:rsidR="008A39ED" w:rsidRPr="008A39ED" w:rsidRDefault="008A39ED" w:rsidP="008A39ED">
            <w:pPr>
              <w:numPr>
                <w:ilvl w:val="2"/>
                <w:numId w:val="1"/>
              </w:numPr>
              <w:spacing w:after="60" w:line="276" w:lineRule="auto"/>
              <w:contextualSpacing/>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przed rozpoczęciem leczenia brak istotnego, trwałego uszkodzenia struktury dołka (istotne uszkodzenie struktury jest zdefiniowane jako obecne zwłóknienie lub atrofia w dołku albo istotna przewlekła tarczowata blizna).</w:t>
            </w:r>
          </w:p>
          <w:p w14:paraId="6046431A"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Kryteria kwalifikacji muszą być spełnione łącznie.</w:t>
            </w:r>
          </w:p>
          <w:p w14:paraId="02891FE1" w14:textId="77777777" w:rsidR="008A39ED" w:rsidRPr="008A39ED" w:rsidRDefault="008A39ED" w:rsidP="008A39ED">
            <w:pPr>
              <w:spacing w:after="60" w:line="276" w:lineRule="auto"/>
              <w:jc w:val="both"/>
              <w:rPr>
                <w:rFonts w:ascii="Times New Roman" w:eastAsia="Calibri" w:hAnsi="Times New Roman" w:cs="Times New Roman"/>
                <w:sz w:val="20"/>
                <w:szCs w:val="20"/>
              </w:rPr>
            </w:pPr>
          </w:p>
          <w:p w14:paraId="6198AFA3" w14:textId="77777777" w:rsidR="008A39ED" w:rsidRPr="008A39ED" w:rsidRDefault="008A39ED" w:rsidP="008A39ED">
            <w:pPr>
              <w:numPr>
                <w:ilvl w:val="1"/>
                <w:numId w:val="1"/>
              </w:numPr>
              <w:spacing w:after="60" w:line="276" w:lineRule="auto"/>
              <w:contextualSpacing/>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Kryteria włączenia do programu pacjentów leczonych uprzednio w ramach jednorodnych grup pacjentów lub w programie leczenie neowaskularnej (wysiękowej) postaci zwyrodnienia plamki związanego z wiekiem (AMD), którzy zostali wyłączeni z programu (ponowna kwalifikacja), lub u świadczeniodawców, którzy nie posiadali umowy na udzielanie świadczeń opieki zdrowotnej finansowanych ze środków publicznych</w:t>
            </w:r>
          </w:p>
          <w:p w14:paraId="3996E333"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Do programu kwalifikowani są również pacjenci wyłączeni z niego w oparciu o pkt. 8 kryteriów wyłączenia oraz którzy przed wprowadzeniem programu rozpoczęli leczenie wysiękowej postaci AMD iniekcjami doszklistkowymi przeciwciała monoklonalnego anty-VEGF lub rekombinowanego białka fuzyjnego:</w:t>
            </w:r>
          </w:p>
          <w:p w14:paraId="6C96E3FB" w14:textId="77777777" w:rsidR="008A39ED" w:rsidRPr="008A39ED" w:rsidRDefault="008A39ED" w:rsidP="008A39ED">
            <w:pPr>
              <w:numPr>
                <w:ilvl w:val="3"/>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w ramach świadczeń gwarantowanych rozliczanych w ramach grupy B84 - Małe zabiegi witreoretinalne </w:t>
            </w:r>
          </w:p>
          <w:p w14:paraId="73B506D2" w14:textId="77777777" w:rsidR="008A39ED" w:rsidRPr="008A39ED" w:rsidRDefault="008A39ED" w:rsidP="008A39ED">
            <w:pPr>
              <w:spacing w:after="60" w:line="276" w:lineRule="auto"/>
              <w:ind w:left="454"/>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lub </w:t>
            </w:r>
          </w:p>
          <w:p w14:paraId="02D3A333" w14:textId="77777777" w:rsidR="008A39ED" w:rsidRPr="008A39ED" w:rsidRDefault="008A39ED" w:rsidP="008A39ED">
            <w:pPr>
              <w:numPr>
                <w:ilvl w:val="3"/>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u świadczeniodawców, którzy nie posiadali umowy na udzielanie świadczeń opieki zdrowotnej finansowanych ze środków publicznych </w:t>
            </w:r>
          </w:p>
          <w:p w14:paraId="0C288737"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pod warunkiem, że w chwili rozpoczęcia terapii spełniali kryteria włączenia do programu. Jeżeli wykazano w tym czasie skuteczność leczenia, wtedy terapia powinna być kontynuowana zgodnie z zapisami programu.</w:t>
            </w:r>
          </w:p>
          <w:p w14:paraId="09D7F87E" w14:textId="77777777" w:rsidR="008A39ED" w:rsidRPr="008A39ED" w:rsidRDefault="008A39ED" w:rsidP="008A39ED">
            <w:pPr>
              <w:spacing w:after="60" w:line="276" w:lineRule="auto"/>
              <w:jc w:val="both"/>
              <w:rPr>
                <w:rFonts w:ascii="Times New Roman" w:eastAsia="Calibri" w:hAnsi="Times New Roman" w:cs="Times New Roman"/>
                <w:sz w:val="20"/>
                <w:szCs w:val="20"/>
              </w:rPr>
            </w:pPr>
          </w:p>
          <w:p w14:paraId="3D64A406" w14:textId="77777777" w:rsidR="008A39ED" w:rsidRPr="008A39ED" w:rsidRDefault="008A39ED" w:rsidP="008A39ED">
            <w:pPr>
              <w:numPr>
                <w:ilvl w:val="1"/>
                <w:numId w:val="1"/>
              </w:numPr>
              <w:spacing w:after="60" w:line="276" w:lineRule="auto"/>
              <w:contextualSpacing/>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Określenie czasu leczenia w programie</w:t>
            </w:r>
          </w:p>
          <w:p w14:paraId="58F555D8"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Leczenie trwa do czasu podjęcia przez lekarza prowadzącego decyzji </w:t>
            </w:r>
            <w:r w:rsidRPr="008A39ED">
              <w:rPr>
                <w:rFonts w:ascii="Times New Roman" w:eastAsia="Calibri" w:hAnsi="Times New Roman" w:cs="Times New Roman"/>
                <w:sz w:val="20"/>
                <w:szCs w:val="20"/>
                <w:lang w:eastAsia="pl-PL"/>
              </w:rPr>
              <w:t>o wyłączeniu</w:t>
            </w:r>
            <w:r w:rsidRPr="008A39ED">
              <w:rPr>
                <w:rFonts w:ascii="Times New Roman" w:eastAsia="Calibri" w:hAnsi="Times New Roman" w:cs="Times New Roman"/>
                <w:bCs/>
                <w:sz w:val="20"/>
                <w:szCs w:val="20"/>
                <w:lang w:eastAsia="pl-PL"/>
              </w:rPr>
              <w:t xml:space="preserve"> pacjenta z programu zgodnie z kryteriami wyłączenia. </w:t>
            </w:r>
          </w:p>
          <w:p w14:paraId="56EB2658"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p>
          <w:p w14:paraId="162AE6DF" w14:textId="77777777" w:rsidR="008A39ED" w:rsidRPr="008A39ED" w:rsidRDefault="008A39ED" w:rsidP="008A39ED">
            <w:pPr>
              <w:numPr>
                <w:ilvl w:val="1"/>
                <w:numId w:val="1"/>
              </w:numPr>
              <w:spacing w:after="60" w:line="276" w:lineRule="auto"/>
              <w:contextualSpacing/>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Kryteria wyłączenia</w:t>
            </w:r>
          </w:p>
          <w:p w14:paraId="06E7B7E1"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nadwrażliwość na </w:t>
            </w:r>
            <w:proofErr w:type="spellStart"/>
            <w:r w:rsidRPr="008A39ED">
              <w:rPr>
                <w:rFonts w:ascii="Times New Roman" w:eastAsia="Calibri" w:hAnsi="Times New Roman" w:cs="Times New Roman"/>
                <w:sz w:val="20"/>
                <w:szCs w:val="20"/>
              </w:rPr>
              <w:t>ranibizumab</w:t>
            </w:r>
            <w:proofErr w:type="spellEnd"/>
            <w:r w:rsidRPr="008A39ED">
              <w:rPr>
                <w:rFonts w:ascii="Times New Roman" w:eastAsia="Calibri" w:hAnsi="Times New Roman" w:cs="Times New Roman"/>
                <w:sz w:val="20"/>
                <w:szCs w:val="20"/>
              </w:rPr>
              <w:t xml:space="preserve"> lub na którąkolwiek substancję pomocniczą;</w:t>
            </w:r>
          </w:p>
          <w:p w14:paraId="0285F56E"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czynne zakażenie oka lub jego okolic;</w:t>
            </w:r>
          </w:p>
          <w:p w14:paraId="68252366"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czynne ciężkie zapalenie wnętrza gałki;</w:t>
            </w:r>
          </w:p>
          <w:p w14:paraId="73CBE0DD"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okres ciąży lub karmienia piersią;</w:t>
            </w:r>
          </w:p>
          <w:p w14:paraId="6F7E62D6"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wystąpienie działań niepożądanych związanych z lekiem uniemożliwiających jego dalsze stosowanie;</w:t>
            </w:r>
          </w:p>
          <w:p w14:paraId="5EA2A2F4"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proofErr w:type="spellStart"/>
            <w:r w:rsidRPr="008A39ED">
              <w:rPr>
                <w:rFonts w:ascii="Times New Roman" w:eastAsia="Calibri" w:hAnsi="Times New Roman" w:cs="Times New Roman"/>
                <w:sz w:val="20"/>
                <w:szCs w:val="20"/>
              </w:rPr>
              <w:t>przedarciowe</w:t>
            </w:r>
            <w:proofErr w:type="spellEnd"/>
            <w:r w:rsidRPr="008A39ED">
              <w:rPr>
                <w:rFonts w:ascii="Times New Roman" w:eastAsia="Calibri" w:hAnsi="Times New Roman" w:cs="Times New Roman"/>
                <w:sz w:val="20"/>
                <w:szCs w:val="20"/>
              </w:rPr>
              <w:t xml:space="preserve"> odwarstwienie siatkówki lub otwór w plamce 3. lub 4. stopnia;</w:t>
            </w:r>
          </w:p>
          <w:p w14:paraId="2052442F"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lang w:eastAsia="pl-PL"/>
              </w:rPr>
              <w:t>progresja choroby definiowana jako:</w:t>
            </w:r>
          </w:p>
          <w:p w14:paraId="0F0E74E0" w14:textId="77777777" w:rsidR="008A39ED" w:rsidRPr="008A39ED" w:rsidRDefault="008A39ED" w:rsidP="008A39ED">
            <w:pPr>
              <w:numPr>
                <w:ilvl w:val="3"/>
                <w:numId w:val="1"/>
              </w:numPr>
              <w:spacing w:after="60" w:line="276" w:lineRule="auto"/>
              <w:ind w:left="681" w:hanging="227"/>
              <w:jc w:val="both"/>
              <w:rPr>
                <w:rFonts w:ascii="Times New Roman" w:hAnsi="Times New Roman" w:cs="Times New Roman"/>
                <w:sz w:val="20"/>
                <w:szCs w:val="20"/>
              </w:rPr>
            </w:pPr>
            <w:r w:rsidRPr="008A39ED">
              <w:rPr>
                <w:rFonts w:ascii="Times New Roman" w:eastAsia="Calibri" w:hAnsi="Times New Roman" w:cs="Times New Roman"/>
                <w:bCs/>
                <w:sz w:val="20"/>
                <w:szCs w:val="20"/>
                <w:lang w:eastAsia="pl-PL"/>
              </w:rPr>
              <w:t>pogorszenie najlepszej skorygowanej ostrości wzroku (BCVA) do wartości &lt; 0,2 określonej według tablicy Snellena (lub odpowiednio ekwiwalent ETDRS) utrzymujące się dłużej niż 2 miesiące</w:t>
            </w:r>
          </w:p>
          <w:p w14:paraId="38A678E3" w14:textId="77777777" w:rsidR="008A39ED" w:rsidRPr="008A39ED" w:rsidRDefault="008A39ED" w:rsidP="008A39ED">
            <w:pPr>
              <w:spacing w:after="60" w:line="276" w:lineRule="auto"/>
              <w:ind w:left="454"/>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lub</w:t>
            </w:r>
          </w:p>
          <w:p w14:paraId="65786931" w14:textId="77777777" w:rsidR="008A39ED" w:rsidRPr="008A39ED" w:rsidRDefault="008A39ED" w:rsidP="008A39ED">
            <w:pPr>
              <w:numPr>
                <w:ilvl w:val="3"/>
                <w:numId w:val="1"/>
              </w:numPr>
              <w:spacing w:after="60" w:line="276" w:lineRule="auto"/>
              <w:jc w:val="both"/>
              <w:rPr>
                <w:rFonts w:ascii="Times New Roman" w:eastAsia="Calibri" w:hAnsi="Times New Roman" w:cs="Times New Roman"/>
                <w:bCs/>
                <w:sz w:val="20"/>
                <w:szCs w:val="20"/>
              </w:rPr>
            </w:pPr>
            <w:r w:rsidRPr="008A39ED">
              <w:rPr>
                <w:rFonts w:ascii="Times New Roman" w:eastAsia="Calibri" w:hAnsi="Times New Roman" w:cs="Times New Roman"/>
                <w:sz w:val="20"/>
                <w:szCs w:val="20"/>
              </w:rPr>
              <w:t>obecność trwałego uszkodzenia struktury dołka, która uniemożliwia uzyskanie u pacjenta stabilizacji lub poprawy czynnościowej (istotne uszkodzenie struktury jest zdefiniowane jako obecne zwłóknienie lub atrofia w dołku albo istotna przewlekła tarczowata blizna);</w:t>
            </w:r>
          </w:p>
          <w:p w14:paraId="576856A4" w14:textId="77777777" w:rsidR="008A39ED" w:rsidRPr="008A39ED" w:rsidRDefault="008A39ED" w:rsidP="008A39ED">
            <w:pPr>
              <w:numPr>
                <w:ilvl w:val="2"/>
                <w:numId w:val="1"/>
              </w:numPr>
              <w:spacing w:after="60" w:line="276" w:lineRule="auto"/>
              <w:contextualSpacing/>
              <w:jc w:val="both"/>
              <w:rPr>
                <w:rFonts w:ascii="Times New Roman" w:eastAsia="Calibri" w:hAnsi="Times New Roman" w:cs="Times New Roman"/>
                <w:bCs/>
                <w:sz w:val="20"/>
                <w:szCs w:val="20"/>
              </w:rPr>
            </w:pPr>
            <w:r w:rsidRPr="008A39ED">
              <w:rPr>
                <w:rFonts w:ascii="Times New Roman" w:eastAsia="Calibri" w:hAnsi="Times New Roman" w:cs="Times New Roman"/>
                <w:bCs/>
                <w:sz w:val="20"/>
                <w:szCs w:val="20"/>
              </w:rPr>
              <w:t xml:space="preserve">brak aktywnego leczenia w postaci podawania iniekcji </w:t>
            </w:r>
            <w:proofErr w:type="spellStart"/>
            <w:r w:rsidRPr="008A39ED">
              <w:rPr>
                <w:rFonts w:ascii="Times New Roman" w:eastAsia="Calibri" w:hAnsi="Times New Roman" w:cs="Times New Roman"/>
                <w:bCs/>
                <w:sz w:val="20"/>
                <w:szCs w:val="20"/>
              </w:rPr>
              <w:t>ranibizumabu</w:t>
            </w:r>
            <w:proofErr w:type="spellEnd"/>
            <w:r w:rsidRPr="008A39ED">
              <w:rPr>
                <w:rFonts w:ascii="Times New Roman" w:eastAsia="Calibri" w:hAnsi="Times New Roman" w:cs="Times New Roman"/>
                <w:bCs/>
                <w:sz w:val="20"/>
                <w:szCs w:val="20"/>
              </w:rPr>
              <w:t xml:space="preserve"> w okresie 4 miesięcy od podania ostatniej dawki leku;</w:t>
            </w:r>
          </w:p>
          <w:p w14:paraId="58D0A340" w14:textId="77777777" w:rsidR="008A39ED" w:rsidRPr="008A39ED" w:rsidRDefault="008A39ED" w:rsidP="008A39ED">
            <w:pPr>
              <w:numPr>
                <w:ilvl w:val="2"/>
                <w:numId w:val="1"/>
              </w:numPr>
              <w:spacing w:after="60" w:line="276" w:lineRule="auto"/>
              <w:contextualSpacing/>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rPr>
              <w:t>brak współpracy pacjenta z lekarzem prowadzącym (niezgłaszanie się z powodów nieuzasadnionych na określone przez program minimum 2 kolejne punkty kontrolne).</w:t>
            </w:r>
          </w:p>
          <w:p w14:paraId="5713A7A3" w14:textId="77777777" w:rsidR="008A39ED" w:rsidRPr="008A39ED" w:rsidRDefault="008A39ED" w:rsidP="008A39ED">
            <w:pPr>
              <w:spacing w:after="60" w:line="276" w:lineRule="auto"/>
              <w:ind w:left="454"/>
              <w:contextualSpacing/>
              <w:jc w:val="both"/>
              <w:rPr>
                <w:rFonts w:ascii="Times New Roman" w:eastAsia="Calibri" w:hAnsi="Times New Roman" w:cs="Times New Roman"/>
                <w:sz w:val="20"/>
                <w:szCs w:val="20"/>
              </w:rPr>
            </w:pPr>
          </w:p>
          <w:p w14:paraId="28130CCE" w14:textId="77777777" w:rsidR="008A39ED" w:rsidRPr="008A39ED" w:rsidRDefault="008A39ED" w:rsidP="008A39ED">
            <w:pPr>
              <w:numPr>
                <w:ilvl w:val="0"/>
                <w:numId w:val="1"/>
              </w:numPr>
              <w:spacing w:after="60" w:line="276" w:lineRule="auto"/>
              <w:contextualSpacing/>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Leczenie neowaskularnej (wysiękowej) postaci zwyrodnienia plamki związanego z wiekiem brolucizumabem</w:t>
            </w:r>
          </w:p>
          <w:p w14:paraId="7DDF0696"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Pacjent jest kwalifikowany do programu przez Zespół Koordynacyjny do Spraw Leczenia Chorób Siatkówki, powoływany przez Prezesa Narodowego Funduszu Zdrowia.</w:t>
            </w:r>
          </w:p>
          <w:p w14:paraId="700C9AD5"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Każdorazowo pacjenta do podania kolejnej dawki leku kwalifikuje lekarz prowadzący.</w:t>
            </w:r>
          </w:p>
          <w:p w14:paraId="2E9CBE6A"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p>
          <w:p w14:paraId="4E41A4AD" w14:textId="77777777" w:rsidR="008A39ED" w:rsidRPr="008A39ED" w:rsidRDefault="008A39ED" w:rsidP="008A39ED">
            <w:pPr>
              <w:numPr>
                <w:ilvl w:val="1"/>
                <w:numId w:val="1"/>
              </w:numPr>
              <w:spacing w:after="60" w:line="276" w:lineRule="auto"/>
              <w:contextualSpacing/>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Kryteria kwalifikacji</w:t>
            </w:r>
          </w:p>
          <w:p w14:paraId="47575537"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obecność aktywnej (pierwotnej lub wtórnej), klasycznej, ukrytej lub mieszanej neowaskularyzacji podsiatkówkowej (CNV) zajmującej ponad 50% zmiany w przebiegu AMD potwierdzona w OCT (optycznej koherentnej tomografii) i angiografii fluoresceinowej lub badaniu angio-OCT;</w:t>
            </w:r>
          </w:p>
          <w:p w14:paraId="7C6D0D0C"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wiek powyżej 45. roku życia;</w:t>
            </w:r>
          </w:p>
          <w:p w14:paraId="7E9A7F0A"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wielkość zmiany mniejsza niż 12 DA (12 powierzchni tarczy nerwu wzrokowego);</w:t>
            </w:r>
          </w:p>
          <w:p w14:paraId="0808A23D"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najlepsza skorygowana ostrość wzroku (BCVA) w leczonym oku 0,2-0,8 określona według tablicy Snellena (lub odpowiednio ekwiwalent ETDRS);</w:t>
            </w:r>
          </w:p>
          <w:p w14:paraId="4E44BE86"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zgoda pacjenta na wykonanie iniekcji doszklistkowych;</w:t>
            </w:r>
          </w:p>
          <w:p w14:paraId="3E4DF5A5"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brak dominującego zaniku geograficznego;</w:t>
            </w:r>
          </w:p>
          <w:p w14:paraId="4FD5820C"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brak dominującego wylewu krwi;</w:t>
            </w:r>
          </w:p>
          <w:p w14:paraId="4CEAEEA9"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przed rozpoczęciem leczenia brak istotnego, trwałego uszkodzenia struktury dołka (istotne uszkodzenie struktury jest zdefiniowane jako obecne zwłóknienie lub atrofia w dołku albo istotna przewlekła tarczowata blizna).</w:t>
            </w:r>
          </w:p>
          <w:p w14:paraId="6BD29D3D"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Kryteria kwalifikacji muszą być spełnione łącznie.</w:t>
            </w:r>
          </w:p>
          <w:p w14:paraId="09E710D2" w14:textId="77777777" w:rsidR="008A39ED" w:rsidRPr="008A39ED" w:rsidRDefault="008A39ED" w:rsidP="008A39ED">
            <w:pPr>
              <w:spacing w:after="60" w:line="276" w:lineRule="auto"/>
              <w:ind w:left="313"/>
              <w:jc w:val="both"/>
              <w:rPr>
                <w:rFonts w:ascii="Times New Roman" w:eastAsia="Calibri" w:hAnsi="Times New Roman" w:cs="Times New Roman"/>
                <w:sz w:val="20"/>
                <w:szCs w:val="20"/>
              </w:rPr>
            </w:pPr>
          </w:p>
          <w:p w14:paraId="007CEBE2" w14:textId="77777777" w:rsidR="008A39ED" w:rsidRPr="008A39ED" w:rsidRDefault="008A39ED" w:rsidP="008A39ED">
            <w:pPr>
              <w:numPr>
                <w:ilvl w:val="1"/>
                <w:numId w:val="1"/>
              </w:numPr>
              <w:spacing w:after="60" w:line="276" w:lineRule="auto"/>
              <w:contextualSpacing/>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Kryteria włączenia do programu pacjentów leczonych uprzednio w ramach jednorodnych grup pacjentów lub w programie leczenie neowaskularnej (wysiękowej) postaci zwyrodnienia plamki związanego z wiekiem (AMD), którzy zostali wyłączeni z programu (ponowna kwalifikacja), lub u świadczeniodawców, którzy nie posiadali umowy na udzielanie świadczeń opieki zdrowotnej finansowanych ze środków publicznych</w:t>
            </w:r>
          </w:p>
          <w:p w14:paraId="5371FB4B" w14:textId="77777777" w:rsidR="008A39ED" w:rsidRPr="008A39ED" w:rsidRDefault="008A39ED" w:rsidP="008A39ED">
            <w:pPr>
              <w:spacing w:after="60" w:line="276" w:lineRule="auto"/>
              <w:ind w:left="34" w:firstLine="1"/>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Do programu kwalifikowani są również pacjenci wyłączeni z niego w oparciu o pkt. 8 kryteriów wyłączenia oraz którzy przed wprowadzeniem programu rozpoczęli leczenie wysiękowej postaci AMD iniekcjami doszklistkowymi przeciwciała monoklonalnego anty-VEGF lub rekombinowanego białka fuzyjnego:</w:t>
            </w:r>
          </w:p>
          <w:p w14:paraId="56C23CF2" w14:textId="77777777" w:rsidR="008A39ED" w:rsidRPr="008A39ED" w:rsidRDefault="008A39ED" w:rsidP="008A39ED">
            <w:pPr>
              <w:numPr>
                <w:ilvl w:val="3"/>
                <w:numId w:val="1"/>
              </w:numPr>
              <w:spacing w:after="60" w:line="276" w:lineRule="auto"/>
              <w:ind w:left="681" w:hanging="227"/>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w ramach świadczeń gwarantowanych rozliczanych w ramach grupy B84 Małe zabiegi witreoretinalne</w:t>
            </w:r>
          </w:p>
          <w:p w14:paraId="74A8E6E7" w14:textId="77777777" w:rsidR="008A39ED" w:rsidRPr="008A39ED" w:rsidRDefault="008A39ED" w:rsidP="008A39ED">
            <w:pPr>
              <w:spacing w:after="60" w:line="276" w:lineRule="auto"/>
              <w:ind w:left="454"/>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lub </w:t>
            </w:r>
          </w:p>
          <w:p w14:paraId="0EAF27B4" w14:textId="77777777" w:rsidR="008A39ED" w:rsidRPr="008A39ED" w:rsidRDefault="008A39ED" w:rsidP="008A39ED">
            <w:pPr>
              <w:numPr>
                <w:ilvl w:val="3"/>
                <w:numId w:val="1"/>
              </w:numPr>
              <w:spacing w:after="60" w:line="276" w:lineRule="auto"/>
              <w:ind w:left="681" w:hanging="227"/>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u świadczeniodawców, którzy nie posiadali umowy na udzielanie świadczeń opieki zdrowotnej finansowanych ze środków publicznych </w:t>
            </w:r>
          </w:p>
          <w:p w14:paraId="7092DA90" w14:textId="77777777" w:rsidR="008A39ED" w:rsidRPr="008A39ED" w:rsidRDefault="008A39ED" w:rsidP="008A39ED">
            <w:pPr>
              <w:spacing w:after="60" w:line="276" w:lineRule="auto"/>
              <w:ind w:left="34" w:firstLine="1"/>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pod warunkiem, że w chwili rozpoczęcia terapii spełniali kryteria włączenia do programu. Jeżeli wykazano w tym czasie skuteczność leczenia, wtedy terapia powinna być kontynuowana zgodnie z zapisami programu.</w:t>
            </w:r>
          </w:p>
          <w:p w14:paraId="4CD7ACAA" w14:textId="77777777" w:rsidR="008A39ED" w:rsidRPr="008A39ED" w:rsidRDefault="008A39ED" w:rsidP="008A39ED">
            <w:pPr>
              <w:spacing w:after="60" w:line="276" w:lineRule="auto"/>
              <w:ind w:left="34" w:firstLine="1"/>
              <w:jc w:val="both"/>
              <w:rPr>
                <w:rFonts w:ascii="Times New Roman" w:eastAsia="Calibri" w:hAnsi="Times New Roman" w:cs="Times New Roman"/>
                <w:sz w:val="20"/>
                <w:szCs w:val="20"/>
              </w:rPr>
            </w:pPr>
          </w:p>
          <w:p w14:paraId="0907D465" w14:textId="77777777" w:rsidR="008A39ED" w:rsidRPr="008A39ED" w:rsidRDefault="008A39ED" w:rsidP="008A39ED">
            <w:pPr>
              <w:numPr>
                <w:ilvl w:val="1"/>
                <w:numId w:val="1"/>
              </w:numPr>
              <w:spacing w:after="60" w:line="276" w:lineRule="auto"/>
              <w:contextualSpacing/>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Określenie czasu leczenia w programie</w:t>
            </w:r>
          </w:p>
          <w:p w14:paraId="0C6BE9FB"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Leczenie trwa do czasu podjęcia przez lekarza prowadzącego decyzji </w:t>
            </w:r>
            <w:r w:rsidRPr="008A39ED">
              <w:rPr>
                <w:rFonts w:ascii="Times New Roman" w:eastAsia="Calibri" w:hAnsi="Times New Roman" w:cs="Times New Roman"/>
                <w:sz w:val="20"/>
                <w:szCs w:val="20"/>
                <w:lang w:eastAsia="pl-PL"/>
              </w:rPr>
              <w:t>o wyłączeniu</w:t>
            </w:r>
            <w:r w:rsidRPr="008A39ED">
              <w:rPr>
                <w:rFonts w:ascii="Times New Roman" w:eastAsia="Calibri" w:hAnsi="Times New Roman" w:cs="Times New Roman"/>
                <w:bCs/>
                <w:sz w:val="20"/>
                <w:szCs w:val="20"/>
                <w:lang w:eastAsia="pl-PL"/>
              </w:rPr>
              <w:t xml:space="preserve"> pacjenta z programu zgodnie z kryteriami wyłączenia. </w:t>
            </w:r>
          </w:p>
          <w:p w14:paraId="22FBFA02"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p>
          <w:p w14:paraId="37B2DE91" w14:textId="77777777" w:rsidR="008A39ED" w:rsidRPr="008A39ED" w:rsidRDefault="008A39ED" w:rsidP="008A39ED">
            <w:pPr>
              <w:numPr>
                <w:ilvl w:val="1"/>
                <w:numId w:val="1"/>
              </w:numPr>
              <w:spacing w:after="60" w:line="276" w:lineRule="auto"/>
              <w:contextualSpacing/>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Kryteria wyłączenia</w:t>
            </w:r>
          </w:p>
          <w:p w14:paraId="64113139"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nadwrażliwość na </w:t>
            </w:r>
            <w:proofErr w:type="spellStart"/>
            <w:r w:rsidRPr="008A39ED">
              <w:rPr>
                <w:rFonts w:ascii="Times New Roman" w:eastAsia="Calibri" w:hAnsi="Times New Roman" w:cs="Times New Roman"/>
                <w:sz w:val="20"/>
                <w:szCs w:val="20"/>
              </w:rPr>
              <w:t>brolucizumab</w:t>
            </w:r>
            <w:proofErr w:type="spellEnd"/>
            <w:r w:rsidRPr="008A39ED">
              <w:rPr>
                <w:rFonts w:ascii="Times New Roman" w:eastAsia="Calibri" w:hAnsi="Times New Roman" w:cs="Times New Roman"/>
                <w:sz w:val="20"/>
                <w:szCs w:val="20"/>
              </w:rPr>
              <w:t xml:space="preserve"> lub na którąkolwiek substancję pomocniczą;</w:t>
            </w:r>
          </w:p>
          <w:p w14:paraId="029A3BAA"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czynne zakażenie oka lub jego okolic;</w:t>
            </w:r>
          </w:p>
          <w:p w14:paraId="71EFA812"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czynne ciężkie zapalenie wnętrza gałki;</w:t>
            </w:r>
          </w:p>
          <w:p w14:paraId="120FA70A"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okres ciąży lub karmienia piersią;</w:t>
            </w:r>
          </w:p>
          <w:p w14:paraId="7D87F5C8"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wystąpienie działań niepożądanych związanych z lekiem uniemożliwiających jego dalsze stosowanie;</w:t>
            </w:r>
          </w:p>
          <w:p w14:paraId="63ED00FA"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proofErr w:type="spellStart"/>
            <w:r w:rsidRPr="008A39ED">
              <w:rPr>
                <w:rFonts w:ascii="Times New Roman" w:eastAsia="Calibri" w:hAnsi="Times New Roman" w:cs="Times New Roman"/>
                <w:sz w:val="20"/>
                <w:szCs w:val="20"/>
              </w:rPr>
              <w:t>przedarciowe</w:t>
            </w:r>
            <w:proofErr w:type="spellEnd"/>
            <w:r w:rsidRPr="008A39ED">
              <w:rPr>
                <w:rFonts w:ascii="Times New Roman" w:eastAsia="Calibri" w:hAnsi="Times New Roman" w:cs="Times New Roman"/>
                <w:sz w:val="20"/>
                <w:szCs w:val="20"/>
              </w:rPr>
              <w:t xml:space="preserve"> odwarstwienie siatkówki lub otwór w plamce 3. lub 4. stopnia;</w:t>
            </w:r>
          </w:p>
          <w:p w14:paraId="164B5276" w14:textId="77777777" w:rsidR="008A39ED" w:rsidRPr="008A39ED" w:rsidRDefault="008A39ED" w:rsidP="008A39ED">
            <w:pPr>
              <w:numPr>
                <w:ilvl w:val="2"/>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progresja choroby definiowana jako:</w:t>
            </w:r>
          </w:p>
          <w:p w14:paraId="62A731F6" w14:textId="77777777" w:rsidR="008A39ED" w:rsidRPr="008A39ED" w:rsidRDefault="008A39ED" w:rsidP="008A39ED">
            <w:pPr>
              <w:numPr>
                <w:ilvl w:val="3"/>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pogorszenie najlepszej skorygowanej ostrości wzroku (BCVA) do wartości &lt; 0,2 określonej według tablicy Snellena (lub odpowiednio ekwiwalent ETDRS) utrzymujące się dłużej niż 2 miesiące</w:t>
            </w:r>
          </w:p>
          <w:p w14:paraId="433493F1" w14:textId="77777777" w:rsidR="008A39ED" w:rsidRPr="008A39ED" w:rsidRDefault="008A39ED" w:rsidP="008A39ED">
            <w:pPr>
              <w:spacing w:after="60" w:line="276" w:lineRule="auto"/>
              <w:ind w:left="454"/>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lub</w:t>
            </w:r>
          </w:p>
          <w:p w14:paraId="531C5BC4" w14:textId="77777777" w:rsidR="008A39ED" w:rsidRPr="008A39ED" w:rsidRDefault="008A39ED" w:rsidP="008A39ED">
            <w:pPr>
              <w:numPr>
                <w:ilvl w:val="3"/>
                <w:numId w:val="1"/>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obecność trwałego uszkodzenia struktury dołka, która uniemożliwia uzyskanie u pacjenta stabilizacji lub poprawy czynnościowej (istotne uszkodzenie struktury jest zdefiniowane jako obecne zwłóknienie lub atrofia w dołku albo istotna przewlekła tarczowata blizna);</w:t>
            </w:r>
          </w:p>
          <w:p w14:paraId="01F95888" w14:textId="77777777" w:rsidR="008A39ED" w:rsidRPr="008A39ED" w:rsidRDefault="008A39ED" w:rsidP="008A39ED">
            <w:pPr>
              <w:numPr>
                <w:ilvl w:val="2"/>
                <w:numId w:val="1"/>
              </w:numPr>
              <w:spacing w:after="60" w:line="276" w:lineRule="auto"/>
              <w:contextualSpacing/>
              <w:jc w:val="both"/>
              <w:rPr>
                <w:rFonts w:ascii="Times New Roman" w:eastAsia="Calibri" w:hAnsi="Times New Roman" w:cs="Times New Roman"/>
                <w:bCs/>
                <w:sz w:val="20"/>
                <w:szCs w:val="20"/>
              </w:rPr>
            </w:pPr>
            <w:r w:rsidRPr="008A39ED">
              <w:rPr>
                <w:rFonts w:ascii="Times New Roman" w:eastAsia="Calibri" w:hAnsi="Times New Roman" w:cs="Times New Roman"/>
                <w:bCs/>
                <w:sz w:val="20"/>
                <w:szCs w:val="20"/>
              </w:rPr>
              <w:t xml:space="preserve">brak aktywnego leczenia w postaci podawania iniekcji </w:t>
            </w:r>
            <w:proofErr w:type="spellStart"/>
            <w:r w:rsidRPr="008A39ED">
              <w:rPr>
                <w:rFonts w:ascii="Times New Roman" w:eastAsia="Calibri" w:hAnsi="Times New Roman" w:cs="Times New Roman"/>
                <w:bCs/>
                <w:sz w:val="20"/>
                <w:szCs w:val="20"/>
              </w:rPr>
              <w:t>brolucizumabu</w:t>
            </w:r>
            <w:proofErr w:type="spellEnd"/>
            <w:r w:rsidRPr="008A39ED">
              <w:rPr>
                <w:rFonts w:ascii="Times New Roman" w:eastAsia="Calibri" w:hAnsi="Times New Roman" w:cs="Times New Roman"/>
                <w:bCs/>
                <w:sz w:val="20"/>
                <w:szCs w:val="20"/>
              </w:rPr>
              <w:t xml:space="preserve"> w okresie 4 miesięcy od podania ostatniej dawki leku;</w:t>
            </w:r>
          </w:p>
          <w:p w14:paraId="55C60337" w14:textId="77777777" w:rsidR="008A39ED" w:rsidRPr="008A39ED" w:rsidRDefault="008A39ED" w:rsidP="008A39ED">
            <w:pPr>
              <w:numPr>
                <w:ilvl w:val="2"/>
                <w:numId w:val="1"/>
              </w:numPr>
              <w:spacing w:after="60" w:line="276" w:lineRule="auto"/>
              <w:contextualSpacing/>
              <w:jc w:val="both"/>
              <w:rPr>
                <w:rFonts w:ascii="Times New Roman" w:eastAsia="Calibri" w:hAnsi="Times New Roman" w:cs="Times New Roman"/>
                <w:bCs/>
                <w:sz w:val="20"/>
                <w:szCs w:val="20"/>
              </w:rPr>
            </w:pPr>
            <w:r w:rsidRPr="008A39ED">
              <w:rPr>
                <w:rFonts w:ascii="Times New Roman" w:eastAsia="Calibri" w:hAnsi="Times New Roman" w:cs="Times New Roman"/>
                <w:bCs/>
                <w:sz w:val="20"/>
                <w:szCs w:val="20"/>
              </w:rPr>
              <w:t>brak współpracy pacjenta z lekarzem prowadzącym (niezgłaszanie się z powodów nieuzasadnionych na określone przez program minimum 2 kolejne punkty kontrolne).</w:t>
            </w:r>
          </w:p>
          <w:p w14:paraId="7D4DFCEC" w14:textId="77777777" w:rsidR="008A39ED" w:rsidRDefault="008A39ED" w:rsidP="00FF4D29">
            <w:pPr>
              <w:spacing w:after="60" w:line="276" w:lineRule="auto"/>
              <w:contextualSpacing/>
              <w:jc w:val="both"/>
              <w:rPr>
                <w:rFonts w:ascii="Times New Roman" w:eastAsia="Calibri" w:hAnsi="Times New Roman" w:cs="Times New Roman"/>
                <w:bCs/>
                <w:sz w:val="20"/>
                <w:szCs w:val="20"/>
              </w:rPr>
            </w:pPr>
          </w:p>
          <w:p w14:paraId="28763C76" w14:textId="0928CD05" w:rsidR="00FF4D29" w:rsidRPr="008A39ED" w:rsidRDefault="00FF4D29" w:rsidP="00FF4D29">
            <w:pPr>
              <w:spacing w:after="60" w:line="276" w:lineRule="auto"/>
              <w:contextualSpacing/>
              <w:jc w:val="both"/>
              <w:rPr>
                <w:rFonts w:ascii="Times New Roman" w:eastAsia="Calibri" w:hAnsi="Times New Roman" w:cs="Times New Roman"/>
                <w:bCs/>
                <w:sz w:val="20"/>
                <w:szCs w:val="20"/>
              </w:rPr>
            </w:pPr>
          </w:p>
        </w:tc>
        <w:tc>
          <w:tcPr>
            <w:tcW w:w="4299" w:type="dxa"/>
          </w:tcPr>
          <w:p w14:paraId="5AFA3F6D" w14:textId="77777777" w:rsidR="008A39ED" w:rsidRPr="008A39ED" w:rsidRDefault="008A39ED" w:rsidP="008A39ED">
            <w:pPr>
              <w:numPr>
                <w:ilvl w:val="0"/>
                <w:numId w:val="2"/>
              </w:numPr>
              <w:spacing w:before="120"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Leczenie neowaskularnej (wysiękowej) postaci zwyrodnienia plamki związanego z wiekiem afliberceptem</w:t>
            </w:r>
          </w:p>
          <w:p w14:paraId="4D601A27" w14:textId="77777777" w:rsidR="008A39ED" w:rsidRPr="008A39ED" w:rsidRDefault="008A39ED" w:rsidP="008A39ED">
            <w:pPr>
              <w:numPr>
                <w:ilvl w:val="1"/>
                <w:numId w:val="2"/>
              </w:numPr>
              <w:spacing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 xml:space="preserve">Dawkowanie </w:t>
            </w:r>
            <w:proofErr w:type="spellStart"/>
            <w:r w:rsidRPr="008A39ED">
              <w:rPr>
                <w:rFonts w:ascii="Times New Roman" w:eastAsia="Calibri" w:hAnsi="Times New Roman" w:cs="Times New Roman"/>
                <w:b/>
                <w:bCs/>
                <w:sz w:val="20"/>
                <w:szCs w:val="20"/>
                <w:lang w:eastAsia="pl-PL"/>
              </w:rPr>
              <w:t>afliberceptu</w:t>
            </w:r>
            <w:proofErr w:type="spellEnd"/>
          </w:p>
          <w:p w14:paraId="7AD83709"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zalecana dawka </w:t>
            </w:r>
            <w:proofErr w:type="spellStart"/>
            <w:r w:rsidRPr="008A39ED">
              <w:rPr>
                <w:rFonts w:ascii="Times New Roman" w:eastAsia="Calibri" w:hAnsi="Times New Roman" w:cs="Times New Roman"/>
                <w:bCs/>
                <w:sz w:val="20"/>
                <w:szCs w:val="20"/>
                <w:lang w:eastAsia="pl-PL"/>
              </w:rPr>
              <w:t>afliberceptu</w:t>
            </w:r>
            <w:proofErr w:type="spellEnd"/>
            <w:r w:rsidRPr="008A39ED">
              <w:rPr>
                <w:rFonts w:ascii="Times New Roman" w:eastAsia="Calibri" w:hAnsi="Times New Roman" w:cs="Times New Roman"/>
                <w:bCs/>
                <w:sz w:val="20"/>
                <w:szCs w:val="20"/>
                <w:lang w:eastAsia="pl-PL"/>
              </w:rPr>
              <w:t xml:space="preserve"> wynosi 2 mg, co odpowiada 50 mikrolitrom roztworu (0,05ml) na jedno wstrzyknięcie doszklistkowe;</w:t>
            </w:r>
          </w:p>
          <w:p w14:paraId="53C4518C" w14:textId="6F4E9C8F" w:rsidR="008A39ED" w:rsidRPr="008A39ED" w:rsidRDefault="008A39ED" w:rsidP="00F470CD">
            <w:pPr>
              <w:numPr>
                <w:ilvl w:val="2"/>
                <w:numId w:val="2"/>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leczenie afliberceptem rozpoczyna się od jednego wstrzyknięcia na miesiąc (tj. w odstępach co najmniej 28 dni, ale nie później niż 7 dni po upływie tego terminu) </w:t>
            </w:r>
            <w:r w:rsidRPr="00AC2414">
              <w:rPr>
                <w:rFonts w:ascii="Times New Roman" w:eastAsia="Calibri" w:hAnsi="Times New Roman" w:cs="Times New Roman"/>
                <w:bCs/>
                <w:sz w:val="20"/>
                <w:szCs w:val="20"/>
                <w:lang w:eastAsia="pl-PL"/>
              </w:rPr>
              <w:t>przez trzy kolejne miesiące</w:t>
            </w:r>
            <w:r w:rsidRPr="00F470CD">
              <w:rPr>
                <w:rFonts w:ascii="Times New Roman" w:eastAsia="Calibri" w:hAnsi="Times New Roman" w:cs="Times New Roman"/>
                <w:bCs/>
                <w:sz w:val="20"/>
                <w:szCs w:val="20"/>
                <w:lang w:eastAsia="pl-PL"/>
              </w:rPr>
              <w:t>,</w:t>
            </w:r>
            <w:r w:rsidR="00FF4D29">
              <w:rPr>
                <w:rFonts w:ascii="Times New Roman" w:eastAsia="Calibri" w:hAnsi="Times New Roman" w:cs="Times New Roman"/>
                <w:bCs/>
                <w:sz w:val="20"/>
                <w:szCs w:val="20"/>
                <w:lang w:eastAsia="pl-PL"/>
              </w:rPr>
              <w:t xml:space="preserve"> </w:t>
            </w:r>
            <w:r w:rsidR="00595AB8" w:rsidRPr="00F470CD">
              <w:rPr>
                <w:rFonts w:ascii="Times New Roman" w:hAnsi="Times New Roman" w:cs="Times New Roman"/>
                <w:sz w:val="20"/>
                <w:szCs w:val="20"/>
              </w:rPr>
              <w:t>n</w:t>
            </w:r>
            <w:r w:rsidR="00595AB8" w:rsidRPr="00F470CD">
              <w:rPr>
                <w:rFonts w:ascii="Times New Roman" w:eastAsia="Calibri" w:hAnsi="Times New Roman" w:cs="Times New Roman"/>
                <w:bCs/>
                <w:sz w:val="20"/>
                <w:szCs w:val="20"/>
                <w:lang w:eastAsia="pl-PL"/>
              </w:rPr>
              <w:t>astępnie odstęp pomiędzy dawkami wydłuża się do dwóch miesięcy</w:t>
            </w:r>
            <w:r w:rsidRPr="00F470CD">
              <w:rPr>
                <w:rFonts w:ascii="Times New Roman" w:eastAsia="Calibri" w:hAnsi="Times New Roman" w:cs="Times New Roman"/>
                <w:bCs/>
                <w:sz w:val="20"/>
                <w:szCs w:val="20"/>
                <w:lang w:eastAsia="pl-PL"/>
              </w:rPr>
              <w:t>;</w:t>
            </w:r>
          </w:p>
          <w:p w14:paraId="23E51325" w14:textId="28C30065" w:rsidR="008A39ED" w:rsidRPr="008A39ED" w:rsidRDefault="008A39ED" w:rsidP="00F470CD">
            <w:pPr>
              <w:numPr>
                <w:ilvl w:val="2"/>
                <w:numId w:val="2"/>
              </w:numPr>
              <w:spacing w:after="60" w:line="276" w:lineRule="auto"/>
              <w:jc w:val="both"/>
              <w:rPr>
                <w:rFonts w:ascii="Times New Roman" w:eastAsia="Calibri" w:hAnsi="Times New Roman" w:cs="Times New Roman"/>
                <w:sz w:val="20"/>
                <w:szCs w:val="20"/>
                <w:lang w:eastAsia="pl-PL"/>
              </w:rPr>
            </w:pPr>
            <w:r w:rsidRPr="008A39ED">
              <w:rPr>
                <w:rFonts w:ascii="Times New Roman" w:eastAsia="Calibri" w:hAnsi="Times New Roman" w:cs="Times New Roman"/>
                <w:sz w:val="20"/>
                <w:szCs w:val="20"/>
                <w:lang w:eastAsia="pl-PL"/>
              </w:rPr>
              <w:t>na podstawie oceny przez lekarza parametrów wzrokowych i/lub anatomicznych odstęp pomiędzy dawkami po fazie nasycenia może pozostać dwumiesięczny lub może zostać bardziej wydłużony według schematu dawkowania „</w:t>
            </w:r>
            <w:proofErr w:type="spellStart"/>
            <w:r w:rsidRPr="008A39ED">
              <w:rPr>
                <w:rFonts w:ascii="Times New Roman" w:eastAsia="Calibri" w:hAnsi="Times New Roman" w:cs="Times New Roman"/>
                <w:sz w:val="20"/>
                <w:szCs w:val="20"/>
                <w:lang w:eastAsia="pl-PL"/>
              </w:rPr>
              <w:t>treat</w:t>
            </w:r>
            <w:proofErr w:type="spellEnd"/>
            <w:r w:rsidRPr="008A39ED">
              <w:rPr>
                <w:rFonts w:ascii="Times New Roman" w:eastAsia="Calibri" w:hAnsi="Times New Roman" w:cs="Times New Roman"/>
                <w:sz w:val="20"/>
                <w:szCs w:val="20"/>
                <w:lang w:eastAsia="pl-PL"/>
              </w:rPr>
              <w:t>-and-</w:t>
            </w:r>
            <w:proofErr w:type="spellStart"/>
            <w:r w:rsidRPr="008A39ED">
              <w:rPr>
                <w:rFonts w:ascii="Times New Roman" w:eastAsia="Calibri" w:hAnsi="Times New Roman" w:cs="Times New Roman"/>
                <w:sz w:val="20"/>
                <w:szCs w:val="20"/>
                <w:lang w:eastAsia="pl-PL"/>
              </w:rPr>
              <w:t>extend</w:t>
            </w:r>
            <w:proofErr w:type="spellEnd"/>
            <w:r w:rsidRPr="008A39ED">
              <w:rPr>
                <w:rFonts w:ascii="Times New Roman" w:eastAsia="Calibri" w:hAnsi="Times New Roman" w:cs="Times New Roman"/>
                <w:sz w:val="20"/>
                <w:szCs w:val="20"/>
                <w:lang w:eastAsia="pl-PL"/>
              </w:rPr>
              <w:t>” („lecz i wydłużaj”), w którym odstępy pomiędzy kolejnymi dawkami wydłuża się o 2 lub 4 tygodnie na tyle, aby podtrzymać odpowiedź w zakresie parametrów wzrokowych i/lub anatomicznych. W przypadku pogorszenia się parametrów wzrokowych i/lub anatomicznych należy odpowiednio skrócić odstęp między kolejnymi dawkami</w:t>
            </w:r>
            <w:r w:rsidR="002D2163">
              <w:rPr>
                <w:rFonts w:ascii="Times New Roman" w:eastAsia="Calibri" w:hAnsi="Times New Roman" w:cs="Times New Roman"/>
                <w:sz w:val="20"/>
                <w:szCs w:val="20"/>
                <w:lang w:eastAsia="pl-PL"/>
              </w:rPr>
              <w:t>;</w:t>
            </w:r>
          </w:p>
          <w:p w14:paraId="261C320F" w14:textId="62A45071" w:rsidR="008A39ED" w:rsidRPr="008A39ED" w:rsidRDefault="00FF4D29" w:rsidP="008A39ED">
            <w:pPr>
              <w:numPr>
                <w:ilvl w:val="2"/>
                <w:numId w:val="2"/>
              </w:numPr>
              <w:spacing w:after="60" w:line="276" w:lineRule="auto"/>
              <w:jc w:val="both"/>
              <w:rPr>
                <w:rFonts w:ascii="Times New Roman" w:eastAsia="Calibri" w:hAnsi="Times New Roman" w:cs="Times New Roman"/>
                <w:bCs/>
                <w:sz w:val="20"/>
                <w:szCs w:val="20"/>
                <w:lang w:eastAsia="pl-PL"/>
              </w:rPr>
            </w:pPr>
            <w:r>
              <w:rPr>
                <w:rFonts w:ascii="Times New Roman" w:eastAsia="Calibri" w:hAnsi="Times New Roman" w:cs="Times New Roman"/>
                <w:bCs/>
                <w:sz w:val="20"/>
                <w:szCs w:val="20"/>
                <w:lang w:eastAsia="pl-PL"/>
              </w:rPr>
              <w:t>w</w:t>
            </w:r>
            <w:r w:rsidR="008A39ED" w:rsidRPr="008A39ED">
              <w:rPr>
                <w:rFonts w:ascii="Times New Roman" w:eastAsia="Calibri" w:hAnsi="Times New Roman" w:cs="Times New Roman"/>
                <w:bCs/>
                <w:sz w:val="20"/>
                <w:szCs w:val="20"/>
                <w:lang w:eastAsia="pl-PL"/>
              </w:rPr>
              <w:t xml:space="preserve"> przypadku pacjentów zakwalifikowanych do programu, którzy rozpoczęli wcześniej leczenie wysiękowej postaci AMD iniekcjami doszklistkowymi przeciwciała monoklonalnego anty-VEGF lub rekombinowanego białka fuzyjnego:</w:t>
            </w:r>
          </w:p>
          <w:p w14:paraId="22B92518" w14:textId="77777777" w:rsidR="008A39ED" w:rsidRPr="008A39ED" w:rsidRDefault="008A39ED" w:rsidP="008A39ED">
            <w:pPr>
              <w:numPr>
                <w:ilvl w:val="3"/>
                <w:numId w:val="2"/>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w ramach świadczeń gwarantowanych rozliczanych w ramach grupy B84 - </w:t>
            </w:r>
            <w:r w:rsidRPr="008A39ED">
              <w:rPr>
                <w:rFonts w:ascii="Times New Roman" w:eastAsia="Calibri" w:hAnsi="Times New Roman" w:cs="Times New Roman"/>
                <w:sz w:val="20"/>
                <w:szCs w:val="20"/>
              </w:rPr>
              <w:t>Małe zabiegi witreoretinalne</w:t>
            </w:r>
          </w:p>
          <w:p w14:paraId="33D0D3AD" w14:textId="77777777" w:rsidR="008A39ED" w:rsidRPr="008A39ED" w:rsidRDefault="008A39ED" w:rsidP="008A39ED">
            <w:pPr>
              <w:spacing w:after="60" w:line="276" w:lineRule="auto"/>
              <w:ind w:left="454"/>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lub</w:t>
            </w:r>
            <w:r w:rsidRPr="008A39ED">
              <w:rPr>
                <w:rFonts w:ascii="Times New Roman" w:eastAsia="Calibri" w:hAnsi="Times New Roman" w:cs="Times New Roman"/>
                <w:sz w:val="20"/>
                <w:szCs w:val="20"/>
              </w:rPr>
              <w:t xml:space="preserve"> </w:t>
            </w:r>
          </w:p>
          <w:p w14:paraId="6D555209" w14:textId="77777777" w:rsidR="008A39ED" w:rsidRPr="008A39ED" w:rsidRDefault="008A39ED" w:rsidP="008A39ED">
            <w:pPr>
              <w:numPr>
                <w:ilvl w:val="3"/>
                <w:numId w:val="2"/>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u świadczeniodawców, którzy nie posiadali umowy na udzielanie świadczeń opieki zdrowotnej finansowanych ze środków publicznych </w:t>
            </w:r>
          </w:p>
          <w:p w14:paraId="7D391A54"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schemat dawkowania należy dostosować do etapu leczenia, na jakim znajduje się pacjent.</w:t>
            </w:r>
          </w:p>
          <w:p w14:paraId="12B3FA7C"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p>
          <w:p w14:paraId="1D9D252A" w14:textId="77777777" w:rsidR="008A39ED" w:rsidRPr="008A39ED" w:rsidRDefault="008A39ED" w:rsidP="008A39ED">
            <w:pPr>
              <w:numPr>
                <w:ilvl w:val="0"/>
                <w:numId w:val="2"/>
              </w:numPr>
              <w:spacing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 xml:space="preserve">Leczenie neowaskularnej (wysiękowej) postaci zwyrodnienia plamki związanego z wiekiem </w:t>
            </w:r>
            <w:proofErr w:type="spellStart"/>
            <w:r w:rsidRPr="008A39ED">
              <w:rPr>
                <w:rFonts w:ascii="Times New Roman" w:eastAsia="Calibri" w:hAnsi="Times New Roman" w:cs="Times New Roman"/>
                <w:b/>
                <w:bCs/>
                <w:sz w:val="20"/>
                <w:szCs w:val="20"/>
                <w:lang w:eastAsia="pl-PL"/>
              </w:rPr>
              <w:t>ranibizumabem</w:t>
            </w:r>
            <w:proofErr w:type="spellEnd"/>
          </w:p>
          <w:p w14:paraId="30A785FD" w14:textId="77777777" w:rsidR="008A39ED" w:rsidRPr="008A39ED" w:rsidRDefault="008A39ED" w:rsidP="008A39ED">
            <w:pPr>
              <w:numPr>
                <w:ilvl w:val="1"/>
                <w:numId w:val="2"/>
              </w:numPr>
              <w:spacing w:after="60" w:line="276" w:lineRule="auto"/>
              <w:contextualSpacing/>
              <w:jc w:val="both"/>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 xml:space="preserve">Dawkowanie </w:t>
            </w:r>
            <w:proofErr w:type="spellStart"/>
            <w:r w:rsidRPr="008A39ED">
              <w:rPr>
                <w:rFonts w:ascii="Times New Roman" w:eastAsia="Calibri" w:hAnsi="Times New Roman" w:cs="Times New Roman"/>
                <w:b/>
                <w:bCs/>
                <w:sz w:val="20"/>
                <w:szCs w:val="20"/>
              </w:rPr>
              <w:t>ranibizumabu</w:t>
            </w:r>
            <w:proofErr w:type="spellEnd"/>
          </w:p>
          <w:p w14:paraId="25CC0A90"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rPr>
              <w:t xml:space="preserve">zalecana dawka </w:t>
            </w:r>
            <w:proofErr w:type="spellStart"/>
            <w:r w:rsidRPr="008A39ED">
              <w:rPr>
                <w:rFonts w:ascii="Times New Roman" w:eastAsia="Calibri" w:hAnsi="Times New Roman" w:cs="Times New Roman"/>
                <w:bCs/>
                <w:sz w:val="20"/>
                <w:szCs w:val="20"/>
              </w:rPr>
              <w:t>ranibizumabu</w:t>
            </w:r>
            <w:proofErr w:type="spellEnd"/>
            <w:r w:rsidRPr="008A39ED">
              <w:rPr>
                <w:rFonts w:ascii="Times New Roman" w:eastAsia="Calibri" w:hAnsi="Times New Roman" w:cs="Times New Roman"/>
                <w:bCs/>
                <w:sz w:val="20"/>
                <w:szCs w:val="20"/>
              </w:rPr>
              <w:t xml:space="preserve"> wynosi 0,5 mg, co odpowiada 50 mikrolitrom roztworu (0,05 ml) na jedno wstrzyknięcie doszklistkowe;</w:t>
            </w:r>
          </w:p>
          <w:p w14:paraId="1FBDED03"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leczenie rozpoczyna się od jednej iniekcji na miesiąc </w:t>
            </w:r>
            <w:r w:rsidRPr="008A39ED">
              <w:rPr>
                <w:rFonts w:ascii="Times New Roman" w:eastAsia="Calibri" w:hAnsi="Times New Roman" w:cs="Times New Roman"/>
                <w:bCs/>
                <w:sz w:val="20"/>
                <w:szCs w:val="20"/>
              </w:rPr>
              <w:t>(tj. w odstępach co najmniej 28 dni, ale nie później niż 7 dni po upływie tego terminu)</w:t>
            </w:r>
            <w:r w:rsidRPr="008A39ED">
              <w:rPr>
                <w:rFonts w:ascii="Times New Roman" w:eastAsia="Calibri" w:hAnsi="Times New Roman" w:cs="Times New Roman"/>
                <w:sz w:val="20"/>
                <w:szCs w:val="20"/>
              </w:rPr>
              <w:t xml:space="preserve"> do czasu uzyskania maksymalnej ostrości wzroku lub braku cech aktywności choroby tj. braku zmian w ostrości wzroku oraz innych objawów przedmiotowych choroby podczas kontynuowania leczenia; </w:t>
            </w:r>
          </w:p>
          <w:p w14:paraId="543A567E"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następnie odstępy pomiędzy podaniem kolejnych dawek oraz częstotliwość wykonywania badań kontrolnych są ustalane przez lekarza prowadzącego i powinny być uzależnione od aktywności choroby, ocenianej na podstawie ostrości wzroku lub parametrów anatomicznych;</w:t>
            </w:r>
          </w:p>
          <w:p w14:paraId="5D1507C6"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odstęp pomiędzy wstrzyknięciem dwóch dawek do tego samego oka powinien wynosić co najmniej 4 tygodnie;</w:t>
            </w:r>
          </w:p>
          <w:p w14:paraId="0AD81545" w14:textId="60F60824" w:rsidR="008A39ED" w:rsidRPr="008A39ED" w:rsidRDefault="008A39ED" w:rsidP="00F470CD">
            <w:pPr>
              <w:numPr>
                <w:ilvl w:val="2"/>
                <w:numId w:val="2"/>
              </w:numPr>
              <w:spacing w:after="60" w:line="276" w:lineRule="auto"/>
              <w:jc w:val="both"/>
              <w:rPr>
                <w:rFonts w:ascii="Times New Roman" w:eastAsia="Calibri" w:hAnsi="Times New Roman" w:cs="Times New Roman"/>
                <w:bCs/>
                <w:sz w:val="20"/>
                <w:szCs w:val="20"/>
              </w:rPr>
            </w:pPr>
            <w:r w:rsidRPr="008A39ED">
              <w:rPr>
                <w:rFonts w:ascii="Times New Roman" w:eastAsia="Calibri" w:hAnsi="Times New Roman" w:cs="Times New Roman"/>
                <w:bCs/>
                <w:sz w:val="20"/>
                <w:szCs w:val="20"/>
              </w:rPr>
              <w:t>u pacjentów leczonych według schematu „</w:t>
            </w:r>
            <w:proofErr w:type="spellStart"/>
            <w:r w:rsidRPr="008A39ED">
              <w:rPr>
                <w:rFonts w:ascii="Times New Roman" w:eastAsia="Calibri" w:hAnsi="Times New Roman" w:cs="Times New Roman"/>
                <w:bCs/>
                <w:sz w:val="20"/>
                <w:szCs w:val="20"/>
              </w:rPr>
              <w:t>treat</w:t>
            </w:r>
            <w:proofErr w:type="spellEnd"/>
            <w:r w:rsidRPr="008A39ED">
              <w:rPr>
                <w:rFonts w:ascii="Times New Roman" w:eastAsia="Calibri" w:hAnsi="Times New Roman" w:cs="Times New Roman"/>
                <w:bCs/>
                <w:sz w:val="20"/>
                <w:szCs w:val="20"/>
              </w:rPr>
              <w:t>-and-</w:t>
            </w:r>
            <w:proofErr w:type="spellStart"/>
            <w:r w:rsidRPr="008A39ED">
              <w:rPr>
                <w:rFonts w:ascii="Times New Roman" w:eastAsia="Calibri" w:hAnsi="Times New Roman" w:cs="Times New Roman"/>
                <w:bCs/>
                <w:sz w:val="20"/>
                <w:szCs w:val="20"/>
              </w:rPr>
              <w:t>extend</w:t>
            </w:r>
            <w:proofErr w:type="spellEnd"/>
            <w:r w:rsidRPr="008A39ED">
              <w:rPr>
                <w:rFonts w:ascii="Times New Roman" w:eastAsia="Calibri" w:hAnsi="Times New Roman" w:cs="Times New Roman"/>
                <w:bCs/>
                <w:sz w:val="20"/>
                <w:szCs w:val="20"/>
              </w:rPr>
              <w:t>” („lecz i wydłużaj”) odstępy czasowe pomiędzy dawkami po osiągnięciu maksymalnej ostrości wzroku i (lub) braku cech aktywności choroby można stopniowo wydłużać, aż do wystąpienia cech aktywności choroby lub pogorszenia widzenia. Odstępy między dawkami należy jednorazowo wydłużać o</w:t>
            </w:r>
            <w:r w:rsidR="00FF4D29">
              <w:rPr>
                <w:rFonts w:ascii="Times New Roman" w:eastAsia="Calibri" w:hAnsi="Times New Roman" w:cs="Times New Roman"/>
                <w:bCs/>
                <w:sz w:val="20"/>
                <w:szCs w:val="20"/>
              </w:rPr>
              <w:t xml:space="preserve"> </w:t>
            </w:r>
            <w:r w:rsidR="00595AB8" w:rsidRPr="00595AB8">
              <w:rPr>
                <w:rFonts w:ascii="Times New Roman" w:eastAsia="Calibri" w:hAnsi="Times New Roman" w:cs="Times New Roman"/>
                <w:bCs/>
                <w:sz w:val="20"/>
                <w:szCs w:val="20"/>
              </w:rPr>
              <w:t>dwa lub cztery tygodnie</w:t>
            </w:r>
            <w:r w:rsidRPr="008A39ED">
              <w:rPr>
                <w:rFonts w:ascii="Times New Roman" w:eastAsia="Calibri" w:hAnsi="Times New Roman" w:cs="Times New Roman"/>
                <w:bCs/>
                <w:sz w:val="20"/>
                <w:szCs w:val="20"/>
              </w:rPr>
              <w:t>. Jeśli aktywność choroby nawróci, odstępy pomiędzy dawkami należy odpowiednio skracać</w:t>
            </w:r>
            <w:r w:rsidR="002D2163">
              <w:rPr>
                <w:rFonts w:ascii="Times New Roman" w:eastAsia="Calibri" w:hAnsi="Times New Roman" w:cs="Times New Roman"/>
                <w:bCs/>
                <w:sz w:val="20"/>
                <w:szCs w:val="20"/>
              </w:rPr>
              <w:t>;</w:t>
            </w:r>
          </w:p>
          <w:p w14:paraId="1EB49F7B"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lang w:eastAsia="pl-PL"/>
              </w:rPr>
              <w:t xml:space="preserve">w przypadku pacjentów zakwalifikowanych do programu, którzy rozpoczęli wcześniej leczenie wysiękowej postaci AMD iniekcjami doszklistkowymi przeciwciała monoklonalnego anty-VEGF lub rekombinowanego białka fuzyjnego: </w:t>
            </w:r>
          </w:p>
          <w:p w14:paraId="1256F9FE" w14:textId="77777777" w:rsidR="008A39ED" w:rsidRPr="008A39ED" w:rsidRDefault="008A39ED" w:rsidP="008A39ED">
            <w:pPr>
              <w:numPr>
                <w:ilvl w:val="3"/>
                <w:numId w:val="3"/>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w ramach świadczeń gwarantowanych rozliczanych w ramach grupy B84 - Małe zabiegi witreoretinalne</w:t>
            </w:r>
          </w:p>
          <w:p w14:paraId="2DC1439D" w14:textId="77777777" w:rsidR="008A39ED" w:rsidRPr="008A39ED" w:rsidRDefault="008A39ED" w:rsidP="008A39ED">
            <w:pPr>
              <w:spacing w:after="60" w:line="276" w:lineRule="auto"/>
              <w:ind w:left="454"/>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lub</w:t>
            </w:r>
          </w:p>
          <w:p w14:paraId="6A4BBCAB" w14:textId="77777777" w:rsidR="008A39ED" w:rsidRPr="008A39ED" w:rsidRDefault="008A39ED" w:rsidP="008A39ED">
            <w:pPr>
              <w:numPr>
                <w:ilvl w:val="3"/>
                <w:numId w:val="3"/>
              </w:num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u świadczeniodawców, którzy nie posiadali umowy na udzielanie świadczeń opieki zdrowotnej finansowanych ze środków publicznych </w:t>
            </w:r>
          </w:p>
          <w:p w14:paraId="7691D5C4"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xml:space="preserve">- schemat dawkowania należy dostosować do etapu leczenia, na jakim znajduje się pacjent. </w:t>
            </w:r>
          </w:p>
          <w:p w14:paraId="53C2C4C0"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p>
          <w:p w14:paraId="7202E006" w14:textId="77777777" w:rsidR="008A39ED" w:rsidRPr="008A39ED" w:rsidRDefault="008A39ED" w:rsidP="008A39ED">
            <w:pPr>
              <w:numPr>
                <w:ilvl w:val="0"/>
                <w:numId w:val="2"/>
              </w:numPr>
              <w:spacing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Leczenie neowaskularnej (wysiękowej) postaci zwyrodnienia plamki związanego z wiekiem brolucizumabem</w:t>
            </w:r>
          </w:p>
          <w:p w14:paraId="7359440E" w14:textId="77777777" w:rsidR="008A39ED" w:rsidRPr="008A39ED" w:rsidRDefault="008A39ED" w:rsidP="008A39ED">
            <w:pPr>
              <w:numPr>
                <w:ilvl w:val="1"/>
                <w:numId w:val="2"/>
              </w:numPr>
              <w:spacing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 xml:space="preserve">Dawkowanie </w:t>
            </w:r>
            <w:proofErr w:type="spellStart"/>
            <w:r w:rsidRPr="008A39ED">
              <w:rPr>
                <w:rFonts w:ascii="Times New Roman" w:eastAsia="Calibri" w:hAnsi="Times New Roman" w:cs="Times New Roman"/>
                <w:b/>
                <w:bCs/>
                <w:sz w:val="20"/>
                <w:szCs w:val="20"/>
                <w:lang w:eastAsia="pl-PL"/>
              </w:rPr>
              <w:t>brolucizumabu</w:t>
            </w:r>
            <w:proofErr w:type="spellEnd"/>
          </w:p>
          <w:p w14:paraId="4294D348"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zalecana dawka </w:t>
            </w:r>
            <w:proofErr w:type="spellStart"/>
            <w:r w:rsidRPr="008A39ED">
              <w:rPr>
                <w:rFonts w:ascii="Times New Roman" w:eastAsia="Calibri" w:hAnsi="Times New Roman" w:cs="Times New Roman"/>
                <w:sz w:val="20"/>
                <w:szCs w:val="20"/>
              </w:rPr>
              <w:t>brolucizumabu</w:t>
            </w:r>
            <w:proofErr w:type="spellEnd"/>
            <w:r w:rsidRPr="008A39ED">
              <w:rPr>
                <w:rFonts w:ascii="Times New Roman" w:eastAsia="Calibri" w:hAnsi="Times New Roman" w:cs="Times New Roman"/>
                <w:sz w:val="20"/>
                <w:szCs w:val="20"/>
              </w:rPr>
              <w:t xml:space="preserve"> wynosi 6 mg, co odpowiada 50 mikrolitrom roztworu (0,05ml) na jedno wstrzyknięcie doszklistkowe;</w:t>
            </w:r>
          </w:p>
          <w:p w14:paraId="627A5748"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leczenie brolucizumabem rozpoczyna się od jednego wstrzyknięcia co 4 tygodnie (miesiąc) (tj. w odstępach co najmniej 28 dni, ale nie później niż 7 dni po upływie tego terminu) przez trzy kolejne miesiące, a następnie lek podaje się w postaci jednego wstrzyknięcia co 8 tygodni (2 miesiące) (tj. w odstępach co najmniej 56 dni, ale nie później niż 7 dni po upływie tego terminu);</w:t>
            </w:r>
          </w:p>
          <w:p w14:paraId="0A73551A"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odstęp pomiędzy kolejnymi dawkami leku może zostać wydłużony do 12 tygodni (3 miesięcy) (tj. co najmniej 84 dni, ale nie później niż 7 dni po upływie tego terminu) u pacjentów z brakiem aktywności choroby ocenianej 2 miesiące od serii 3 dawek nasycających leku;</w:t>
            </w:r>
          </w:p>
          <w:p w14:paraId="05948829"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lang w:eastAsia="pl-PL"/>
              </w:rPr>
              <w:t xml:space="preserve">lekarz prowadzący może następnie indywidualnie ustalać odstępy pomiędzy dawkami (wydłużać lub skracać minimalnie do 8 tygodni (2 miesiące) (tj. w odstępach co najmniej 56 dni, ale nie później niż 7 dni po upływie tego terminu) w zależności od aktywności choroby ocenianej na podstawie ostrości wzroku i (lub) parametrów anatomicznych; </w:t>
            </w:r>
          </w:p>
          <w:p w14:paraId="2E384BD6" w14:textId="77777777" w:rsidR="008A39ED" w:rsidRPr="008A39ED" w:rsidRDefault="008A39ED" w:rsidP="008A39ED">
            <w:pPr>
              <w:numPr>
                <w:ilvl w:val="2"/>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lang w:eastAsia="pl-PL"/>
              </w:rPr>
              <w:t>w przypadku pacjentów zakwalifikowanych do programu, którzy rozpoczęli wcześniej leczenie wysiękowej postaci AMD iniekcjami doszklistkowymi przeciwciała monoklonalnego anty-VEGF lub rekombinowanego białka fuzyjnego:</w:t>
            </w:r>
          </w:p>
          <w:p w14:paraId="40C21A66" w14:textId="77777777" w:rsidR="008A39ED" w:rsidRPr="008A39ED" w:rsidRDefault="008A39ED" w:rsidP="008A39ED">
            <w:pPr>
              <w:numPr>
                <w:ilvl w:val="3"/>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lang w:eastAsia="pl-PL"/>
              </w:rPr>
              <w:t>w ramach świadczeń gwarantowanych rozliczanych w ramach grupy B84 - Małe zabiegi witreoretinalne</w:t>
            </w:r>
          </w:p>
          <w:p w14:paraId="717B83BC" w14:textId="77777777" w:rsidR="008A39ED" w:rsidRPr="008A39ED" w:rsidRDefault="008A39ED" w:rsidP="008A39ED">
            <w:pPr>
              <w:spacing w:after="60" w:line="276" w:lineRule="auto"/>
              <w:ind w:left="454"/>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lang w:eastAsia="pl-PL"/>
              </w:rPr>
              <w:t>lub</w:t>
            </w:r>
          </w:p>
          <w:p w14:paraId="2A79A47B" w14:textId="77777777" w:rsidR="008A39ED" w:rsidRPr="008A39ED" w:rsidRDefault="008A39ED" w:rsidP="008A39ED">
            <w:pPr>
              <w:numPr>
                <w:ilvl w:val="3"/>
                <w:numId w:val="2"/>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bCs/>
                <w:sz w:val="20"/>
                <w:szCs w:val="20"/>
                <w:lang w:eastAsia="pl-PL"/>
              </w:rPr>
              <w:t>u świadczeniodawców, którzy nie posiadali umowy na udzielanie świadczeń opieki zdrowotnej finansowanych ze środków publicznych</w:t>
            </w:r>
          </w:p>
          <w:p w14:paraId="17A7CCCA" w14:textId="77777777" w:rsidR="008A39ED" w:rsidRPr="008A39ED" w:rsidRDefault="008A39ED" w:rsidP="008A39ED">
            <w:pPr>
              <w:spacing w:after="60" w:line="276" w:lineRule="auto"/>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bCs/>
                <w:sz w:val="20"/>
                <w:szCs w:val="20"/>
                <w:lang w:eastAsia="pl-PL"/>
              </w:rPr>
              <w:t>- schemat dawkowania należy dostosować do etapu leczenia, na jakim znajduje się pacjent.</w:t>
            </w:r>
          </w:p>
          <w:p w14:paraId="1B682D83" w14:textId="77777777" w:rsidR="008A39ED" w:rsidRPr="008A39ED" w:rsidRDefault="008A39ED" w:rsidP="008A39ED">
            <w:pPr>
              <w:spacing w:after="60" w:line="276" w:lineRule="auto"/>
              <w:jc w:val="both"/>
              <w:rPr>
                <w:rFonts w:ascii="Times New Roman" w:eastAsia="Calibri" w:hAnsi="Times New Roman" w:cs="Times New Roman"/>
                <w:sz w:val="20"/>
                <w:szCs w:val="20"/>
              </w:rPr>
            </w:pPr>
          </w:p>
          <w:p w14:paraId="06A6C30D" w14:textId="77777777" w:rsidR="008A39ED" w:rsidRPr="008A39ED" w:rsidRDefault="008A39ED" w:rsidP="008A39ED">
            <w:pPr>
              <w:numPr>
                <w:ilvl w:val="0"/>
                <w:numId w:val="2"/>
              </w:numPr>
              <w:spacing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b/>
                <w:bCs/>
                <w:sz w:val="20"/>
                <w:szCs w:val="20"/>
                <w:lang w:eastAsia="pl-PL"/>
              </w:rPr>
              <w:t>Wstrzymanie podawania leku</w:t>
            </w:r>
            <w:bookmarkStart w:id="0" w:name="_Hlk50365560"/>
          </w:p>
          <w:p w14:paraId="46956FA3" w14:textId="77777777" w:rsidR="008A39ED" w:rsidRPr="008A39ED" w:rsidRDefault="008A39ED" w:rsidP="008A39ED">
            <w:pPr>
              <w:spacing w:after="60" w:line="276" w:lineRule="auto"/>
              <w:jc w:val="both"/>
              <w:rPr>
                <w:rFonts w:ascii="Times New Roman" w:eastAsia="Calibri" w:hAnsi="Times New Roman" w:cs="Times New Roman"/>
                <w:b/>
                <w:bCs/>
                <w:sz w:val="20"/>
                <w:szCs w:val="20"/>
                <w:lang w:eastAsia="pl-PL"/>
              </w:rPr>
            </w:pPr>
            <w:r w:rsidRPr="008A39ED">
              <w:rPr>
                <w:rFonts w:ascii="Times New Roman" w:eastAsia="Calibri" w:hAnsi="Times New Roman" w:cs="Times New Roman"/>
                <w:sz w:val="20"/>
                <w:szCs w:val="20"/>
              </w:rPr>
              <w:t>Podawanie leku należy odroczyć, jeżeli wystąpi:</w:t>
            </w:r>
          </w:p>
          <w:p w14:paraId="6DE8969B" w14:textId="77777777" w:rsidR="008A39ED" w:rsidRPr="008A39ED" w:rsidRDefault="008A39ED" w:rsidP="008A39ED">
            <w:pPr>
              <w:numPr>
                <w:ilvl w:val="2"/>
                <w:numId w:val="4"/>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ciśnienie śródgałkowe ≥ 30 mmHg (utrzymujące się pomimo leczenia); </w:t>
            </w:r>
          </w:p>
          <w:p w14:paraId="0EE6A2B6" w14:textId="77777777" w:rsidR="008A39ED" w:rsidRPr="008A39ED" w:rsidRDefault="008A39ED" w:rsidP="008A39ED">
            <w:pPr>
              <w:numPr>
                <w:ilvl w:val="2"/>
                <w:numId w:val="4"/>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rozerwanie siatkówki;</w:t>
            </w:r>
          </w:p>
          <w:p w14:paraId="40FCD0E5" w14:textId="77777777" w:rsidR="008A39ED" w:rsidRPr="008A39ED" w:rsidRDefault="008A39ED" w:rsidP="008A39ED">
            <w:pPr>
              <w:numPr>
                <w:ilvl w:val="2"/>
                <w:numId w:val="4"/>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wylew podsiatkówkowy obejmujący centrum dołka siatkówki lub jeśli wielkość wylewu wynosi ≥ 50% całkowitej powierzchni zmiany;</w:t>
            </w:r>
          </w:p>
          <w:p w14:paraId="3DE6C48C" w14:textId="77777777" w:rsidR="008A39ED" w:rsidRPr="008A39ED" w:rsidRDefault="008A39ED" w:rsidP="008A39ED">
            <w:pPr>
              <w:numPr>
                <w:ilvl w:val="2"/>
                <w:numId w:val="4"/>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przeprowadzenie lub planowanie operacji wewnątrzgałkowej (o długości okresu wstrzymania podawania leku przed lub po operacją decyduje lekarz prowadzący);</w:t>
            </w:r>
          </w:p>
          <w:p w14:paraId="590F0327" w14:textId="77777777" w:rsidR="008A39ED" w:rsidRPr="008A39ED" w:rsidRDefault="008A39ED" w:rsidP="008A39ED">
            <w:pPr>
              <w:numPr>
                <w:ilvl w:val="2"/>
                <w:numId w:val="4"/>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brak aktywności choroby, tj., gdy nie stwierdza się wzrostu wielkości zmiany, nowych krwotoków lub wysięków, nawet jeżeli stale istnieją torbiele śródsiatkówkowe lub kanaliki oznaczające zmiany przewlekłe</w:t>
            </w:r>
            <w:r w:rsidRPr="008A39ED">
              <w:rPr>
                <w:rFonts w:ascii="Times New Roman" w:eastAsia="Calibri" w:hAnsi="Times New Roman" w:cs="Times New Roman"/>
                <w:bCs/>
                <w:sz w:val="20"/>
                <w:szCs w:val="20"/>
                <w:lang w:eastAsia="pl-PL"/>
              </w:rPr>
              <w:t xml:space="preserve"> (</w:t>
            </w:r>
            <w:r w:rsidRPr="008A39ED">
              <w:rPr>
                <w:rFonts w:ascii="Times New Roman" w:eastAsia="Calibri" w:hAnsi="Times New Roman" w:cs="Times New Roman"/>
                <w:sz w:val="20"/>
                <w:szCs w:val="20"/>
              </w:rPr>
              <w:t>p</w:t>
            </w:r>
            <w:r w:rsidRPr="008A39ED">
              <w:rPr>
                <w:rFonts w:ascii="Times New Roman" w:eastAsia="Calibri" w:hAnsi="Times New Roman" w:cs="Times New Roman"/>
                <w:bCs/>
                <w:sz w:val="20"/>
                <w:szCs w:val="20"/>
                <w:lang w:eastAsia="pl-PL"/>
              </w:rPr>
              <w:t xml:space="preserve">odawanie leku można odroczyć w przypadku </w:t>
            </w:r>
            <w:proofErr w:type="spellStart"/>
            <w:r w:rsidRPr="00044AFD">
              <w:rPr>
                <w:rFonts w:ascii="Times New Roman" w:eastAsia="Calibri" w:hAnsi="Times New Roman" w:cs="Times New Roman"/>
                <w:bCs/>
                <w:sz w:val="20"/>
                <w:szCs w:val="20"/>
                <w:lang w:eastAsia="pl-PL"/>
              </w:rPr>
              <w:t>afliberceptu</w:t>
            </w:r>
            <w:proofErr w:type="spellEnd"/>
            <w:r w:rsidRPr="00044AFD">
              <w:rPr>
                <w:rFonts w:ascii="Times New Roman" w:eastAsia="Calibri" w:hAnsi="Times New Roman" w:cs="Times New Roman"/>
                <w:bCs/>
                <w:sz w:val="20"/>
                <w:szCs w:val="20"/>
                <w:lang w:eastAsia="pl-PL"/>
              </w:rPr>
              <w:t xml:space="preserve"> – </w:t>
            </w:r>
            <w:r w:rsidRPr="00044AFD">
              <w:rPr>
                <w:rFonts w:ascii="Times New Roman" w:eastAsia="Calibri" w:hAnsi="Times New Roman" w:cs="Times New Roman"/>
                <w:bCs/>
                <w:sz w:val="20"/>
                <w:szCs w:val="20"/>
              </w:rPr>
              <w:t>od drugiego roku leczenia, a w przypadku</w:t>
            </w:r>
            <w:r w:rsidRPr="008A39ED">
              <w:rPr>
                <w:rFonts w:ascii="Times New Roman" w:eastAsia="Calibri" w:hAnsi="Times New Roman" w:cs="Times New Roman"/>
                <w:bCs/>
                <w:sz w:val="20"/>
                <w:szCs w:val="20"/>
              </w:rPr>
              <w:t xml:space="preserve"> </w:t>
            </w:r>
            <w:proofErr w:type="spellStart"/>
            <w:r w:rsidRPr="008A39ED">
              <w:rPr>
                <w:rFonts w:ascii="Times New Roman" w:eastAsia="Calibri" w:hAnsi="Times New Roman" w:cs="Times New Roman"/>
                <w:bCs/>
                <w:sz w:val="20"/>
                <w:szCs w:val="20"/>
              </w:rPr>
              <w:t>ranibizumabu</w:t>
            </w:r>
            <w:proofErr w:type="spellEnd"/>
            <w:r w:rsidRPr="008A39ED">
              <w:rPr>
                <w:rFonts w:ascii="Times New Roman" w:eastAsia="Calibri" w:hAnsi="Times New Roman" w:cs="Times New Roman"/>
                <w:bCs/>
                <w:sz w:val="20"/>
                <w:szCs w:val="20"/>
              </w:rPr>
              <w:t xml:space="preserve"> i </w:t>
            </w:r>
            <w:proofErr w:type="spellStart"/>
            <w:r w:rsidRPr="008A39ED">
              <w:rPr>
                <w:rFonts w:ascii="Times New Roman" w:eastAsia="Calibri" w:hAnsi="Times New Roman" w:cs="Times New Roman"/>
                <w:bCs/>
                <w:sz w:val="20"/>
                <w:szCs w:val="20"/>
              </w:rPr>
              <w:t>brolucizumabu</w:t>
            </w:r>
            <w:proofErr w:type="spellEnd"/>
            <w:r w:rsidRPr="008A39ED">
              <w:rPr>
                <w:rFonts w:ascii="Times New Roman" w:eastAsia="Calibri" w:hAnsi="Times New Roman" w:cs="Times New Roman"/>
                <w:bCs/>
                <w:sz w:val="20"/>
                <w:szCs w:val="20"/>
              </w:rPr>
              <w:t xml:space="preserve"> – od pierwszego roku leczenia).</w:t>
            </w:r>
          </w:p>
          <w:p w14:paraId="2FF8D645"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 terminie podania kolejnej dawki leku po odroczeniu decyduje lekarz prowadzący – z zastrzeżeniem kryteriów wyłączenia z programu.</w:t>
            </w:r>
            <w:bookmarkEnd w:id="0"/>
          </w:p>
          <w:p w14:paraId="7840EC81" w14:textId="77777777" w:rsidR="008A39ED" w:rsidRPr="008A39ED" w:rsidRDefault="008A39ED" w:rsidP="008A39ED">
            <w:pPr>
              <w:spacing w:after="60" w:line="276" w:lineRule="auto"/>
              <w:jc w:val="both"/>
              <w:rPr>
                <w:rFonts w:ascii="Times New Roman" w:eastAsia="Calibri" w:hAnsi="Times New Roman" w:cs="Times New Roman"/>
                <w:sz w:val="20"/>
                <w:szCs w:val="20"/>
              </w:rPr>
            </w:pPr>
          </w:p>
          <w:p w14:paraId="6DBE1017" w14:textId="77777777" w:rsidR="008A39ED" w:rsidRPr="008A39ED" w:rsidRDefault="008A39ED" w:rsidP="008A39ED">
            <w:pPr>
              <w:numPr>
                <w:ilvl w:val="0"/>
                <w:numId w:val="4"/>
              </w:numPr>
              <w:spacing w:after="60" w:line="276" w:lineRule="auto"/>
              <w:jc w:val="both"/>
              <w:rPr>
                <w:rFonts w:ascii="Times New Roman" w:eastAsia="Calibri" w:hAnsi="Times New Roman" w:cs="Times New Roman"/>
                <w:b/>
                <w:sz w:val="20"/>
                <w:szCs w:val="20"/>
              </w:rPr>
            </w:pPr>
            <w:bookmarkStart w:id="1" w:name="_Hlk53652782"/>
            <w:r w:rsidRPr="008A39ED">
              <w:rPr>
                <w:rFonts w:ascii="Times New Roman" w:eastAsia="Calibri" w:hAnsi="Times New Roman" w:cs="Times New Roman"/>
                <w:b/>
                <w:sz w:val="20"/>
                <w:szCs w:val="20"/>
              </w:rPr>
              <w:t>Zmiana leku podczas leczenia neowaskularnej (wysiękowej) postaci zwyrodnienia plamki związanego z wiekiem</w:t>
            </w:r>
            <w:bookmarkEnd w:id="1"/>
          </w:p>
          <w:p w14:paraId="2F7C2CAE" w14:textId="77777777" w:rsidR="008A39ED" w:rsidRPr="008A39ED" w:rsidRDefault="008A39ED" w:rsidP="008A39ED">
            <w:pPr>
              <w:spacing w:after="60" w:line="276" w:lineRule="auto"/>
              <w:jc w:val="both"/>
              <w:rPr>
                <w:rFonts w:ascii="Times New Roman" w:eastAsia="Calibri" w:hAnsi="Times New Roman" w:cs="Times New Roman"/>
                <w:sz w:val="20"/>
                <w:szCs w:val="20"/>
                <w:lang w:eastAsia="pl-PL"/>
              </w:rPr>
            </w:pPr>
            <w:r w:rsidRPr="008A39ED">
              <w:rPr>
                <w:rFonts w:ascii="Times New Roman" w:eastAsia="Calibri" w:hAnsi="Times New Roman" w:cs="Times New Roman"/>
                <w:sz w:val="20"/>
                <w:szCs w:val="20"/>
                <w:lang w:eastAsia="pl-PL"/>
              </w:rPr>
              <w:t>W przypadku braku skuteczności dotychczasowej terapii lekarz prowadzący może zmienić dotychczas podawany lek (pod warunkiem niespełnienia kryteriów wyłączenia z programu) na lek z inną substancją czynną finansowaną w ramach programu, jednak nie wcześniej niż po 7 iniekcjach tego samego leku:</w:t>
            </w:r>
          </w:p>
          <w:p w14:paraId="49CADF75" w14:textId="77777777" w:rsidR="008A39ED" w:rsidRPr="008A39ED" w:rsidRDefault="008A39ED" w:rsidP="008A39ED">
            <w:pPr>
              <w:numPr>
                <w:ilvl w:val="3"/>
                <w:numId w:val="4"/>
              </w:numPr>
              <w:spacing w:after="60" w:line="276" w:lineRule="auto"/>
              <w:contextualSpacing/>
              <w:jc w:val="both"/>
              <w:rPr>
                <w:rFonts w:ascii="Times New Roman" w:eastAsia="Calibri" w:hAnsi="Times New Roman" w:cs="Times New Roman"/>
                <w:sz w:val="20"/>
                <w:szCs w:val="20"/>
                <w:lang w:eastAsia="pl-PL"/>
              </w:rPr>
            </w:pPr>
            <w:r w:rsidRPr="008A39ED">
              <w:rPr>
                <w:rFonts w:ascii="Times New Roman" w:eastAsia="Calibri" w:hAnsi="Times New Roman" w:cs="Times New Roman"/>
                <w:sz w:val="20"/>
                <w:szCs w:val="20"/>
                <w:lang w:eastAsia="pl-PL"/>
              </w:rPr>
              <w:t>podanych w ramach programu lekowego – w przypadku pacjentów nowych,</w:t>
            </w:r>
          </w:p>
          <w:p w14:paraId="06EB79F4" w14:textId="77777777" w:rsidR="008A39ED" w:rsidRPr="008A39ED" w:rsidRDefault="008A39ED" w:rsidP="008A39ED">
            <w:pPr>
              <w:numPr>
                <w:ilvl w:val="3"/>
                <w:numId w:val="4"/>
              </w:numPr>
              <w:spacing w:after="60" w:line="276" w:lineRule="auto"/>
              <w:contextualSpacing/>
              <w:jc w:val="both"/>
              <w:rPr>
                <w:rFonts w:ascii="Times New Roman" w:eastAsia="Calibri" w:hAnsi="Times New Roman" w:cs="Times New Roman"/>
                <w:bCs/>
                <w:sz w:val="20"/>
                <w:szCs w:val="20"/>
                <w:lang w:eastAsia="pl-PL"/>
              </w:rPr>
            </w:pPr>
            <w:r w:rsidRPr="008A39ED">
              <w:rPr>
                <w:rFonts w:ascii="Times New Roman" w:eastAsia="Calibri" w:hAnsi="Times New Roman" w:cs="Times New Roman"/>
                <w:sz w:val="20"/>
                <w:szCs w:val="20"/>
                <w:lang w:eastAsia="pl-PL"/>
              </w:rPr>
              <w:t>łącznie – w przypadku pacjentów zakwalifikowanych do programu zgodnie z kryteriami włączenia do programu pacjentów leczonych uprzednio</w:t>
            </w:r>
            <w:r w:rsidRPr="008A39ED">
              <w:rPr>
                <w:rFonts w:ascii="Times New Roman" w:eastAsia="Calibri" w:hAnsi="Times New Roman" w:cs="Times New Roman"/>
                <w:bCs/>
                <w:sz w:val="20"/>
                <w:szCs w:val="20"/>
                <w:lang w:eastAsia="pl-PL"/>
              </w:rPr>
              <w:t xml:space="preserve"> w ramach jednorodnych grup pacjentów lub u świadczeniodawców, którzy nie posiadali umowy na udzielanie świadczeń opieki zdrowotnej finansowanych ze środków publicznych.</w:t>
            </w:r>
          </w:p>
          <w:p w14:paraId="12B22F14" w14:textId="77777777" w:rsidR="008A39ED" w:rsidRPr="008A39ED" w:rsidRDefault="008A39ED" w:rsidP="008A39ED">
            <w:pPr>
              <w:spacing w:after="60" w:line="276" w:lineRule="auto"/>
              <w:jc w:val="both"/>
              <w:rPr>
                <w:rFonts w:ascii="Times New Roman" w:eastAsia="Calibri" w:hAnsi="Times New Roman" w:cs="Times New Roman"/>
                <w:sz w:val="20"/>
                <w:szCs w:val="20"/>
                <w:lang w:eastAsia="pl-PL"/>
              </w:rPr>
            </w:pPr>
            <w:r w:rsidRPr="008A39ED">
              <w:rPr>
                <w:rFonts w:ascii="Times New Roman" w:eastAsia="Calibri" w:hAnsi="Times New Roman" w:cs="Times New Roman"/>
                <w:sz w:val="20"/>
                <w:szCs w:val="20"/>
                <w:lang w:eastAsia="pl-PL"/>
              </w:rPr>
              <w:t>Za brak skuteczności terapii należy uznać:</w:t>
            </w:r>
          </w:p>
          <w:p w14:paraId="58C4D6E6" w14:textId="77777777" w:rsidR="008A39ED" w:rsidRPr="008A39ED" w:rsidRDefault="008A39ED" w:rsidP="008A39ED">
            <w:pPr>
              <w:numPr>
                <w:ilvl w:val="2"/>
                <w:numId w:val="5"/>
              </w:numPr>
              <w:spacing w:after="60" w:line="276" w:lineRule="auto"/>
              <w:contextualSpacing/>
              <w:jc w:val="both"/>
              <w:rPr>
                <w:rFonts w:ascii="Times New Roman" w:eastAsia="Calibri" w:hAnsi="Times New Roman" w:cs="Times New Roman"/>
                <w:sz w:val="20"/>
                <w:szCs w:val="20"/>
                <w:lang w:eastAsia="pl-PL"/>
              </w:rPr>
            </w:pPr>
            <w:r w:rsidRPr="008A39ED">
              <w:rPr>
                <w:rFonts w:ascii="Times New Roman" w:eastAsia="Calibri" w:hAnsi="Times New Roman" w:cs="Times New Roman"/>
                <w:sz w:val="20"/>
                <w:szCs w:val="20"/>
                <w:lang w:eastAsia="pl-PL"/>
              </w:rPr>
              <w:t>pogorszenie ostrości wzroku w stosunku do wartości przy kwalifikacji do leczenia, przy braku spełnienia kryterium wyłączenia z programu;</w:t>
            </w:r>
          </w:p>
          <w:p w14:paraId="12751E15" w14:textId="77777777" w:rsidR="008A39ED" w:rsidRPr="008A39ED" w:rsidRDefault="008A39ED" w:rsidP="008A39ED">
            <w:pPr>
              <w:spacing w:after="60" w:line="276" w:lineRule="auto"/>
              <w:ind w:left="227"/>
              <w:jc w:val="both"/>
              <w:rPr>
                <w:rFonts w:ascii="Times New Roman" w:eastAsia="Calibri" w:hAnsi="Times New Roman" w:cs="Times New Roman"/>
                <w:sz w:val="20"/>
                <w:szCs w:val="20"/>
                <w:lang w:eastAsia="pl-PL"/>
              </w:rPr>
            </w:pPr>
            <w:r w:rsidRPr="008A39ED">
              <w:rPr>
                <w:rFonts w:ascii="Times New Roman" w:eastAsia="Calibri" w:hAnsi="Times New Roman" w:cs="Times New Roman"/>
                <w:sz w:val="20"/>
                <w:szCs w:val="20"/>
                <w:lang w:eastAsia="pl-PL"/>
              </w:rPr>
              <w:t>lub</w:t>
            </w:r>
          </w:p>
          <w:p w14:paraId="320FCE04" w14:textId="77777777" w:rsidR="008A39ED" w:rsidRPr="008A39ED" w:rsidRDefault="008A39ED" w:rsidP="008A39ED">
            <w:pPr>
              <w:numPr>
                <w:ilvl w:val="2"/>
                <w:numId w:val="5"/>
              </w:numPr>
              <w:spacing w:after="60" w:line="276" w:lineRule="auto"/>
              <w:contextualSpacing/>
              <w:jc w:val="both"/>
              <w:rPr>
                <w:rFonts w:ascii="Times New Roman" w:eastAsia="Calibri" w:hAnsi="Times New Roman" w:cs="Times New Roman"/>
                <w:sz w:val="20"/>
                <w:szCs w:val="20"/>
                <w:lang w:eastAsia="pl-PL"/>
              </w:rPr>
            </w:pPr>
            <w:r w:rsidRPr="008A39ED">
              <w:rPr>
                <w:rFonts w:ascii="Times New Roman" w:eastAsia="Calibri" w:hAnsi="Times New Roman" w:cs="Times New Roman"/>
                <w:sz w:val="20"/>
                <w:szCs w:val="20"/>
                <w:lang w:eastAsia="pl-PL"/>
              </w:rPr>
              <w:t>utrzymującą się lub cyklicznie nawracającą aktywność choroby, tj. płyn podsiatkówkowy lub obrzęk siatkówki, przy braku spełnienia kryterium wyłączenia z programu i gdy nie doszło do nieodwracalnych zmian w plamce w postaci dominującego bliznowacenia lub zaniku.</w:t>
            </w:r>
          </w:p>
          <w:p w14:paraId="235F46BF" w14:textId="77777777" w:rsidR="008A39ED" w:rsidRPr="008A39ED" w:rsidRDefault="008A39ED" w:rsidP="008A39ED">
            <w:pPr>
              <w:spacing w:after="60" w:line="276" w:lineRule="auto"/>
              <w:jc w:val="both"/>
              <w:rPr>
                <w:rFonts w:ascii="Times New Roman" w:eastAsia="Calibri" w:hAnsi="Times New Roman" w:cs="Times New Roman"/>
                <w:bCs/>
                <w:sz w:val="20"/>
                <w:szCs w:val="20"/>
              </w:rPr>
            </w:pPr>
            <w:r w:rsidRPr="008A39ED">
              <w:rPr>
                <w:rFonts w:ascii="Times New Roman" w:eastAsia="Calibri" w:hAnsi="Times New Roman" w:cs="Times New Roman"/>
                <w:bCs/>
                <w:sz w:val="20"/>
                <w:szCs w:val="20"/>
              </w:rPr>
              <w:t>Schemat dawkowania leku po zmianie ustala lekarz prowadzący.</w:t>
            </w:r>
          </w:p>
          <w:p w14:paraId="1929D851" w14:textId="77777777" w:rsidR="008A39ED" w:rsidRPr="008A39ED" w:rsidRDefault="008A39ED" w:rsidP="008A39ED">
            <w:pPr>
              <w:spacing w:after="60" w:line="276" w:lineRule="auto"/>
              <w:jc w:val="both"/>
              <w:rPr>
                <w:rFonts w:ascii="Times New Roman" w:eastAsia="Calibri" w:hAnsi="Times New Roman" w:cs="Times New Roman"/>
                <w:sz w:val="20"/>
                <w:szCs w:val="20"/>
              </w:rPr>
            </w:pPr>
          </w:p>
        </w:tc>
        <w:tc>
          <w:tcPr>
            <w:tcW w:w="4300" w:type="dxa"/>
            <w:shd w:val="clear" w:color="auto" w:fill="auto"/>
          </w:tcPr>
          <w:p w14:paraId="755C677A" w14:textId="77777777" w:rsidR="008A39ED" w:rsidRPr="00F470CD" w:rsidRDefault="008A39ED" w:rsidP="008A39ED">
            <w:pPr>
              <w:widowControl w:val="0"/>
              <w:numPr>
                <w:ilvl w:val="0"/>
                <w:numId w:val="6"/>
              </w:numPr>
              <w:spacing w:before="120" w:after="60" w:line="276" w:lineRule="auto"/>
              <w:jc w:val="both"/>
              <w:rPr>
                <w:rFonts w:ascii="Times New Roman" w:eastAsia="Calibri" w:hAnsi="Times New Roman" w:cs="Times New Roman"/>
                <w:b/>
                <w:bCs/>
                <w:sz w:val="20"/>
                <w:szCs w:val="20"/>
              </w:rPr>
            </w:pPr>
            <w:r w:rsidRPr="00F470CD">
              <w:rPr>
                <w:rFonts w:ascii="Times New Roman" w:eastAsia="Calibri" w:hAnsi="Times New Roman" w:cs="Times New Roman"/>
                <w:b/>
                <w:bCs/>
                <w:sz w:val="20"/>
                <w:szCs w:val="20"/>
              </w:rPr>
              <w:t>Leczenie neowaskularnej (wysiękowej) postaci zwyrodnienia plamki związanego z wiekiem afliberceptem</w:t>
            </w:r>
          </w:p>
          <w:p w14:paraId="74FA9B2B" w14:textId="77777777" w:rsidR="008A39ED" w:rsidRPr="00F470CD" w:rsidRDefault="008A39ED" w:rsidP="008A39ED">
            <w:pPr>
              <w:widowControl w:val="0"/>
              <w:numPr>
                <w:ilvl w:val="1"/>
                <w:numId w:val="6"/>
              </w:numPr>
              <w:tabs>
                <w:tab w:val="left" w:pos="294"/>
              </w:tabs>
              <w:spacing w:after="60" w:line="276" w:lineRule="auto"/>
              <w:jc w:val="both"/>
              <w:rPr>
                <w:rFonts w:ascii="Times New Roman" w:eastAsia="Calibri" w:hAnsi="Times New Roman" w:cs="Times New Roman"/>
                <w:b/>
                <w:bCs/>
                <w:sz w:val="20"/>
                <w:szCs w:val="20"/>
              </w:rPr>
            </w:pPr>
            <w:r w:rsidRPr="00F470CD">
              <w:rPr>
                <w:rFonts w:ascii="Times New Roman" w:eastAsia="Calibri" w:hAnsi="Times New Roman" w:cs="Times New Roman"/>
                <w:b/>
                <w:bCs/>
                <w:sz w:val="20"/>
                <w:szCs w:val="20"/>
                <w:shd w:val="clear" w:color="auto" w:fill="FFFFFF"/>
              </w:rPr>
              <w:t>Badania przy kwalifikacji</w:t>
            </w:r>
          </w:p>
          <w:p w14:paraId="4D1FB788" w14:textId="77777777" w:rsidR="008A39ED" w:rsidRPr="00F470CD" w:rsidRDefault="008A39ED" w:rsidP="008A39E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badanie okulistyczne z oceną ostrości wzroku na tablicach Snellena lub ETDRS;</w:t>
            </w:r>
          </w:p>
          <w:p w14:paraId="54D0C06F" w14:textId="77777777" w:rsidR="008A39ED" w:rsidRPr="00F470CD" w:rsidRDefault="008A39ED" w:rsidP="008A39E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OCT (optyczna koherentna tomografia);</w:t>
            </w:r>
          </w:p>
          <w:p w14:paraId="67734EF8" w14:textId="77777777" w:rsidR="008A39ED" w:rsidRPr="00F470CD" w:rsidRDefault="008A39ED" w:rsidP="008A39E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fotografia dna oka;</w:t>
            </w:r>
          </w:p>
          <w:p w14:paraId="4DA96878" w14:textId="77777777" w:rsidR="008A39ED" w:rsidRPr="00F470CD" w:rsidRDefault="008A39ED" w:rsidP="008A39E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angiografia fluoresceinowa lub angio-OCT (w przypadkach trudnych z diagnostycznego punktu widzenia - angiografia indocyjaninowa) – w przypadku uczulenia na barwnik stosowany w angiografii lub w razie wystąpienia innych jednoznacznych przeciwwskazań do wykonania tego badania można od niego odstąpić. Fakt odstąpienia od badania należy opisać w dokumentacji medycznej pacjenta i przekazać do Zespołu Koordynacyjnego;</w:t>
            </w:r>
          </w:p>
          <w:p w14:paraId="77199E67"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sz w:val="20"/>
                <w:szCs w:val="20"/>
              </w:rPr>
            </w:pPr>
            <w:r w:rsidRPr="00F470CD">
              <w:rPr>
                <w:rFonts w:ascii="Times New Roman" w:eastAsia="Calibri" w:hAnsi="Times New Roman" w:cs="Times New Roman"/>
                <w:sz w:val="20"/>
                <w:szCs w:val="20"/>
              </w:rPr>
              <w:t>w przypadku ponownej kwalifikacji po wyłączeniu pacjenta z programu z powodu przedłużającego się okresu obserwacji kwalifikację pacjenta opierać należy na pkt. 1, 2 i 3. W przypadkach wątpliwych ekspert Zespołu Koordynacyjnego może poprosić o rozszerzenia badań do pełnego zakresu.</w:t>
            </w:r>
          </w:p>
          <w:p w14:paraId="2CDEDB51" w14:textId="77777777" w:rsidR="008A39ED" w:rsidRPr="00F470CD" w:rsidRDefault="008A39ED" w:rsidP="008A39ED">
            <w:pPr>
              <w:spacing w:after="60" w:line="276" w:lineRule="auto"/>
              <w:ind w:left="454"/>
              <w:contextualSpacing/>
              <w:jc w:val="both"/>
              <w:rPr>
                <w:rFonts w:ascii="Times New Roman" w:eastAsia="Calibri" w:hAnsi="Times New Roman" w:cs="Times New Roman"/>
                <w:sz w:val="20"/>
                <w:szCs w:val="20"/>
              </w:rPr>
            </w:pPr>
          </w:p>
          <w:p w14:paraId="7C907CAD" w14:textId="77777777" w:rsidR="008A39ED" w:rsidRPr="00F470CD" w:rsidRDefault="008A39ED" w:rsidP="008A39ED">
            <w:pPr>
              <w:widowControl w:val="0"/>
              <w:numPr>
                <w:ilvl w:val="1"/>
                <w:numId w:val="6"/>
              </w:numPr>
              <w:tabs>
                <w:tab w:val="left" w:pos="294"/>
              </w:tabs>
              <w:spacing w:after="60" w:line="276" w:lineRule="auto"/>
              <w:jc w:val="both"/>
              <w:rPr>
                <w:rFonts w:ascii="Times New Roman" w:eastAsia="Calibri" w:hAnsi="Times New Roman" w:cs="Times New Roman"/>
                <w:b/>
                <w:bCs/>
                <w:sz w:val="20"/>
                <w:szCs w:val="20"/>
                <w:lang w:eastAsia="pl-PL"/>
              </w:rPr>
            </w:pPr>
            <w:r w:rsidRPr="00F470CD">
              <w:rPr>
                <w:rFonts w:ascii="Times New Roman" w:eastAsia="Calibri" w:hAnsi="Times New Roman" w:cs="Times New Roman"/>
                <w:b/>
                <w:sz w:val="20"/>
                <w:szCs w:val="20"/>
                <w:shd w:val="clear" w:color="auto" w:fill="FFFFFF"/>
              </w:rPr>
              <w:t>Monitorowanie</w:t>
            </w:r>
            <w:r w:rsidRPr="00F470CD">
              <w:rPr>
                <w:rFonts w:ascii="Times New Roman" w:eastAsia="Calibri" w:hAnsi="Times New Roman" w:cs="Times New Roman"/>
                <w:b/>
                <w:bCs/>
                <w:sz w:val="20"/>
                <w:szCs w:val="20"/>
                <w:lang w:eastAsia="pl-PL"/>
              </w:rPr>
              <w:t xml:space="preserve"> leczenia</w:t>
            </w:r>
          </w:p>
          <w:p w14:paraId="4E0BF946" w14:textId="77777777" w:rsidR="008A39ED" w:rsidRPr="00F470CD" w:rsidRDefault="008A39ED" w:rsidP="00F470C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 xml:space="preserve">badania przeprowadzane przed każdym podaniem </w:t>
            </w:r>
            <w:proofErr w:type="spellStart"/>
            <w:r w:rsidRPr="00F470CD">
              <w:rPr>
                <w:rFonts w:ascii="Times New Roman" w:eastAsia="Calibri" w:hAnsi="Times New Roman" w:cs="Times New Roman"/>
                <w:sz w:val="20"/>
                <w:szCs w:val="20"/>
                <w:shd w:val="clear" w:color="auto" w:fill="FFFFFF"/>
              </w:rPr>
              <w:t>afliberceptu</w:t>
            </w:r>
            <w:proofErr w:type="spellEnd"/>
            <w:r w:rsidRPr="00F470CD">
              <w:rPr>
                <w:rFonts w:ascii="Times New Roman" w:eastAsia="Calibri" w:hAnsi="Times New Roman" w:cs="Times New Roman"/>
                <w:sz w:val="20"/>
                <w:szCs w:val="20"/>
                <w:shd w:val="clear" w:color="auto" w:fill="FFFFFF"/>
              </w:rPr>
              <w:t xml:space="preserve"> (w dniu podania leku lub w terminie do 7 dni przed jego podaniem) zgodnie z harmonogramem dawkowania:</w:t>
            </w:r>
          </w:p>
          <w:p w14:paraId="3C66D928" w14:textId="77777777" w:rsidR="008A39ED" w:rsidRPr="00F470CD" w:rsidRDefault="008A39ED" w:rsidP="008A39ED">
            <w:pPr>
              <w:numPr>
                <w:ilvl w:val="3"/>
                <w:numId w:val="6"/>
              </w:numPr>
              <w:spacing w:after="60" w:line="276" w:lineRule="auto"/>
              <w:jc w:val="both"/>
              <w:rPr>
                <w:rFonts w:ascii="Times New Roman" w:eastAsia="Calibri" w:hAnsi="Times New Roman" w:cs="Times New Roman"/>
                <w:bCs/>
                <w:sz w:val="20"/>
                <w:szCs w:val="20"/>
                <w:lang w:eastAsia="pl-PL"/>
              </w:rPr>
            </w:pPr>
            <w:r w:rsidRPr="00F470CD">
              <w:rPr>
                <w:rFonts w:ascii="Times New Roman" w:eastAsia="Calibri" w:hAnsi="Times New Roman" w:cs="Times New Roman"/>
                <w:sz w:val="20"/>
                <w:szCs w:val="20"/>
                <w:shd w:val="clear" w:color="auto" w:fill="FFFFFF"/>
              </w:rPr>
              <w:t>badanie okulistyczne z oceną ostrości wzroku na tablicach Snellena lub ETDRS,</w:t>
            </w:r>
          </w:p>
          <w:p w14:paraId="50A5AE7E" w14:textId="77777777" w:rsidR="008A39ED" w:rsidRPr="00F470CD" w:rsidRDefault="008A39ED" w:rsidP="008A39ED">
            <w:pPr>
              <w:widowControl w:val="0"/>
              <w:numPr>
                <w:ilvl w:val="3"/>
                <w:numId w:val="6"/>
              </w:numPr>
              <w:tabs>
                <w:tab w:val="left" w:pos="294"/>
              </w:tabs>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OCT (optyczna koherentna tomografia),</w:t>
            </w:r>
          </w:p>
          <w:p w14:paraId="7F24053D" w14:textId="77777777" w:rsidR="008A39ED" w:rsidRPr="00F470CD" w:rsidRDefault="008A39ED" w:rsidP="008A39ED">
            <w:pPr>
              <w:widowControl w:val="0"/>
              <w:numPr>
                <w:ilvl w:val="3"/>
                <w:numId w:val="6"/>
              </w:numPr>
              <w:tabs>
                <w:tab w:val="left" w:pos="294"/>
              </w:tabs>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opcjonalnie - fotografia dna oka,</w:t>
            </w:r>
          </w:p>
          <w:p w14:paraId="23EA03D3" w14:textId="77777777" w:rsidR="008A39ED" w:rsidRPr="00F470CD" w:rsidRDefault="008A39ED" w:rsidP="008A39ED">
            <w:pPr>
              <w:widowControl w:val="0"/>
              <w:numPr>
                <w:ilvl w:val="3"/>
                <w:numId w:val="6"/>
              </w:numPr>
              <w:tabs>
                <w:tab w:val="left" w:pos="294"/>
              </w:tabs>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opcjonalnie - angiografia fluoresceinowa lub angio-OCT (w przypadkach trudnych z diagnostycznego punktu widzenia - angiografia indocyjaninowa).</w:t>
            </w:r>
          </w:p>
          <w:p w14:paraId="63A1897F" w14:textId="0B0B8F2E" w:rsidR="008A39ED" w:rsidRPr="00F470CD" w:rsidRDefault="0030247F" w:rsidP="0030247F">
            <w:pPr>
              <w:widowControl w:val="0"/>
              <w:tabs>
                <w:tab w:val="left" w:pos="294"/>
              </w:tabs>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rPr>
              <w:t xml:space="preserve">Nie ma wymogu monitorowania pomiędzy wstrzyknięciami. Na podstawie opinii lekarza harmonogram monitorowania może być częstszy niż harmonogram wstrzyknięć. </w:t>
            </w:r>
          </w:p>
          <w:p w14:paraId="55808F02" w14:textId="77777777" w:rsidR="0030247F" w:rsidRPr="00F470CD" w:rsidRDefault="0030247F" w:rsidP="0030247F">
            <w:pPr>
              <w:widowControl w:val="0"/>
              <w:tabs>
                <w:tab w:val="left" w:pos="294"/>
              </w:tabs>
              <w:spacing w:after="60" w:line="276" w:lineRule="auto"/>
              <w:jc w:val="both"/>
              <w:rPr>
                <w:rFonts w:ascii="Times New Roman" w:eastAsia="Calibri" w:hAnsi="Times New Roman" w:cs="Times New Roman"/>
                <w:sz w:val="20"/>
                <w:szCs w:val="20"/>
              </w:rPr>
            </w:pPr>
          </w:p>
          <w:p w14:paraId="4724B0CB" w14:textId="77777777" w:rsidR="008A39ED" w:rsidRPr="00F470CD" w:rsidRDefault="008A39ED" w:rsidP="008A39ED">
            <w:pPr>
              <w:numPr>
                <w:ilvl w:val="0"/>
                <w:numId w:val="6"/>
              </w:numPr>
              <w:spacing w:after="60" w:line="276" w:lineRule="auto"/>
              <w:contextualSpacing/>
              <w:jc w:val="both"/>
              <w:rPr>
                <w:rFonts w:ascii="Times New Roman" w:eastAsia="Calibri" w:hAnsi="Times New Roman" w:cs="Times New Roman"/>
                <w:b/>
                <w:bCs/>
                <w:sz w:val="20"/>
                <w:szCs w:val="20"/>
              </w:rPr>
            </w:pPr>
            <w:r w:rsidRPr="00F470CD">
              <w:rPr>
                <w:rFonts w:ascii="Times New Roman" w:eastAsia="Calibri" w:hAnsi="Times New Roman" w:cs="Times New Roman"/>
                <w:b/>
                <w:bCs/>
                <w:sz w:val="20"/>
                <w:szCs w:val="20"/>
              </w:rPr>
              <w:t xml:space="preserve">Leczenie neowaskularnej (wysiękowej) postaci zwyrodnienia plamki związanego z wiekiem </w:t>
            </w:r>
            <w:proofErr w:type="spellStart"/>
            <w:r w:rsidRPr="00F470CD">
              <w:rPr>
                <w:rFonts w:ascii="Times New Roman" w:eastAsia="Calibri" w:hAnsi="Times New Roman" w:cs="Times New Roman"/>
                <w:b/>
                <w:bCs/>
                <w:sz w:val="20"/>
                <w:szCs w:val="20"/>
              </w:rPr>
              <w:t>ranibizumabem</w:t>
            </w:r>
            <w:proofErr w:type="spellEnd"/>
          </w:p>
          <w:p w14:paraId="659F258C" w14:textId="77777777" w:rsidR="008A39ED" w:rsidRPr="00F470CD" w:rsidRDefault="008A39ED" w:rsidP="008A39ED">
            <w:pPr>
              <w:numPr>
                <w:ilvl w:val="1"/>
                <w:numId w:val="6"/>
              </w:numPr>
              <w:spacing w:after="60" w:line="276" w:lineRule="auto"/>
              <w:contextualSpacing/>
              <w:jc w:val="both"/>
              <w:rPr>
                <w:rFonts w:ascii="Times New Roman" w:eastAsia="Calibri" w:hAnsi="Times New Roman" w:cs="Times New Roman"/>
                <w:b/>
                <w:bCs/>
                <w:sz w:val="20"/>
                <w:szCs w:val="20"/>
              </w:rPr>
            </w:pPr>
            <w:r w:rsidRPr="00F470CD">
              <w:rPr>
                <w:rFonts w:ascii="Times New Roman" w:eastAsia="Calibri" w:hAnsi="Times New Roman" w:cs="Times New Roman"/>
                <w:b/>
                <w:bCs/>
                <w:sz w:val="20"/>
                <w:szCs w:val="20"/>
              </w:rPr>
              <w:t>Badania przy kwalifikacji</w:t>
            </w:r>
          </w:p>
          <w:p w14:paraId="257068D7" w14:textId="77777777" w:rsidR="008A39ED" w:rsidRPr="00F470CD" w:rsidRDefault="008A39ED" w:rsidP="008A39E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badanie okulistyczne z oceną ostrości wzroku na tablicach Snellena lub ETDRS;</w:t>
            </w:r>
          </w:p>
          <w:p w14:paraId="6472D90B" w14:textId="77777777" w:rsidR="008A39ED" w:rsidRPr="00F470CD" w:rsidRDefault="008A39ED" w:rsidP="008A39E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OCT (optyczna koherentna tomografia);</w:t>
            </w:r>
          </w:p>
          <w:p w14:paraId="24FD6C24" w14:textId="77777777" w:rsidR="008A39ED" w:rsidRPr="00F470CD" w:rsidRDefault="008A39ED" w:rsidP="008A39E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fotografia dna oka;</w:t>
            </w:r>
          </w:p>
          <w:p w14:paraId="292A5F32" w14:textId="77777777" w:rsidR="008A39ED" w:rsidRPr="00F470CD" w:rsidRDefault="008A39ED" w:rsidP="008A39E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angiografia fluoresceinowa lub angio-OCT (w przypadkach trudnych z diagnostycznego punktu widzenia – angiografia indocyjaninowa) – w przypadku uczulenia na barwnik stosowany w angiografii lub w razie wystąpienia innych jednoznacznych przeciwwskazań do wykonania tego badania można od niego odstąpić. Fakt odstąpienia od badania należy opisać w dokumentacji medycznej pacjenta i przekazać do Zespołu Koordynacyjnego;</w:t>
            </w:r>
          </w:p>
          <w:p w14:paraId="5992CAE4"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sz w:val="20"/>
                <w:szCs w:val="20"/>
              </w:rPr>
            </w:pPr>
            <w:r w:rsidRPr="00F470CD">
              <w:rPr>
                <w:rFonts w:ascii="Times New Roman" w:eastAsia="Calibri" w:hAnsi="Times New Roman" w:cs="Times New Roman"/>
                <w:sz w:val="20"/>
                <w:szCs w:val="20"/>
              </w:rPr>
              <w:t>w przypadku ponownej kwalifikacji po wyłączeniu pacjenta z programu z powodu przedłużającego się okresu obserwacji kwalifikację pacjenta opierać należy na pkt. 1, 2 i 3. W przypadkach wątpliwych ekspert Zespołu Koordynacyjnego może poprosić o rozszerzenia badań do pełnego zakresu.</w:t>
            </w:r>
          </w:p>
          <w:p w14:paraId="6F7E82D6" w14:textId="77777777" w:rsidR="008A39ED" w:rsidRPr="00F470CD" w:rsidRDefault="008A39ED" w:rsidP="008A39ED">
            <w:pPr>
              <w:spacing w:after="60" w:line="276" w:lineRule="auto"/>
              <w:ind w:left="454"/>
              <w:contextualSpacing/>
              <w:jc w:val="both"/>
              <w:rPr>
                <w:rFonts w:ascii="Times New Roman" w:eastAsia="Calibri" w:hAnsi="Times New Roman" w:cs="Times New Roman"/>
                <w:sz w:val="20"/>
                <w:szCs w:val="20"/>
              </w:rPr>
            </w:pPr>
          </w:p>
          <w:p w14:paraId="636E4F2A" w14:textId="77777777" w:rsidR="008A39ED" w:rsidRPr="00F470CD" w:rsidRDefault="008A39ED" w:rsidP="008A39ED">
            <w:pPr>
              <w:numPr>
                <w:ilvl w:val="1"/>
                <w:numId w:val="6"/>
              </w:numPr>
              <w:spacing w:after="60" w:line="276" w:lineRule="auto"/>
              <w:contextualSpacing/>
              <w:jc w:val="both"/>
              <w:rPr>
                <w:rFonts w:ascii="Times New Roman" w:eastAsia="Calibri" w:hAnsi="Times New Roman" w:cs="Times New Roman"/>
                <w:b/>
                <w:bCs/>
                <w:sz w:val="20"/>
                <w:szCs w:val="20"/>
              </w:rPr>
            </w:pPr>
            <w:r w:rsidRPr="00F470CD">
              <w:rPr>
                <w:rFonts w:ascii="Times New Roman" w:eastAsia="Calibri" w:hAnsi="Times New Roman" w:cs="Times New Roman"/>
                <w:b/>
                <w:bCs/>
                <w:sz w:val="20"/>
                <w:szCs w:val="20"/>
              </w:rPr>
              <w:t>Monitorowanie leczenia</w:t>
            </w:r>
          </w:p>
          <w:p w14:paraId="19DFEF2D" w14:textId="77777777" w:rsidR="008A39ED" w:rsidRPr="00F470CD" w:rsidRDefault="008A39ED" w:rsidP="00F470CD">
            <w:pPr>
              <w:widowControl w:val="0"/>
              <w:numPr>
                <w:ilvl w:val="2"/>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 xml:space="preserve">badania przeprowadzane przed każdym podaniem </w:t>
            </w:r>
            <w:proofErr w:type="spellStart"/>
            <w:r w:rsidRPr="00F470CD">
              <w:rPr>
                <w:rFonts w:ascii="Times New Roman" w:eastAsia="Calibri" w:hAnsi="Times New Roman" w:cs="Times New Roman"/>
                <w:sz w:val="20"/>
                <w:szCs w:val="20"/>
                <w:shd w:val="clear" w:color="auto" w:fill="FFFFFF"/>
              </w:rPr>
              <w:t>ranibizumabu</w:t>
            </w:r>
            <w:proofErr w:type="spellEnd"/>
            <w:r w:rsidRPr="00F470CD">
              <w:rPr>
                <w:rFonts w:ascii="Times New Roman" w:eastAsia="Calibri" w:hAnsi="Times New Roman" w:cs="Times New Roman"/>
                <w:sz w:val="20"/>
                <w:szCs w:val="20"/>
                <w:shd w:val="clear" w:color="auto" w:fill="FFFFFF"/>
              </w:rPr>
              <w:t xml:space="preserve"> (w dniu podania leku lub w terminie do 7 dni przed jego podaniem) zgodnie z harmonogramem dawkowania: </w:t>
            </w:r>
          </w:p>
          <w:p w14:paraId="3EE760EC" w14:textId="77777777" w:rsidR="008A39ED" w:rsidRPr="00F470CD" w:rsidRDefault="008A39ED" w:rsidP="008A39ED">
            <w:pPr>
              <w:numPr>
                <w:ilvl w:val="3"/>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badanie okulistyczne z oceną ostrości wzroku na tablicach Snellena lub ETDRS,</w:t>
            </w:r>
          </w:p>
          <w:p w14:paraId="4D7E13D4" w14:textId="77777777" w:rsidR="008A39ED" w:rsidRPr="00F470CD" w:rsidRDefault="008A39ED" w:rsidP="008A39ED">
            <w:pPr>
              <w:numPr>
                <w:ilvl w:val="3"/>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OCT (optyczna koherentna tomografia),</w:t>
            </w:r>
          </w:p>
          <w:p w14:paraId="78CB7A8A" w14:textId="77777777" w:rsidR="008A39ED" w:rsidRPr="00F470CD" w:rsidRDefault="008A39ED" w:rsidP="008A39ED">
            <w:pPr>
              <w:numPr>
                <w:ilvl w:val="3"/>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opcjonalnie - fotografia dna oka,</w:t>
            </w:r>
          </w:p>
          <w:p w14:paraId="3128E7C3" w14:textId="77777777" w:rsidR="008A39ED" w:rsidRPr="00F470CD" w:rsidRDefault="008A39ED" w:rsidP="008A39ED">
            <w:pPr>
              <w:numPr>
                <w:ilvl w:val="3"/>
                <w:numId w:val="6"/>
              </w:num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shd w:val="clear" w:color="auto" w:fill="FFFFFF"/>
              </w:rPr>
              <w:t>opcjonalnie - angiografia fluoresceinowa lub angio-OCT (w przypadkach trudnych z diagnostycznego punktu widzenia – angiografia indocyjaninowa).</w:t>
            </w:r>
          </w:p>
          <w:p w14:paraId="094FDF69" w14:textId="68517AE7" w:rsidR="008A39ED" w:rsidRPr="00F470CD" w:rsidRDefault="00595AB8" w:rsidP="00595AB8">
            <w:pPr>
              <w:spacing w:after="60" w:line="276" w:lineRule="auto"/>
              <w:jc w:val="both"/>
              <w:rPr>
                <w:rFonts w:ascii="Times New Roman" w:eastAsia="Calibri" w:hAnsi="Times New Roman" w:cs="Times New Roman"/>
                <w:sz w:val="20"/>
                <w:szCs w:val="20"/>
              </w:rPr>
            </w:pPr>
            <w:r w:rsidRPr="00F470CD">
              <w:rPr>
                <w:rFonts w:ascii="Times New Roman" w:eastAsia="Calibri" w:hAnsi="Times New Roman" w:cs="Times New Roman"/>
                <w:sz w:val="20"/>
                <w:szCs w:val="20"/>
              </w:rPr>
              <w:t>Nie ma wymogu monitorowania pomiędzy wstrzyknięciami. Na podstawie opinii lekarza harmonogram monitorowania może być częstszy niż harmonogram wstrzyknięć.</w:t>
            </w:r>
            <w:r w:rsidR="00FF4D29">
              <w:rPr>
                <w:rFonts w:ascii="Times New Roman" w:eastAsia="Calibri" w:hAnsi="Times New Roman" w:cs="Times New Roman"/>
                <w:sz w:val="20"/>
                <w:szCs w:val="20"/>
              </w:rPr>
              <w:t xml:space="preserve"> </w:t>
            </w:r>
          </w:p>
          <w:p w14:paraId="52D4E081" w14:textId="77777777" w:rsidR="00595AB8" w:rsidRPr="00F470CD" w:rsidRDefault="00595AB8" w:rsidP="00595AB8">
            <w:pPr>
              <w:spacing w:after="60" w:line="276" w:lineRule="auto"/>
              <w:jc w:val="both"/>
              <w:rPr>
                <w:rFonts w:ascii="Times New Roman" w:eastAsia="Calibri" w:hAnsi="Times New Roman" w:cs="Times New Roman"/>
                <w:sz w:val="20"/>
                <w:szCs w:val="20"/>
              </w:rPr>
            </w:pPr>
          </w:p>
          <w:p w14:paraId="583A8221" w14:textId="77777777" w:rsidR="008A39ED" w:rsidRPr="00F470CD" w:rsidRDefault="008A39ED" w:rsidP="008A39ED">
            <w:pPr>
              <w:numPr>
                <w:ilvl w:val="0"/>
                <w:numId w:val="6"/>
              </w:numPr>
              <w:spacing w:after="60" w:line="276" w:lineRule="auto"/>
              <w:contextualSpacing/>
              <w:jc w:val="both"/>
              <w:rPr>
                <w:rFonts w:ascii="Times New Roman" w:eastAsia="Calibri" w:hAnsi="Times New Roman" w:cs="Times New Roman"/>
                <w:b/>
                <w:bCs/>
                <w:sz w:val="20"/>
                <w:szCs w:val="20"/>
              </w:rPr>
            </w:pPr>
            <w:r w:rsidRPr="00F470CD">
              <w:rPr>
                <w:rFonts w:ascii="Times New Roman" w:eastAsia="Calibri" w:hAnsi="Times New Roman" w:cs="Times New Roman"/>
                <w:b/>
                <w:bCs/>
                <w:sz w:val="20"/>
                <w:szCs w:val="20"/>
              </w:rPr>
              <w:t>Leczenie neowaskularnej (wysiękowej) postaci zwyrodnienia plamki związanego z wiekiem brolucizumabem</w:t>
            </w:r>
          </w:p>
          <w:p w14:paraId="579F14A9" w14:textId="77777777" w:rsidR="008A39ED" w:rsidRPr="00F470CD" w:rsidRDefault="008A39ED" w:rsidP="008A39ED">
            <w:pPr>
              <w:numPr>
                <w:ilvl w:val="1"/>
                <w:numId w:val="6"/>
              </w:numPr>
              <w:spacing w:after="60" w:line="276" w:lineRule="auto"/>
              <w:contextualSpacing/>
              <w:jc w:val="both"/>
              <w:rPr>
                <w:rFonts w:ascii="Times New Roman" w:eastAsia="Calibri" w:hAnsi="Times New Roman" w:cs="Times New Roman"/>
                <w:b/>
                <w:bCs/>
                <w:sz w:val="20"/>
                <w:szCs w:val="20"/>
              </w:rPr>
            </w:pPr>
            <w:r w:rsidRPr="00F470CD">
              <w:rPr>
                <w:rFonts w:ascii="Times New Roman" w:eastAsia="Calibri" w:hAnsi="Times New Roman" w:cs="Times New Roman"/>
                <w:b/>
                <w:bCs/>
                <w:sz w:val="20"/>
                <w:szCs w:val="20"/>
                <w:shd w:val="clear" w:color="auto" w:fill="FFFFFF"/>
              </w:rPr>
              <w:t>Badania przy kwalifikacji</w:t>
            </w:r>
          </w:p>
          <w:p w14:paraId="0CE88E16"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badanie okulistyczne z oceną ostrości wzroku na tablicach Snellena lub ETDRS;</w:t>
            </w:r>
          </w:p>
          <w:p w14:paraId="509F8AAD"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OCT (optyczna koherentna tomografia);</w:t>
            </w:r>
          </w:p>
          <w:p w14:paraId="139800E4"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fotografia dna oka;</w:t>
            </w:r>
          </w:p>
          <w:p w14:paraId="4966EFD6"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angiografia fluoresceinowa lub angio-OCT (w przypadkach trudnych z diagnostycznego punktu widzenia - angiografia indocyjaninowa) – w przypadku uczulenia na barwnik stosowany w angiografii lub w razie wystąpienia innych jednoznacznych przeciwwskazań do wykonania tego badania można od niego odstąpić. Fakt odstąpienia od badania należy opisać w dokumentacji medycznej pacjenta i przekazać do Zespołu Koordynacyjnego do Spraw Leczenia Chorób Siatkówki;</w:t>
            </w:r>
          </w:p>
          <w:p w14:paraId="0D0BC9C0"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w przypadku ponownej kwalifikacji po wyłączeniu pacjenta z programu z powodu przedłużającego się okresu obserwacji kwalifikację pacjenta opierać należy na pkt. 1, 2 i 3. W przypadkach wątpliwych ekspert Zespołu Koordynacyjnego może poprosić o rozszerzenia badań do pełnego zakresu.</w:t>
            </w:r>
          </w:p>
          <w:p w14:paraId="18477889" w14:textId="77777777" w:rsidR="008A39ED" w:rsidRPr="00F470CD" w:rsidRDefault="008A39ED" w:rsidP="008A39ED">
            <w:pPr>
              <w:spacing w:after="60" w:line="276" w:lineRule="auto"/>
              <w:jc w:val="both"/>
              <w:rPr>
                <w:rFonts w:ascii="Times New Roman" w:eastAsia="Calibri" w:hAnsi="Times New Roman" w:cs="Times New Roman"/>
                <w:b/>
                <w:bCs/>
                <w:sz w:val="20"/>
                <w:szCs w:val="20"/>
                <w:shd w:val="clear" w:color="auto" w:fill="FFFFFF"/>
              </w:rPr>
            </w:pPr>
          </w:p>
          <w:p w14:paraId="08E7D293" w14:textId="77777777" w:rsidR="008A39ED" w:rsidRPr="00F470CD" w:rsidRDefault="008A39ED" w:rsidP="008A39ED">
            <w:pPr>
              <w:numPr>
                <w:ilvl w:val="1"/>
                <w:numId w:val="6"/>
              </w:numPr>
              <w:spacing w:after="60" w:line="276" w:lineRule="auto"/>
              <w:contextualSpacing/>
              <w:jc w:val="both"/>
              <w:rPr>
                <w:rFonts w:ascii="Times New Roman" w:eastAsia="Calibri" w:hAnsi="Times New Roman" w:cs="Times New Roman"/>
                <w:b/>
                <w:bCs/>
                <w:sz w:val="20"/>
                <w:szCs w:val="20"/>
                <w:shd w:val="clear" w:color="auto" w:fill="FFFFFF"/>
              </w:rPr>
            </w:pPr>
            <w:r w:rsidRPr="00F470CD">
              <w:rPr>
                <w:rFonts w:ascii="Times New Roman" w:eastAsia="Calibri" w:hAnsi="Times New Roman" w:cs="Times New Roman"/>
                <w:b/>
                <w:bCs/>
                <w:sz w:val="20"/>
                <w:szCs w:val="20"/>
                <w:shd w:val="clear" w:color="auto" w:fill="FFFFFF"/>
              </w:rPr>
              <w:t>Monitorowanie leczenia</w:t>
            </w:r>
          </w:p>
          <w:p w14:paraId="40860AB9" w14:textId="77777777" w:rsidR="008A39ED" w:rsidRPr="00F470CD" w:rsidRDefault="008A39ED" w:rsidP="00314977">
            <w:pPr>
              <w:numPr>
                <w:ilvl w:val="2"/>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 xml:space="preserve">badania przeprowadzane przed każdym podaniem </w:t>
            </w:r>
            <w:proofErr w:type="spellStart"/>
            <w:r w:rsidRPr="00F470CD">
              <w:rPr>
                <w:rFonts w:ascii="Times New Roman" w:eastAsia="Calibri" w:hAnsi="Times New Roman" w:cs="Times New Roman"/>
                <w:sz w:val="20"/>
                <w:szCs w:val="20"/>
                <w:shd w:val="clear" w:color="auto" w:fill="FFFFFF"/>
              </w:rPr>
              <w:t>brolucizumabu</w:t>
            </w:r>
            <w:proofErr w:type="spellEnd"/>
            <w:r w:rsidRPr="00F470CD">
              <w:rPr>
                <w:rFonts w:ascii="Times New Roman" w:eastAsia="Calibri" w:hAnsi="Times New Roman" w:cs="Times New Roman"/>
                <w:sz w:val="20"/>
                <w:szCs w:val="20"/>
                <w:shd w:val="clear" w:color="auto" w:fill="FFFFFF"/>
              </w:rPr>
              <w:t xml:space="preserve"> (w dniu podania leku lub w terminie do 7 dni przed jego podaniem) zgodnie z harmonogramem dawkowania:</w:t>
            </w:r>
          </w:p>
          <w:p w14:paraId="71563352" w14:textId="77777777" w:rsidR="008A39ED" w:rsidRPr="00F470CD" w:rsidRDefault="008A39ED" w:rsidP="008A39ED">
            <w:pPr>
              <w:numPr>
                <w:ilvl w:val="3"/>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badanie okulistyczne z oceną ostrości wzroku na tablicach Snellena lub ETDRS,</w:t>
            </w:r>
          </w:p>
          <w:p w14:paraId="12FBC202" w14:textId="77777777" w:rsidR="008A39ED" w:rsidRPr="00F470CD" w:rsidRDefault="008A39ED" w:rsidP="008A39ED">
            <w:pPr>
              <w:numPr>
                <w:ilvl w:val="3"/>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OCT (optyczna koherentna tomografia),</w:t>
            </w:r>
          </w:p>
          <w:p w14:paraId="5F4E8BE2" w14:textId="77777777" w:rsidR="008A39ED" w:rsidRPr="00F470CD" w:rsidRDefault="008A39ED" w:rsidP="008A39ED">
            <w:pPr>
              <w:numPr>
                <w:ilvl w:val="3"/>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opcjonalnie - fotografia dna oka,</w:t>
            </w:r>
          </w:p>
          <w:p w14:paraId="6359500A" w14:textId="77777777" w:rsidR="008A39ED" w:rsidRPr="00F470CD" w:rsidRDefault="008A39ED" w:rsidP="008A39ED">
            <w:pPr>
              <w:numPr>
                <w:ilvl w:val="3"/>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opcjonalnie - angiografia fluoresceinowa lub angio-OCT (w przypadkach trudnych z diagnostycznego punktu widzenia - angiografia indocyjaninowa).</w:t>
            </w:r>
          </w:p>
          <w:p w14:paraId="746081E5" w14:textId="2213447B" w:rsidR="008A39ED" w:rsidRPr="00F470CD" w:rsidRDefault="00595AB8" w:rsidP="008A39ED">
            <w:pPr>
              <w:spacing w:after="60" w:line="276" w:lineRule="auto"/>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Nie ma wymogu monitorowania pomiędzy wstrzyknięciami. Na podstawie opinii lekarza harmonogram monitorowania może być częstszy niż harmonogram wstrzyknięć.</w:t>
            </w:r>
            <w:r w:rsidR="00FF4D29">
              <w:rPr>
                <w:rFonts w:ascii="Times New Roman" w:eastAsia="Calibri" w:hAnsi="Times New Roman" w:cs="Times New Roman"/>
                <w:sz w:val="20"/>
                <w:szCs w:val="20"/>
                <w:shd w:val="clear" w:color="auto" w:fill="FFFFFF"/>
              </w:rPr>
              <w:t xml:space="preserve"> </w:t>
            </w:r>
          </w:p>
          <w:p w14:paraId="14BA93BA" w14:textId="77777777" w:rsidR="00595AB8" w:rsidRPr="00F470CD" w:rsidRDefault="00595AB8" w:rsidP="008A39ED">
            <w:pPr>
              <w:spacing w:after="60" w:line="276" w:lineRule="auto"/>
              <w:jc w:val="both"/>
              <w:rPr>
                <w:rFonts w:ascii="Times New Roman" w:eastAsia="Calibri" w:hAnsi="Times New Roman" w:cs="Times New Roman"/>
                <w:b/>
                <w:bCs/>
                <w:sz w:val="20"/>
                <w:szCs w:val="20"/>
                <w:shd w:val="clear" w:color="auto" w:fill="FFFFFF"/>
              </w:rPr>
            </w:pPr>
          </w:p>
          <w:p w14:paraId="35642E78" w14:textId="77777777" w:rsidR="008A39ED" w:rsidRPr="00F470CD" w:rsidRDefault="008A39ED" w:rsidP="008A39ED">
            <w:pPr>
              <w:numPr>
                <w:ilvl w:val="0"/>
                <w:numId w:val="6"/>
              </w:numPr>
              <w:spacing w:after="60" w:line="276" w:lineRule="auto"/>
              <w:contextualSpacing/>
              <w:jc w:val="both"/>
              <w:rPr>
                <w:rFonts w:ascii="Times New Roman" w:eastAsia="Calibri" w:hAnsi="Times New Roman" w:cs="Times New Roman"/>
                <w:b/>
                <w:bCs/>
                <w:sz w:val="20"/>
                <w:szCs w:val="20"/>
                <w:shd w:val="clear" w:color="auto" w:fill="FFFFFF"/>
              </w:rPr>
            </w:pPr>
            <w:bookmarkStart w:id="2" w:name="_Hlk53653033"/>
            <w:r w:rsidRPr="00F470CD">
              <w:rPr>
                <w:rFonts w:ascii="Times New Roman" w:eastAsia="Calibri" w:hAnsi="Times New Roman" w:cs="Times New Roman"/>
                <w:b/>
                <w:bCs/>
                <w:sz w:val="20"/>
                <w:szCs w:val="20"/>
                <w:shd w:val="clear" w:color="auto" w:fill="FFFFFF"/>
              </w:rPr>
              <w:t>Monitorowanie programu</w:t>
            </w:r>
            <w:bookmarkEnd w:id="2"/>
          </w:p>
          <w:p w14:paraId="5F578A3B"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przekazywanie do NFZ zakresu informacji sprawozdawczo – rozliczeniowych w formie elektronicznej, zgodnie z wymaganiami opublikowanymi przez Narodowy Fundusz Zdrowia;</w:t>
            </w:r>
          </w:p>
          <w:p w14:paraId="3C5EF511"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sz w:val="20"/>
                <w:szCs w:val="20"/>
                <w:shd w:val="clear" w:color="auto" w:fill="FFFFFF"/>
              </w:rPr>
            </w:pPr>
            <w:r w:rsidRPr="00F470CD">
              <w:rPr>
                <w:rFonts w:ascii="Times New Roman" w:eastAsia="Calibri" w:hAnsi="Times New Roman" w:cs="Times New Roman"/>
                <w:sz w:val="20"/>
                <w:szCs w:val="20"/>
                <w:shd w:val="clear" w:color="auto" w:fill="FFFFFF"/>
              </w:rPr>
              <w:t>uzupełnianie danych zawartych w rejestrze SMPT, dostępnym za pomocą aplikacji internetowej udostępnionej przez OW NFZ, z częstotliwością zgodną z opisem programu oraz na zakończenie leczenia;</w:t>
            </w:r>
          </w:p>
          <w:p w14:paraId="21EC5BC7" w14:textId="77777777" w:rsidR="008A39ED" w:rsidRPr="00F470CD" w:rsidRDefault="008A39ED" w:rsidP="008A39ED">
            <w:pPr>
              <w:numPr>
                <w:ilvl w:val="2"/>
                <w:numId w:val="6"/>
              </w:numPr>
              <w:spacing w:after="60" w:line="276" w:lineRule="auto"/>
              <w:contextualSpacing/>
              <w:jc w:val="both"/>
              <w:rPr>
                <w:rFonts w:ascii="Times New Roman" w:eastAsia="Calibri" w:hAnsi="Times New Roman" w:cs="Times New Roman"/>
                <w:b/>
                <w:bCs/>
                <w:sz w:val="20"/>
                <w:szCs w:val="20"/>
              </w:rPr>
            </w:pPr>
            <w:r w:rsidRPr="00F470CD">
              <w:rPr>
                <w:rFonts w:ascii="Times New Roman" w:eastAsia="Calibri" w:hAnsi="Times New Roman" w:cs="Times New Roman"/>
                <w:sz w:val="20"/>
                <w:szCs w:val="20"/>
                <w:shd w:val="clear" w:color="auto" w:fill="FFFFFF"/>
              </w:rPr>
              <w:t>dane dotyczące monitorowania leczenia należy gromadzić w dokumentacji pacjenta i każdorazowo przedstawiać na żądanie kontrolerom NFZ.</w:t>
            </w:r>
          </w:p>
        </w:tc>
      </w:tr>
      <w:tr w:rsidR="008A39ED" w:rsidRPr="008A39ED" w14:paraId="59DB6043" w14:textId="77777777" w:rsidTr="00EA1F9C">
        <w:trPr>
          <w:trHeight w:val="567"/>
        </w:trPr>
        <w:tc>
          <w:tcPr>
            <w:tcW w:w="15398" w:type="dxa"/>
            <w:gridSpan w:val="3"/>
            <w:vAlign w:val="center"/>
          </w:tcPr>
          <w:p w14:paraId="5339576A" w14:textId="77777777" w:rsidR="008A39ED" w:rsidRPr="008A39ED" w:rsidRDefault="008A39ED" w:rsidP="00FF4D29">
            <w:pPr>
              <w:widowControl w:val="0"/>
              <w:spacing w:after="0" w:line="240" w:lineRule="auto"/>
              <w:jc w:val="center"/>
              <w:rPr>
                <w:rFonts w:ascii="Times New Roman" w:eastAsia="Calibri" w:hAnsi="Times New Roman" w:cs="Times New Roman"/>
                <w:b/>
                <w:bCs/>
                <w:sz w:val="20"/>
                <w:szCs w:val="20"/>
              </w:rPr>
            </w:pPr>
            <w:r w:rsidRPr="008A39ED">
              <w:rPr>
                <w:rFonts w:ascii="Times New Roman" w:eastAsia="Calibri" w:hAnsi="Times New Roman" w:cs="Times New Roman"/>
                <w:b/>
                <w:bCs/>
                <w:sz w:val="20"/>
                <w:szCs w:val="20"/>
              </w:rPr>
              <w:t>B. LECZENIE PACJENTÓW Z CUKRZYCOWYM OBRZĘKIEM PLAMKI (DME)</w:t>
            </w:r>
          </w:p>
        </w:tc>
      </w:tr>
      <w:tr w:rsidR="008A39ED" w:rsidRPr="008A39ED" w14:paraId="1C246FA0" w14:textId="77777777" w:rsidTr="00EA1F9C">
        <w:trPr>
          <w:trHeight w:val="20"/>
        </w:trPr>
        <w:tc>
          <w:tcPr>
            <w:tcW w:w="6799" w:type="dxa"/>
          </w:tcPr>
          <w:p w14:paraId="5008D39D" w14:textId="77777777" w:rsidR="008A39ED" w:rsidRPr="008A39ED" w:rsidRDefault="008A39ED" w:rsidP="008A39ED">
            <w:pPr>
              <w:numPr>
                <w:ilvl w:val="0"/>
                <w:numId w:val="8"/>
              </w:numPr>
              <w:spacing w:before="120"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 xml:space="preserve">Leczenie cukrzycowego obrzęku plamki </w:t>
            </w:r>
            <w:proofErr w:type="spellStart"/>
            <w:r w:rsidRPr="008A39ED">
              <w:rPr>
                <w:rFonts w:ascii="Times New Roman" w:eastAsia="Times New Roman" w:hAnsi="Times New Roman" w:cs="Times New Roman"/>
                <w:b/>
                <w:bCs/>
                <w:sz w:val="20"/>
                <w:szCs w:val="20"/>
                <w:lang w:eastAsia="pl-PL"/>
              </w:rPr>
              <w:t>afliberceptem</w:t>
            </w:r>
            <w:proofErr w:type="spellEnd"/>
            <w:r w:rsidRPr="008A39ED">
              <w:rPr>
                <w:rFonts w:ascii="Times New Roman" w:eastAsia="Times New Roman" w:hAnsi="Times New Roman" w:cs="Times New Roman"/>
                <w:b/>
                <w:bCs/>
                <w:sz w:val="20"/>
                <w:szCs w:val="20"/>
                <w:lang w:eastAsia="pl-PL"/>
              </w:rPr>
              <w:t xml:space="preserve">, </w:t>
            </w:r>
            <w:proofErr w:type="spellStart"/>
            <w:r w:rsidRPr="008A39ED">
              <w:rPr>
                <w:rFonts w:ascii="Times New Roman" w:eastAsia="Times New Roman" w:hAnsi="Times New Roman" w:cs="Times New Roman"/>
                <w:b/>
                <w:bCs/>
                <w:sz w:val="20"/>
                <w:szCs w:val="20"/>
                <w:lang w:eastAsia="pl-PL"/>
              </w:rPr>
              <w:t>bewacyzumabem</w:t>
            </w:r>
            <w:proofErr w:type="spellEnd"/>
            <w:r w:rsidRPr="008A39ED">
              <w:rPr>
                <w:rFonts w:ascii="Times New Roman" w:eastAsia="Times New Roman" w:hAnsi="Times New Roman" w:cs="Times New Roman"/>
                <w:b/>
                <w:bCs/>
                <w:sz w:val="20"/>
                <w:szCs w:val="20"/>
                <w:lang w:eastAsia="pl-PL"/>
              </w:rPr>
              <w:t xml:space="preserve">, </w:t>
            </w:r>
            <w:proofErr w:type="spellStart"/>
            <w:r w:rsidRPr="008A39ED">
              <w:rPr>
                <w:rFonts w:ascii="Times New Roman" w:eastAsia="Times New Roman" w:hAnsi="Times New Roman" w:cs="Times New Roman"/>
                <w:b/>
                <w:bCs/>
                <w:sz w:val="20"/>
                <w:szCs w:val="20"/>
                <w:lang w:eastAsia="pl-PL"/>
              </w:rPr>
              <w:t>deksametazonem</w:t>
            </w:r>
            <w:proofErr w:type="spellEnd"/>
            <w:r w:rsidRPr="008A39ED">
              <w:rPr>
                <w:rFonts w:ascii="Times New Roman" w:eastAsia="Times New Roman" w:hAnsi="Times New Roman" w:cs="Times New Roman"/>
                <w:b/>
                <w:bCs/>
                <w:sz w:val="20"/>
                <w:szCs w:val="20"/>
                <w:lang w:eastAsia="pl-PL"/>
              </w:rPr>
              <w:t xml:space="preserve"> w postaci implantu oraz </w:t>
            </w:r>
            <w:proofErr w:type="spellStart"/>
            <w:r w:rsidRPr="008A39ED">
              <w:rPr>
                <w:rFonts w:ascii="Times New Roman" w:eastAsia="Times New Roman" w:hAnsi="Times New Roman" w:cs="Times New Roman"/>
                <w:b/>
                <w:bCs/>
                <w:sz w:val="20"/>
                <w:szCs w:val="20"/>
                <w:lang w:eastAsia="pl-PL"/>
              </w:rPr>
              <w:t>ranibizumabem</w:t>
            </w:r>
            <w:proofErr w:type="spellEnd"/>
          </w:p>
          <w:p w14:paraId="7DAB0FBD"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Kwalifikacja do programu lekowego przeprowadzana jest przez lekarza prowadzącego w przypadku, gdy pacjent uprzednio nie był leczony z powodu cukrzycowego obrzęku plamki.</w:t>
            </w:r>
          </w:p>
          <w:p w14:paraId="2687C078"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Leczenie pierwszorazowych pacjentów lub pacjentów leczonych wcześniej nieskutecznie rozpoczyna się od 5 dawek </w:t>
            </w:r>
            <w:proofErr w:type="spellStart"/>
            <w:r w:rsidRPr="008A39ED">
              <w:rPr>
                <w:rFonts w:ascii="Times New Roman" w:eastAsia="Times New Roman" w:hAnsi="Times New Roman" w:cs="Times New Roman"/>
                <w:sz w:val="20"/>
                <w:szCs w:val="20"/>
                <w:lang w:eastAsia="pl-PL"/>
              </w:rPr>
              <w:t>bewacyzumabu</w:t>
            </w:r>
            <w:proofErr w:type="spellEnd"/>
            <w:r w:rsidRPr="008A39ED">
              <w:rPr>
                <w:rFonts w:ascii="Times New Roman" w:eastAsia="Times New Roman" w:hAnsi="Times New Roman" w:cs="Times New Roman"/>
                <w:sz w:val="20"/>
                <w:szCs w:val="20"/>
                <w:lang w:eastAsia="pl-PL"/>
              </w:rPr>
              <w:t>.</w:t>
            </w:r>
          </w:p>
          <w:p w14:paraId="40EF8A58"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Pacjenci leczeni uprzednio komercyjnie lub w ramach JGP B84, lub pacjenci leczeni w programie lekowym wymagający zmiany leku mogą być włączeni do programu, lub może być dokonana zmiana leku przez Zespół Koordynacyjny do Spraw Leczenia Chorób Siatkówki (powoływany przez Prezesa Narodowego Funduszu Zdrowia) na wniosek lekarza prowadzącego, po wprowadzeniu niezbędnych danych w SMPT i udokumentowaniu otrzymania co najmniej 5 iniekcji anty-VEGF w poprzednim etapie leczenia.</w:t>
            </w:r>
          </w:p>
          <w:p w14:paraId="409B2823"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Potwierdzeniem wykonania 5 iniekcji leku anty-VEGF będzie zaświadczenie od lekarza prowadzącego wyszczególniające czas wykonania poszczególnych iniekcji w przypadku pacjentów pierwszorazowych, które wraz z pozostałą dokumentacją medyczną należy złożyć w systemie SMPT do decyzji Zespołu Koordynacyjnego.</w:t>
            </w:r>
          </w:p>
          <w:p w14:paraId="1B5F9C36"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kontynuacji leczenia należy udokumentować ostatnie dwa lata leczenia w postaci zaświadczenia.</w:t>
            </w:r>
          </w:p>
          <w:p w14:paraId="3DF880C2"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W przypadku braku stosownych zaświadczeń leczenie należy kontynuować w programie traktując pacjenta jako pierwszorazowego lub w kontynuacji leczenia bewacyzumabem. </w:t>
            </w:r>
          </w:p>
          <w:p w14:paraId="017074B6"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p>
          <w:p w14:paraId="523A229D"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Każdorazowo pacjenta do podania kolejnej dawki leku kwalifikuje lekarz prowadzący.</w:t>
            </w:r>
          </w:p>
          <w:p w14:paraId="1B4EB93B"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p>
          <w:p w14:paraId="3624C35B" w14:textId="77777777" w:rsidR="008A39ED" w:rsidRPr="008A39ED" w:rsidRDefault="008A39ED" w:rsidP="008A39ED">
            <w:pPr>
              <w:numPr>
                <w:ilvl w:val="1"/>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Kryteria kwalifikacji</w:t>
            </w:r>
          </w:p>
          <w:p w14:paraId="3B67595E"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Obecność rozlanego, klinicznie znamiennego obrzęku plamki (DME) z zajęciem dołka w przebiegu cukrzycy (DRT – postać gąbczasta (rozlana), CME - postać torbielowata lub SRD – (postać surowicza);</w:t>
            </w:r>
          </w:p>
          <w:p w14:paraId="06DC46CA"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Wiek powyżej 18 roku życia;</w:t>
            </w:r>
          </w:p>
          <w:p w14:paraId="4B946C7A"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Najlepsza skorygowana ostrość wzroku (BCVA) w leczonym oku 0,2-0,8 określona według tablicy Snellena (lub odpowiednio ekwiwalent ETDRS);</w:t>
            </w:r>
          </w:p>
          <w:p w14:paraId="18126DE6"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Zgoda pacjenta na wykonanie iniekcji doszklistkowych;</w:t>
            </w:r>
          </w:p>
          <w:p w14:paraId="160EC169"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Stężenie </w:t>
            </w:r>
            <w:proofErr w:type="spellStart"/>
            <w:r w:rsidRPr="008A39ED">
              <w:rPr>
                <w:rFonts w:ascii="Times New Roman" w:eastAsia="Times New Roman" w:hAnsi="Times New Roman" w:cs="Times New Roman"/>
                <w:sz w:val="20"/>
                <w:szCs w:val="20"/>
                <w:lang w:eastAsia="pl-PL"/>
              </w:rPr>
              <w:t>HbAIc</w:t>
            </w:r>
            <w:proofErr w:type="spellEnd"/>
            <w:r w:rsidRPr="008A39ED">
              <w:rPr>
                <w:rFonts w:ascii="Times New Roman" w:eastAsia="Times New Roman" w:hAnsi="Times New Roman" w:cs="Times New Roman"/>
                <w:sz w:val="20"/>
                <w:szCs w:val="20"/>
                <w:lang w:eastAsia="pl-PL"/>
              </w:rPr>
              <w:t xml:space="preserve"> ≤ 9% w przypadku kontynuacji leczenia </w:t>
            </w:r>
            <w:proofErr w:type="spellStart"/>
            <w:r w:rsidRPr="008A39ED">
              <w:rPr>
                <w:rFonts w:ascii="Times New Roman" w:eastAsia="Times New Roman" w:hAnsi="Times New Roman" w:cs="Times New Roman"/>
                <w:sz w:val="20"/>
                <w:szCs w:val="20"/>
                <w:lang w:eastAsia="pl-PL"/>
              </w:rPr>
              <w:t>afliberceptem</w:t>
            </w:r>
            <w:proofErr w:type="spellEnd"/>
            <w:r w:rsidRPr="008A39ED">
              <w:rPr>
                <w:rFonts w:ascii="Times New Roman" w:eastAsia="Times New Roman" w:hAnsi="Times New Roman" w:cs="Times New Roman"/>
                <w:sz w:val="20"/>
                <w:szCs w:val="20"/>
                <w:lang w:eastAsia="pl-PL"/>
              </w:rPr>
              <w:t>/</w:t>
            </w:r>
            <w:proofErr w:type="spellStart"/>
            <w:r w:rsidRPr="008A39ED">
              <w:rPr>
                <w:rFonts w:ascii="Times New Roman" w:eastAsia="Times New Roman" w:hAnsi="Times New Roman" w:cs="Times New Roman"/>
                <w:sz w:val="20"/>
                <w:szCs w:val="20"/>
                <w:lang w:eastAsia="pl-PL"/>
              </w:rPr>
              <w:t>ranibizumabem</w:t>
            </w:r>
            <w:proofErr w:type="spellEnd"/>
            <w:r w:rsidRPr="008A39ED">
              <w:rPr>
                <w:rFonts w:ascii="Times New Roman" w:eastAsia="Times New Roman" w:hAnsi="Times New Roman" w:cs="Times New Roman"/>
                <w:sz w:val="20"/>
                <w:szCs w:val="20"/>
                <w:lang w:eastAsia="pl-PL"/>
              </w:rPr>
              <w:t xml:space="preserve"> lub </w:t>
            </w:r>
            <w:proofErr w:type="spellStart"/>
            <w:r w:rsidRPr="008A39ED">
              <w:rPr>
                <w:rFonts w:ascii="Times New Roman" w:eastAsia="Times New Roman" w:hAnsi="Times New Roman" w:cs="Times New Roman"/>
                <w:sz w:val="20"/>
                <w:szCs w:val="20"/>
                <w:lang w:eastAsia="pl-PL"/>
              </w:rPr>
              <w:t>deksametazonem</w:t>
            </w:r>
            <w:proofErr w:type="spellEnd"/>
            <w:r w:rsidRPr="008A39ED">
              <w:rPr>
                <w:rFonts w:ascii="Times New Roman" w:eastAsia="Times New Roman" w:hAnsi="Times New Roman" w:cs="Times New Roman"/>
                <w:sz w:val="20"/>
                <w:szCs w:val="20"/>
                <w:lang w:eastAsia="pl-PL"/>
              </w:rPr>
              <w:t>;</w:t>
            </w:r>
          </w:p>
          <w:p w14:paraId="4F1E9D1B"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Leczenie </w:t>
            </w:r>
            <w:proofErr w:type="spellStart"/>
            <w:r w:rsidRPr="008A39ED">
              <w:rPr>
                <w:rFonts w:ascii="Times New Roman" w:eastAsia="Times New Roman" w:hAnsi="Times New Roman" w:cs="Times New Roman"/>
                <w:sz w:val="20"/>
                <w:szCs w:val="20"/>
                <w:lang w:eastAsia="pl-PL"/>
              </w:rPr>
              <w:t>bawacyzumabem</w:t>
            </w:r>
            <w:proofErr w:type="spellEnd"/>
            <w:r w:rsidRPr="008A39ED">
              <w:rPr>
                <w:rFonts w:ascii="Times New Roman" w:eastAsia="Times New Roman" w:hAnsi="Times New Roman" w:cs="Times New Roman"/>
                <w:sz w:val="20"/>
                <w:szCs w:val="20"/>
                <w:lang w:eastAsia="pl-PL"/>
              </w:rPr>
              <w:t xml:space="preserve"> należy rozpocząć bez względu na poziom </w:t>
            </w:r>
            <w:proofErr w:type="spellStart"/>
            <w:r w:rsidRPr="008A39ED">
              <w:rPr>
                <w:rFonts w:ascii="Times New Roman" w:eastAsia="Times New Roman" w:hAnsi="Times New Roman" w:cs="Times New Roman"/>
                <w:sz w:val="20"/>
                <w:szCs w:val="20"/>
                <w:lang w:eastAsia="pl-PL"/>
              </w:rPr>
              <w:t>HbAIc</w:t>
            </w:r>
            <w:proofErr w:type="spellEnd"/>
            <w:r w:rsidRPr="008A39ED">
              <w:rPr>
                <w:rFonts w:ascii="Times New Roman" w:eastAsia="Times New Roman" w:hAnsi="Times New Roman" w:cs="Times New Roman"/>
                <w:sz w:val="20"/>
                <w:szCs w:val="20"/>
                <w:lang w:eastAsia="pl-PL"/>
              </w:rPr>
              <w:t xml:space="preserve">, jeżeli po 5 dawkach </w:t>
            </w:r>
            <w:proofErr w:type="spellStart"/>
            <w:r w:rsidRPr="008A39ED">
              <w:rPr>
                <w:rFonts w:ascii="Times New Roman" w:eastAsia="Times New Roman" w:hAnsi="Times New Roman" w:cs="Times New Roman"/>
                <w:sz w:val="20"/>
                <w:szCs w:val="20"/>
                <w:lang w:eastAsia="pl-PL"/>
              </w:rPr>
              <w:t>bewacyzumabu</w:t>
            </w:r>
            <w:proofErr w:type="spellEnd"/>
            <w:r w:rsidRPr="008A39ED">
              <w:rPr>
                <w:rFonts w:ascii="Times New Roman" w:eastAsia="Times New Roman" w:hAnsi="Times New Roman" w:cs="Times New Roman"/>
                <w:sz w:val="20"/>
                <w:szCs w:val="20"/>
                <w:lang w:eastAsia="pl-PL"/>
              </w:rPr>
              <w:t xml:space="preserve"> poziom </w:t>
            </w:r>
            <w:proofErr w:type="spellStart"/>
            <w:r w:rsidRPr="008A39ED">
              <w:rPr>
                <w:rFonts w:ascii="Times New Roman" w:eastAsia="Times New Roman" w:hAnsi="Times New Roman" w:cs="Times New Roman"/>
                <w:sz w:val="20"/>
                <w:szCs w:val="20"/>
                <w:lang w:eastAsia="pl-PL"/>
              </w:rPr>
              <w:t>HbAIc</w:t>
            </w:r>
            <w:proofErr w:type="spellEnd"/>
            <w:r w:rsidRPr="008A39ED">
              <w:rPr>
                <w:rFonts w:ascii="Times New Roman" w:eastAsia="Times New Roman" w:hAnsi="Times New Roman" w:cs="Times New Roman"/>
                <w:sz w:val="20"/>
                <w:szCs w:val="20"/>
                <w:lang w:eastAsia="pl-PL"/>
              </w:rPr>
              <w:t xml:space="preserve"> &gt;9% leczenie należy kontynuować tym samym lekiem do momentu osiągnięcia stężenia </w:t>
            </w:r>
            <w:proofErr w:type="spellStart"/>
            <w:r w:rsidRPr="008A39ED">
              <w:rPr>
                <w:rFonts w:ascii="Times New Roman" w:eastAsia="Times New Roman" w:hAnsi="Times New Roman" w:cs="Times New Roman"/>
                <w:sz w:val="20"/>
                <w:szCs w:val="20"/>
                <w:lang w:eastAsia="pl-PL"/>
              </w:rPr>
              <w:t>HbAIc</w:t>
            </w:r>
            <w:proofErr w:type="spellEnd"/>
            <w:r w:rsidRPr="008A39ED">
              <w:rPr>
                <w:rFonts w:ascii="Times New Roman" w:eastAsia="Times New Roman" w:hAnsi="Times New Roman" w:cs="Times New Roman"/>
                <w:sz w:val="20"/>
                <w:szCs w:val="20"/>
                <w:lang w:eastAsia="pl-PL"/>
              </w:rPr>
              <w:t xml:space="preserve"> ≤ 9% kiedy można zmienić lek po decyzji Zespołu Koordynacyjnego w przypadku nieskuteczności leczenia; </w:t>
            </w:r>
          </w:p>
          <w:p w14:paraId="647DE4FB"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Brak dominującej błony </w:t>
            </w:r>
            <w:proofErr w:type="spellStart"/>
            <w:r w:rsidRPr="008A39ED">
              <w:rPr>
                <w:rFonts w:ascii="Times New Roman" w:eastAsia="Times New Roman" w:hAnsi="Times New Roman" w:cs="Times New Roman"/>
                <w:sz w:val="20"/>
                <w:szCs w:val="20"/>
                <w:lang w:eastAsia="pl-PL"/>
              </w:rPr>
              <w:t>przedsiatkówkowej</w:t>
            </w:r>
            <w:proofErr w:type="spellEnd"/>
            <w:r w:rsidRPr="008A39ED">
              <w:rPr>
                <w:rFonts w:ascii="Times New Roman" w:eastAsia="Times New Roman" w:hAnsi="Times New Roman" w:cs="Times New Roman"/>
                <w:sz w:val="20"/>
                <w:szCs w:val="20"/>
                <w:lang w:eastAsia="pl-PL"/>
              </w:rPr>
              <w:t>;</w:t>
            </w:r>
          </w:p>
          <w:p w14:paraId="4CC658A9"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Brak aktywnych włóknisto-naczyniowych trakcji, których obkurczenie się mogłoby wpłynąć na odwarstwienie siatkówki lub miało rokowniczo niekorzystny wpływ na leczenie w programie;</w:t>
            </w:r>
          </w:p>
          <w:p w14:paraId="70441F50"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Brak odwarstwienia siatkówki w przebiegu retinopatii cukrzycowej;</w:t>
            </w:r>
          </w:p>
          <w:p w14:paraId="00722AB1"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Brak krwotoku do ciała szklistego wymagającego leczenia operacyjnego;</w:t>
            </w:r>
          </w:p>
          <w:p w14:paraId="36DC67B2"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Brak neowaskularyzacji tęczówki;</w:t>
            </w:r>
          </w:p>
          <w:p w14:paraId="4082F5A0"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Brak jaskry neowaskularnej;</w:t>
            </w:r>
          </w:p>
          <w:p w14:paraId="7B15D7E2"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Uregulowane ciśnienie wewnątrzgałkowego;</w:t>
            </w:r>
          </w:p>
          <w:p w14:paraId="1007F45D"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Brak zaćmy mającej wpływ na monitorowanie skuteczności leczenia w programie;</w:t>
            </w:r>
          </w:p>
          <w:p w14:paraId="1C363F9F"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Brak istotnych i trwałych zaburzeń siatkówki w plamce nierokujących poprawy po leczeniu anty- VEGF takich jak:</w:t>
            </w:r>
          </w:p>
          <w:p w14:paraId="68337433"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rozległy zanik fotoreceptorów (w OCT zanik warstw zewnętrznych siatkówki),</w:t>
            </w:r>
          </w:p>
          <w:p w14:paraId="18FDC6A2"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DRIL w obszarze </w:t>
            </w:r>
            <w:proofErr w:type="spellStart"/>
            <w:r w:rsidRPr="008A39ED">
              <w:rPr>
                <w:rFonts w:ascii="Times New Roman" w:eastAsia="Times New Roman" w:hAnsi="Times New Roman" w:cs="Times New Roman"/>
                <w:sz w:val="20"/>
                <w:szCs w:val="20"/>
                <w:lang w:eastAsia="pl-PL"/>
              </w:rPr>
              <w:t>poddołkowym</w:t>
            </w:r>
            <w:proofErr w:type="spellEnd"/>
            <w:r w:rsidRPr="008A39ED">
              <w:rPr>
                <w:rFonts w:ascii="Times New Roman" w:eastAsia="Times New Roman" w:hAnsi="Times New Roman" w:cs="Times New Roman"/>
                <w:sz w:val="20"/>
                <w:szCs w:val="20"/>
                <w:lang w:eastAsia="pl-PL"/>
              </w:rPr>
              <w:t>,</w:t>
            </w:r>
          </w:p>
          <w:p w14:paraId="5ABA033A"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sz w:val="20"/>
                <w:szCs w:val="20"/>
                <w:lang w:eastAsia="pl-PL"/>
              </w:rPr>
            </w:pPr>
            <w:proofErr w:type="spellStart"/>
            <w:r w:rsidRPr="008A39ED">
              <w:rPr>
                <w:rFonts w:ascii="Times New Roman" w:eastAsia="Times New Roman" w:hAnsi="Times New Roman" w:cs="Times New Roman"/>
                <w:sz w:val="20"/>
                <w:szCs w:val="20"/>
                <w:lang w:eastAsia="pl-PL"/>
              </w:rPr>
              <w:t>makulopatia</w:t>
            </w:r>
            <w:proofErr w:type="spellEnd"/>
            <w:r w:rsidRPr="008A39ED">
              <w:rPr>
                <w:rFonts w:ascii="Times New Roman" w:eastAsia="Times New Roman" w:hAnsi="Times New Roman" w:cs="Times New Roman"/>
                <w:sz w:val="20"/>
                <w:szCs w:val="20"/>
                <w:lang w:eastAsia="pl-PL"/>
              </w:rPr>
              <w:t xml:space="preserve"> niedokrwienna. </w:t>
            </w:r>
          </w:p>
          <w:p w14:paraId="2D1AA1C3"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Kryteria kwalifikacji muszą być spełnione łącznie.</w:t>
            </w:r>
          </w:p>
          <w:p w14:paraId="71BC7993" w14:textId="77777777" w:rsidR="008A39ED" w:rsidRPr="008A39ED" w:rsidRDefault="008A39ED" w:rsidP="008A39ED">
            <w:pPr>
              <w:spacing w:after="60" w:line="276" w:lineRule="auto"/>
              <w:jc w:val="center"/>
              <w:rPr>
                <w:rFonts w:ascii="Times New Roman" w:hAnsi="Times New Roman" w:cs="Times New Roman"/>
                <w:b/>
                <w:bCs/>
                <w:sz w:val="20"/>
                <w:szCs w:val="20"/>
              </w:rPr>
            </w:pPr>
          </w:p>
          <w:p w14:paraId="6690DE08" w14:textId="77777777" w:rsidR="008A39ED" w:rsidRPr="008A39ED" w:rsidRDefault="008A39ED" w:rsidP="008A39ED">
            <w:pPr>
              <w:numPr>
                <w:ilvl w:val="1"/>
                <w:numId w:val="8"/>
              </w:numPr>
              <w:spacing w:after="60" w:line="276" w:lineRule="auto"/>
              <w:contextualSpacing/>
              <w:jc w:val="both"/>
              <w:rPr>
                <w:rFonts w:ascii="Times New Roman" w:hAnsi="Times New Roman" w:cs="Times New Roman"/>
                <w:b/>
                <w:bCs/>
                <w:sz w:val="20"/>
                <w:szCs w:val="20"/>
              </w:rPr>
            </w:pPr>
            <w:r w:rsidRPr="008A39ED">
              <w:rPr>
                <w:rFonts w:ascii="Times New Roman" w:hAnsi="Times New Roman" w:cs="Times New Roman"/>
                <w:b/>
                <w:bCs/>
                <w:sz w:val="20"/>
                <w:szCs w:val="20"/>
              </w:rPr>
              <w:t xml:space="preserve">Kryteria włączenia do programu pacjentów leczonych uprzednio w ramach JGP B84 lub w programie leczenia cukrzycowego obrzęku plamki, którzy zostali wyłączeni z programu (ponowna kwalifikacja) lub u świadczeniodawców, którzy nie posiadali umowy na udzielanie świadczeń opieki zdrowotnej finansowanych ze środków publicznych. </w:t>
            </w:r>
          </w:p>
          <w:p w14:paraId="5EA2CCD2" w14:textId="77777777" w:rsidR="008A39ED" w:rsidRPr="008A39ED" w:rsidRDefault="008A39ED" w:rsidP="008A39ED">
            <w:pPr>
              <w:spacing w:after="60" w:line="276" w:lineRule="auto"/>
              <w:jc w:val="both"/>
              <w:rPr>
                <w:rFonts w:ascii="Times New Roman" w:hAnsi="Times New Roman" w:cs="Times New Roman"/>
                <w:sz w:val="20"/>
                <w:szCs w:val="20"/>
              </w:rPr>
            </w:pPr>
            <w:r w:rsidRPr="008A39ED">
              <w:rPr>
                <w:rFonts w:ascii="Times New Roman" w:hAnsi="Times New Roman" w:cs="Times New Roman"/>
                <w:sz w:val="20"/>
                <w:szCs w:val="20"/>
              </w:rPr>
              <w:t xml:space="preserve">Do programu kwalifikowani są również pacjenci wyłączeni z niego w oparciu o pkt. 1.4, gdy przyczyna przerwania terapii trwała dłużej niż 4 miesiące w przypadku </w:t>
            </w:r>
            <w:proofErr w:type="spellStart"/>
            <w:r w:rsidRPr="008A39ED">
              <w:rPr>
                <w:rFonts w:ascii="Times New Roman" w:hAnsi="Times New Roman" w:cs="Times New Roman"/>
                <w:sz w:val="20"/>
                <w:szCs w:val="20"/>
              </w:rPr>
              <w:t>bewacyzumabu</w:t>
            </w:r>
            <w:proofErr w:type="spellEnd"/>
            <w:r w:rsidRPr="008A39ED">
              <w:rPr>
                <w:rFonts w:ascii="Times New Roman" w:hAnsi="Times New Roman" w:cs="Times New Roman"/>
                <w:sz w:val="20"/>
                <w:szCs w:val="20"/>
              </w:rPr>
              <w:t xml:space="preserve">, </w:t>
            </w:r>
            <w:proofErr w:type="spellStart"/>
            <w:r w:rsidRPr="008A39ED">
              <w:rPr>
                <w:rFonts w:ascii="Times New Roman" w:hAnsi="Times New Roman" w:cs="Times New Roman"/>
                <w:sz w:val="20"/>
                <w:szCs w:val="20"/>
              </w:rPr>
              <w:t>afliberceptu</w:t>
            </w:r>
            <w:proofErr w:type="spellEnd"/>
            <w:r w:rsidRPr="008A39ED">
              <w:rPr>
                <w:rFonts w:ascii="Times New Roman" w:hAnsi="Times New Roman" w:cs="Times New Roman"/>
                <w:sz w:val="20"/>
                <w:szCs w:val="20"/>
              </w:rPr>
              <w:t xml:space="preserve">, </w:t>
            </w:r>
            <w:proofErr w:type="spellStart"/>
            <w:r w:rsidRPr="008A39ED">
              <w:rPr>
                <w:rFonts w:ascii="Times New Roman" w:hAnsi="Times New Roman" w:cs="Times New Roman"/>
                <w:sz w:val="20"/>
                <w:szCs w:val="20"/>
              </w:rPr>
              <w:t>ranibizumabu</w:t>
            </w:r>
            <w:proofErr w:type="spellEnd"/>
            <w:r w:rsidRPr="008A39ED">
              <w:rPr>
                <w:rFonts w:ascii="Times New Roman" w:hAnsi="Times New Roman" w:cs="Times New Roman"/>
                <w:sz w:val="20"/>
                <w:szCs w:val="20"/>
              </w:rPr>
              <w:t xml:space="preserve"> oraz którzy przed wprowadzeniem programu rozpoczęli leczenie cukrzycowego obrzęku plamki iniekcjami </w:t>
            </w:r>
            <w:proofErr w:type="spellStart"/>
            <w:r w:rsidRPr="008A39ED">
              <w:rPr>
                <w:rFonts w:ascii="Times New Roman" w:hAnsi="Times New Roman" w:cs="Times New Roman"/>
                <w:sz w:val="20"/>
                <w:szCs w:val="20"/>
              </w:rPr>
              <w:t>doszklistkowymi</w:t>
            </w:r>
            <w:proofErr w:type="spellEnd"/>
            <w:r w:rsidRPr="008A39ED">
              <w:rPr>
                <w:rFonts w:ascii="Times New Roman" w:hAnsi="Times New Roman" w:cs="Times New Roman"/>
                <w:sz w:val="20"/>
                <w:szCs w:val="20"/>
              </w:rPr>
              <w:t xml:space="preserve"> </w:t>
            </w:r>
            <w:proofErr w:type="spellStart"/>
            <w:r w:rsidRPr="008A39ED">
              <w:rPr>
                <w:rFonts w:ascii="Times New Roman" w:hAnsi="Times New Roman" w:cs="Times New Roman"/>
                <w:sz w:val="20"/>
                <w:szCs w:val="20"/>
              </w:rPr>
              <w:t>bewacyzumabu</w:t>
            </w:r>
            <w:proofErr w:type="spellEnd"/>
            <w:r w:rsidRPr="008A39ED">
              <w:rPr>
                <w:rFonts w:ascii="Times New Roman" w:hAnsi="Times New Roman" w:cs="Times New Roman"/>
                <w:sz w:val="20"/>
                <w:szCs w:val="20"/>
              </w:rPr>
              <w:t xml:space="preserve">, </w:t>
            </w:r>
            <w:proofErr w:type="spellStart"/>
            <w:r w:rsidRPr="008A39ED">
              <w:rPr>
                <w:rFonts w:ascii="Times New Roman" w:hAnsi="Times New Roman" w:cs="Times New Roman"/>
                <w:sz w:val="20"/>
                <w:szCs w:val="20"/>
              </w:rPr>
              <w:t>afliberceptu</w:t>
            </w:r>
            <w:proofErr w:type="spellEnd"/>
            <w:r w:rsidRPr="008A39ED">
              <w:rPr>
                <w:rFonts w:ascii="Times New Roman" w:hAnsi="Times New Roman" w:cs="Times New Roman"/>
                <w:sz w:val="20"/>
                <w:szCs w:val="20"/>
              </w:rPr>
              <w:t xml:space="preserve">, </w:t>
            </w:r>
            <w:proofErr w:type="spellStart"/>
            <w:r w:rsidRPr="008A39ED">
              <w:rPr>
                <w:rFonts w:ascii="Times New Roman" w:hAnsi="Times New Roman" w:cs="Times New Roman"/>
                <w:sz w:val="20"/>
                <w:szCs w:val="20"/>
              </w:rPr>
              <w:t>ranibizumabu</w:t>
            </w:r>
            <w:proofErr w:type="spellEnd"/>
            <w:r w:rsidRPr="008A39ED">
              <w:rPr>
                <w:rFonts w:ascii="Times New Roman" w:hAnsi="Times New Roman" w:cs="Times New Roman"/>
                <w:sz w:val="20"/>
                <w:szCs w:val="20"/>
              </w:rPr>
              <w:t xml:space="preserve"> lub </w:t>
            </w:r>
            <w:proofErr w:type="spellStart"/>
            <w:r w:rsidRPr="008A39ED">
              <w:rPr>
                <w:rFonts w:ascii="Times New Roman" w:hAnsi="Times New Roman" w:cs="Times New Roman"/>
                <w:sz w:val="20"/>
                <w:szCs w:val="20"/>
              </w:rPr>
              <w:t>deksametazonu</w:t>
            </w:r>
            <w:proofErr w:type="spellEnd"/>
            <w:r w:rsidRPr="008A39ED">
              <w:rPr>
                <w:rFonts w:ascii="Times New Roman" w:hAnsi="Times New Roman" w:cs="Times New Roman"/>
                <w:sz w:val="20"/>
                <w:szCs w:val="20"/>
              </w:rPr>
              <w:t xml:space="preserve"> w postaci implantu:</w:t>
            </w:r>
          </w:p>
          <w:p w14:paraId="26986E0E" w14:textId="77777777" w:rsidR="008A39ED" w:rsidRPr="008A39ED" w:rsidRDefault="008A39ED" w:rsidP="008A39ED">
            <w:pPr>
              <w:numPr>
                <w:ilvl w:val="4"/>
                <w:numId w:val="8"/>
              </w:numPr>
              <w:spacing w:after="60" w:line="276" w:lineRule="auto"/>
              <w:contextualSpacing/>
              <w:jc w:val="both"/>
              <w:rPr>
                <w:rFonts w:ascii="Times New Roman" w:hAnsi="Times New Roman" w:cs="Times New Roman"/>
                <w:sz w:val="20"/>
                <w:szCs w:val="20"/>
              </w:rPr>
            </w:pPr>
            <w:r w:rsidRPr="008A39ED">
              <w:rPr>
                <w:rFonts w:ascii="Times New Roman" w:hAnsi="Times New Roman" w:cs="Times New Roman"/>
                <w:sz w:val="20"/>
                <w:szCs w:val="20"/>
              </w:rPr>
              <w:t>w ramach świadczeń gwarantowanych rozliczanych w JGP B84 lub</w:t>
            </w:r>
          </w:p>
          <w:p w14:paraId="40C2D9CA" w14:textId="77777777" w:rsidR="008A39ED" w:rsidRPr="008A39ED" w:rsidRDefault="008A39ED" w:rsidP="008A39ED">
            <w:pPr>
              <w:numPr>
                <w:ilvl w:val="4"/>
                <w:numId w:val="8"/>
              </w:numPr>
              <w:spacing w:after="60" w:line="276" w:lineRule="auto"/>
              <w:contextualSpacing/>
              <w:jc w:val="both"/>
              <w:rPr>
                <w:rFonts w:ascii="Times New Roman" w:hAnsi="Times New Roman" w:cs="Times New Roman"/>
                <w:sz w:val="20"/>
                <w:szCs w:val="20"/>
              </w:rPr>
            </w:pPr>
            <w:r w:rsidRPr="008A39ED">
              <w:rPr>
                <w:rFonts w:ascii="Times New Roman" w:hAnsi="Times New Roman" w:cs="Times New Roman"/>
                <w:sz w:val="20"/>
                <w:szCs w:val="20"/>
              </w:rPr>
              <w:t>u świadczeniodawców, którzy nie posiadali umowy na udzielanie świadczeń opieki zdrowotnej finansowanych ze środków publicznych</w:t>
            </w:r>
          </w:p>
          <w:p w14:paraId="0E29F7E6" w14:textId="77777777" w:rsidR="008A39ED" w:rsidRPr="008A39ED" w:rsidRDefault="008A39ED" w:rsidP="008A39ED">
            <w:pPr>
              <w:spacing w:after="60" w:line="276" w:lineRule="auto"/>
              <w:jc w:val="both"/>
              <w:rPr>
                <w:rFonts w:ascii="Times New Roman" w:hAnsi="Times New Roman" w:cs="Times New Roman"/>
                <w:sz w:val="20"/>
                <w:szCs w:val="20"/>
              </w:rPr>
            </w:pPr>
            <w:r w:rsidRPr="008A39ED">
              <w:rPr>
                <w:rFonts w:ascii="Times New Roman" w:hAnsi="Times New Roman" w:cs="Times New Roman"/>
                <w:sz w:val="20"/>
                <w:szCs w:val="20"/>
              </w:rPr>
              <w:t xml:space="preserve">- pod warunkiem, że w chwili rozpoczęcia terapii spełniali kryteria włączenia do programu. Jeżeli wykazano w tym czasie skuteczność leczenia, wtedy terapia powinna być kontynuowana zgodnie z zapisami programu. </w:t>
            </w:r>
          </w:p>
          <w:p w14:paraId="7B17DA0A" w14:textId="77777777" w:rsidR="008A39ED" w:rsidRPr="008A39ED" w:rsidRDefault="008A39ED" w:rsidP="008A39ED">
            <w:pPr>
              <w:spacing w:after="60" w:line="276" w:lineRule="auto"/>
              <w:jc w:val="both"/>
              <w:rPr>
                <w:rFonts w:ascii="Times New Roman" w:hAnsi="Times New Roman" w:cs="Times New Roman"/>
                <w:sz w:val="20"/>
                <w:szCs w:val="20"/>
              </w:rPr>
            </w:pPr>
          </w:p>
          <w:p w14:paraId="5D14A745" w14:textId="77777777" w:rsidR="008A39ED" w:rsidRPr="008A39ED" w:rsidRDefault="008A39ED" w:rsidP="008A39ED">
            <w:pPr>
              <w:numPr>
                <w:ilvl w:val="1"/>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Określenie czasu leczenia w programie lub zmiana leczenia</w:t>
            </w:r>
          </w:p>
          <w:p w14:paraId="7C61E2CC"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Leczenie trwa do czasu podjęcia przez lekarza prowadzącego decyzji o przerwaniu leczenia w programie lub o wyłączeniu pacjenta z programu zgodnie z kryteriami opisanymi w ust. 1.4 i 1.5.</w:t>
            </w:r>
          </w:p>
          <w:p w14:paraId="5246990E"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Po 1 miesiącu i nie później niż 2 miesiące po ostatnim podaniu leku z serii 5 podawanych co miesiąc dawek początkowych odbywa się ocena skuteczności odpowiedzi na terapię.</w:t>
            </w:r>
          </w:p>
          <w:p w14:paraId="796A8C1E"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Lekarz prowadzący zgłasza w rejestrze SMPT pacjenta do oceny skuteczności przez Zespół Koordynacyjny do Spraw Leczenia Chorób Siatkówki lub wyłącza pacjenta z programu.</w:t>
            </w:r>
          </w:p>
          <w:p w14:paraId="078E5988"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braku zgłoszenia pacjenta do oceny Zespołu Koordynacyjnego do Spraw Leczenia Chorób Siatkówki pacjent zostanie wyłączony z programu.</w:t>
            </w:r>
          </w:p>
          <w:p w14:paraId="7B0D68FB"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p>
          <w:p w14:paraId="4C815653"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Ponownego włączenia do leczenia dokonuje lekarz na podstawie kryteriów włączenia.</w:t>
            </w:r>
          </w:p>
          <w:p w14:paraId="18D992C9"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p>
          <w:p w14:paraId="6DE0DA52"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Na podstawie oceny skuteczności Zespół Koordynacyjny do Spraw Leczenia Chorób Siatkówki podejmuje decyzję w rejestrze SMPT o kontynuacji leczenia bez zmiany leku, kontynuacji ze zmianą leku w programie lub wyłączeniu pacjenta z programu.</w:t>
            </w:r>
          </w:p>
          <w:p w14:paraId="6624698F"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p>
          <w:p w14:paraId="1DF270D6"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Kryteria oceny odpowiedzi na terapię obejmują:</w:t>
            </w:r>
          </w:p>
          <w:p w14:paraId="78DF8C11"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poprawę najlepszej skorygowanej ostrości wzroku (BCVA) o co najmniej 1 linię na tablicy Snellena (lub odpowiednio ekwiwalent ETDRS),</w:t>
            </w:r>
          </w:p>
          <w:p w14:paraId="330D6F93" w14:textId="77777777" w:rsidR="008A39ED" w:rsidRPr="00F470CD" w:rsidRDefault="008A39ED" w:rsidP="00F470CD">
            <w:pPr>
              <w:numPr>
                <w:ilvl w:val="4"/>
                <w:numId w:val="8"/>
              </w:numPr>
              <w:spacing w:after="60" w:line="276" w:lineRule="auto"/>
              <w:jc w:val="both"/>
              <w:rPr>
                <w:rFonts w:ascii="Times New Roman" w:eastAsia="Times New Roman" w:hAnsi="Times New Roman" w:cs="Times New Roman"/>
                <w:bCs/>
                <w:sz w:val="20"/>
                <w:szCs w:val="20"/>
                <w:lang w:eastAsia="pl-PL"/>
              </w:rPr>
            </w:pPr>
            <w:r w:rsidRPr="00F470CD">
              <w:rPr>
                <w:rFonts w:ascii="Times New Roman" w:eastAsia="Times New Roman" w:hAnsi="Times New Roman" w:cs="Times New Roman"/>
                <w:bCs/>
                <w:sz w:val="20"/>
                <w:szCs w:val="20"/>
                <w:lang w:eastAsia="pl-PL"/>
              </w:rPr>
              <w:t>zmniejszenie grubości siatkówki w dołku o ≥20% w stosunku do wartości z badania kwalifikacyjnego (OCT) lub zmniejszenie grubości siatkówki do wartości ≤ 300 µm.</w:t>
            </w:r>
          </w:p>
          <w:p w14:paraId="257E1692"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Kryteria odpowiedzi muszą być spełnione łącznie. </w:t>
            </w:r>
          </w:p>
          <w:p w14:paraId="7134B368"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Odpowiedź na terapię musi utrzymywać się do momentu oceny przez Zespół Koordynacyjny do Spraw Leczenia Chorób Siatkówki od zaprzestania podawania serii iniekcji początkowych leku.</w:t>
            </w:r>
          </w:p>
          <w:p w14:paraId="0DD38ADB"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Po 11 zastrzykach Zespół Koordynacyjny do Spraw Leczenia Chorób Siatkówki oceni zasadność (z uwzględnieniem kryteriów oceny odpowiedzi na terapię) dalszego leczenia pacjenta w programie lekowym.</w:t>
            </w:r>
          </w:p>
          <w:p w14:paraId="0782A098"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Pacjenta do oceny przez Zespół Koordynacyjny do Spraw Leczenia Chorób Siatkówki zgłasza lekarz prowadzący.</w:t>
            </w:r>
          </w:p>
          <w:p w14:paraId="3957A110"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braku zgłoszenia pacjenta do oceny Zespołu Koordynacyjnego do Spraw Leczenia Chorób Siatkówki pacjent zostanie wyłączony z programu.</w:t>
            </w:r>
          </w:p>
          <w:p w14:paraId="71CAC557"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Ponownego włączenia do leczenia dokonuje lekarz na podstawie kryteriów włączenia.</w:t>
            </w:r>
          </w:p>
          <w:p w14:paraId="0B019557"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p>
          <w:p w14:paraId="56CAF276" w14:textId="77777777" w:rsidR="008A39ED" w:rsidRPr="008A39ED" w:rsidRDefault="008A39ED" w:rsidP="008A39ED">
            <w:pPr>
              <w:numPr>
                <w:ilvl w:val="1"/>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Kryteria przerwania terapii</w:t>
            </w:r>
          </w:p>
          <w:p w14:paraId="42C47A20"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Czynne zakażenie oka lub jego okolic;</w:t>
            </w:r>
          </w:p>
          <w:p w14:paraId="068DEEA0"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Zapalenie wnętrza gałki ocznej;</w:t>
            </w:r>
          </w:p>
          <w:p w14:paraId="0E08312B"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Okres ciąży i karmienia piersią;</w:t>
            </w:r>
          </w:p>
          <w:p w14:paraId="6B52E535"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b/>
                <w:bCs/>
                <w:sz w:val="20"/>
                <w:szCs w:val="20"/>
                <w:lang w:eastAsia="pl-PL"/>
              </w:rPr>
            </w:pPr>
            <w:proofErr w:type="spellStart"/>
            <w:r w:rsidRPr="008A39ED">
              <w:rPr>
                <w:rFonts w:ascii="Times New Roman" w:eastAsia="Times New Roman" w:hAnsi="Times New Roman" w:cs="Times New Roman"/>
                <w:sz w:val="20"/>
                <w:szCs w:val="20"/>
                <w:lang w:eastAsia="pl-PL"/>
              </w:rPr>
              <w:t>Przedarciowe</w:t>
            </w:r>
            <w:proofErr w:type="spellEnd"/>
            <w:r w:rsidRPr="008A39ED">
              <w:rPr>
                <w:rFonts w:ascii="Times New Roman" w:eastAsia="Times New Roman" w:hAnsi="Times New Roman" w:cs="Times New Roman"/>
                <w:sz w:val="20"/>
                <w:szCs w:val="20"/>
                <w:lang w:eastAsia="pl-PL"/>
              </w:rPr>
              <w:t xml:space="preserve"> odwarstwienie siatkówki;</w:t>
            </w:r>
          </w:p>
          <w:p w14:paraId="663010FF"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Wystąpienie ogólnoustrojowej choroby uniemożliwiającej leczenie;</w:t>
            </w:r>
          </w:p>
          <w:p w14:paraId="5D08F275"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Wystąpienie w trakcie leczenia wskazań do postępowania operacyjnego (witrektomii, jaskry lub operacji zaćmy):</w:t>
            </w:r>
          </w:p>
          <w:p w14:paraId="3B4A5AF4"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 xml:space="preserve">dominująca błona </w:t>
            </w:r>
            <w:proofErr w:type="spellStart"/>
            <w:r w:rsidRPr="008A39ED">
              <w:rPr>
                <w:rFonts w:ascii="Times New Roman" w:eastAsia="Times New Roman" w:hAnsi="Times New Roman" w:cs="Times New Roman"/>
                <w:sz w:val="20"/>
                <w:szCs w:val="20"/>
                <w:lang w:eastAsia="pl-PL"/>
              </w:rPr>
              <w:t>przedsiatkówkowa</w:t>
            </w:r>
            <w:proofErr w:type="spellEnd"/>
            <w:r w:rsidRPr="008A39ED">
              <w:rPr>
                <w:rFonts w:ascii="Times New Roman" w:eastAsia="Times New Roman" w:hAnsi="Times New Roman" w:cs="Times New Roman"/>
                <w:sz w:val="20"/>
                <w:szCs w:val="20"/>
                <w:lang w:eastAsia="pl-PL"/>
              </w:rPr>
              <w:t>,</w:t>
            </w:r>
          </w:p>
          <w:p w14:paraId="2E90246C"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obecność aktywnych włóknisto-naczyniowych trakcji, których obkurczenie się mogłoby wpłynąć na wystąpienie odwarstwienia siatkówki,</w:t>
            </w:r>
          </w:p>
          <w:p w14:paraId="6AD21EA5"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odwarstwienie siatkówki w przebiegu retinopatii cukrzycowej,</w:t>
            </w:r>
          </w:p>
          <w:p w14:paraId="19EE90DC"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krwotok do ciała szklistego wymagający operacji,</w:t>
            </w:r>
          </w:p>
          <w:p w14:paraId="70381791"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b/>
                <w:bCs/>
                <w:sz w:val="20"/>
                <w:szCs w:val="20"/>
                <w:lang w:eastAsia="pl-PL"/>
              </w:rPr>
            </w:pPr>
            <w:proofErr w:type="spellStart"/>
            <w:r w:rsidRPr="008A39ED">
              <w:rPr>
                <w:rFonts w:ascii="Times New Roman" w:eastAsia="Times New Roman" w:hAnsi="Times New Roman" w:cs="Times New Roman"/>
                <w:sz w:val="20"/>
                <w:szCs w:val="20"/>
                <w:lang w:eastAsia="pl-PL"/>
              </w:rPr>
              <w:t>neowaskularyzacja</w:t>
            </w:r>
            <w:proofErr w:type="spellEnd"/>
            <w:r w:rsidRPr="008A39ED">
              <w:rPr>
                <w:rFonts w:ascii="Times New Roman" w:eastAsia="Times New Roman" w:hAnsi="Times New Roman" w:cs="Times New Roman"/>
                <w:sz w:val="20"/>
                <w:szCs w:val="20"/>
                <w:lang w:eastAsia="pl-PL"/>
              </w:rPr>
              <w:t xml:space="preserve"> tęczówki,</w:t>
            </w:r>
          </w:p>
          <w:p w14:paraId="32ED191A"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 xml:space="preserve">jaskra </w:t>
            </w:r>
            <w:proofErr w:type="spellStart"/>
            <w:r w:rsidRPr="008A39ED">
              <w:rPr>
                <w:rFonts w:ascii="Times New Roman" w:eastAsia="Times New Roman" w:hAnsi="Times New Roman" w:cs="Times New Roman"/>
                <w:sz w:val="20"/>
                <w:szCs w:val="20"/>
                <w:lang w:eastAsia="pl-PL"/>
              </w:rPr>
              <w:t>neowaskularna</w:t>
            </w:r>
            <w:proofErr w:type="spellEnd"/>
            <w:r w:rsidRPr="008A39ED">
              <w:rPr>
                <w:rFonts w:ascii="Times New Roman" w:eastAsia="Times New Roman" w:hAnsi="Times New Roman" w:cs="Times New Roman"/>
                <w:sz w:val="20"/>
                <w:szCs w:val="20"/>
                <w:lang w:eastAsia="pl-PL"/>
              </w:rPr>
              <w:t>,</w:t>
            </w:r>
          </w:p>
          <w:p w14:paraId="4CE8C500"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sz w:val="20"/>
                <w:szCs w:val="20"/>
                <w:lang w:eastAsia="pl-PL"/>
              </w:rPr>
              <w:t>zaćma mająca wpływ na monitorowanie skuteczności leczenia w programie.</w:t>
            </w:r>
          </w:p>
          <w:p w14:paraId="18DA6094"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ustąpienia zmian opisanych w pkt 1-6 lekarz prowadzący może (nie później niż 4 miesięcy od przerwania wcześniejszego leczenia) włączyć pacjenta z powrotem do programu (po ponownym spełnieniu kryteriów kwalifikacji do programu).</w:t>
            </w:r>
          </w:p>
          <w:p w14:paraId="0CB7BD80"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Pacjent, który nie został ponownie zakwalifikowany do programu w ciągu 4 miesięcy od przerwania wcześniejszego leczenia zostaje wyłączony z programu.</w:t>
            </w:r>
          </w:p>
          <w:p w14:paraId="7FED7FA8" w14:textId="77777777" w:rsidR="008A39ED" w:rsidRPr="008A39ED" w:rsidRDefault="008A39ED" w:rsidP="008A39ED">
            <w:pPr>
              <w:spacing w:after="60" w:line="276" w:lineRule="auto"/>
              <w:jc w:val="both"/>
              <w:rPr>
                <w:rFonts w:ascii="Times New Roman" w:eastAsia="Times New Roman" w:hAnsi="Times New Roman" w:cs="Times New Roman"/>
                <w:sz w:val="20"/>
                <w:szCs w:val="20"/>
                <w:lang w:eastAsia="pl-PL"/>
              </w:rPr>
            </w:pPr>
          </w:p>
          <w:p w14:paraId="55475E05" w14:textId="77777777" w:rsidR="008A39ED" w:rsidRPr="008A39ED" w:rsidRDefault="008A39ED" w:rsidP="008A39ED">
            <w:pPr>
              <w:numPr>
                <w:ilvl w:val="1"/>
                <w:numId w:val="8"/>
              </w:numPr>
              <w:spacing w:after="60" w:line="276" w:lineRule="auto"/>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Kryteria wyłączenia z programu</w:t>
            </w:r>
          </w:p>
          <w:p w14:paraId="2DEEC7C0"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Nadwrażliwość na </w:t>
            </w:r>
            <w:proofErr w:type="spellStart"/>
            <w:r w:rsidRPr="008A39ED">
              <w:rPr>
                <w:rFonts w:ascii="Times New Roman" w:eastAsia="Times New Roman" w:hAnsi="Times New Roman" w:cs="Times New Roman"/>
                <w:sz w:val="20"/>
                <w:szCs w:val="20"/>
                <w:lang w:eastAsia="pl-PL"/>
              </w:rPr>
              <w:t>bewacyzumab</w:t>
            </w:r>
            <w:proofErr w:type="spellEnd"/>
            <w:r w:rsidRPr="008A39ED">
              <w:rPr>
                <w:rFonts w:ascii="Times New Roman" w:eastAsia="Times New Roman" w:hAnsi="Times New Roman" w:cs="Times New Roman"/>
                <w:sz w:val="20"/>
                <w:szCs w:val="20"/>
                <w:lang w:eastAsia="pl-PL"/>
              </w:rPr>
              <w:t xml:space="preserve">, </w:t>
            </w:r>
            <w:proofErr w:type="spellStart"/>
            <w:r w:rsidRPr="008A39ED">
              <w:rPr>
                <w:rFonts w:ascii="Times New Roman" w:eastAsia="Times New Roman" w:hAnsi="Times New Roman" w:cs="Times New Roman"/>
                <w:sz w:val="20"/>
                <w:szCs w:val="20"/>
                <w:lang w:eastAsia="pl-PL"/>
              </w:rPr>
              <w:t>aflibercept</w:t>
            </w:r>
            <w:proofErr w:type="spellEnd"/>
            <w:r w:rsidRPr="008A39ED">
              <w:rPr>
                <w:rFonts w:ascii="Times New Roman" w:eastAsia="Times New Roman" w:hAnsi="Times New Roman" w:cs="Times New Roman"/>
                <w:sz w:val="20"/>
                <w:szCs w:val="20"/>
                <w:lang w:eastAsia="pl-PL"/>
              </w:rPr>
              <w:t xml:space="preserve">, </w:t>
            </w:r>
            <w:proofErr w:type="spellStart"/>
            <w:r w:rsidRPr="008A39ED">
              <w:rPr>
                <w:rFonts w:ascii="Times New Roman" w:eastAsia="Times New Roman" w:hAnsi="Times New Roman" w:cs="Times New Roman"/>
                <w:sz w:val="20"/>
                <w:szCs w:val="20"/>
                <w:lang w:eastAsia="pl-PL"/>
              </w:rPr>
              <w:t>ranibizumab</w:t>
            </w:r>
            <w:proofErr w:type="spellEnd"/>
            <w:r w:rsidRPr="008A39ED">
              <w:rPr>
                <w:rFonts w:ascii="Times New Roman" w:eastAsia="Times New Roman" w:hAnsi="Times New Roman" w:cs="Times New Roman"/>
                <w:sz w:val="20"/>
                <w:szCs w:val="20"/>
                <w:lang w:eastAsia="pl-PL"/>
              </w:rPr>
              <w:t xml:space="preserve"> lub </w:t>
            </w:r>
            <w:proofErr w:type="spellStart"/>
            <w:r w:rsidRPr="008A39ED">
              <w:rPr>
                <w:rFonts w:ascii="Times New Roman" w:eastAsia="Times New Roman" w:hAnsi="Times New Roman" w:cs="Times New Roman"/>
                <w:sz w:val="20"/>
                <w:szCs w:val="20"/>
                <w:lang w:eastAsia="pl-PL"/>
              </w:rPr>
              <w:t>deksametazon</w:t>
            </w:r>
            <w:proofErr w:type="spellEnd"/>
            <w:r w:rsidRPr="008A39ED">
              <w:rPr>
                <w:rFonts w:ascii="Times New Roman" w:eastAsia="Times New Roman" w:hAnsi="Times New Roman" w:cs="Times New Roman"/>
                <w:sz w:val="20"/>
                <w:szCs w:val="20"/>
                <w:lang w:eastAsia="pl-PL"/>
              </w:rPr>
              <w:t>, lub na którąkolwiek substancję pomocniczą;</w:t>
            </w:r>
          </w:p>
          <w:p w14:paraId="3C71D3BD"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Brak współpracy pacjenta z lekarzem prowadzącym (niezgłaszanie się z powodów nieuzasadnionych na określone przez program minimum 2 kolejne punkty kontrolne);</w:t>
            </w:r>
          </w:p>
          <w:p w14:paraId="75D4BBF8"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Wystąpienie działań niepożądanych związanych z lekiem uniemożliwiających jego dalsze stosowanie;</w:t>
            </w:r>
          </w:p>
          <w:p w14:paraId="7D3C0FC7" w14:textId="77777777" w:rsidR="008A39ED" w:rsidRPr="008A39ED" w:rsidRDefault="008A39ED" w:rsidP="008A39ED">
            <w:pPr>
              <w:numPr>
                <w:ilvl w:val="3"/>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Progresja choroby definiowana, jako:</w:t>
            </w:r>
          </w:p>
          <w:p w14:paraId="04363AB6"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pogorszenie najlepszej skorygowanej ostrości wzroku (BCVA) do poziomu &lt; 0,2 określonego według tablicy Snellena (lub odpowiednio ekwiwalent ETDRS) utrzymujące się dłużej niż 2 miesiące lub</w:t>
            </w:r>
          </w:p>
          <w:p w14:paraId="2F76FD82"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pogorszenie najlepszej skorygowanej ostrości wzroku (BCVA) o 2 lub więcej linii na tablicach Snellena (lub odpowiednio ekwiwalent ETDRS) utrzymujące się dłużej niż 2 miesiące w porównaniu z ostrością wzroku w najlepszej korekcji (BCVA) uzyskanej w momencie kwalifikacji do programu lub</w:t>
            </w:r>
          </w:p>
          <w:p w14:paraId="02E83035"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rozległy zanik fotoreceptorów (w OCT zanik warstw zewnętrznych siatkówki) lub</w:t>
            </w:r>
          </w:p>
          <w:p w14:paraId="208E1BC6" w14:textId="77777777" w:rsidR="008A39ED" w:rsidRPr="008A39ED" w:rsidRDefault="008A39ED" w:rsidP="008A39ED">
            <w:pPr>
              <w:numPr>
                <w:ilvl w:val="4"/>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rozwój w przebiegu leczenia DRIL w obszarze </w:t>
            </w:r>
            <w:proofErr w:type="spellStart"/>
            <w:r w:rsidRPr="008A39ED">
              <w:rPr>
                <w:rFonts w:ascii="Times New Roman" w:eastAsia="Times New Roman" w:hAnsi="Times New Roman" w:cs="Times New Roman"/>
                <w:sz w:val="20"/>
                <w:szCs w:val="20"/>
                <w:lang w:eastAsia="pl-PL"/>
              </w:rPr>
              <w:t>poddołkowym</w:t>
            </w:r>
            <w:proofErr w:type="spellEnd"/>
            <w:r w:rsidRPr="008A39ED">
              <w:rPr>
                <w:rFonts w:ascii="Times New Roman" w:eastAsia="Times New Roman" w:hAnsi="Times New Roman" w:cs="Times New Roman"/>
                <w:sz w:val="20"/>
                <w:szCs w:val="20"/>
                <w:lang w:eastAsia="pl-PL"/>
              </w:rPr>
              <w:t xml:space="preserve"> lub</w:t>
            </w:r>
          </w:p>
          <w:p w14:paraId="06E9B83D" w14:textId="77777777" w:rsidR="008A39ED" w:rsidRDefault="008A39ED" w:rsidP="008A39ED">
            <w:pPr>
              <w:numPr>
                <w:ilvl w:val="4"/>
                <w:numId w:val="8"/>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wystąpienie </w:t>
            </w:r>
            <w:proofErr w:type="spellStart"/>
            <w:r w:rsidRPr="008A39ED">
              <w:rPr>
                <w:rFonts w:ascii="Times New Roman" w:eastAsia="Times New Roman" w:hAnsi="Times New Roman" w:cs="Times New Roman"/>
                <w:sz w:val="20"/>
                <w:szCs w:val="20"/>
                <w:lang w:eastAsia="pl-PL"/>
              </w:rPr>
              <w:t>makulopatii</w:t>
            </w:r>
            <w:proofErr w:type="spellEnd"/>
            <w:r w:rsidRPr="008A39ED">
              <w:rPr>
                <w:rFonts w:ascii="Times New Roman" w:eastAsia="Times New Roman" w:hAnsi="Times New Roman" w:cs="Times New Roman"/>
                <w:sz w:val="20"/>
                <w:szCs w:val="20"/>
                <w:lang w:eastAsia="pl-PL"/>
              </w:rPr>
              <w:t xml:space="preserve"> niedokrwiennej.</w:t>
            </w:r>
          </w:p>
          <w:p w14:paraId="06CC4F74" w14:textId="011B1463" w:rsidR="00FF4D29" w:rsidRPr="008A39ED" w:rsidRDefault="00FF4D29" w:rsidP="00FF4D29">
            <w:pPr>
              <w:spacing w:after="60" w:line="276" w:lineRule="auto"/>
              <w:ind w:left="680"/>
              <w:jc w:val="both"/>
              <w:rPr>
                <w:rFonts w:ascii="Times New Roman" w:eastAsia="Times New Roman" w:hAnsi="Times New Roman" w:cs="Times New Roman"/>
                <w:sz w:val="20"/>
                <w:szCs w:val="20"/>
                <w:lang w:eastAsia="pl-PL"/>
              </w:rPr>
            </w:pPr>
          </w:p>
        </w:tc>
        <w:tc>
          <w:tcPr>
            <w:tcW w:w="4299" w:type="dxa"/>
          </w:tcPr>
          <w:p w14:paraId="6710DB6C" w14:textId="77777777" w:rsidR="008A39ED" w:rsidRPr="008A39ED" w:rsidRDefault="008A39ED" w:rsidP="008A39ED">
            <w:pPr>
              <w:numPr>
                <w:ilvl w:val="0"/>
                <w:numId w:val="9"/>
              </w:numPr>
              <w:spacing w:before="120"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Dawkowanie leków</w:t>
            </w:r>
          </w:p>
          <w:p w14:paraId="0CBEA69D" w14:textId="77777777" w:rsidR="008A39ED" w:rsidRPr="008A39ED" w:rsidRDefault="008A39ED" w:rsidP="008A39ED">
            <w:pPr>
              <w:numPr>
                <w:ilvl w:val="1"/>
                <w:numId w:val="9"/>
              </w:numPr>
              <w:spacing w:before="120"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 xml:space="preserve">Dawkowanie </w:t>
            </w:r>
            <w:proofErr w:type="spellStart"/>
            <w:r w:rsidRPr="008A39ED">
              <w:rPr>
                <w:rFonts w:ascii="Times New Roman" w:eastAsia="Times New Roman" w:hAnsi="Times New Roman" w:cs="Times New Roman"/>
                <w:b/>
                <w:bCs/>
                <w:sz w:val="20"/>
                <w:szCs w:val="20"/>
                <w:lang w:eastAsia="pl-PL"/>
              </w:rPr>
              <w:t>bewacyzumabu</w:t>
            </w:r>
            <w:proofErr w:type="spellEnd"/>
          </w:p>
          <w:p w14:paraId="090A897D" w14:textId="77777777" w:rsidR="008A39ED" w:rsidRPr="008A39E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Zalecana dawka </w:t>
            </w:r>
            <w:proofErr w:type="spellStart"/>
            <w:r w:rsidRPr="008A39ED">
              <w:rPr>
                <w:rFonts w:ascii="Times New Roman" w:eastAsia="Times New Roman" w:hAnsi="Times New Roman" w:cs="Times New Roman"/>
                <w:sz w:val="20"/>
                <w:szCs w:val="20"/>
                <w:lang w:eastAsia="pl-PL"/>
              </w:rPr>
              <w:t>bewacyzumabu</w:t>
            </w:r>
            <w:proofErr w:type="spellEnd"/>
            <w:r w:rsidRPr="008A39ED">
              <w:rPr>
                <w:rFonts w:ascii="Times New Roman" w:eastAsia="Times New Roman" w:hAnsi="Times New Roman" w:cs="Times New Roman"/>
                <w:sz w:val="20"/>
                <w:szCs w:val="20"/>
                <w:lang w:eastAsia="pl-PL"/>
              </w:rPr>
              <w:t xml:space="preserve"> wynosi 1,25 mg, co odpowiada 50 µl roztworu (0,05 ml) na jedno wstrzyknięcie doszklistkowe;</w:t>
            </w:r>
          </w:p>
          <w:p w14:paraId="74493994" w14:textId="77777777" w:rsidR="008A39ED" w:rsidRPr="008A39E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Leczenie bewacyzumabem rozpoczyna się od jednego wstrzyknięcia na miesiąc (tj. w odstępach co najmniej 28 dni, ale nie później niż 7 dni po upływie tego terminu) przez pięć kolejnych miesięcy, a następnie lek podaje się w postaci jednego wstrzyknięcia co 2 miesiące (tj. w odstępach co najmniej 56 dni, ale nie później niż 7 dni po upływie tego terminu); w przypadku wcześniejszego leczenia pacjenta bewacyzumabem poza programem lekowym – schemat leczenia należy dostosować do etapu leczenia, na którym znajduje się pacjent;</w:t>
            </w:r>
          </w:p>
          <w:p w14:paraId="3832D34F" w14:textId="77777777" w:rsidR="008A39ED" w:rsidRPr="008A39E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skuteczności leczenia ocenionej według kryteriów opisanych w pkt 1.3 po pierwszych 12 miesiącach leczenia bewacyzumabem odstęp pomiędzy dawkami można wydłużyć na tyle, aby podtrzymać odpowiedź w zakresie parametrów anatomicznych i funkcjonalnych aktywności choroby; w przypadku pogorszenia się tych parametrów należy skrócić okres między kolejnymi dawkami leku;</w:t>
            </w:r>
          </w:p>
          <w:p w14:paraId="10E150F3" w14:textId="77777777" w:rsidR="008A39ED" w:rsidRPr="008A39E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Po pierwszych 12 miesiącach leczenia badania kontrolne pacjenta muszą być wykonywane nie rzadziej niż co 2 miesiące (tj. nie rzadziej niż co 62 dni); </w:t>
            </w:r>
          </w:p>
          <w:p w14:paraId="2EEB2630" w14:textId="77777777" w:rsidR="008A39ED" w:rsidRPr="008A39E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Kobiety w wieku rozrodczym powinny stosować skuteczne metody zapobiegania ciąży, zarówno podczas leczenia, jak i w ciągu 3 miesięcy od zakończenia leczenia bewacyzumabem.</w:t>
            </w:r>
          </w:p>
          <w:p w14:paraId="0E24C3DA" w14:textId="77777777" w:rsidR="008A39ED" w:rsidRPr="008A39ED" w:rsidRDefault="008A39ED" w:rsidP="008A39ED">
            <w:pPr>
              <w:spacing w:after="60" w:line="276" w:lineRule="auto"/>
              <w:ind w:left="357"/>
              <w:jc w:val="both"/>
              <w:rPr>
                <w:rFonts w:ascii="Times New Roman" w:eastAsia="Times New Roman" w:hAnsi="Times New Roman" w:cs="Times New Roman"/>
                <w:sz w:val="20"/>
                <w:szCs w:val="20"/>
                <w:lang w:eastAsia="pl-PL"/>
              </w:rPr>
            </w:pPr>
          </w:p>
          <w:p w14:paraId="337A2F74" w14:textId="77777777" w:rsidR="008A39ED" w:rsidRPr="008A39ED" w:rsidRDefault="008A39ED" w:rsidP="008A39ED">
            <w:pPr>
              <w:numPr>
                <w:ilvl w:val="1"/>
                <w:numId w:val="9"/>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 xml:space="preserve">Dawkowanie </w:t>
            </w:r>
            <w:proofErr w:type="spellStart"/>
            <w:r w:rsidRPr="008A39ED">
              <w:rPr>
                <w:rFonts w:ascii="Times New Roman" w:eastAsia="Times New Roman" w:hAnsi="Times New Roman" w:cs="Times New Roman"/>
                <w:b/>
                <w:bCs/>
                <w:sz w:val="20"/>
                <w:szCs w:val="20"/>
                <w:lang w:eastAsia="pl-PL"/>
              </w:rPr>
              <w:t>afliberceptu</w:t>
            </w:r>
            <w:proofErr w:type="spellEnd"/>
          </w:p>
          <w:p w14:paraId="717B43E3" w14:textId="77777777" w:rsidR="008A39ED" w:rsidRPr="008A39E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Zalecana dawka </w:t>
            </w:r>
            <w:proofErr w:type="spellStart"/>
            <w:r w:rsidRPr="008A39ED">
              <w:rPr>
                <w:rFonts w:ascii="Times New Roman" w:eastAsia="Times New Roman" w:hAnsi="Times New Roman" w:cs="Times New Roman"/>
                <w:sz w:val="20"/>
                <w:szCs w:val="20"/>
                <w:lang w:eastAsia="pl-PL"/>
              </w:rPr>
              <w:t>afliberceptu</w:t>
            </w:r>
            <w:proofErr w:type="spellEnd"/>
            <w:r w:rsidRPr="008A39ED">
              <w:rPr>
                <w:rFonts w:ascii="Times New Roman" w:eastAsia="Times New Roman" w:hAnsi="Times New Roman" w:cs="Times New Roman"/>
                <w:sz w:val="20"/>
                <w:szCs w:val="20"/>
                <w:lang w:eastAsia="pl-PL"/>
              </w:rPr>
              <w:t xml:space="preserve"> wynosi 2 mg, co odpowiada 50 mikrolitrom roztworu (0,05 ml) na jedno wstrzyknięcie doszklistkowe;</w:t>
            </w:r>
          </w:p>
          <w:p w14:paraId="20E857FF" w14:textId="251CC26C" w:rsidR="008A39ED" w:rsidRPr="008A39E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Leczenie afliberceptem rozpoczyna się od jednego wstrzyknięcia na miesiąc w pięciu kolejnych dawkach, a następnie podaje się jedno wstrzyknięcie co dwa miesiące;</w:t>
            </w:r>
          </w:p>
          <w:p w14:paraId="0C84A749" w14:textId="47ED88C5" w:rsidR="008A39ED" w:rsidRPr="00975098" w:rsidRDefault="008A39ED" w:rsidP="00CC2AEE">
            <w:pPr>
              <w:numPr>
                <w:ilvl w:val="3"/>
                <w:numId w:val="9"/>
              </w:numPr>
              <w:spacing w:after="200" w:line="276" w:lineRule="auto"/>
              <w:contextualSpacing/>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skuteczności leczenia ocenionej według kryteriów opisanych w pkt 1.3</w:t>
            </w:r>
            <w:r w:rsidR="00CC2AEE" w:rsidRPr="00044AFD">
              <w:rPr>
                <w:rFonts w:ascii="Times New Roman" w:eastAsia="Times New Roman" w:hAnsi="Times New Roman" w:cs="Times New Roman"/>
                <w:sz w:val="20"/>
                <w:szCs w:val="20"/>
                <w:lang w:eastAsia="pl-PL"/>
              </w:rPr>
              <w:t>.</w:t>
            </w:r>
            <w:r w:rsidR="00D60786">
              <w:rPr>
                <w:rFonts w:ascii="Times New Roman" w:eastAsia="Times New Roman" w:hAnsi="Times New Roman" w:cs="Times New Roman"/>
                <w:sz w:val="20"/>
                <w:szCs w:val="20"/>
                <w:lang w:eastAsia="pl-PL"/>
              </w:rPr>
              <w:t xml:space="preserve"> </w:t>
            </w:r>
            <w:r w:rsidR="00D60786" w:rsidRPr="00D60786">
              <w:rPr>
                <w:rFonts w:ascii="Times New Roman" w:eastAsia="Times New Roman" w:hAnsi="Times New Roman" w:cs="Times New Roman"/>
                <w:sz w:val="20"/>
                <w:szCs w:val="20"/>
                <w:lang w:eastAsia="pl-PL"/>
              </w:rPr>
              <w:t>p</w:t>
            </w:r>
            <w:r w:rsidRPr="00D60786">
              <w:rPr>
                <w:rFonts w:ascii="Times New Roman" w:eastAsia="Times New Roman" w:hAnsi="Times New Roman" w:cs="Times New Roman"/>
                <w:sz w:val="20"/>
                <w:szCs w:val="20"/>
                <w:lang w:eastAsia="pl-PL"/>
              </w:rPr>
              <w:t>o</w:t>
            </w:r>
            <w:r w:rsidRPr="00044AFD">
              <w:rPr>
                <w:rFonts w:ascii="Times New Roman" w:eastAsia="Times New Roman" w:hAnsi="Times New Roman" w:cs="Times New Roman"/>
                <w:sz w:val="20"/>
                <w:szCs w:val="20"/>
                <w:lang w:eastAsia="pl-PL"/>
              </w:rPr>
              <w:t xml:space="preserve"> pierwszych 12 miesiącach leczenia afliberceptem w kontynuacji odstęp pomiędzy dawkami można wydłużyć na tyle, aby podtrzymać odpowiedź w zakresie parametrów anatomicznych i funkcjonalnych aktywności choroby; w przypadku pogorszenia się tych parametrów należy skrócić okres między kolejnymi dawkami leku;</w:t>
            </w:r>
          </w:p>
          <w:p w14:paraId="5812403C" w14:textId="77777777" w:rsidR="008A39ED" w:rsidRPr="00044AF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975098">
              <w:rPr>
                <w:rFonts w:ascii="Times New Roman" w:eastAsia="Times New Roman" w:hAnsi="Times New Roman" w:cs="Times New Roman"/>
                <w:sz w:val="20"/>
                <w:szCs w:val="20"/>
                <w:lang w:eastAsia="pl-PL"/>
              </w:rPr>
              <w:t>Po pierwszych 12 miesiącach leczenia pacjenta w programie lekowym, badania kontrolne pacjenta muszą być wykonywane nie rzadziej niż co 2 miesiące (tj. nie rzadziej niż co 62 dni);</w:t>
            </w:r>
          </w:p>
          <w:p w14:paraId="4F3717C9" w14:textId="77777777" w:rsidR="008A39ED" w:rsidRPr="008A39E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pacjentów zakwalifikowanych do programu, którzy rozpoczęli wcześniej leczenie DME iniekcjami doszklistkowymi przeciwciała monoklonalnego anty-VEGF lub rekombinowanego białka fuzyjnego: u świadczeniodawców, którzy nie posiadali umowy na udzielanie świadczeń opieki zdrowotnej finansowanych ze środków publicznych - schemat dawkowania należy dostosować do etapu leczenia, na jakim znajduje się pacjent;</w:t>
            </w:r>
          </w:p>
          <w:p w14:paraId="0F9859A2" w14:textId="77777777" w:rsidR="008A39ED" w:rsidRPr="008A39ED" w:rsidRDefault="008A39ED" w:rsidP="008A39ED">
            <w:pPr>
              <w:numPr>
                <w:ilvl w:val="3"/>
                <w:numId w:val="9"/>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Kobiety w wieku rozrodczym powinny stosować skuteczne metody zapobiegania ciąży, zarówno podczas leczenia, jak i w ciągu 3 miesięcy od zakończenia leczenia afliberceptem.</w:t>
            </w:r>
          </w:p>
          <w:p w14:paraId="62B346A2" w14:textId="77777777" w:rsidR="008A39ED" w:rsidRPr="00F470CD" w:rsidRDefault="008A39ED" w:rsidP="00F470CD">
            <w:pPr>
              <w:spacing w:after="60" w:line="276" w:lineRule="auto"/>
              <w:jc w:val="both"/>
              <w:rPr>
                <w:rFonts w:ascii="Times New Roman" w:eastAsia="Times New Roman" w:hAnsi="Times New Roman" w:cs="Times New Roman"/>
                <w:bCs/>
                <w:sz w:val="20"/>
                <w:szCs w:val="20"/>
                <w:lang w:eastAsia="pl-PL"/>
              </w:rPr>
            </w:pPr>
            <w:r w:rsidRPr="00F470CD">
              <w:rPr>
                <w:rFonts w:ascii="Times New Roman" w:eastAsia="Times New Roman" w:hAnsi="Times New Roman" w:cs="Times New Roman"/>
                <w:bCs/>
                <w:sz w:val="20"/>
                <w:szCs w:val="20"/>
                <w:lang w:eastAsia="pl-PL"/>
              </w:rPr>
              <w:t>Schemat dawkowania leku po zmianie ustala lekarz prowadzący.</w:t>
            </w:r>
          </w:p>
          <w:p w14:paraId="12A9AA31" w14:textId="77777777" w:rsidR="008A39ED" w:rsidRPr="008A39ED" w:rsidRDefault="008A39ED" w:rsidP="008A39ED">
            <w:pPr>
              <w:spacing w:after="60" w:line="276" w:lineRule="auto"/>
              <w:ind w:left="454"/>
              <w:jc w:val="both"/>
              <w:rPr>
                <w:rFonts w:ascii="Times New Roman" w:eastAsia="Times New Roman" w:hAnsi="Times New Roman" w:cs="Times New Roman"/>
                <w:sz w:val="20"/>
                <w:szCs w:val="20"/>
                <w:lang w:eastAsia="pl-PL"/>
              </w:rPr>
            </w:pPr>
          </w:p>
          <w:p w14:paraId="11F2DE83" w14:textId="77777777" w:rsidR="008A39ED" w:rsidRPr="008A39ED" w:rsidRDefault="008A39ED" w:rsidP="008A39ED">
            <w:pPr>
              <w:numPr>
                <w:ilvl w:val="1"/>
                <w:numId w:val="9"/>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 xml:space="preserve">Dawkowanie </w:t>
            </w:r>
            <w:proofErr w:type="spellStart"/>
            <w:r w:rsidRPr="008A39ED">
              <w:rPr>
                <w:rFonts w:ascii="Times New Roman" w:eastAsia="Times New Roman" w:hAnsi="Times New Roman" w:cs="Times New Roman"/>
                <w:b/>
                <w:bCs/>
                <w:sz w:val="20"/>
                <w:szCs w:val="20"/>
                <w:lang w:eastAsia="pl-PL"/>
              </w:rPr>
              <w:t>ranibizumabu</w:t>
            </w:r>
            <w:proofErr w:type="spellEnd"/>
          </w:p>
          <w:p w14:paraId="2D4F10B9" w14:textId="4A75180F" w:rsidR="008A39ED" w:rsidRPr="008A39ED" w:rsidRDefault="008A39ED" w:rsidP="008A39ED">
            <w:pPr>
              <w:numPr>
                <w:ilvl w:val="3"/>
                <w:numId w:val="9"/>
              </w:numPr>
              <w:spacing w:before="100"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Zalecana dawka </w:t>
            </w:r>
            <w:proofErr w:type="spellStart"/>
            <w:r w:rsidRPr="008A39ED">
              <w:rPr>
                <w:rFonts w:ascii="Times New Roman" w:eastAsia="Times New Roman" w:hAnsi="Times New Roman" w:cs="Times New Roman"/>
                <w:sz w:val="20"/>
                <w:szCs w:val="20"/>
                <w:lang w:eastAsia="pl-PL"/>
              </w:rPr>
              <w:t>ranibizumabu</w:t>
            </w:r>
            <w:proofErr w:type="spellEnd"/>
            <w:r w:rsidRPr="008A39ED">
              <w:rPr>
                <w:rFonts w:ascii="Times New Roman" w:eastAsia="Times New Roman" w:hAnsi="Times New Roman" w:cs="Times New Roman"/>
                <w:sz w:val="20"/>
                <w:szCs w:val="20"/>
                <w:lang w:eastAsia="pl-PL"/>
              </w:rPr>
              <w:t xml:space="preserve"> wynosi 0,5 mg, co odpowiada 50 </w:t>
            </w:r>
            <w:proofErr w:type="spellStart"/>
            <w:r w:rsidRPr="008A39ED">
              <w:rPr>
                <w:rFonts w:ascii="Times New Roman" w:eastAsia="Times New Roman" w:hAnsi="Times New Roman" w:cs="Times New Roman"/>
                <w:sz w:val="20"/>
                <w:szCs w:val="20"/>
                <w:lang w:eastAsia="pl-PL"/>
              </w:rPr>
              <w:t>mikrolitrom</w:t>
            </w:r>
            <w:proofErr w:type="spellEnd"/>
            <w:r w:rsidR="00FF4D29">
              <w:rPr>
                <w:rFonts w:ascii="Times New Roman" w:eastAsia="Times New Roman" w:hAnsi="Times New Roman" w:cs="Times New Roman"/>
                <w:sz w:val="20"/>
                <w:szCs w:val="20"/>
                <w:lang w:eastAsia="pl-PL"/>
              </w:rPr>
              <w:t xml:space="preserve"> </w:t>
            </w:r>
            <w:r w:rsidRPr="008A39ED">
              <w:rPr>
                <w:rFonts w:ascii="Times New Roman" w:eastAsia="Times New Roman" w:hAnsi="Times New Roman" w:cs="Times New Roman"/>
                <w:sz w:val="20"/>
                <w:szCs w:val="20"/>
                <w:lang w:eastAsia="pl-PL"/>
              </w:rPr>
              <w:t>roztworu (0,05 ml) na jedno wstrzyknięcie doszklistkowe;</w:t>
            </w:r>
          </w:p>
          <w:p w14:paraId="4D414779" w14:textId="77777777" w:rsidR="008A39ED" w:rsidRPr="008A39ED" w:rsidRDefault="008A39ED" w:rsidP="008A39ED">
            <w:pPr>
              <w:numPr>
                <w:ilvl w:val="3"/>
                <w:numId w:val="9"/>
              </w:numPr>
              <w:spacing w:before="100"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Leczenie rozpoczyna się od jednej iniekcji na miesiąc (tj. w odstępach co najmniej 28 dni, ale nie później niż 7 dni po upływie tego terminu) do czasu uzyskania maksymalnej ostrości wzroku lub braku cech aktywności choroby, tj. braku zmian w ostrości wzroku oraz innych objawów przedmiotowych choroby podczas kontynuowania leczenia;</w:t>
            </w:r>
          </w:p>
          <w:p w14:paraId="5C5FC49F" w14:textId="77777777" w:rsidR="008A39ED" w:rsidRPr="008A39ED" w:rsidRDefault="008A39ED" w:rsidP="008A39ED">
            <w:pPr>
              <w:numPr>
                <w:ilvl w:val="3"/>
                <w:numId w:val="9"/>
              </w:numPr>
              <w:spacing w:before="100"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Następnie odstępy pomiędzy podaniem kolejnych dawek oraz częstotliwość wykonywania badań kontrolnych są ustalane przez lekarza prowadzącego i powinny być uzależnione od aktywności choroby, ocenianej na podstawie ostrości wzroku lub parametrów anatomicznych;</w:t>
            </w:r>
          </w:p>
          <w:p w14:paraId="6106F588" w14:textId="77777777" w:rsidR="008A39ED" w:rsidRPr="008A39ED" w:rsidRDefault="008A39ED" w:rsidP="008A39ED">
            <w:pPr>
              <w:numPr>
                <w:ilvl w:val="3"/>
                <w:numId w:val="9"/>
              </w:numPr>
              <w:spacing w:before="100"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Odstęp pomiędzy wstrzyknięciem dwóch dawek do tego samego oka powinien wynosić co najmniej 4 tygodnie;</w:t>
            </w:r>
          </w:p>
          <w:p w14:paraId="63064037" w14:textId="77777777" w:rsidR="008A39ED" w:rsidRPr="008A39ED" w:rsidRDefault="008A39ED" w:rsidP="008A39ED">
            <w:pPr>
              <w:numPr>
                <w:ilvl w:val="3"/>
                <w:numId w:val="9"/>
              </w:numPr>
              <w:spacing w:before="100"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gdy odstęp między podaniem kolejnych dawek został ustalony na więcej niż 2 miesiące, badania kontrolne pacjenta muszą być wykonywane nie rzadziej niż co 2 miesiące (tj. nie rzadziej niż co 62 dni);</w:t>
            </w:r>
          </w:p>
          <w:p w14:paraId="01DA67B5" w14:textId="77777777" w:rsidR="008A39ED" w:rsidRPr="008A39ED" w:rsidRDefault="008A39ED" w:rsidP="008A39ED">
            <w:pPr>
              <w:numPr>
                <w:ilvl w:val="3"/>
                <w:numId w:val="9"/>
              </w:numPr>
              <w:spacing w:before="100"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pacjentów zakwalifikowanych do programu, którzy rozpoczęli wcześniej leczenie DME iniekcjami doszklistkowymi przeciwciała monoklonalnego anty-VEGF lub rekombinowanego białka fuzyjnego: u świadczeniodawców, którzy nie posiadali umowy na udzielanie świadczeń opieki zdrowotnej finansowanych ze środków publicznych - schemat dawkowania należy dostosować do etapu leczenia, na jakim znajduje się pacjent.</w:t>
            </w:r>
          </w:p>
          <w:p w14:paraId="32C9498C" w14:textId="77777777" w:rsidR="008A39ED" w:rsidRPr="00F470CD" w:rsidRDefault="008A39ED" w:rsidP="00F470CD">
            <w:pPr>
              <w:spacing w:before="100" w:after="60" w:line="276" w:lineRule="auto"/>
              <w:jc w:val="both"/>
              <w:rPr>
                <w:rFonts w:ascii="Times New Roman" w:eastAsia="Times New Roman" w:hAnsi="Times New Roman" w:cs="Times New Roman"/>
                <w:bCs/>
                <w:sz w:val="20"/>
                <w:szCs w:val="20"/>
                <w:lang w:eastAsia="pl-PL"/>
              </w:rPr>
            </w:pPr>
            <w:r w:rsidRPr="00F470CD">
              <w:rPr>
                <w:rFonts w:ascii="Times New Roman" w:eastAsia="Times New Roman" w:hAnsi="Times New Roman" w:cs="Times New Roman"/>
                <w:bCs/>
                <w:sz w:val="20"/>
                <w:szCs w:val="20"/>
                <w:lang w:eastAsia="pl-PL"/>
              </w:rPr>
              <w:t>Schemat dawkowania leku po zmianie ustala lekarz prowadzący.</w:t>
            </w:r>
          </w:p>
          <w:p w14:paraId="6F173B94" w14:textId="77777777" w:rsidR="008A39ED" w:rsidRPr="008A39ED" w:rsidRDefault="008A39ED" w:rsidP="008A39ED">
            <w:pPr>
              <w:spacing w:before="100" w:after="60" w:line="276" w:lineRule="auto"/>
              <w:ind w:left="454"/>
              <w:jc w:val="both"/>
              <w:rPr>
                <w:rFonts w:ascii="Times New Roman" w:eastAsia="Times New Roman" w:hAnsi="Times New Roman" w:cs="Times New Roman"/>
                <w:sz w:val="20"/>
                <w:szCs w:val="20"/>
                <w:lang w:eastAsia="pl-PL"/>
              </w:rPr>
            </w:pPr>
          </w:p>
          <w:p w14:paraId="695584B0" w14:textId="77777777" w:rsidR="008A39ED" w:rsidRPr="008A39ED" w:rsidRDefault="008A39ED" w:rsidP="008A39ED">
            <w:pPr>
              <w:numPr>
                <w:ilvl w:val="1"/>
                <w:numId w:val="9"/>
              </w:numPr>
              <w:spacing w:after="60" w:line="276" w:lineRule="auto"/>
              <w:contextualSpacing/>
              <w:jc w:val="both"/>
              <w:rPr>
                <w:rFonts w:ascii="Times New Roman" w:hAnsi="Times New Roman" w:cs="Times New Roman"/>
                <w:sz w:val="20"/>
                <w:szCs w:val="20"/>
              </w:rPr>
            </w:pPr>
            <w:r w:rsidRPr="008A39ED">
              <w:rPr>
                <w:rFonts w:ascii="Times New Roman" w:hAnsi="Times New Roman" w:cs="Times New Roman"/>
                <w:b/>
                <w:bCs/>
                <w:sz w:val="20"/>
                <w:szCs w:val="20"/>
              </w:rPr>
              <w:t xml:space="preserve">Dawkowanie </w:t>
            </w:r>
            <w:proofErr w:type="spellStart"/>
            <w:r w:rsidRPr="008A39ED">
              <w:rPr>
                <w:rFonts w:ascii="Times New Roman" w:hAnsi="Times New Roman" w:cs="Times New Roman"/>
                <w:b/>
                <w:bCs/>
                <w:sz w:val="20"/>
                <w:szCs w:val="20"/>
              </w:rPr>
              <w:t>deksametazonu</w:t>
            </w:r>
            <w:proofErr w:type="spellEnd"/>
            <w:r w:rsidRPr="008A39ED">
              <w:rPr>
                <w:rFonts w:ascii="Times New Roman" w:hAnsi="Times New Roman" w:cs="Times New Roman"/>
                <w:b/>
                <w:bCs/>
                <w:sz w:val="20"/>
                <w:szCs w:val="20"/>
              </w:rPr>
              <w:t xml:space="preserve"> w postaci implantu</w:t>
            </w:r>
          </w:p>
          <w:p w14:paraId="10D051BF" w14:textId="77777777" w:rsidR="008A39ED" w:rsidRPr="008A39ED" w:rsidRDefault="008A39ED" w:rsidP="008A39ED">
            <w:pPr>
              <w:spacing w:after="60" w:line="276" w:lineRule="auto"/>
              <w:jc w:val="both"/>
              <w:rPr>
                <w:rFonts w:ascii="Times New Roman" w:hAnsi="Times New Roman" w:cs="Times New Roman"/>
                <w:sz w:val="20"/>
                <w:szCs w:val="20"/>
              </w:rPr>
            </w:pPr>
            <w:r w:rsidRPr="008A39ED">
              <w:rPr>
                <w:rFonts w:ascii="Times New Roman" w:hAnsi="Times New Roman" w:cs="Times New Roman"/>
                <w:sz w:val="20"/>
                <w:szCs w:val="20"/>
              </w:rPr>
              <w:t>Zgodnie z Charakterystyką Produktu Leczniczego.</w:t>
            </w:r>
          </w:p>
          <w:p w14:paraId="38DE41A6" w14:textId="77777777" w:rsidR="00BF7853" w:rsidRPr="008A39ED" w:rsidRDefault="00BF7853" w:rsidP="008A39ED">
            <w:pPr>
              <w:spacing w:after="60" w:line="276" w:lineRule="auto"/>
              <w:jc w:val="both"/>
              <w:rPr>
                <w:rFonts w:ascii="Times New Roman" w:hAnsi="Times New Roman" w:cs="Times New Roman"/>
                <w:b/>
                <w:bCs/>
                <w:sz w:val="20"/>
                <w:szCs w:val="20"/>
              </w:rPr>
            </w:pPr>
          </w:p>
          <w:p w14:paraId="0993F4A4" w14:textId="77777777" w:rsidR="008A39ED" w:rsidRPr="008A39ED" w:rsidRDefault="008A39ED" w:rsidP="008A39ED">
            <w:pPr>
              <w:numPr>
                <w:ilvl w:val="0"/>
                <w:numId w:val="9"/>
              </w:numPr>
              <w:spacing w:after="60" w:line="276" w:lineRule="auto"/>
              <w:contextualSpacing/>
              <w:jc w:val="both"/>
              <w:rPr>
                <w:rFonts w:ascii="Times New Roman" w:eastAsia="Calibri" w:hAnsi="Times New Roman" w:cs="Times New Roman"/>
                <w:b/>
                <w:sz w:val="20"/>
                <w:szCs w:val="20"/>
              </w:rPr>
            </w:pPr>
            <w:r w:rsidRPr="008A39ED">
              <w:rPr>
                <w:rFonts w:ascii="Times New Roman" w:eastAsia="Calibri" w:hAnsi="Times New Roman" w:cs="Times New Roman"/>
                <w:b/>
                <w:sz w:val="20"/>
                <w:szCs w:val="20"/>
              </w:rPr>
              <w:t>Wstrzymanie podawania leku</w:t>
            </w:r>
          </w:p>
          <w:p w14:paraId="0C1CF9D1"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Podawanie leku należy odroczyć, jeżeli wystąpi:</w:t>
            </w:r>
          </w:p>
          <w:p w14:paraId="4EA89048" w14:textId="77777777" w:rsidR="008A39ED" w:rsidRPr="008A39ED" w:rsidRDefault="008A39ED" w:rsidP="008A39ED">
            <w:pPr>
              <w:numPr>
                <w:ilvl w:val="3"/>
                <w:numId w:val="9"/>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 xml:space="preserve">ciśnienie śródgałkowe ≥ 30 mmHg (utrzymujące się pomimo leczenia); </w:t>
            </w:r>
          </w:p>
          <w:p w14:paraId="33B3ED54" w14:textId="77777777" w:rsidR="008A39ED" w:rsidRPr="008A39ED" w:rsidRDefault="008A39ED" w:rsidP="008A39ED">
            <w:pPr>
              <w:numPr>
                <w:ilvl w:val="3"/>
                <w:numId w:val="9"/>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rozerwanie siatkówki;</w:t>
            </w:r>
          </w:p>
          <w:p w14:paraId="18A47AD2" w14:textId="77777777" w:rsidR="008A39ED" w:rsidRPr="008A39ED" w:rsidRDefault="008A39ED" w:rsidP="008A39ED">
            <w:pPr>
              <w:numPr>
                <w:ilvl w:val="3"/>
                <w:numId w:val="9"/>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przeprowadzenie lub planowanie operacji wewnątrzgałkowej (o długości okresu wstrzymania podawania leku przed lub po operacją decyduje lekarz prowadzący);</w:t>
            </w:r>
          </w:p>
          <w:p w14:paraId="790892D1" w14:textId="77777777" w:rsidR="008A39ED" w:rsidRPr="008A39ED" w:rsidRDefault="008A39ED" w:rsidP="008A39ED">
            <w:pPr>
              <w:numPr>
                <w:ilvl w:val="3"/>
                <w:numId w:val="9"/>
              </w:num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brak aktywności choroby.</w:t>
            </w:r>
          </w:p>
          <w:p w14:paraId="58F55589" w14:textId="77777777" w:rsidR="008A39ED" w:rsidRPr="008A39ED" w:rsidRDefault="008A39ED" w:rsidP="008A39ED">
            <w:pPr>
              <w:spacing w:after="60" w:line="276" w:lineRule="auto"/>
              <w:jc w:val="both"/>
              <w:rPr>
                <w:rFonts w:ascii="Times New Roman" w:eastAsia="Calibri" w:hAnsi="Times New Roman" w:cs="Times New Roman"/>
                <w:sz w:val="20"/>
                <w:szCs w:val="20"/>
              </w:rPr>
            </w:pPr>
            <w:r w:rsidRPr="008A39ED">
              <w:rPr>
                <w:rFonts w:ascii="Times New Roman" w:eastAsia="Calibri" w:hAnsi="Times New Roman" w:cs="Times New Roman"/>
                <w:sz w:val="20"/>
                <w:szCs w:val="20"/>
              </w:rPr>
              <w:t>O terminie podania kolejnej dawki leku po odroczeniu decyduje lekarz prowadzący – z zastrzeżeniem kryteriów wyłączenia z programu.</w:t>
            </w:r>
          </w:p>
          <w:p w14:paraId="56DF3B1D" w14:textId="77777777" w:rsidR="008A39ED" w:rsidRPr="008A39ED" w:rsidRDefault="008A39ED" w:rsidP="008A39ED">
            <w:pPr>
              <w:spacing w:after="60" w:line="276" w:lineRule="auto"/>
              <w:rPr>
                <w:rFonts w:ascii="Times New Roman" w:hAnsi="Times New Roman" w:cs="Times New Roman"/>
                <w:sz w:val="20"/>
                <w:szCs w:val="20"/>
              </w:rPr>
            </w:pPr>
          </w:p>
          <w:p w14:paraId="4CEBB947" w14:textId="77777777" w:rsidR="008A39ED" w:rsidRPr="008A39ED" w:rsidRDefault="008A39ED" w:rsidP="008A39ED">
            <w:pPr>
              <w:numPr>
                <w:ilvl w:val="0"/>
                <w:numId w:val="9"/>
              </w:numPr>
              <w:spacing w:after="60" w:line="276" w:lineRule="auto"/>
              <w:contextualSpacing/>
              <w:rPr>
                <w:rFonts w:ascii="Times New Roman" w:eastAsia="Calibri" w:hAnsi="Times New Roman" w:cs="Times New Roman"/>
                <w:b/>
                <w:sz w:val="20"/>
                <w:szCs w:val="20"/>
              </w:rPr>
            </w:pPr>
            <w:r w:rsidRPr="008A39ED">
              <w:rPr>
                <w:rFonts w:ascii="Times New Roman" w:eastAsia="Calibri" w:hAnsi="Times New Roman" w:cs="Times New Roman"/>
                <w:b/>
                <w:sz w:val="20"/>
                <w:szCs w:val="20"/>
              </w:rPr>
              <w:t>Zmiana leku podczas leczenia</w:t>
            </w:r>
          </w:p>
          <w:p w14:paraId="0A2FA84C" w14:textId="77777777" w:rsidR="008A39ED" w:rsidRPr="008A39ED" w:rsidRDefault="008A39ED" w:rsidP="008A39ED">
            <w:pPr>
              <w:spacing w:after="60" w:line="276" w:lineRule="auto"/>
              <w:jc w:val="both"/>
              <w:rPr>
                <w:rFonts w:ascii="Times New Roman" w:hAnsi="Times New Roman" w:cs="Times New Roman"/>
                <w:sz w:val="20"/>
                <w:szCs w:val="20"/>
              </w:rPr>
            </w:pPr>
            <w:r w:rsidRPr="008A39ED">
              <w:rPr>
                <w:rFonts w:ascii="Times New Roman" w:hAnsi="Times New Roman" w:cs="Times New Roman"/>
                <w:sz w:val="20"/>
                <w:szCs w:val="20"/>
              </w:rPr>
              <w:t>Zgodnie z decyzją Zespołu Koordynacyjnego do Spraw Leczenia Chorób Siatkówki.</w:t>
            </w:r>
          </w:p>
          <w:p w14:paraId="6158145E" w14:textId="77777777" w:rsidR="008A39ED" w:rsidRPr="008A39ED" w:rsidRDefault="008A39ED" w:rsidP="008A39ED">
            <w:pPr>
              <w:spacing w:before="120" w:after="60" w:line="276" w:lineRule="auto"/>
              <w:jc w:val="both"/>
              <w:rPr>
                <w:rFonts w:ascii="Times New Roman" w:eastAsia="Calibri" w:hAnsi="Times New Roman" w:cs="Times New Roman"/>
                <w:b/>
                <w:bCs/>
                <w:sz w:val="20"/>
                <w:szCs w:val="20"/>
                <w:lang w:eastAsia="pl-PL"/>
              </w:rPr>
            </w:pPr>
          </w:p>
        </w:tc>
        <w:tc>
          <w:tcPr>
            <w:tcW w:w="4300" w:type="dxa"/>
          </w:tcPr>
          <w:p w14:paraId="0B125329" w14:textId="77777777" w:rsidR="008A39ED" w:rsidRPr="008A39ED" w:rsidRDefault="008A39ED" w:rsidP="008A39ED">
            <w:pPr>
              <w:numPr>
                <w:ilvl w:val="0"/>
                <w:numId w:val="10"/>
              </w:numPr>
              <w:spacing w:before="120"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Badania przy kwalifikacji</w:t>
            </w:r>
          </w:p>
          <w:p w14:paraId="590D0CC8" w14:textId="77777777" w:rsidR="008A39ED" w:rsidRPr="008A39ED" w:rsidRDefault="008A39ED" w:rsidP="008A39ED">
            <w:pPr>
              <w:numPr>
                <w:ilvl w:val="3"/>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Badanie okulistyczne z oceną ostrości wzroku na tablicach Snellena lub ETDRS;</w:t>
            </w:r>
          </w:p>
          <w:p w14:paraId="64B03A08" w14:textId="77777777" w:rsidR="008A39ED" w:rsidRPr="008A39ED" w:rsidRDefault="008A39ED" w:rsidP="008A39ED">
            <w:pPr>
              <w:numPr>
                <w:ilvl w:val="3"/>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OCT (optyczna koherentna tomografia);</w:t>
            </w:r>
          </w:p>
          <w:p w14:paraId="57AF3BE4" w14:textId="77777777" w:rsidR="008A39ED" w:rsidRPr="008A39ED" w:rsidRDefault="008A39ED" w:rsidP="008A39ED">
            <w:pPr>
              <w:numPr>
                <w:ilvl w:val="3"/>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Fotografia dna oka;</w:t>
            </w:r>
          </w:p>
          <w:p w14:paraId="789984BF" w14:textId="77777777" w:rsidR="008A39ED" w:rsidRPr="008A39ED" w:rsidRDefault="008A39ED" w:rsidP="008A39ED">
            <w:pPr>
              <w:numPr>
                <w:ilvl w:val="3"/>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Angiografia fluoresceinowa lub angio-OCT (w przypadkach trudnych z diagnostycznego punktu widzenia angiografia indocyjaninowa) - w przypadku uczulenia na barwnik stosowany w angiografii lub w razie wystąpienia innych jednoznacznych przeciwwskazań do wykonania tego badania można od niego odstąpić. Fakt odstąpienia od badania wraz z uzasadnieniem należy opisać w dokumentacji medycznej pacjenta i w rejestrze SMPT do wglądu Zespołu Koordynacyjnego do Spraw Leczenia Chorób Siatkówki;</w:t>
            </w:r>
          </w:p>
          <w:p w14:paraId="34869B4F" w14:textId="77777777" w:rsidR="008A39ED" w:rsidRPr="008A39ED" w:rsidRDefault="008A39ED" w:rsidP="008A39ED">
            <w:pPr>
              <w:numPr>
                <w:ilvl w:val="3"/>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W przypadku ponownej kwalifikacji po wyłączeniu pacjenta z programu z powodu przedłużającego się okresu obserwacji kwalifikację pacjenta opierać należy na pkt. 1, 2 i 3. W przypadkach wątpliwych ekspert Zespołu Koordynacyjnego może poprosić o rozszerzenia badań do pełnego zakresu;</w:t>
            </w:r>
          </w:p>
          <w:p w14:paraId="2B00EC5C" w14:textId="77777777" w:rsidR="008A39ED" w:rsidRPr="008A39ED" w:rsidRDefault="008A39ED" w:rsidP="008A39ED">
            <w:pPr>
              <w:numPr>
                <w:ilvl w:val="3"/>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Konsultacja diabetologiczna lub lekarza chorób wewnętrznych z wynikiem badania HbA1c i oceną wyrównania ciśnienia tętniczego, funkcji nerek oraz obecność innych powikłań cukrzycy.</w:t>
            </w:r>
          </w:p>
          <w:p w14:paraId="5D7843E9" w14:textId="77777777" w:rsidR="008A39ED" w:rsidRPr="008A39ED" w:rsidRDefault="008A39ED" w:rsidP="008A39ED">
            <w:pPr>
              <w:spacing w:after="60" w:line="276" w:lineRule="auto"/>
              <w:ind w:left="454"/>
              <w:jc w:val="both"/>
              <w:rPr>
                <w:rFonts w:ascii="Times New Roman" w:eastAsia="Times New Roman" w:hAnsi="Times New Roman" w:cs="Times New Roman"/>
                <w:sz w:val="20"/>
                <w:szCs w:val="20"/>
                <w:lang w:eastAsia="pl-PL"/>
              </w:rPr>
            </w:pPr>
          </w:p>
          <w:p w14:paraId="69D22E37" w14:textId="77777777" w:rsidR="008A39ED" w:rsidRPr="008A39ED" w:rsidRDefault="008A39ED" w:rsidP="008A39ED">
            <w:pPr>
              <w:numPr>
                <w:ilvl w:val="0"/>
                <w:numId w:val="10"/>
              </w:numPr>
              <w:spacing w:after="60" w:line="276" w:lineRule="auto"/>
              <w:jc w:val="both"/>
              <w:rPr>
                <w:rFonts w:ascii="Times New Roman" w:eastAsia="Times New Roman" w:hAnsi="Times New Roman" w:cs="Times New Roman"/>
                <w:b/>
                <w:bCs/>
                <w:sz w:val="20"/>
                <w:szCs w:val="20"/>
                <w:lang w:eastAsia="pl-PL"/>
              </w:rPr>
            </w:pPr>
            <w:r w:rsidRPr="008A39ED">
              <w:rPr>
                <w:rFonts w:ascii="Times New Roman" w:eastAsia="Times New Roman" w:hAnsi="Times New Roman" w:cs="Times New Roman"/>
                <w:b/>
                <w:bCs/>
                <w:sz w:val="20"/>
                <w:szCs w:val="20"/>
                <w:lang w:eastAsia="pl-PL"/>
              </w:rPr>
              <w:t>Monitorowanie leczenia</w:t>
            </w:r>
          </w:p>
          <w:p w14:paraId="3F43D563" w14:textId="15134CC4" w:rsidR="008A39ED" w:rsidRPr="008A39ED" w:rsidRDefault="008A39ED" w:rsidP="008A39ED">
            <w:pPr>
              <w:numPr>
                <w:ilvl w:val="3"/>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Badania przeprowadzane przed każdym podaniem (w dniu podania leku lub w terminie do 7 dni przed jego podaniem) zgodnie z harmonogramem dawkowania oraz nie rzadziej niż raz na 2 miesiące (tj. nie rzadziej niż co 62 dni):</w:t>
            </w:r>
          </w:p>
          <w:p w14:paraId="285E15E7" w14:textId="77777777" w:rsidR="008A39ED" w:rsidRPr="008A39ED" w:rsidRDefault="008A39ED" w:rsidP="008A39ED">
            <w:pPr>
              <w:numPr>
                <w:ilvl w:val="4"/>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badanie okulistyczne z oceną ostrości wzroku na tablicach Snellena lub ETDRS,</w:t>
            </w:r>
          </w:p>
          <w:p w14:paraId="3C7AF7B7" w14:textId="77777777" w:rsidR="008A39ED" w:rsidRPr="008A39ED" w:rsidRDefault="008A39ED" w:rsidP="008A39ED">
            <w:pPr>
              <w:numPr>
                <w:ilvl w:val="4"/>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OCT (optyczna koherentna tomografia),</w:t>
            </w:r>
          </w:p>
          <w:p w14:paraId="547DF52E" w14:textId="77777777" w:rsidR="008A39ED" w:rsidRPr="008A39ED" w:rsidRDefault="008A39ED" w:rsidP="008A39ED">
            <w:pPr>
              <w:numPr>
                <w:ilvl w:val="4"/>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opcjonalnie - fotografia dna oka,</w:t>
            </w:r>
          </w:p>
          <w:p w14:paraId="7F33CD68" w14:textId="77777777" w:rsidR="008A39ED" w:rsidRPr="008A39ED" w:rsidRDefault="008A39ED" w:rsidP="008A39ED">
            <w:pPr>
              <w:numPr>
                <w:ilvl w:val="4"/>
                <w:numId w:val="10"/>
              </w:numPr>
              <w:spacing w:after="60" w:line="276" w:lineRule="auto"/>
              <w:jc w:val="both"/>
              <w:rPr>
                <w:rFonts w:ascii="Times New Roman" w:eastAsia="Times New Roman" w:hAnsi="Times New Roman" w:cs="Times New Roman"/>
                <w:sz w:val="20"/>
                <w:szCs w:val="20"/>
                <w:lang w:eastAsia="pl-PL"/>
              </w:rPr>
            </w:pPr>
            <w:r w:rsidRPr="008A39ED">
              <w:rPr>
                <w:rFonts w:ascii="Times New Roman" w:eastAsia="Times New Roman" w:hAnsi="Times New Roman" w:cs="Times New Roman"/>
                <w:sz w:val="20"/>
                <w:szCs w:val="20"/>
                <w:lang w:eastAsia="pl-PL"/>
              </w:rPr>
              <w:t xml:space="preserve">opcjonalnie dla wykazania zmian zaistniałych w przebiegu leczenia - angiografia fluoresceinowa lub angio-OCT (w przypadkach trudnych z diagnostycznego </w:t>
            </w:r>
            <w:r w:rsidRPr="008A39ED">
              <w:rPr>
                <w:rFonts w:ascii="Times New Roman" w:eastAsia="TimesNewRomanPSMT" w:hAnsi="Times New Roman" w:cs="Times New Roman"/>
                <w:color w:val="000000"/>
                <w:sz w:val="20"/>
                <w:szCs w:val="20"/>
                <w:lang w:eastAsia="pl-PL"/>
              </w:rPr>
              <w:t>punktu widzenia - angiografia indocyjaninowa);</w:t>
            </w:r>
          </w:p>
          <w:p w14:paraId="015C1DF9" w14:textId="77777777" w:rsidR="008A39ED" w:rsidRPr="008A39ED" w:rsidRDefault="008A39ED" w:rsidP="008A39ED">
            <w:pPr>
              <w:numPr>
                <w:ilvl w:val="3"/>
                <w:numId w:val="10"/>
              </w:numPr>
              <w:autoSpaceDE w:val="0"/>
              <w:autoSpaceDN w:val="0"/>
              <w:adjustRightInd w:val="0"/>
              <w:spacing w:after="60" w:line="276" w:lineRule="auto"/>
              <w:contextualSpacing/>
              <w:jc w:val="both"/>
              <w:rPr>
                <w:rFonts w:ascii="Times New Roman" w:eastAsia="TimesNewRomanPSMT" w:hAnsi="Times New Roman" w:cs="Times New Roman"/>
                <w:color w:val="000000"/>
                <w:sz w:val="20"/>
                <w:szCs w:val="20"/>
              </w:rPr>
            </w:pPr>
            <w:r w:rsidRPr="008A39ED">
              <w:rPr>
                <w:rFonts w:ascii="Times New Roman" w:eastAsia="TimesNewRomanPSMT" w:hAnsi="Times New Roman" w:cs="Times New Roman"/>
                <w:color w:val="000000"/>
                <w:sz w:val="20"/>
                <w:szCs w:val="20"/>
              </w:rPr>
              <w:t>Konsultacja diabetologiczna lub lekarza chorób wewnętrznych co 6 miesięcy od momentu kwalifikacji do programu.</w:t>
            </w:r>
          </w:p>
          <w:p w14:paraId="45F6916E" w14:textId="77777777" w:rsidR="008A39ED" w:rsidRPr="008A39ED" w:rsidRDefault="008A39ED" w:rsidP="008A39ED">
            <w:pPr>
              <w:autoSpaceDE w:val="0"/>
              <w:autoSpaceDN w:val="0"/>
              <w:adjustRightInd w:val="0"/>
              <w:spacing w:after="60" w:line="276" w:lineRule="auto"/>
              <w:jc w:val="both"/>
              <w:rPr>
                <w:rFonts w:ascii="Times New Roman" w:eastAsia="TimesNewRomanPSMT" w:hAnsi="Times New Roman" w:cs="Times New Roman"/>
                <w:color w:val="000000"/>
                <w:sz w:val="20"/>
                <w:szCs w:val="20"/>
              </w:rPr>
            </w:pPr>
          </w:p>
          <w:p w14:paraId="1F35F6BD" w14:textId="77777777" w:rsidR="008A39ED" w:rsidRPr="008A39ED" w:rsidRDefault="008A39ED" w:rsidP="008A39ED">
            <w:pPr>
              <w:numPr>
                <w:ilvl w:val="0"/>
                <w:numId w:val="10"/>
              </w:numPr>
              <w:autoSpaceDE w:val="0"/>
              <w:autoSpaceDN w:val="0"/>
              <w:adjustRightInd w:val="0"/>
              <w:spacing w:after="60" w:line="276" w:lineRule="auto"/>
              <w:contextualSpacing/>
              <w:jc w:val="both"/>
              <w:rPr>
                <w:rFonts w:ascii="Times New Roman" w:eastAsia="TimesNewRomanPSMT" w:hAnsi="Times New Roman" w:cs="Times New Roman"/>
                <w:b/>
                <w:bCs/>
                <w:color w:val="000000"/>
                <w:sz w:val="20"/>
                <w:szCs w:val="20"/>
              </w:rPr>
            </w:pPr>
            <w:r w:rsidRPr="008A39ED">
              <w:rPr>
                <w:rFonts w:ascii="Times New Roman" w:eastAsia="TimesNewRomanPSMT" w:hAnsi="Times New Roman" w:cs="Times New Roman"/>
                <w:b/>
                <w:bCs/>
                <w:color w:val="000000"/>
                <w:sz w:val="20"/>
                <w:szCs w:val="20"/>
              </w:rPr>
              <w:t>Monitorowanie programu</w:t>
            </w:r>
          </w:p>
          <w:p w14:paraId="7447846D" w14:textId="77777777" w:rsidR="008A39ED" w:rsidRPr="008A39ED" w:rsidRDefault="008A39ED" w:rsidP="008A39ED">
            <w:pPr>
              <w:numPr>
                <w:ilvl w:val="3"/>
                <w:numId w:val="10"/>
              </w:numPr>
              <w:autoSpaceDE w:val="0"/>
              <w:autoSpaceDN w:val="0"/>
              <w:adjustRightInd w:val="0"/>
              <w:spacing w:after="60" w:line="276" w:lineRule="auto"/>
              <w:contextualSpacing/>
              <w:jc w:val="both"/>
              <w:rPr>
                <w:rFonts w:ascii="Times New Roman" w:eastAsia="TimesNewRomanPSMT" w:hAnsi="Times New Roman" w:cs="Times New Roman"/>
                <w:color w:val="000000"/>
                <w:sz w:val="20"/>
                <w:szCs w:val="20"/>
              </w:rPr>
            </w:pPr>
            <w:r w:rsidRPr="008A39ED">
              <w:rPr>
                <w:rFonts w:ascii="Times New Roman" w:eastAsia="TimesNewRomanPSMT" w:hAnsi="Times New Roman" w:cs="Times New Roman"/>
                <w:color w:val="000000"/>
                <w:sz w:val="20"/>
                <w:szCs w:val="20"/>
              </w:rPr>
              <w:t>Przekazywanie do NFZ zakresu informacji sprawozdawczo – rozliczeniowych w formie elektronicznej, zgodnie z wymaganiami opublikowanymi przez Narodowy Fundusz Zdrowia;</w:t>
            </w:r>
          </w:p>
          <w:p w14:paraId="76B04CA5" w14:textId="77777777" w:rsidR="008A39ED" w:rsidRPr="008A39ED" w:rsidRDefault="008A39ED" w:rsidP="008A39ED">
            <w:pPr>
              <w:numPr>
                <w:ilvl w:val="3"/>
                <w:numId w:val="10"/>
              </w:numPr>
              <w:autoSpaceDE w:val="0"/>
              <w:autoSpaceDN w:val="0"/>
              <w:adjustRightInd w:val="0"/>
              <w:spacing w:after="60" w:line="276" w:lineRule="auto"/>
              <w:contextualSpacing/>
              <w:jc w:val="both"/>
              <w:rPr>
                <w:rFonts w:ascii="Times New Roman" w:eastAsia="TimesNewRomanPSMT" w:hAnsi="Times New Roman" w:cs="Times New Roman"/>
                <w:color w:val="000000"/>
                <w:sz w:val="20"/>
                <w:szCs w:val="20"/>
              </w:rPr>
            </w:pPr>
            <w:r w:rsidRPr="008A39ED">
              <w:rPr>
                <w:rFonts w:ascii="Times New Roman" w:eastAsia="TimesNewRomanPSMT" w:hAnsi="Times New Roman" w:cs="Times New Roman"/>
                <w:color w:val="000000"/>
                <w:sz w:val="20"/>
                <w:szCs w:val="20"/>
              </w:rPr>
              <w:t>Uzupełnianie danych zawartych w rejestrze SMPT, dostępnym za pomocą aplikacji internetowej udostępnionej przez OW NFZ, z częstotliwością zgodną z opisem programu oraz na zakończenie leczenia;</w:t>
            </w:r>
          </w:p>
          <w:p w14:paraId="64794A4E" w14:textId="77777777" w:rsidR="008A39ED" w:rsidRPr="008A39ED" w:rsidRDefault="008A39ED" w:rsidP="008A39ED">
            <w:pPr>
              <w:widowControl w:val="0"/>
              <w:spacing w:before="120" w:after="60" w:line="276" w:lineRule="auto"/>
              <w:jc w:val="both"/>
              <w:rPr>
                <w:rFonts w:ascii="Times New Roman" w:eastAsia="Calibri" w:hAnsi="Times New Roman" w:cs="Times New Roman"/>
                <w:b/>
                <w:bCs/>
                <w:sz w:val="20"/>
                <w:szCs w:val="20"/>
              </w:rPr>
            </w:pPr>
            <w:r w:rsidRPr="008A39ED">
              <w:rPr>
                <w:rFonts w:ascii="Times New Roman" w:eastAsia="TimesNewRomanPSMT" w:hAnsi="Times New Roman" w:cs="Times New Roman"/>
                <w:color w:val="000000"/>
                <w:sz w:val="20"/>
                <w:szCs w:val="20"/>
              </w:rPr>
              <w:t>Dane dotyczące monitorowania leczenia należy gromadzić w dokumentacji pacjenta i każdorazowo przedstawiać na żądanie kontrolerom.</w:t>
            </w:r>
          </w:p>
        </w:tc>
      </w:tr>
    </w:tbl>
    <w:p w14:paraId="3DCF74D8" w14:textId="77777777" w:rsidR="008A39ED" w:rsidRPr="008A39ED" w:rsidRDefault="008A39ED" w:rsidP="008A39ED">
      <w:pPr>
        <w:spacing w:after="240" w:line="240" w:lineRule="auto"/>
        <w:rPr>
          <w:rFonts w:ascii="Times New Roman" w:eastAsia="Times New Roman" w:hAnsi="Times New Roman" w:cs="Times New Roman"/>
          <w:b/>
          <w:sz w:val="28"/>
          <w:szCs w:val="28"/>
          <w:lang w:eastAsia="pl-PL"/>
        </w:rPr>
      </w:pPr>
    </w:p>
    <w:p w14:paraId="200E36D7" w14:textId="77777777" w:rsidR="008A39ED" w:rsidRDefault="008A39ED"/>
    <w:sectPr w:rsidR="008A39ED" w:rsidSect="00FF4D29">
      <w:pgSz w:w="16838" w:h="11906" w:orient="landscape"/>
      <w:pgMar w:top="1588" w:right="720" w:bottom="141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492"/>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1" w15:restartNumberingAfterBreak="0">
    <w:nsid w:val="0CA257A1"/>
    <w:multiLevelType w:val="multilevel"/>
    <w:tmpl w:val="9510270A"/>
    <w:lvl w:ilvl="0">
      <w:start w:val="4"/>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2" w15:restartNumberingAfterBreak="0">
    <w:nsid w:val="2B37145B"/>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3" w15:restartNumberingAfterBreak="0">
    <w:nsid w:val="37811690"/>
    <w:multiLevelType w:val="multilevel"/>
    <w:tmpl w:val="E312CF20"/>
    <w:lvl w:ilvl="0">
      <w:start w:val="1"/>
      <w:numFmt w:val="decimal"/>
      <w:suff w:val="space"/>
      <w:lvlText w:val="%1."/>
      <w:lvlJc w:val="left"/>
      <w:pPr>
        <w:ind w:left="227" w:hanging="227"/>
      </w:pPr>
      <w:rPr>
        <w:b/>
      </w:rPr>
    </w:lvl>
    <w:lvl w:ilvl="1">
      <w:start w:val="1"/>
      <w:numFmt w:val="decimal"/>
      <w:suff w:val="space"/>
      <w:lvlText w:val="%1.%2."/>
      <w:lvlJc w:val="left"/>
      <w:pPr>
        <w:ind w:left="227" w:hanging="227"/>
      </w:pPr>
      <w:rPr>
        <w:b/>
        <w:bCs/>
      </w:rPr>
    </w:lvl>
    <w:lvl w:ilvl="2">
      <w:start w:val="1"/>
      <w:numFmt w:val="decimal"/>
      <w:suff w:val="space"/>
      <w:lvlText w:val="%1.%2.%3."/>
      <w:lvlJc w:val="left"/>
      <w:pPr>
        <w:ind w:left="227" w:hanging="227"/>
      </w:pPr>
      <w:rPr>
        <w:b/>
        <w:bCs/>
        <w:i w:val="0"/>
      </w:rPr>
    </w:lvl>
    <w:lvl w:ilvl="3">
      <w:start w:val="1"/>
      <w:numFmt w:val="decimal"/>
      <w:suff w:val="space"/>
      <w:lvlText w:val="%4)"/>
      <w:lvlJc w:val="left"/>
      <w:pPr>
        <w:ind w:left="454" w:hanging="227"/>
      </w:pPr>
      <w:rPr>
        <w:b w:val="0"/>
        <w:bCs w:val="0"/>
      </w:rPr>
    </w:lvl>
    <w:lvl w:ilvl="4">
      <w:start w:val="1"/>
      <w:numFmt w:val="lowerLetter"/>
      <w:suff w:val="space"/>
      <w:lvlText w:val="%5)"/>
      <w:lvlJc w:val="left"/>
      <w:pPr>
        <w:ind w:left="680" w:hanging="226"/>
      </w:pPr>
      <w:rPr>
        <w:b w:val="0"/>
        <w:b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4" w15:restartNumberingAfterBreak="0">
    <w:nsid w:val="3AC845A3"/>
    <w:multiLevelType w:val="multilevel"/>
    <w:tmpl w:val="E312CF20"/>
    <w:lvl w:ilvl="0">
      <w:start w:val="1"/>
      <w:numFmt w:val="decimal"/>
      <w:suff w:val="space"/>
      <w:lvlText w:val="%1."/>
      <w:lvlJc w:val="left"/>
      <w:pPr>
        <w:ind w:left="227" w:hanging="227"/>
      </w:pPr>
      <w:rPr>
        <w:b/>
      </w:rPr>
    </w:lvl>
    <w:lvl w:ilvl="1">
      <w:start w:val="1"/>
      <w:numFmt w:val="decimal"/>
      <w:suff w:val="space"/>
      <w:lvlText w:val="%1.%2."/>
      <w:lvlJc w:val="left"/>
      <w:pPr>
        <w:ind w:left="227" w:hanging="227"/>
      </w:pPr>
      <w:rPr>
        <w:b/>
        <w:bCs/>
      </w:rPr>
    </w:lvl>
    <w:lvl w:ilvl="2">
      <w:start w:val="1"/>
      <w:numFmt w:val="decimal"/>
      <w:suff w:val="space"/>
      <w:lvlText w:val="%1.%2.%3."/>
      <w:lvlJc w:val="left"/>
      <w:pPr>
        <w:ind w:left="227" w:hanging="227"/>
      </w:pPr>
      <w:rPr>
        <w:b/>
        <w:bCs/>
        <w:i w:val="0"/>
      </w:rPr>
    </w:lvl>
    <w:lvl w:ilvl="3">
      <w:start w:val="1"/>
      <w:numFmt w:val="decimal"/>
      <w:suff w:val="space"/>
      <w:lvlText w:val="%4)"/>
      <w:lvlJc w:val="left"/>
      <w:pPr>
        <w:ind w:left="454" w:hanging="227"/>
      </w:pPr>
      <w:rPr>
        <w:b w:val="0"/>
        <w:bCs w:val="0"/>
      </w:rPr>
    </w:lvl>
    <w:lvl w:ilvl="4">
      <w:start w:val="1"/>
      <w:numFmt w:val="lowerLetter"/>
      <w:suff w:val="space"/>
      <w:lvlText w:val="%5)"/>
      <w:lvlJc w:val="left"/>
      <w:pPr>
        <w:ind w:left="680" w:hanging="226"/>
      </w:pPr>
      <w:rPr>
        <w:b w:val="0"/>
        <w:b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5" w15:restartNumberingAfterBreak="0">
    <w:nsid w:val="4A295A9F"/>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6" w15:restartNumberingAfterBreak="0">
    <w:nsid w:val="51B972E9"/>
    <w:multiLevelType w:val="multilevel"/>
    <w:tmpl w:val="E312CF20"/>
    <w:lvl w:ilvl="0">
      <w:start w:val="1"/>
      <w:numFmt w:val="decimal"/>
      <w:suff w:val="space"/>
      <w:lvlText w:val="%1."/>
      <w:lvlJc w:val="left"/>
      <w:pPr>
        <w:ind w:left="227" w:hanging="227"/>
      </w:pPr>
      <w:rPr>
        <w:b/>
      </w:rPr>
    </w:lvl>
    <w:lvl w:ilvl="1">
      <w:start w:val="1"/>
      <w:numFmt w:val="decimal"/>
      <w:suff w:val="space"/>
      <w:lvlText w:val="%1.%2."/>
      <w:lvlJc w:val="left"/>
      <w:pPr>
        <w:ind w:left="227" w:hanging="227"/>
      </w:pPr>
      <w:rPr>
        <w:b/>
        <w:bCs/>
      </w:rPr>
    </w:lvl>
    <w:lvl w:ilvl="2">
      <w:start w:val="1"/>
      <w:numFmt w:val="decimal"/>
      <w:suff w:val="space"/>
      <w:lvlText w:val="%1.%2.%3."/>
      <w:lvlJc w:val="left"/>
      <w:pPr>
        <w:ind w:left="227" w:hanging="227"/>
      </w:pPr>
      <w:rPr>
        <w:b/>
        <w:bCs/>
        <w:i w:val="0"/>
      </w:rPr>
    </w:lvl>
    <w:lvl w:ilvl="3">
      <w:start w:val="1"/>
      <w:numFmt w:val="decimal"/>
      <w:suff w:val="space"/>
      <w:lvlText w:val="%4)"/>
      <w:lvlJc w:val="left"/>
      <w:pPr>
        <w:ind w:left="454" w:hanging="227"/>
      </w:pPr>
      <w:rPr>
        <w:b w:val="0"/>
        <w:bCs w:val="0"/>
      </w:rPr>
    </w:lvl>
    <w:lvl w:ilvl="4">
      <w:start w:val="1"/>
      <w:numFmt w:val="lowerLetter"/>
      <w:suff w:val="space"/>
      <w:lvlText w:val="%5)"/>
      <w:lvlJc w:val="left"/>
      <w:pPr>
        <w:ind w:left="680" w:hanging="226"/>
      </w:pPr>
      <w:rPr>
        <w:b w:val="0"/>
        <w:bCs w:val="0"/>
      </w:rPr>
    </w:lvl>
    <w:lvl w:ilvl="5">
      <w:start w:val="1"/>
      <w:numFmt w:val="bullet"/>
      <w:lvlText w:val=""/>
      <w:lvlJc w:val="left"/>
      <w:pPr>
        <w:ind w:left="907" w:hanging="227"/>
      </w:pPr>
      <w:rPr>
        <w:rFonts w:ascii="Symbol" w:hAnsi="Symbol" w:hint="default"/>
      </w:rPr>
    </w:lvl>
    <w:lvl w:ilvl="6">
      <w:start w:val="1"/>
      <w:numFmt w:val="lowerRoman"/>
      <w:lvlText w:val="%7."/>
      <w:lvlJc w:val="left"/>
      <w:pPr>
        <w:ind w:left="1134" w:hanging="227"/>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7" w15:restartNumberingAfterBreak="0">
    <w:nsid w:val="55AE3505"/>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abstractNum w:abstractNumId="8" w15:restartNumberingAfterBreak="0">
    <w:nsid w:val="701A5CB6"/>
    <w:multiLevelType w:val="hybridMultilevel"/>
    <w:tmpl w:val="8AC422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B24A52"/>
    <w:multiLevelType w:val="multilevel"/>
    <w:tmpl w:val="9A3C5534"/>
    <w:lvl w:ilvl="0">
      <w:start w:val="1"/>
      <w:numFmt w:val="decimal"/>
      <w:suff w:val="space"/>
      <w:lvlText w:val="%1."/>
      <w:lvlJc w:val="left"/>
      <w:pPr>
        <w:ind w:left="227" w:hanging="227"/>
      </w:pPr>
      <w:rPr>
        <w:b/>
      </w:rPr>
    </w:lvl>
    <w:lvl w:ilvl="1">
      <w:start w:val="1"/>
      <w:numFmt w:val="decimal"/>
      <w:suff w:val="space"/>
      <w:lvlText w:val="%1.%2."/>
      <w:lvlJc w:val="left"/>
      <w:pPr>
        <w:ind w:left="227" w:hanging="227"/>
      </w:pPr>
    </w:lvl>
    <w:lvl w:ilvl="2">
      <w:start w:val="1"/>
      <w:numFmt w:val="decimal"/>
      <w:suff w:val="space"/>
      <w:lvlText w:val="%3)"/>
      <w:lvlJc w:val="left"/>
      <w:pPr>
        <w:ind w:left="454" w:hanging="227"/>
      </w:pPr>
      <w:rPr>
        <w:rFonts w:ascii="Times New Roman" w:hAnsi="Times New Roman" w:cs="Times New Roman" w:hint="default"/>
        <w:b w:val="0"/>
        <w:bCs/>
        <w:sz w:val="20"/>
        <w:szCs w:val="20"/>
      </w:rPr>
    </w:lvl>
    <w:lvl w:ilvl="3">
      <w:start w:val="1"/>
      <w:numFmt w:val="lowerLetter"/>
      <w:suff w:val="space"/>
      <w:lvlText w:val="%4)"/>
      <w:lvlJc w:val="left"/>
      <w:pPr>
        <w:ind w:left="680" w:hanging="226"/>
      </w:pPr>
      <w:rPr>
        <w:rFonts w:ascii="Times New Roman" w:hAnsi="Times New Roman" w:cs="Times New Roman" w:hint="default"/>
        <w:sz w:val="20"/>
        <w:szCs w:val="20"/>
      </w:rPr>
    </w:lvl>
    <w:lvl w:ilvl="4">
      <w:start w:val="1"/>
      <w:numFmt w:val="bullet"/>
      <w:suff w:val="space"/>
      <w:lvlText w:val=""/>
      <w:lvlJc w:val="left"/>
      <w:pPr>
        <w:ind w:left="907" w:hanging="227"/>
      </w:pPr>
      <w:rPr>
        <w:rFonts w:ascii="Symbol" w:hAnsi="Symbol" w:hint="default"/>
      </w:rPr>
    </w:lvl>
    <w:lvl w:ilvl="5">
      <w:start w:val="1"/>
      <w:numFmt w:val="lowerRoman"/>
      <w:lvlText w:val="%6."/>
      <w:lvlJc w:val="left"/>
      <w:pPr>
        <w:ind w:left="1134" w:hanging="227"/>
      </w:pPr>
    </w:lvl>
    <w:lvl w:ilvl="6">
      <w:start w:val="1"/>
      <w:numFmt w:val="decimal"/>
      <w:lvlText w:val="%1.%2.%3.%4.%5.%6.%7."/>
      <w:lvlJc w:val="left"/>
      <w:pPr>
        <w:ind w:left="3446" w:hanging="1080"/>
      </w:pPr>
    </w:lvl>
    <w:lvl w:ilvl="7">
      <w:start w:val="1"/>
      <w:numFmt w:val="decimal"/>
      <w:lvlText w:val="%1.%2.%3.%4.%5.%6.%7.%8."/>
      <w:lvlJc w:val="left"/>
      <w:pPr>
        <w:ind w:left="3950" w:hanging="1224"/>
      </w:pPr>
    </w:lvl>
    <w:lvl w:ilvl="8">
      <w:start w:val="1"/>
      <w:numFmt w:val="decimal"/>
      <w:lvlText w:val="%1.%2.%3.%4.%5.%6.%7.%8.%9."/>
      <w:lvlJc w:val="left"/>
      <w:pPr>
        <w:ind w:left="4526" w:hanging="1440"/>
      </w:pPr>
    </w:lvl>
  </w:abstractNum>
  <w:num w:numId="1" w16cid:durableId="73173820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16cid:durableId="190198593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16cid:durableId="159976185">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16cid:durableId="1697734743">
    <w:abstractNumId w:val="1"/>
    <w:lvlOverride w:ilvl="0">
      <w:startOverride w:val="4"/>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16cid:durableId="1003122584">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186766902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1632125071">
    <w:abstractNumId w:val="8"/>
  </w:num>
  <w:num w:numId="8" w16cid:durableId="19280784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16cid:durableId="8227397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16cid:durableId="1002129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ED"/>
    <w:rsid w:val="00007761"/>
    <w:rsid w:val="00044AFD"/>
    <w:rsid w:val="00163D8F"/>
    <w:rsid w:val="00194B60"/>
    <w:rsid w:val="002463F9"/>
    <w:rsid w:val="002D2163"/>
    <w:rsid w:val="002F4F1F"/>
    <w:rsid w:val="0030247F"/>
    <w:rsid w:val="00314977"/>
    <w:rsid w:val="003F05A4"/>
    <w:rsid w:val="00415902"/>
    <w:rsid w:val="005358A1"/>
    <w:rsid w:val="00595AB8"/>
    <w:rsid w:val="0063461C"/>
    <w:rsid w:val="008A39ED"/>
    <w:rsid w:val="00975098"/>
    <w:rsid w:val="009753CF"/>
    <w:rsid w:val="009B6890"/>
    <w:rsid w:val="00A95FE2"/>
    <w:rsid w:val="00AC2414"/>
    <w:rsid w:val="00AF5441"/>
    <w:rsid w:val="00B74BA1"/>
    <w:rsid w:val="00BF7853"/>
    <w:rsid w:val="00C720D5"/>
    <w:rsid w:val="00CC2AEE"/>
    <w:rsid w:val="00CE1890"/>
    <w:rsid w:val="00D432EC"/>
    <w:rsid w:val="00D60786"/>
    <w:rsid w:val="00D8068A"/>
    <w:rsid w:val="00D81281"/>
    <w:rsid w:val="00EA1F9C"/>
    <w:rsid w:val="00F470CD"/>
    <w:rsid w:val="00F9177C"/>
    <w:rsid w:val="00FC4BC2"/>
    <w:rsid w:val="00FF4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F019"/>
  <w15:chartTrackingRefBased/>
  <w15:docId w15:val="{AE97BCC4-F2DD-4AB4-9BA6-7C7EF474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link w:val="NagwekZnak"/>
    <w:unhideWhenUsed/>
    <w:rsid w:val="008A39ED"/>
    <w:pPr>
      <w:tabs>
        <w:tab w:val="center" w:pos="4536"/>
        <w:tab w:val="right" w:pos="9072"/>
      </w:tabs>
      <w:spacing w:after="0" w:line="240" w:lineRule="auto"/>
    </w:pPr>
  </w:style>
  <w:style w:type="character" w:customStyle="1" w:styleId="NagwekZnak">
    <w:name w:val="Nagłówek Znak"/>
    <w:basedOn w:val="Domylnaczcionkaakapitu"/>
    <w:link w:val="Nagwek1"/>
    <w:qFormat/>
    <w:rsid w:val="008A39ED"/>
  </w:style>
  <w:style w:type="character" w:styleId="Odwoaniedokomentarza">
    <w:name w:val="annotation reference"/>
    <w:basedOn w:val="Domylnaczcionkaakapitu"/>
    <w:uiPriority w:val="99"/>
    <w:semiHidden/>
    <w:unhideWhenUsed/>
    <w:rsid w:val="00AC2414"/>
    <w:rPr>
      <w:sz w:val="16"/>
      <w:szCs w:val="16"/>
    </w:rPr>
  </w:style>
  <w:style w:type="paragraph" w:styleId="Tekstkomentarza">
    <w:name w:val="annotation text"/>
    <w:basedOn w:val="Normalny"/>
    <w:link w:val="TekstkomentarzaZnak"/>
    <w:uiPriority w:val="99"/>
    <w:semiHidden/>
    <w:unhideWhenUsed/>
    <w:rsid w:val="00AC24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414"/>
    <w:rPr>
      <w:sz w:val="20"/>
      <w:szCs w:val="20"/>
    </w:rPr>
  </w:style>
  <w:style w:type="paragraph" w:styleId="Tematkomentarza">
    <w:name w:val="annotation subject"/>
    <w:basedOn w:val="Tekstkomentarza"/>
    <w:next w:val="Tekstkomentarza"/>
    <w:link w:val="TematkomentarzaZnak"/>
    <w:uiPriority w:val="99"/>
    <w:semiHidden/>
    <w:unhideWhenUsed/>
    <w:rsid w:val="00AC2414"/>
    <w:rPr>
      <w:b/>
      <w:bCs/>
    </w:rPr>
  </w:style>
  <w:style w:type="character" w:customStyle="1" w:styleId="TematkomentarzaZnak">
    <w:name w:val="Temat komentarza Znak"/>
    <w:basedOn w:val="TekstkomentarzaZnak"/>
    <w:link w:val="Tematkomentarza"/>
    <w:uiPriority w:val="99"/>
    <w:semiHidden/>
    <w:rsid w:val="00AC2414"/>
    <w:rPr>
      <w:b/>
      <w:bCs/>
      <w:sz w:val="20"/>
      <w:szCs w:val="20"/>
    </w:rPr>
  </w:style>
  <w:style w:type="paragraph" w:customStyle="1" w:styleId="Default">
    <w:name w:val="Default"/>
    <w:rsid w:val="00A95FE2"/>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F9177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F9177C"/>
    <w:rPr>
      <w:rFonts w:ascii="Times New Roman" w:hAnsi="Times New Roman" w:cs="Times New Roman"/>
      <w:sz w:val="18"/>
      <w:szCs w:val="18"/>
    </w:rPr>
  </w:style>
  <w:style w:type="paragraph" w:styleId="Poprawka">
    <w:name w:val="Revision"/>
    <w:hidden/>
    <w:uiPriority w:val="99"/>
    <w:semiHidden/>
    <w:rsid w:val="00C72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54A15-4AED-2A49-921C-945CB8E4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5788</Words>
  <Characters>34732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Klimkowska Katarzyna</dc:creator>
  <cp:keywords/>
  <dc:description/>
  <cp:lastModifiedBy>Królak-Buzakowska Joanna</cp:lastModifiedBy>
  <cp:revision>3</cp:revision>
  <dcterms:created xsi:type="dcterms:W3CDTF">2022-06-13T08:27:00Z</dcterms:created>
  <dcterms:modified xsi:type="dcterms:W3CDTF">2022-06-21T07:11:00Z</dcterms:modified>
</cp:coreProperties>
</file>