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819" w:rsidRDefault="00197819" w:rsidP="00197819">
      <w:pPr>
        <w:pStyle w:val="Tekstpodstawowy"/>
        <w:spacing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Fabryka Obrabiarek do Drewna Sp. z o.o. </w:t>
      </w:r>
    </w:p>
    <w:p w:rsidR="00197819" w:rsidRDefault="00197819" w:rsidP="00197819">
      <w:pPr>
        <w:spacing w:line="276" w:lineRule="auto"/>
        <w:jc w:val="center"/>
        <w:rPr>
          <w:b/>
        </w:rPr>
      </w:pPr>
      <w:r>
        <w:rPr>
          <w:b/>
        </w:rPr>
        <w:t>ogłasza PRZETARG nieograniczony</w:t>
      </w:r>
    </w:p>
    <w:p w:rsidR="00197819" w:rsidRDefault="00197819" w:rsidP="00197819">
      <w:pPr>
        <w:spacing w:line="276" w:lineRule="auto"/>
        <w:jc w:val="center"/>
        <w:rPr>
          <w:b/>
        </w:rPr>
      </w:pPr>
      <w:r>
        <w:rPr>
          <w:b/>
        </w:rPr>
        <w:t xml:space="preserve">na sprzedaż prawa wieczystego użytkowania nieruchomości </w:t>
      </w:r>
    </w:p>
    <w:p w:rsidR="00197819" w:rsidRDefault="00197819" w:rsidP="00197819">
      <w:pPr>
        <w:spacing w:line="276" w:lineRule="auto"/>
        <w:jc w:val="center"/>
        <w:rPr>
          <w:b/>
        </w:rPr>
      </w:pPr>
      <w:r>
        <w:rPr>
          <w:b/>
        </w:rPr>
        <w:t>położonej w Bydgoszczy przy ul. Śluzowej</w:t>
      </w:r>
    </w:p>
    <w:p w:rsidR="00197819" w:rsidRDefault="00197819" w:rsidP="00197819">
      <w:pPr>
        <w:rPr>
          <w:b/>
        </w:rPr>
      </w:pPr>
    </w:p>
    <w:p w:rsidR="00197819" w:rsidRDefault="00197819" w:rsidP="00197819"/>
    <w:p w:rsidR="00197819" w:rsidRDefault="00197819" w:rsidP="00197819">
      <w:pPr>
        <w:pStyle w:val="Akapitzlist"/>
        <w:numPr>
          <w:ilvl w:val="0"/>
          <w:numId w:val="1"/>
        </w:numPr>
        <w:spacing w:after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Organizatorem przetargu i prowadzącym przetarg jest Fabryka Obrabiarek do Drewna Sp. z o.o. z siedzibą w Trzeciewcu (</w:t>
      </w:r>
      <w:r>
        <w:rPr>
          <w:b/>
          <w:sz w:val="22"/>
          <w:szCs w:val="22"/>
        </w:rPr>
        <w:t>Organizator</w:t>
      </w:r>
      <w:r>
        <w:rPr>
          <w:sz w:val="22"/>
          <w:szCs w:val="22"/>
        </w:rPr>
        <w:t xml:space="preserve">) – jednoosobowa spółka Skarbu Państwa, wpisana do rejestru przedsiębiorców prowadzonego przez Sąd Rejonowy w Bydgoszczy pod numerem KRS 80451.  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Przedmiotem przetargu jest sprzedaż prawa użytkowania wieczystego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niezabudowanej nieruchomości gruntowej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położonej w Bydgoszczy przy ul. Śluzowej, stanowiącej działkę ewidencyjną oznaczoną nr 35 (obręb ewidencyjny 0058), o powierzchni 0,2774 ha, dla której Sąd Rejonowy w Bydgoszczy prowadzi księgę wieczystą KW BY1B/00004674/0. Prawo użytkowania wieczystego powyższej nieruchomości zwane jest dalej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Nieruchomością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 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Przetarg odbędzie się w formie pisemnej. Oferenci zobowiązani są złożyć Organizatorowi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pisemne oferty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terminie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do dnia 12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 w:rsidRPr="002F481E">
        <w:rPr>
          <w:rFonts w:eastAsia="SimSun"/>
          <w:b/>
          <w:kern w:val="2"/>
          <w:sz w:val="22"/>
          <w:szCs w:val="22"/>
          <w:lang w:eastAsia="zh-CN" w:bidi="hi-IN"/>
        </w:rPr>
        <w:t>lipca 2023 r. do godz. 15:00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Dla zachowania tego terminu decyduje chwila faktycznego złożenia (doręczenia), a nie chwila nadania przesyłki. Ofertę należy złożyć w zamkniętej kopercie, opatrzonej opisem w brzmieniu: </w:t>
      </w:r>
      <w:r>
        <w:rPr>
          <w:rFonts w:eastAsia="SimSun"/>
          <w:i/>
          <w:iCs/>
          <w:kern w:val="2"/>
          <w:sz w:val="22"/>
          <w:szCs w:val="22"/>
          <w:lang w:eastAsia="zh-CN" w:bidi="hi-IN"/>
        </w:rPr>
        <w:t>„oferta w przetargu – Śluzowa”,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osobiście lub korespondencyjnie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w biurze / na adres pełnomocnika Organizatora, to jest: </w:t>
      </w:r>
    </w:p>
    <w:p w:rsidR="00197819" w:rsidRDefault="00197819" w:rsidP="00197819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TEBI Kancelaria Radców Prawnych i Adwokatów – Bojarski, Marzec i Partnerzy, </w:t>
      </w:r>
    </w:p>
    <w:p w:rsidR="00197819" w:rsidRDefault="00197819" w:rsidP="00197819">
      <w:pPr>
        <w:pStyle w:val="Akapitzlist"/>
        <w:suppressAutoHyphens/>
        <w:spacing w:after="120"/>
        <w:ind w:left="284"/>
        <w:jc w:val="both"/>
        <w:rPr>
          <w:rFonts w:eastAsia="SimSun"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ul. Poznańska 31, 85-129 Bydgoszcz. 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kern w:val="2"/>
          <w:sz w:val="22"/>
          <w:szCs w:val="22"/>
          <w:lang w:eastAsia="zh-CN" w:bidi="hi-IN"/>
        </w:rPr>
        <w:t xml:space="preserve">Otwarcie ofert odbędzie się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w dniu 13 lipca 2023 r. o godzinie 12</w:t>
      </w:r>
      <w:r>
        <w:rPr>
          <w:rFonts w:eastAsia="SimSun"/>
          <w:b/>
          <w:bCs/>
          <w:kern w:val="2"/>
          <w:sz w:val="22"/>
          <w:szCs w:val="22"/>
          <w:vertAlign w:val="superscript"/>
          <w:lang w:eastAsia="zh-CN" w:bidi="hi-IN"/>
        </w:rPr>
        <w:t>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w siedzibie pełnomocnika Organizatora przetargu wskazanej w pkt. 3 powyżej. Oferenci nie mają obowiązku uczestniczyć w otwarciu ofert. 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Warunkiem przystąpienia do przetargu jest wpłacenie wadium w wysokości </w:t>
      </w:r>
      <w:r w:rsidRPr="00197819">
        <w:rPr>
          <w:rFonts w:eastAsia="SimSun"/>
          <w:b/>
          <w:kern w:val="2"/>
          <w:sz w:val="22"/>
          <w:szCs w:val="22"/>
          <w:lang w:eastAsia="zh-CN" w:bidi="hi-IN"/>
        </w:rPr>
        <w:t>29 215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Wadium należy wpłacić na rachunek Organizatora nr 33105011391000009031063937 (ING Bank Śląski S.A.) </w:t>
      </w:r>
      <w:r w:rsidRPr="002F481E">
        <w:rPr>
          <w:rFonts w:eastAsia="SimSun"/>
          <w:b/>
          <w:kern w:val="2"/>
          <w:sz w:val="22"/>
          <w:szCs w:val="22"/>
          <w:lang w:eastAsia="zh-CN" w:bidi="hi-IN"/>
        </w:rPr>
        <w:t>do dnia 12 lipca 2023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r.  przy czym za datę wpłaty wadium uważać się będzie datę wpływu środków pieniężnych na ww. rachunek. W tytule wpłaty należy podać: „</w:t>
      </w:r>
      <w:r>
        <w:rPr>
          <w:rFonts w:eastAsia="SimSun"/>
          <w:i/>
          <w:kern w:val="2"/>
          <w:sz w:val="22"/>
          <w:szCs w:val="22"/>
          <w:lang w:eastAsia="zh-CN" w:bidi="hi-IN"/>
        </w:rPr>
        <w:t>Wadium w przetargu – Śluzowa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”. </w:t>
      </w:r>
    </w:p>
    <w:p w:rsidR="00197819" w:rsidRDefault="00197819" w:rsidP="00197819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Pisemna oferta zakupu powinna zawierać: 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imię i nazwisko lub firmę, adres lub siedzibę Oferenta,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dowód wniesienia wadium;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datę sporządzenia oferty;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Nieruchomości, której dotyczy oferta;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wskazanie oferowanej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ceny netto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za Nieruchomość;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oznaczenie terminu związania ofertą (nie krótszego niż 30 dni licząc od dnia otwarcia ofert);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oświadczenie oferenta, że zapoznał się z warunkami przetargu </w:t>
      </w:r>
      <w:bookmarkStart w:id="0" w:name="_GoBack"/>
      <w:bookmarkEnd w:id="0"/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– </w:t>
      </w:r>
      <w:r>
        <w:rPr>
          <w:rFonts w:eastAsia="SimSun"/>
          <w:b/>
          <w:bCs/>
          <w:color w:val="000000"/>
          <w:kern w:val="2"/>
          <w:sz w:val="22"/>
          <w:szCs w:val="22"/>
          <w:lang w:eastAsia="zh-CN" w:bidi="hi-IN"/>
        </w:rPr>
        <w:t>według wzoru stanowiącego załącznik nr 1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 do warunków przetargu;</w:t>
      </w:r>
    </w:p>
    <w:p w:rsidR="00197819" w:rsidRDefault="00197819" w:rsidP="00197819">
      <w:pPr>
        <w:pStyle w:val="Akapitzlist"/>
        <w:numPr>
          <w:ilvl w:val="0"/>
          <w:numId w:val="2"/>
        </w:numPr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oświadczenie o wyrażeniu zgody na przetwarzanie danych osobowych w związku i na potrzeby przetargu oraz sprzedaży Nieruchomości;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>podpis oferenta lub osoby upoważnionej do składania w imieniu Oferenta oświadczeń woli;</w:t>
      </w:r>
    </w:p>
    <w:p w:rsidR="00197819" w:rsidRDefault="00197819" w:rsidP="00197819">
      <w:pPr>
        <w:pStyle w:val="Akapitzlist"/>
        <w:numPr>
          <w:ilvl w:val="0"/>
          <w:numId w:val="2"/>
        </w:numPr>
        <w:spacing w:after="120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odpis z właściwego rejestru lub ewidencji oraz inne dokumenty potwierdzające umocowanie osoby podpisującej ofertę. </w:t>
      </w:r>
    </w:p>
    <w:p w:rsidR="00197819" w:rsidRDefault="00197819" w:rsidP="00197819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Złożone oferty wiążą Oferentów (nie mogą być odwołane) przez okres nie krótszy niż 30 dni, licząc od dnia otwarcia ofert. </w:t>
      </w:r>
    </w:p>
    <w:p w:rsidR="00197819" w:rsidRDefault="00197819" w:rsidP="00197819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razie ustalenia, że kilku oferentów zaoferowało tę samą, najwyższą cenę, zostaną oni poinformowani o terminie i miejscu kontynuacji przetargu z ich udziałem w formie licytacji ustnej. W przypadku obecności przy otwarciu ofert wszystkich tych oferentów przetarg może być kontynuowany w formie licytacji z udziałem oferentów, którzy zaoferowali najwyższą cenę, niezwłocznie po otwarciu ofert. </w:t>
      </w:r>
    </w:p>
    <w:p w:rsidR="00197819" w:rsidRDefault="00197819" w:rsidP="00197819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W ciągu 30 dni od dnia otwarcia ofert i wyboru najlepszej z nich Organizator zawiadamia zwycięzcę przetargu o terminie i miejscu zawarcia umowy sprzedaży Nieruchomości (w wymaganej formie aktu notarialnego) z zachowaniem 7 dniowego wyprzedzenia. Zważywszy na przysługujące gminie </w:t>
      </w: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lastRenderedPageBreak/>
        <w:t xml:space="preserve">prawo pierwokupu, przeniesienie własności Nieruchomości nastąpi odrębną czynnością, dokonaną po i pod warunkiem nieskorzystania z prawa pierwokupu przez Miasto Bydgoszcz. </w:t>
      </w:r>
    </w:p>
    <w:p w:rsidR="00197819" w:rsidRDefault="00197819" w:rsidP="00197819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Cena wywoławcza (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minimalna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) Nieruchomości wynosi </w:t>
      </w:r>
      <w:r w:rsidRPr="00197819">
        <w:rPr>
          <w:rFonts w:eastAsia="SimSun"/>
          <w:b/>
          <w:kern w:val="2"/>
          <w:sz w:val="22"/>
          <w:szCs w:val="22"/>
          <w:lang w:eastAsia="zh-CN" w:bidi="hi-IN"/>
        </w:rPr>
        <w:t>584 300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,00 zł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netto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, to jest nie licząc podatku od towarów i usług (VAT). </w:t>
      </w:r>
    </w:p>
    <w:p w:rsidR="00197819" w:rsidRDefault="00197819" w:rsidP="00197819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Wedle aktualnego stanu rzeczy sprzedaż Nieruchomości podlega </w:t>
      </w:r>
      <w:r>
        <w:rPr>
          <w:rFonts w:eastAsia="SimSun"/>
          <w:b/>
          <w:bCs/>
          <w:kern w:val="2"/>
          <w:sz w:val="22"/>
          <w:szCs w:val="22"/>
          <w:lang w:eastAsia="zh-CN" w:bidi="hi-IN"/>
        </w:rPr>
        <w:t>zwolnieniu spod opodatkowania podatkiem VAT</w:t>
      </w:r>
      <w:r>
        <w:rPr>
          <w:rFonts w:eastAsia="SimSun"/>
          <w:kern w:val="2"/>
          <w:sz w:val="22"/>
          <w:szCs w:val="22"/>
          <w:lang w:eastAsia="zh-CN" w:bidi="hi-IN"/>
        </w:rPr>
        <w:t xml:space="preserve">. W przypadku, gdyby na dzień dokonywania sprzedaży (dostawy) Nieruchomości będzie ona w całości lub części objęta opodatkowaniem podatkiem VAT, cena zostanie odpowiednio powiększona o podatek od towarów i usług w obowiązującej wysokości. 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Zwycięzca przetargu zobowiązany jest do zapłaty całości ceny najpóźniej do dnia poprzedzającego dzień zawarcia w formie aktu notarialnego umowy przenoszącej prawa do Nieruchomości. </w:t>
      </w:r>
    </w:p>
    <w:p w:rsidR="00197819" w:rsidRDefault="00197819" w:rsidP="00197819">
      <w:pPr>
        <w:pStyle w:val="Akapitzlist"/>
        <w:numPr>
          <w:ilvl w:val="0"/>
          <w:numId w:val="1"/>
        </w:numPr>
        <w:spacing w:after="120"/>
        <w:ind w:left="284"/>
        <w:jc w:val="both"/>
        <w:rPr>
          <w:rFonts w:eastAsia="SimSun"/>
          <w:color w:val="000000"/>
          <w:kern w:val="2"/>
          <w:sz w:val="22"/>
          <w:szCs w:val="22"/>
          <w:lang w:eastAsia="zh-CN" w:bidi="hi-IN"/>
        </w:rPr>
      </w:pPr>
      <w:r>
        <w:rPr>
          <w:rFonts w:eastAsia="SimSun"/>
          <w:color w:val="000000"/>
          <w:kern w:val="2"/>
          <w:sz w:val="22"/>
          <w:szCs w:val="22"/>
          <w:lang w:eastAsia="zh-CN" w:bidi="hi-IN"/>
        </w:rPr>
        <w:t xml:space="preserve">Nieruchomość nie jest objęta obowiązującym miejscowym planem zagospodarowania przestrzennego. W stosunku do Nieruchomości nie wydano także decyzji o warunkach zabudowy. Sąsiedztwo Nieruchomości stanowi zabudowa mieszkaniowa oraz linia kolejowa. 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Oferenci zobowiązani są do zapoznania się ze stanem prawnym oraz faktycznym nieruchomości. Dokonanie oględzin Nieruchomości oraz uzyskanie szczegółowych informacji o Nieruchomości, w tym poprzez wgląd do operatu szacunkowego, może nastąpić w terminie uzgodnionym z Organizatorem przetargu, najpóźniej 3 dni przez terminem otwarcia ofert. W tej sprawie, jak i innych kwestiach związanych z przetargiem i Nieruchomością, zainteresowani mogą także kontaktować się z pracownikami Organizatora:</w:t>
      </w:r>
    </w:p>
    <w:p w:rsidR="00197819" w:rsidRDefault="00197819" w:rsidP="00197819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pocztą elektroniczną na adres: fod@fod.com.pl</w:t>
      </w:r>
    </w:p>
    <w:p w:rsidR="00197819" w:rsidRDefault="00197819" w:rsidP="00197819">
      <w:pPr>
        <w:suppressAutoHyphens/>
        <w:ind w:firstLine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>- telefonicznie pod nr 052 325 87 00 lub 519 866 649.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W przetargu jako oferenci nie mogą uczestniczyć członkowie Zarządu Organizatora ani jego organu nadzoru, osoby, którym powierzono wykonanie czynności związanych z przeprowadzeniem przetargu, małżonkowie, dzieci i rodzeństwo ww. osób, ani osoby, które pozostają z prowadzącym przetarg w takim stosunku prawnym lub faktycznym, że może to budzić uzasadnione wątpliwości co do bezstronności prowadzącego przetarg.   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Organizator zastrzega sobie 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>prawo swobodnego odwołania, unieważnienia lub zamknięcia przetargu bez podania przyczyny.</w:t>
      </w:r>
    </w:p>
    <w:p w:rsidR="00197819" w:rsidRDefault="00197819" w:rsidP="00197819">
      <w:pPr>
        <w:pStyle w:val="Akapitzlist"/>
        <w:numPr>
          <w:ilvl w:val="0"/>
          <w:numId w:val="1"/>
        </w:numPr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Bookman Old Style"/>
          <w:bCs/>
          <w:kern w:val="2"/>
          <w:sz w:val="22"/>
          <w:szCs w:val="22"/>
          <w:lang w:eastAsia="zh-CN" w:bidi="hi-IN"/>
        </w:rPr>
        <w:t>Dalsze, szczegółowe warunki przetargu określają „</w:t>
      </w:r>
      <w:r>
        <w:rPr>
          <w:rFonts w:eastAsia="Bookman Old Style"/>
          <w:b/>
          <w:bCs/>
          <w:i/>
          <w:kern w:val="2"/>
          <w:sz w:val="22"/>
          <w:szCs w:val="22"/>
          <w:lang w:eastAsia="zh-CN" w:bidi="hi-IN"/>
        </w:rPr>
        <w:t>Warunki przetargu ustnego nieograniczonego na sprzedaż nieruchomości przy ul. Śluzowej w Bydgoszczy</w:t>
      </w:r>
      <w:r>
        <w:rPr>
          <w:rFonts w:eastAsia="Bookman Old Style"/>
          <w:bCs/>
          <w:kern w:val="2"/>
          <w:sz w:val="22"/>
          <w:szCs w:val="22"/>
          <w:lang w:eastAsia="zh-CN" w:bidi="hi-IN"/>
        </w:rPr>
        <w:t xml:space="preserve">” publikowane na stronie internetowej Organizatora. </w:t>
      </w:r>
    </w:p>
    <w:p w:rsidR="00197819" w:rsidRDefault="00197819" w:rsidP="00197819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197819" w:rsidRDefault="00197819" w:rsidP="00197819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</w:p>
    <w:p w:rsidR="00197819" w:rsidRDefault="00197819" w:rsidP="00197819">
      <w:pPr>
        <w:pStyle w:val="Akapitzlist"/>
        <w:suppressAutoHyphens/>
        <w:spacing w:after="120"/>
        <w:ind w:left="284"/>
        <w:jc w:val="both"/>
        <w:rPr>
          <w:rFonts w:eastAsia="SimSun"/>
          <w:kern w:val="2"/>
          <w:sz w:val="22"/>
          <w:szCs w:val="22"/>
          <w:lang w:eastAsia="zh-CN" w:bidi="hi-IN"/>
        </w:rPr>
      </w:pPr>
      <w:r>
        <w:rPr>
          <w:rFonts w:eastAsia="SimSun"/>
          <w:kern w:val="2"/>
          <w:sz w:val="22"/>
          <w:szCs w:val="22"/>
          <w:lang w:eastAsia="zh-CN" w:bidi="hi-IN"/>
        </w:rPr>
        <w:t xml:space="preserve">Ogłoszono dnia 23 czerwca 2023 r. </w:t>
      </w:r>
    </w:p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>
      <w:pPr>
        <w:spacing w:after="160" w:line="256" w:lineRule="auto"/>
      </w:pPr>
      <w:r>
        <w:br w:type="page"/>
      </w:r>
    </w:p>
    <w:p w:rsidR="00197819" w:rsidRDefault="00197819" w:rsidP="00197819">
      <w:pPr>
        <w:jc w:val="center"/>
      </w:pPr>
      <w:r>
        <w:lastRenderedPageBreak/>
        <w:t>***</w:t>
      </w:r>
    </w:p>
    <w:p w:rsidR="00197819" w:rsidRDefault="00197819" w:rsidP="00197819"/>
    <w:p w:rsidR="00197819" w:rsidRDefault="00197819" w:rsidP="00197819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 xml:space="preserve">Warunki przetargu ustnego nieograniczonego </w:t>
      </w:r>
    </w:p>
    <w:p w:rsidR="00197819" w:rsidRDefault="00197819" w:rsidP="00197819">
      <w:pPr>
        <w:suppressAutoHyphens/>
        <w:jc w:val="center"/>
        <w:rPr>
          <w:rFonts w:eastAsia="SimSun"/>
          <w:b/>
          <w:kern w:val="2"/>
          <w:lang w:eastAsia="zh-CN" w:bidi="hi-IN"/>
        </w:rPr>
      </w:pPr>
      <w:r>
        <w:rPr>
          <w:rFonts w:eastAsia="SimSun"/>
          <w:b/>
          <w:kern w:val="2"/>
          <w:lang w:eastAsia="zh-CN" w:bidi="hi-IN"/>
        </w:rPr>
        <w:t>na sprzedaż nieruchomości przy ul. Śluzowej w Bydgoszczy</w:t>
      </w:r>
    </w:p>
    <w:p w:rsidR="00197819" w:rsidRDefault="00197819" w:rsidP="00197819">
      <w:pPr>
        <w:suppressAutoHyphens/>
        <w:jc w:val="center"/>
        <w:rPr>
          <w:rFonts w:eastAsia="SimSun"/>
          <w:b/>
          <w:kern w:val="2"/>
          <w:lang w:eastAsia="zh-CN" w:bidi="hi-IN"/>
        </w:rPr>
      </w:pPr>
    </w:p>
    <w:p w:rsidR="00197819" w:rsidRDefault="00197819" w:rsidP="00197819">
      <w:pPr>
        <w:jc w:val="both"/>
        <w:rPr>
          <w:rFonts w:eastAsia="SimSun"/>
          <w:b/>
          <w:kern w:val="2"/>
          <w:sz w:val="22"/>
          <w:szCs w:val="22"/>
          <w:lang w:eastAsia="zh-CN" w:bidi="hi-IN"/>
        </w:rPr>
      </w:pP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dokument (Warunki) określa dalsze warunki przetargu prowadzonego przez Fabrykę Obrabiarek do Drewna Sp. z o.o. (Organizator), którego dotyczy Ogłoszenia przetargowego ogłoszone i opublikowane na stronie internetowej Organizatora dnia 23 czerwca 2023 r. Rozumienie i definicje pojęć wynikające z ww. Ogłoszenia, zachowują swą aktualność dla wykładni niniejszych Warunków. 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przetargu mogą wziąć udział osoby, które wpłacą wadium w wyznaczonym terminie oraz przedłożą wraz z ofertą:</w:t>
      </w:r>
    </w:p>
    <w:p w:rsidR="00197819" w:rsidRDefault="00197819" w:rsidP="00197819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dowód wniesienia wadium, </w:t>
      </w:r>
    </w:p>
    <w:p w:rsidR="00197819" w:rsidRDefault="00197819" w:rsidP="00197819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pisemne oświadczenie o zapoznaniu się ze stanem faktycznym i prawnym nieruchomości, o spełnianiu warunków udziału w przetargu oraz o statusie cudzoziemca w rozumieniu przepisów ustawy z dnia 24 marca 1920r. o nabywaniu nieruchomości przez cudzoziemców, o rachunku bankowym właściwym dla zwrotu wadium, oraz adresie poczty elektronicznej właściwym dla składania powiadomień kierowanych do uczestnika - według wzoru stanowiącego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do niniejszych Warunków.</w:t>
      </w:r>
    </w:p>
    <w:p w:rsidR="00197819" w:rsidRDefault="00197819" w:rsidP="00197819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reprezentujących osoby prawne lub jednostki organizacyjne posiadające zdolność prawną, podlegające wpisom do rejestrów - aktualny wypis z właściwego rejestru, określający status prawny uczestnika oraz sposób i osoby uprawnione do jego reprezentacji;</w:t>
      </w:r>
    </w:p>
    <w:p w:rsidR="00197819" w:rsidRDefault="00197819" w:rsidP="00197819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pełnomocników - odpowiednie pełnomocnictwo umocowujące do reprezentowania w przetargu przynajmniej w zakresie czynnego udziału w licytacji, </w:t>
      </w:r>
    </w:p>
    <w:p w:rsidR="00197819" w:rsidRDefault="00197819" w:rsidP="00197819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osób prawnych lub jednostek organizacyjnych posiadających zdolność prawną - oświadczenie, że do udziału w przetargu i nabycia Nieruchomości nie jest wymagana zgoda jakiegokolwiek organu tej osoby prawnej / jednostki, a gdy taka zgoda jest wymagana - dokument zawierający stosowną zgodę,</w:t>
      </w:r>
    </w:p>
    <w:p w:rsidR="00197819" w:rsidRDefault="00197819" w:rsidP="00197819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osoby fizycznej lub handlowej spółki osobowej, nieposiadającej osobowości prawnej, w której chociaż jeden wspólnik jest osobą fizyczną – oświadczenia, że uczestnik lub jego wspólnik nie pozostaje w związku małżeńskim, w którym obowiązuje ustrój wspólności majątkowej, a jeżeli uczestnik lub jego wspólnik pozostaje w takim związku małżeńskim, dokument zawierający zgodę współmałżonka na dokonanie czynności prawnych związanych z udziałem w przetargu, bądź odpowiednio oświadczenie, iż ze względu na panujący między małżonkami szczególny ustrój majątkowy, upoważnienie ani zgoda drugiego małżonka nie są wymagane dla skutecznego nabycia Nieruchomości,</w:t>
      </w:r>
    </w:p>
    <w:p w:rsidR="00197819" w:rsidRDefault="00197819" w:rsidP="00197819">
      <w:pPr>
        <w:pStyle w:val="Akapitzlist"/>
        <w:numPr>
          <w:ilvl w:val="1"/>
          <w:numId w:val="4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oświadczenie o wyrażeniu zgody na przetwarzanie danych osobowych w związku i na potrzeby przetargu oraz sprzedaży Nieruchomości.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Dokumenty, o których mowa w ust. 2 powyżej, powinny być sporządzone w języku polskim; ewentualne tłumaczenia powinny być dokonane przez tłumacza przysięgłego.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Cudzoziemiec, który wygra przetarg, a stosownie do ustawy z dnia 24 marca 1920 r. jest zobowiązany uzyskać zezwolenie na nabycie nieruchomości, winien je przedstawić w terminie 3 miesięcy od dnia otwarcia ofert. W przypadku bezskutecznego upływu tego terminu uznaje się, że zwycięzca przetargu uchyla się od nabycia nieruchomości, a wpłacone przez niego wadium nie podlega zwrotowi.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Wadium złożone przez oferentów, których oferty nie zostaną przyjęte, zostanie zwrócone (bez oprocentowania) w terminie 3 dni od zakończenia licytacji, na rachunek bankowy wskazany przez oferenta. Wadium złożone przez nabywcę zostanie zarachowane na poczet ceny. Zarachowanie to następować będzie w chwili zawarcia w formie aktu notarialnego umowy przenoszącej prawa do Nieruchomości. Wadium przepada na rzecz Organizatora, jeżeli oferent, którego oferta zostanie przyjęta, uchyli się od zawarcia umowy.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Czynności związane z przeprowadzeniem przetargu wykonuje komisja przetargowa powołana przez Organizatora. Komisja jest organem pomocniczym Organizatora, a decyzja o innym zakończeniu, odwołaniu lub unieważnieniu przetargu zastrzeżona jest do kompetencji Zarządu Organizatora.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 dniu otwarcia ofert komisja przetargowa sprawdzi:</w:t>
      </w:r>
    </w:p>
    <w:p w:rsidR="00197819" w:rsidRDefault="00197819" w:rsidP="00197819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dowód wniesienia wadium,</w:t>
      </w:r>
    </w:p>
    <w:p w:rsidR="00197819" w:rsidRDefault="00197819" w:rsidP="00197819">
      <w:pPr>
        <w:pStyle w:val="Akapitzlist"/>
        <w:numPr>
          <w:ilvl w:val="1"/>
          <w:numId w:val="5"/>
        </w:num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zgodność oferty z Ogłoszenie i Warunkami przetargu. 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Przetarg jest ważny bez względu na liczbę uczestników, jeżeli złożono przynajmniej jedną ważną ofertę. 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wygrywa oferent (uczestnik), który zaoferował najwyższą cenę.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Przetarg uważa się za zakończony wynikiem negatywnym, jeżeli żaden z uczestników przetargu nie zaoferował przynajmniej ceny wywoławczej (minimalnej) oraz w sytuacji, gdy nikt do przetargu nie przystąpił.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Organizator przetargu może dla celów dokumentacyjnych dokonywać rejestracji przebiegu przetargu za pomocą urządzeń utrwalających obraz i dźwięk.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 ważnych powodów Przewodniczący Komisji Przetargowej może zarządzić przerwę w przetargu na czas nie dłuższy niż 7 dni. O zarządzeniu przerwy i terminie wznowienia przetargu powiadamia się uczestników w nim uczestniczących.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Przeprowadzenie przetargu i jej wynik wymaga każdorazowo udokumentowania stosownym protokołem. W protokole należy w szczególności zamieścić następujące informacje:</w:t>
      </w:r>
    </w:p>
    <w:p w:rsidR="00197819" w:rsidRDefault="00197819" w:rsidP="00197819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przedmiot przetargu i cenę wywoławczą (minimalną),</w:t>
      </w:r>
    </w:p>
    <w:p w:rsidR="00197819" w:rsidRDefault="00197819" w:rsidP="00197819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listę uczestników licytacji z informacją o wniesionych wadiach,</w:t>
      </w:r>
    </w:p>
    <w:p w:rsidR="00197819" w:rsidRDefault="00197819" w:rsidP="00197819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imię i nazwisko i adres lub nazwę (firmę) oraz siedzibę osoby wyłonionej jako zwycięzca przetargu,</w:t>
      </w:r>
    </w:p>
    <w:p w:rsidR="00197819" w:rsidRDefault="00197819" w:rsidP="00197819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najwyższą uzyskaną cenę (zaoferowaną przez zwycięzcę),</w:t>
      </w:r>
    </w:p>
    <w:p w:rsidR="00197819" w:rsidRDefault="00197819" w:rsidP="00197819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oznaczenie sumy, jaką nabywca uiścił na poczet ceny,</w:t>
      </w:r>
    </w:p>
    <w:p w:rsidR="00197819" w:rsidRDefault="00197819" w:rsidP="00197819">
      <w:pPr>
        <w:pStyle w:val="Akapitzlist"/>
        <w:numPr>
          <w:ilvl w:val="1"/>
          <w:numId w:val="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podpis członków komisji.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Zwycięzca przetargu zostanie zawiadomiony o miejscu i terminie zawarcia umowy sprzedaży najpóźniej w ciągu 30 dni od dnia rozstrzygnięcia przetargu. Brak zapłaty ceny (odpowiednio zadatku) lub niestawienie się zwycięzcy przetargu w czasie i miejscu wyznaczonym przez Organizatora (z przynajmniej 7 dniowym wyprzedzeniem) na podpisanie aktu notarialnego (umowy sprzedaży lub przeniesienia Nieruchomości) będzie równoznaczne z uchyleniem się od zawarcia umowy i przepadkiem wadium na rzecz Organizatora. W takim przypadku wygasa także zobowiązanie Organizatora do dokonania sprzedaży na rzecz zwycięzcy przetargu.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Nabywca Nieruchomości ponosi w całości koszty notarialne sporządzenia umów i opłat sądowych związanych z wpisem praw Nabywcy do ksiąg wieczystych. W przypadku żądania okazania granic Nieruchomości, koszty z tym związane także ponosi nabywca.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Nabywca zobowiązany jest zapłacić całość ceny sprzedawanej Nieruchomości oraz pozostałe ewentualne koszty związane z jej nabyciem do dnia poprzedzającego zawarcie umowy przenoszącej prawa do Nieruchomości. Za termin zapłaty uznaje się dzień wpływu należności na wskazany rachunek bankowy Spółki. 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oferowana i przyjęta w przetargu nie uwzględnia podatku od towarów i usług (VAT). Tak ustalona cena ulega automatycznemu podwyższeniu o podatek od towarów i usług (VAT), jeśli na dzień dokonywania sprzedaży czynność ta będzie objęta opodatkowaniem tym podatkiem. </w:t>
      </w:r>
    </w:p>
    <w:p w:rsidR="00197819" w:rsidRDefault="00197819" w:rsidP="00197819">
      <w:pPr>
        <w:pStyle w:val="Akapitzlist"/>
        <w:numPr>
          <w:ilvl w:val="0"/>
          <w:numId w:val="3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Wedle aktualnego stanu rzeczy sprzedaż Nieruchomości w całości korzysta ze zwolnienia z opodatkowania podatkiem VAT na podstawie art. 43 ust. 1 pkt. 9 ustawy o VAT.</w:t>
      </w:r>
    </w:p>
    <w:p w:rsidR="00197819" w:rsidRDefault="00197819" w:rsidP="00197819">
      <w:pPr>
        <w:jc w:val="both"/>
        <w:rPr>
          <w:sz w:val="22"/>
          <w:szCs w:val="22"/>
        </w:rPr>
      </w:pPr>
    </w:p>
    <w:p w:rsidR="00197819" w:rsidRDefault="00197819" w:rsidP="001978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Ogłoszono dnia 23 czerwca 2023 r. </w:t>
      </w:r>
    </w:p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/>
    <w:p w:rsidR="00197819" w:rsidRDefault="00197819" w:rsidP="00197819"/>
    <w:p w:rsidR="00341711" w:rsidRDefault="00341711"/>
    <w:sectPr w:rsidR="0034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C3615"/>
    <w:multiLevelType w:val="hybridMultilevel"/>
    <w:tmpl w:val="FB86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12E"/>
    <w:multiLevelType w:val="hybridMultilevel"/>
    <w:tmpl w:val="8A5A03C8"/>
    <w:lvl w:ilvl="0" w:tplc="6FC08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04610"/>
    <w:multiLevelType w:val="hybridMultilevel"/>
    <w:tmpl w:val="6B3C3398"/>
    <w:lvl w:ilvl="0" w:tplc="AFE2FB00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650525"/>
    <w:multiLevelType w:val="hybridMultilevel"/>
    <w:tmpl w:val="0694B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D0EB84">
      <w:start w:val="1"/>
      <w:numFmt w:val="lowerLetter"/>
      <w:lvlText w:val="%2)"/>
      <w:lvlJc w:val="left"/>
      <w:pPr>
        <w:ind w:left="1520" w:hanging="4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4172"/>
    <w:multiLevelType w:val="hybridMultilevel"/>
    <w:tmpl w:val="D57C8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90550"/>
    <w:multiLevelType w:val="hybridMultilevel"/>
    <w:tmpl w:val="0A6AC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19"/>
    <w:rsid w:val="00197819"/>
    <w:rsid w:val="002F481E"/>
    <w:rsid w:val="003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487ED-3838-4597-80C2-AFCB1E30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197819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819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7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1856</Words>
  <Characters>11139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Meinert</dc:creator>
  <cp:keywords/>
  <dc:description/>
  <cp:lastModifiedBy>Małgorzata Meinert</cp:lastModifiedBy>
  <cp:revision>2</cp:revision>
  <dcterms:created xsi:type="dcterms:W3CDTF">2023-06-23T08:31:00Z</dcterms:created>
  <dcterms:modified xsi:type="dcterms:W3CDTF">2023-06-23T08:56:00Z</dcterms:modified>
</cp:coreProperties>
</file>