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D947797" w:rsidR="00E254DD" w:rsidRPr="005645F5" w:rsidRDefault="00E3584B" w:rsidP="003302EA">
      <w:pPr>
        <w:spacing w:line="276" w:lineRule="auto"/>
        <w:jc w:val="center"/>
        <w:rPr>
          <w:rFonts w:ascii="Verdana" w:eastAsia="Verdana" w:hAnsi="Verdana" w:cs="Verdana"/>
          <w:b/>
          <w:szCs w:val="22"/>
        </w:rPr>
      </w:pPr>
      <w:r>
        <w:rPr>
          <w:rFonts w:ascii="Verdana" w:eastAsia="Verdana" w:hAnsi="Verdana" w:cs="Verdana"/>
          <w:b/>
          <w:szCs w:val="22"/>
        </w:rPr>
        <w:t xml:space="preserve">Uchwała nr </w:t>
      </w:r>
      <w:r w:rsidR="00BC121B">
        <w:rPr>
          <w:rFonts w:ascii="Verdana" w:eastAsia="Verdana" w:hAnsi="Verdana" w:cs="Verdana"/>
          <w:b/>
          <w:szCs w:val="22"/>
        </w:rPr>
        <w:t>177</w:t>
      </w:r>
    </w:p>
    <w:p w14:paraId="00000002" w14:textId="77777777" w:rsidR="00E254DD" w:rsidRPr="005645F5" w:rsidRDefault="00C62ECD" w:rsidP="003302EA">
      <w:pPr>
        <w:spacing w:line="276" w:lineRule="auto"/>
        <w:jc w:val="center"/>
        <w:rPr>
          <w:rFonts w:ascii="Verdana" w:eastAsia="Verdana" w:hAnsi="Verdana" w:cs="Verdana"/>
          <w:b/>
          <w:szCs w:val="22"/>
        </w:rPr>
      </w:pPr>
      <w:r w:rsidRPr="005645F5">
        <w:rPr>
          <w:rFonts w:ascii="Verdana" w:eastAsia="Verdana" w:hAnsi="Verdana" w:cs="Verdana"/>
          <w:b/>
          <w:szCs w:val="22"/>
        </w:rPr>
        <w:t>Rady Działalności Pożytku Publicznego</w:t>
      </w:r>
    </w:p>
    <w:p w14:paraId="00000003" w14:textId="18064DC1" w:rsidR="00E254DD" w:rsidRPr="005645F5" w:rsidRDefault="00E3584B" w:rsidP="003302EA">
      <w:pPr>
        <w:spacing w:line="276" w:lineRule="auto"/>
        <w:jc w:val="center"/>
        <w:rPr>
          <w:rFonts w:ascii="Verdana" w:eastAsia="Verdana" w:hAnsi="Verdana" w:cs="Verdana"/>
          <w:b/>
          <w:szCs w:val="22"/>
        </w:rPr>
      </w:pPr>
      <w:r>
        <w:rPr>
          <w:rFonts w:ascii="Verdana" w:eastAsia="Verdana" w:hAnsi="Verdana" w:cs="Verdana"/>
          <w:b/>
          <w:szCs w:val="22"/>
        </w:rPr>
        <w:t xml:space="preserve">z dnia </w:t>
      </w:r>
      <w:r w:rsidR="00BC121B">
        <w:rPr>
          <w:rFonts w:ascii="Verdana" w:eastAsia="Verdana" w:hAnsi="Verdana" w:cs="Verdana"/>
          <w:b/>
          <w:szCs w:val="22"/>
        </w:rPr>
        <w:t>20</w:t>
      </w:r>
      <w:r w:rsidR="005645F5">
        <w:rPr>
          <w:rFonts w:ascii="Verdana" w:eastAsia="Verdana" w:hAnsi="Verdana" w:cs="Verdana"/>
          <w:b/>
          <w:szCs w:val="22"/>
        </w:rPr>
        <w:t xml:space="preserve"> kwietnia 2021 r.</w:t>
      </w:r>
    </w:p>
    <w:p w14:paraId="00000004" w14:textId="7750CC20" w:rsidR="00E254DD" w:rsidRPr="005645F5" w:rsidRDefault="00C62ECD" w:rsidP="003302EA">
      <w:pPr>
        <w:spacing w:line="276" w:lineRule="auto"/>
        <w:jc w:val="center"/>
        <w:rPr>
          <w:rFonts w:ascii="Verdana" w:eastAsia="Verdana" w:hAnsi="Verdana" w:cs="Verdana"/>
          <w:b/>
          <w:szCs w:val="22"/>
        </w:rPr>
      </w:pPr>
      <w:bookmarkStart w:id="0" w:name="_heading=h.gjdgxs" w:colFirst="0" w:colLast="0"/>
      <w:bookmarkEnd w:id="0"/>
      <w:r w:rsidRPr="005645F5">
        <w:rPr>
          <w:rFonts w:ascii="Verdana" w:eastAsia="Verdana" w:hAnsi="Verdana" w:cs="Verdana"/>
          <w:b/>
          <w:szCs w:val="22"/>
        </w:rPr>
        <w:t xml:space="preserve">w sprawie projektu </w:t>
      </w:r>
      <w:r w:rsidR="00BC121B">
        <w:rPr>
          <w:rFonts w:ascii="Verdana" w:eastAsia="Verdana" w:hAnsi="Verdana" w:cs="Verdana"/>
          <w:b/>
          <w:szCs w:val="22"/>
        </w:rPr>
        <w:t>Fundusze Europejskie dla Polski Wschodniej</w:t>
      </w:r>
    </w:p>
    <w:p w14:paraId="00000005" w14:textId="23E0427F" w:rsidR="00E254DD" w:rsidRDefault="00E254DD" w:rsidP="003302EA">
      <w:pPr>
        <w:spacing w:line="276" w:lineRule="auto"/>
        <w:jc w:val="center"/>
        <w:rPr>
          <w:rFonts w:ascii="Verdana" w:eastAsia="Verdana" w:hAnsi="Verdana" w:cs="Verdana"/>
          <w:b/>
          <w:szCs w:val="22"/>
        </w:rPr>
      </w:pPr>
    </w:p>
    <w:p w14:paraId="6D63BCCE" w14:textId="77777777" w:rsidR="005645F5" w:rsidRPr="005645F5" w:rsidRDefault="005645F5" w:rsidP="003302EA">
      <w:pPr>
        <w:spacing w:line="276" w:lineRule="auto"/>
        <w:rPr>
          <w:rFonts w:ascii="Verdana" w:eastAsia="Verdana" w:hAnsi="Verdana" w:cs="Verdana"/>
          <w:b/>
          <w:szCs w:val="22"/>
        </w:rPr>
      </w:pPr>
    </w:p>
    <w:p w14:paraId="00000006" w14:textId="6F198090" w:rsidR="00E254DD" w:rsidRPr="005645F5" w:rsidRDefault="00C62ECD" w:rsidP="003302EA">
      <w:pPr>
        <w:spacing w:line="276" w:lineRule="auto"/>
        <w:rPr>
          <w:rFonts w:ascii="Verdana" w:eastAsia="Verdana" w:hAnsi="Verdana" w:cs="Verdana"/>
          <w:szCs w:val="22"/>
        </w:rPr>
      </w:pPr>
      <w:r w:rsidRPr="005645F5">
        <w:rPr>
          <w:rFonts w:ascii="Verdana" w:eastAsia="Verdana" w:hAnsi="Verdana" w:cs="Verdana"/>
          <w:color w:val="000000"/>
          <w:szCs w:val="22"/>
        </w:rPr>
        <w:t>Na podstawie § 10 rozporządzenia Przewodniczącego Komitetu do spraw Pożytku Publicznego z dnia 24 października 2018 r. w sprawie Rady Działa</w:t>
      </w:r>
      <w:r w:rsidR="005645F5">
        <w:rPr>
          <w:rFonts w:ascii="Verdana" w:eastAsia="Verdana" w:hAnsi="Verdana" w:cs="Verdana"/>
          <w:color w:val="000000"/>
          <w:szCs w:val="22"/>
        </w:rPr>
        <w:t xml:space="preserve">lności Pożytku Publicznego (Dz. U. poz. </w:t>
      </w:r>
      <w:r w:rsidRPr="005645F5">
        <w:rPr>
          <w:rFonts w:ascii="Verdana" w:eastAsia="Verdana" w:hAnsi="Verdana" w:cs="Verdana"/>
          <w:color w:val="000000"/>
          <w:szCs w:val="22"/>
        </w:rPr>
        <w:t xml:space="preserve">2052) oraz </w:t>
      </w:r>
      <w:r w:rsidRPr="005645F5">
        <w:rPr>
          <w:rFonts w:ascii="Verdana" w:eastAsia="Verdana" w:hAnsi="Verdana" w:cs="Verdana"/>
          <w:szCs w:val="22"/>
        </w:rPr>
        <w:t>art. 35 ust. 2 ustawy z dnia 24 kwietnia 2003 r. o działalności p</w:t>
      </w:r>
      <w:r w:rsidR="005645F5">
        <w:rPr>
          <w:rFonts w:ascii="Verdana" w:eastAsia="Verdana" w:hAnsi="Verdana" w:cs="Verdana"/>
          <w:szCs w:val="22"/>
        </w:rPr>
        <w:t>ożytku publicznego i o </w:t>
      </w:r>
      <w:r w:rsidRPr="005645F5">
        <w:rPr>
          <w:rFonts w:ascii="Verdana" w:eastAsia="Verdana" w:hAnsi="Verdana" w:cs="Verdana"/>
          <w:szCs w:val="22"/>
        </w:rPr>
        <w:t xml:space="preserve">wolontariacie (Dz. U. z 2020 r. poz. 1057), uchwala się stanowisko Rady Działalności Pożytku Publicznego w sprawie projektu </w:t>
      </w:r>
      <w:r w:rsidR="00BC121B" w:rsidRPr="00BC121B">
        <w:rPr>
          <w:rFonts w:ascii="Verdana" w:eastAsia="Verdana" w:hAnsi="Verdana" w:cs="Verdana"/>
          <w:szCs w:val="22"/>
        </w:rPr>
        <w:t>Fundusze Europejskie dla Polski Wschodniej</w:t>
      </w:r>
      <w:r w:rsidRPr="005645F5">
        <w:rPr>
          <w:rFonts w:ascii="Verdana" w:eastAsia="Verdana" w:hAnsi="Verdana" w:cs="Verdana"/>
          <w:szCs w:val="22"/>
        </w:rPr>
        <w:t>.</w:t>
      </w:r>
    </w:p>
    <w:p w14:paraId="00000007" w14:textId="77777777" w:rsidR="00E254DD" w:rsidRPr="005645F5" w:rsidRDefault="00E254DD" w:rsidP="003302EA">
      <w:pPr>
        <w:spacing w:line="276" w:lineRule="auto"/>
        <w:rPr>
          <w:rFonts w:ascii="Verdana" w:eastAsia="Verdana" w:hAnsi="Verdana" w:cs="Verdana"/>
          <w:szCs w:val="22"/>
        </w:rPr>
      </w:pPr>
    </w:p>
    <w:p w14:paraId="00000008" w14:textId="0CA7FF3E" w:rsidR="00E254DD" w:rsidRDefault="00C62ECD" w:rsidP="003302EA">
      <w:pPr>
        <w:spacing w:line="276" w:lineRule="auto"/>
        <w:jc w:val="center"/>
        <w:rPr>
          <w:rFonts w:ascii="Verdana" w:eastAsia="Verdana" w:hAnsi="Verdana" w:cs="Verdana"/>
          <w:b/>
          <w:szCs w:val="22"/>
        </w:rPr>
      </w:pPr>
      <w:r w:rsidRPr="005645F5">
        <w:rPr>
          <w:rFonts w:ascii="Verdana" w:eastAsia="Verdana" w:hAnsi="Verdana" w:cs="Verdana"/>
          <w:b/>
          <w:szCs w:val="22"/>
        </w:rPr>
        <w:t>§ 1</w:t>
      </w:r>
    </w:p>
    <w:p w14:paraId="1A083FAF" w14:textId="2A8398D3" w:rsidR="00E3584B" w:rsidRPr="00E3584B" w:rsidRDefault="003302EA" w:rsidP="003302EA">
      <w:pPr>
        <w:pStyle w:val="Akapitzlist"/>
        <w:numPr>
          <w:ilvl w:val="0"/>
          <w:numId w:val="3"/>
        </w:numPr>
        <w:textAlignment w:val="baseline"/>
        <w:rPr>
          <w:rFonts w:ascii="Verdana" w:hAnsi="Verdana"/>
          <w:color w:val="500050"/>
          <w:shd w:val="clear" w:color="auto" w:fill="FFFFFF"/>
        </w:rPr>
      </w:pPr>
      <w:bookmarkStart w:id="1" w:name="_heading=h.30j0zll" w:colFirst="0" w:colLast="0"/>
      <w:bookmarkEnd w:id="1"/>
      <w:r w:rsidRPr="00E3584B">
        <w:rPr>
          <w:rFonts w:ascii="Verdana" w:hAnsi="Verdana"/>
          <w:color w:val="000000"/>
          <w:shd w:val="clear" w:color="auto" w:fill="FFFFFF"/>
        </w:rPr>
        <w:t>Rada zauważa, że zasady horyzontalne (w tym zasada równości szans i niedyskryminacj</w:t>
      </w:r>
      <w:r w:rsidR="00E3584B">
        <w:rPr>
          <w:rFonts w:ascii="Verdana" w:hAnsi="Verdana"/>
          <w:color w:val="000000"/>
          <w:shd w:val="clear" w:color="auto" w:fill="FFFFFF"/>
        </w:rPr>
        <w:t>i, w tym dostępności dla osób z </w:t>
      </w:r>
      <w:r w:rsidRPr="00E3584B">
        <w:rPr>
          <w:rFonts w:ascii="Verdana" w:hAnsi="Verdana"/>
          <w:color w:val="000000"/>
          <w:shd w:val="clear" w:color="auto" w:fill="FFFFFF"/>
        </w:rPr>
        <w:t>niepełnosprawnościami oraz</w:t>
      </w:r>
      <w:r w:rsidR="00E3584B">
        <w:rPr>
          <w:rFonts w:ascii="Verdana" w:hAnsi="Verdana"/>
          <w:color w:val="000000"/>
          <w:shd w:val="clear" w:color="auto" w:fill="FFFFFF"/>
        </w:rPr>
        <w:t xml:space="preserve"> zasada równości szans kobiet i </w:t>
      </w:r>
      <w:r w:rsidRPr="00E3584B">
        <w:rPr>
          <w:rFonts w:ascii="Verdana" w:hAnsi="Verdana"/>
          <w:color w:val="000000"/>
          <w:shd w:val="clear" w:color="auto" w:fill="FFFFFF"/>
        </w:rPr>
        <w:t>mężczyzn) są bezwzględnie fundamentalne dla Programu (programowania i wdrażania).</w:t>
      </w:r>
    </w:p>
    <w:p w14:paraId="5D4A0DA9" w14:textId="5DBE76B7" w:rsidR="00E3584B" w:rsidRPr="00E3584B" w:rsidRDefault="003302EA" w:rsidP="00E3584B">
      <w:pPr>
        <w:pStyle w:val="Akapitzlist"/>
        <w:numPr>
          <w:ilvl w:val="0"/>
          <w:numId w:val="3"/>
        </w:numPr>
        <w:textAlignment w:val="baseline"/>
        <w:rPr>
          <w:rFonts w:ascii="Verdana" w:hAnsi="Verdana"/>
          <w:color w:val="500050"/>
          <w:shd w:val="clear" w:color="auto" w:fill="FFFFFF"/>
        </w:rPr>
      </w:pPr>
      <w:r w:rsidRPr="00E3584B">
        <w:rPr>
          <w:rFonts w:ascii="Verdana" w:hAnsi="Verdana"/>
          <w:color w:val="000000"/>
          <w:shd w:val="clear" w:color="auto" w:fill="FFFFFF"/>
        </w:rPr>
        <w:t>Ze względu na Konstytucję (m</w:t>
      </w:r>
      <w:r w:rsidR="00E3584B">
        <w:rPr>
          <w:rFonts w:ascii="Verdana" w:hAnsi="Verdana"/>
          <w:color w:val="000000"/>
          <w:shd w:val="clear" w:color="auto" w:fill="FFFFFF"/>
        </w:rPr>
        <w:t>iędzy innymi art. 32), unijne i </w:t>
      </w:r>
      <w:r w:rsidRPr="00E3584B">
        <w:rPr>
          <w:rFonts w:ascii="Verdana" w:hAnsi="Verdana"/>
          <w:color w:val="000000"/>
          <w:shd w:val="clear" w:color="auto" w:fill="FFFFFF"/>
        </w:rPr>
        <w:t>krajowe przepisy antydyskryminacy</w:t>
      </w:r>
      <w:r w:rsidR="00E3584B">
        <w:rPr>
          <w:rFonts w:ascii="Verdana" w:hAnsi="Verdana"/>
          <w:color w:val="000000"/>
          <w:shd w:val="clear" w:color="auto" w:fill="FFFFFF"/>
        </w:rPr>
        <w:t>jne, Konwencję o prawach osób z </w:t>
      </w:r>
      <w:r w:rsidRPr="00E3584B">
        <w:rPr>
          <w:rFonts w:ascii="Verdana" w:hAnsi="Verdana"/>
          <w:color w:val="000000"/>
          <w:shd w:val="clear" w:color="auto" w:fill="FFFFFF"/>
        </w:rPr>
        <w:t>niepełnosprawnościami, ustawę o zapewnianiu dostępności osobom ze szczególnymi potrzebami itp. zasady horyzontalne muszą b</w:t>
      </w:r>
      <w:r w:rsidR="00BC121B">
        <w:rPr>
          <w:rFonts w:ascii="Verdana" w:hAnsi="Verdana"/>
          <w:color w:val="000000"/>
          <w:shd w:val="clear" w:color="auto" w:fill="FFFFFF"/>
        </w:rPr>
        <w:t>yć bezwzględnie uwzględniane w p</w:t>
      </w:r>
      <w:r w:rsidRPr="00E3584B">
        <w:rPr>
          <w:rFonts w:ascii="Verdana" w:hAnsi="Verdana"/>
          <w:color w:val="000000"/>
          <w:shd w:val="clear" w:color="auto" w:fill="FFFFFF"/>
        </w:rPr>
        <w:t>rogramie. Na to wszystko nakłada się perspektywa społeczna i demograficzna Polski, w tym starzejące się społeczeństwo.</w:t>
      </w:r>
    </w:p>
    <w:p w14:paraId="70B341D2" w14:textId="0BAFD793" w:rsidR="00E3584B" w:rsidRPr="00E3584B" w:rsidRDefault="003302EA" w:rsidP="00E3584B">
      <w:pPr>
        <w:pStyle w:val="Akapitzlist"/>
        <w:numPr>
          <w:ilvl w:val="0"/>
          <w:numId w:val="3"/>
        </w:numPr>
        <w:textAlignment w:val="baseline"/>
        <w:rPr>
          <w:rFonts w:ascii="Verdana" w:hAnsi="Verdana"/>
          <w:color w:val="500050"/>
          <w:shd w:val="clear" w:color="auto" w:fill="FFFFFF"/>
        </w:rPr>
      </w:pPr>
      <w:r w:rsidRPr="00E3584B">
        <w:rPr>
          <w:rFonts w:ascii="Verdana" w:hAnsi="Verdana"/>
          <w:color w:val="000000"/>
        </w:rPr>
        <w:t xml:space="preserve">W punktach „Działania </w:t>
      </w:r>
      <w:r w:rsidR="00E3584B">
        <w:rPr>
          <w:rFonts w:ascii="Verdana" w:hAnsi="Verdana"/>
          <w:color w:val="000000"/>
        </w:rPr>
        <w:t>na rzecz równości, integracji i </w:t>
      </w:r>
      <w:r w:rsidRPr="00E3584B">
        <w:rPr>
          <w:rFonts w:ascii="Verdana" w:hAnsi="Verdana"/>
          <w:color w:val="000000"/>
        </w:rPr>
        <w:t>niedyskryminację” należy wprost odwołać się do zasady równości szans i niedyskryminacj</w:t>
      </w:r>
      <w:r w:rsidR="00E3584B">
        <w:rPr>
          <w:rFonts w:ascii="Verdana" w:hAnsi="Verdana"/>
          <w:color w:val="000000"/>
        </w:rPr>
        <w:t>i, w tym dostępności dla osób z </w:t>
      </w:r>
      <w:r w:rsidRPr="00E3584B">
        <w:rPr>
          <w:rFonts w:ascii="Verdana" w:hAnsi="Verdana"/>
          <w:color w:val="000000"/>
        </w:rPr>
        <w:t>niepełnosprawnościami oraz</w:t>
      </w:r>
      <w:r w:rsidR="00E3584B">
        <w:rPr>
          <w:rFonts w:ascii="Verdana" w:hAnsi="Verdana"/>
          <w:color w:val="000000"/>
        </w:rPr>
        <w:t xml:space="preserve"> zasady równości szans kobiet i </w:t>
      </w:r>
      <w:r w:rsidRPr="00E3584B">
        <w:rPr>
          <w:rFonts w:ascii="Verdana" w:hAnsi="Verdana"/>
          <w:color w:val="000000"/>
        </w:rPr>
        <w:t>mężczyzn. Należy także odwołać się do „Standardów dostępności dla polityki spójności 2021-2027”. Wzorem innych programów można zmienić nazwę tych punktów na „Działania na rzecz równości, włączenia i niedyskryminację”.</w:t>
      </w:r>
    </w:p>
    <w:p w14:paraId="0667A8C3" w14:textId="4BA846D8" w:rsidR="00E3584B" w:rsidRPr="00E3584B" w:rsidRDefault="003302EA" w:rsidP="00E3584B">
      <w:pPr>
        <w:pStyle w:val="Akapitzlist"/>
        <w:numPr>
          <w:ilvl w:val="0"/>
          <w:numId w:val="3"/>
        </w:numPr>
        <w:textAlignment w:val="baseline"/>
        <w:rPr>
          <w:rFonts w:ascii="Verdana" w:hAnsi="Verdana"/>
          <w:color w:val="500050"/>
          <w:shd w:val="clear" w:color="auto" w:fill="FFFFFF"/>
        </w:rPr>
      </w:pPr>
      <w:r w:rsidRPr="00E3584B">
        <w:rPr>
          <w:rFonts w:ascii="Verdana" w:hAnsi="Verdana"/>
          <w:color w:val="000000"/>
        </w:rPr>
        <w:t xml:space="preserve">Należy wskazać wymóg dostępności wprost do opisu interwencji szczególnie wrażliwych na dostępność, między innymi w kontekście infrastruktury transportowej, taboru, systemów </w:t>
      </w:r>
      <w:proofErr w:type="spellStart"/>
      <w:r w:rsidRPr="00E3584B">
        <w:rPr>
          <w:rFonts w:ascii="Verdana" w:hAnsi="Verdana"/>
          <w:color w:val="000000"/>
        </w:rPr>
        <w:t>telematycznych</w:t>
      </w:r>
      <w:proofErr w:type="spellEnd"/>
      <w:r w:rsidRPr="00E3584B">
        <w:rPr>
          <w:rFonts w:ascii="Verdana" w:hAnsi="Verdana"/>
          <w:color w:val="000000"/>
        </w:rPr>
        <w:t xml:space="preserve"> (priorytet II), infrastruktury i wyposażenia podmiotów świadczących kompleksowe usługi sanat</w:t>
      </w:r>
      <w:r w:rsidR="00E3584B">
        <w:rPr>
          <w:rFonts w:ascii="Verdana" w:hAnsi="Verdana"/>
          <w:color w:val="000000"/>
        </w:rPr>
        <w:t>oryjne, uzdrowiskowe, bibliotek/</w:t>
      </w:r>
      <w:proofErr w:type="spellStart"/>
      <w:r w:rsidRPr="00E3584B">
        <w:rPr>
          <w:rFonts w:ascii="Verdana" w:hAnsi="Verdana"/>
          <w:color w:val="000000"/>
        </w:rPr>
        <w:t>mediatek</w:t>
      </w:r>
      <w:proofErr w:type="spellEnd"/>
      <w:r w:rsidRPr="00E3584B">
        <w:rPr>
          <w:rFonts w:ascii="Verdana" w:hAnsi="Verdana"/>
          <w:color w:val="000000"/>
        </w:rPr>
        <w:t xml:space="preserve"> (priorytet IV).</w:t>
      </w:r>
    </w:p>
    <w:p w14:paraId="4760FD04" w14:textId="5D7CCDBF" w:rsidR="00E3584B" w:rsidRPr="00E3584B" w:rsidRDefault="003302EA" w:rsidP="003302EA">
      <w:pPr>
        <w:pStyle w:val="Akapitzlist"/>
        <w:numPr>
          <w:ilvl w:val="0"/>
          <w:numId w:val="3"/>
        </w:numPr>
        <w:textAlignment w:val="baseline"/>
        <w:rPr>
          <w:rFonts w:ascii="Verdana" w:hAnsi="Verdana"/>
          <w:color w:val="500050"/>
          <w:shd w:val="clear" w:color="auto" w:fill="FFFFFF"/>
        </w:rPr>
      </w:pPr>
      <w:r w:rsidRPr="00E3584B">
        <w:rPr>
          <w:rFonts w:ascii="Verdana" w:hAnsi="Verdana"/>
          <w:color w:val="000000"/>
        </w:rPr>
        <w:t xml:space="preserve">Należy uwzględnić w opisach interwencji </w:t>
      </w:r>
      <w:r w:rsidR="00870684">
        <w:rPr>
          <w:rFonts w:ascii="Verdana" w:hAnsi="Verdana"/>
          <w:color w:val="000000"/>
        </w:rPr>
        <w:t xml:space="preserve">projektowanie uniwersalne </w:t>
      </w:r>
      <w:r w:rsidRPr="00E3584B">
        <w:rPr>
          <w:rFonts w:ascii="Verdana" w:hAnsi="Verdana"/>
          <w:color w:val="000000"/>
        </w:rPr>
        <w:t xml:space="preserve">jako obowiązkową metodę realizacji tych interwencji, między innymi w kontekście procesów wzorniczych (priorytet I), zwiększania </w:t>
      </w:r>
      <w:r w:rsidRPr="00E3584B">
        <w:rPr>
          <w:rFonts w:ascii="Verdana" w:hAnsi="Verdana"/>
          <w:color w:val="000000"/>
        </w:rPr>
        <w:lastRenderedPageBreak/>
        <w:t>odporności miast na zmiany klim</w:t>
      </w:r>
      <w:r w:rsidR="00E3584B">
        <w:rPr>
          <w:rFonts w:ascii="Verdana" w:hAnsi="Verdana"/>
          <w:color w:val="000000"/>
        </w:rPr>
        <w:t>atu (priorytet II), bibliotek/</w:t>
      </w:r>
      <w:proofErr w:type="spellStart"/>
      <w:r w:rsidRPr="00E3584B">
        <w:rPr>
          <w:rFonts w:ascii="Verdana" w:hAnsi="Verdana"/>
          <w:color w:val="000000"/>
        </w:rPr>
        <w:t>mediatek</w:t>
      </w:r>
      <w:proofErr w:type="spellEnd"/>
      <w:r w:rsidRPr="00E3584B">
        <w:rPr>
          <w:rFonts w:ascii="Verdana" w:hAnsi="Verdana"/>
          <w:color w:val="000000"/>
        </w:rPr>
        <w:t xml:space="preserve"> (priorytet IV).</w:t>
      </w:r>
    </w:p>
    <w:p w14:paraId="5FD28DC6" w14:textId="5ABE08B5" w:rsidR="003302EA" w:rsidRPr="00E3584B" w:rsidRDefault="003302EA" w:rsidP="003302EA">
      <w:pPr>
        <w:pStyle w:val="Akapitzlist"/>
        <w:numPr>
          <w:ilvl w:val="0"/>
          <w:numId w:val="3"/>
        </w:numPr>
        <w:textAlignment w:val="baseline"/>
        <w:rPr>
          <w:rFonts w:ascii="Verdana" w:hAnsi="Verdana"/>
          <w:color w:val="500050"/>
          <w:shd w:val="clear" w:color="auto" w:fill="FFFFFF"/>
        </w:rPr>
      </w:pPr>
      <w:r w:rsidRPr="00E3584B">
        <w:rPr>
          <w:rFonts w:ascii="Verdana" w:hAnsi="Verdana"/>
          <w:color w:val="000000"/>
          <w:shd w:val="clear" w:color="auto" w:fill="FFFFFF"/>
        </w:rPr>
        <w:t xml:space="preserve">Należy uwzględnić w opisach interwencji kierowanych do podmiotów prywatnych wymogi dyrektywy </w:t>
      </w:r>
      <w:proofErr w:type="spellStart"/>
      <w:r w:rsidRPr="00E3584B">
        <w:rPr>
          <w:rFonts w:ascii="Verdana" w:hAnsi="Verdana"/>
          <w:color w:val="000000"/>
          <w:shd w:val="clear" w:color="auto" w:fill="FFFFFF"/>
        </w:rPr>
        <w:t>dostępnościowej</w:t>
      </w:r>
      <w:proofErr w:type="spellEnd"/>
      <w:r w:rsidRPr="00E3584B">
        <w:rPr>
          <w:rFonts w:ascii="Verdana" w:hAnsi="Verdana"/>
          <w:color w:val="000000"/>
          <w:shd w:val="clear" w:color="auto" w:fill="FFFFFF"/>
        </w:rPr>
        <w:t xml:space="preserve"> (dyrektywy Parlamentu Europejskiego i Rady (UE) 2019/882 z dnia 17 kwietnia 2019 r. w sprawie wymogów dostępności produktów i usług).</w:t>
      </w:r>
    </w:p>
    <w:p w14:paraId="2E5953FC" w14:textId="77777777" w:rsidR="003302EA" w:rsidRDefault="003302EA" w:rsidP="003302EA">
      <w:pPr>
        <w:textAlignment w:val="baseline"/>
        <w:rPr>
          <w:rFonts w:ascii="Verdana" w:hAnsi="Verdana"/>
          <w:color w:val="000000"/>
          <w:shd w:val="clear" w:color="auto" w:fill="FFFFFF"/>
        </w:rPr>
      </w:pPr>
    </w:p>
    <w:p w14:paraId="2C93E0DE" w14:textId="0FA72AD5" w:rsidR="003302EA" w:rsidRDefault="003302EA" w:rsidP="003302EA">
      <w:pPr>
        <w:jc w:val="center"/>
        <w:textAlignment w:val="baseline"/>
        <w:rPr>
          <w:color w:val="500050"/>
          <w:shd w:val="clear" w:color="auto" w:fill="FFFFFF"/>
        </w:rPr>
      </w:pPr>
      <w:r w:rsidRPr="005645F5">
        <w:rPr>
          <w:rFonts w:ascii="Verdana" w:eastAsia="Verdana" w:hAnsi="Verdana" w:cs="Verdana"/>
          <w:b/>
          <w:szCs w:val="22"/>
        </w:rPr>
        <w:t>§</w:t>
      </w:r>
      <w:r>
        <w:rPr>
          <w:rFonts w:ascii="Verdana" w:eastAsia="Verdana" w:hAnsi="Verdana" w:cs="Verdana"/>
          <w:b/>
          <w:szCs w:val="22"/>
        </w:rPr>
        <w:t xml:space="preserve"> 2</w:t>
      </w:r>
    </w:p>
    <w:p w14:paraId="00000009" w14:textId="514BA730" w:rsidR="00E254DD" w:rsidRPr="005645F5" w:rsidRDefault="00C62ECD" w:rsidP="003302EA">
      <w:pPr>
        <w:spacing w:line="276" w:lineRule="auto"/>
        <w:rPr>
          <w:rFonts w:ascii="Verdana" w:eastAsia="Verdana" w:hAnsi="Verdana" w:cs="Verdana"/>
          <w:szCs w:val="22"/>
        </w:rPr>
      </w:pPr>
      <w:r w:rsidRPr="005645F5">
        <w:rPr>
          <w:rFonts w:ascii="Verdana" w:eastAsia="Verdana" w:hAnsi="Verdana" w:cs="Verdana"/>
          <w:szCs w:val="22"/>
        </w:rPr>
        <w:t>Rada Działalności P</w:t>
      </w:r>
      <w:r w:rsidR="00E3584B">
        <w:rPr>
          <w:rFonts w:ascii="Verdana" w:eastAsia="Verdana" w:hAnsi="Verdana" w:cs="Verdana"/>
          <w:szCs w:val="22"/>
        </w:rPr>
        <w:t>ożytku Publicznego, zwana dalej</w:t>
      </w:r>
      <w:r w:rsidRPr="005645F5">
        <w:rPr>
          <w:rFonts w:ascii="Verdana" w:eastAsia="Verdana" w:hAnsi="Verdana" w:cs="Verdana"/>
          <w:szCs w:val="22"/>
        </w:rPr>
        <w:t xml:space="preserve"> „Radą”, zgłasza następujące propozycje do </w:t>
      </w:r>
      <w:r w:rsidR="00BC121B">
        <w:rPr>
          <w:rFonts w:ascii="Verdana" w:eastAsia="Verdana" w:hAnsi="Verdana" w:cs="Verdana"/>
          <w:szCs w:val="22"/>
        </w:rPr>
        <w:t xml:space="preserve">programu </w:t>
      </w:r>
      <w:r w:rsidR="00BC121B" w:rsidRPr="00BC121B">
        <w:rPr>
          <w:rFonts w:ascii="Verdana" w:eastAsia="Verdana" w:hAnsi="Verdana" w:cs="Verdana"/>
          <w:szCs w:val="22"/>
        </w:rPr>
        <w:t>Fundusze Europejskie dla Polski Wschodniej</w:t>
      </w:r>
      <w:r w:rsidRPr="005645F5">
        <w:rPr>
          <w:rFonts w:ascii="Verdana" w:eastAsia="Verdana" w:hAnsi="Verdana" w:cs="Verdana"/>
          <w:szCs w:val="22"/>
        </w:rPr>
        <w:t>:</w:t>
      </w:r>
    </w:p>
    <w:p w14:paraId="0000000A" w14:textId="56B21AC6" w:rsidR="00E254DD" w:rsidRPr="005645F5" w:rsidRDefault="00C62ECD" w:rsidP="00870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Cs w:val="22"/>
        </w:rPr>
      </w:pPr>
      <w:r w:rsidRPr="005645F5">
        <w:rPr>
          <w:rFonts w:ascii="Verdana" w:eastAsia="Verdana" w:hAnsi="Verdana" w:cs="Verdana"/>
          <w:color w:val="000000"/>
          <w:szCs w:val="22"/>
        </w:rPr>
        <w:t xml:space="preserve">W Priorytecie 1. Przedsiębiorczość i innowacje. CS III. Wzmacnianie zrównoważonego wzrostu i konkurencyjności MŚP oraz tworzenie miejsc pracy w MŚP, w tym poprzez inwestycje produkcyjne </w:t>
      </w:r>
      <w:r w:rsidR="005645F5">
        <w:rPr>
          <w:rFonts w:ascii="Verdana" w:eastAsia="Verdana" w:hAnsi="Verdana" w:cs="Verdana"/>
          <w:szCs w:val="22"/>
        </w:rPr>
        <w:t>–</w:t>
      </w:r>
      <w:r w:rsidRPr="005645F5">
        <w:rPr>
          <w:rFonts w:ascii="Verdana" w:eastAsia="Verdana" w:hAnsi="Verdana" w:cs="Verdana"/>
          <w:color w:val="000000"/>
          <w:szCs w:val="22"/>
        </w:rPr>
        <w:t xml:space="preserve"> uzupełnić grupę beneficjentów o przedsiębiorstwa społeczne</w:t>
      </w:r>
      <w:r w:rsidRPr="005645F5">
        <w:rPr>
          <w:rFonts w:ascii="Verdana" w:eastAsia="Verdana" w:hAnsi="Verdana" w:cs="Verdana"/>
          <w:szCs w:val="22"/>
        </w:rPr>
        <w:t>.</w:t>
      </w:r>
    </w:p>
    <w:p w14:paraId="0000000B" w14:textId="616FEAAC" w:rsidR="00E254DD" w:rsidRPr="005645F5" w:rsidRDefault="00C62ECD" w:rsidP="00870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Cs w:val="22"/>
        </w:rPr>
      </w:pPr>
      <w:r w:rsidRPr="005645F5">
        <w:rPr>
          <w:rFonts w:ascii="Verdana" w:eastAsia="Verdana" w:hAnsi="Verdana" w:cs="Verdana"/>
          <w:szCs w:val="22"/>
        </w:rPr>
        <w:t xml:space="preserve">W </w:t>
      </w:r>
      <w:r w:rsidRPr="005645F5">
        <w:rPr>
          <w:rFonts w:ascii="Verdana" w:eastAsia="Verdana" w:hAnsi="Verdana" w:cs="Verdana"/>
          <w:color w:val="000000"/>
          <w:szCs w:val="22"/>
        </w:rPr>
        <w:t>Prioryte</w:t>
      </w:r>
      <w:r w:rsidRPr="005645F5">
        <w:rPr>
          <w:rFonts w:ascii="Verdana" w:eastAsia="Verdana" w:hAnsi="Verdana" w:cs="Verdana"/>
          <w:szCs w:val="22"/>
        </w:rPr>
        <w:t>cie</w:t>
      </w:r>
      <w:r w:rsidRPr="005645F5">
        <w:rPr>
          <w:rFonts w:ascii="Verdana" w:eastAsia="Verdana" w:hAnsi="Verdana" w:cs="Verdana"/>
          <w:color w:val="000000"/>
          <w:szCs w:val="22"/>
        </w:rPr>
        <w:t xml:space="preserve"> 2. Energia i klima</w:t>
      </w:r>
      <w:r w:rsidR="005645F5">
        <w:rPr>
          <w:rFonts w:ascii="Verdana" w:eastAsia="Verdana" w:hAnsi="Verdana" w:cs="Verdana"/>
          <w:color w:val="000000"/>
          <w:szCs w:val="22"/>
        </w:rPr>
        <w:t>t. CS IV. Wspieranie działań w </w:t>
      </w:r>
      <w:r w:rsidRPr="005645F5">
        <w:rPr>
          <w:rFonts w:ascii="Verdana" w:eastAsia="Verdana" w:hAnsi="Verdana" w:cs="Verdana"/>
          <w:color w:val="000000"/>
          <w:szCs w:val="22"/>
        </w:rPr>
        <w:t>zakresie dostosowania do zmiany</w:t>
      </w:r>
      <w:r w:rsidR="005645F5">
        <w:rPr>
          <w:rFonts w:ascii="Verdana" w:eastAsia="Verdana" w:hAnsi="Verdana" w:cs="Verdana"/>
          <w:color w:val="000000"/>
          <w:szCs w:val="22"/>
        </w:rPr>
        <w:t xml:space="preserve"> klimatu, zapobiegania ryzyku i </w:t>
      </w:r>
      <w:r w:rsidRPr="005645F5">
        <w:rPr>
          <w:rFonts w:ascii="Verdana" w:eastAsia="Verdana" w:hAnsi="Verdana" w:cs="Verdana"/>
          <w:color w:val="000000"/>
          <w:szCs w:val="22"/>
        </w:rPr>
        <w:t xml:space="preserve">odporności na klęski żywiołowe w grupie beneficjentów </w:t>
      </w:r>
      <w:r w:rsidR="005645F5">
        <w:rPr>
          <w:rFonts w:ascii="Verdana" w:eastAsia="Verdana" w:hAnsi="Verdana" w:cs="Verdana"/>
          <w:color w:val="000000"/>
          <w:szCs w:val="22"/>
        </w:rPr>
        <w:t>–</w:t>
      </w:r>
      <w:r w:rsidRPr="005645F5">
        <w:rPr>
          <w:rFonts w:ascii="Verdana" w:eastAsia="Verdana" w:hAnsi="Verdana" w:cs="Verdana"/>
          <w:color w:val="000000"/>
          <w:szCs w:val="22"/>
        </w:rPr>
        <w:t xml:space="preserve"> uzupełnić zapis o „podmioty świadczące usługi publiczne w ramach realizacji zadań własnych JST w tym podmioty ekonomii społecznej”</w:t>
      </w:r>
      <w:r w:rsidRPr="005645F5">
        <w:rPr>
          <w:rFonts w:ascii="Verdana" w:eastAsia="Verdana" w:hAnsi="Verdana" w:cs="Verdana"/>
          <w:szCs w:val="22"/>
        </w:rPr>
        <w:t>.</w:t>
      </w:r>
    </w:p>
    <w:p w14:paraId="0000000C" w14:textId="7C172895" w:rsidR="00E254DD" w:rsidRPr="005645F5" w:rsidRDefault="00C62ECD" w:rsidP="00870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Cs w:val="22"/>
        </w:rPr>
      </w:pPr>
      <w:r w:rsidRPr="005645F5">
        <w:rPr>
          <w:rFonts w:ascii="Verdana" w:eastAsia="Verdana" w:hAnsi="Verdana" w:cs="Verdana"/>
          <w:szCs w:val="22"/>
        </w:rPr>
        <w:t xml:space="preserve">W Priorytecie 4. Kapitał społeczny, turystyka oraz usługi uzdrowiskowe. </w:t>
      </w:r>
      <w:r w:rsidRPr="005645F5">
        <w:rPr>
          <w:rFonts w:ascii="Verdana" w:eastAsia="Verdana" w:hAnsi="Verdana" w:cs="Verdana"/>
          <w:color w:val="000000"/>
          <w:szCs w:val="22"/>
        </w:rPr>
        <w:t>CS IV. Zapewnienie równego dostępu do opieki zdrowotnej i wspieranie odpornośc</w:t>
      </w:r>
      <w:r w:rsidR="005645F5">
        <w:rPr>
          <w:rFonts w:ascii="Verdana" w:eastAsia="Verdana" w:hAnsi="Verdana" w:cs="Verdana"/>
          <w:color w:val="000000"/>
          <w:szCs w:val="22"/>
        </w:rPr>
        <w:t>i systemów opieki zdrowotnej, w </w:t>
      </w:r>
      <w:r w:rsidRPr="005645F5">
        <w:rPr>
          <w:rFonts w:ascii="Verdana" w:eastAsia="Verdana" w:hAnsi="Verdana" w:cs="Verdana"/>
          <w:color w:val="000000"/>
          <w:szCs w:val="22"/>
        </w:rPr>
        <w:t xml:space="preserve">tym podstawowej opieki zdrowotnej, oraz wspieranie przejścia od opieki instytucjonalnej do opieki rodzinnej i środowiskowej </w:t>
      </w:r>
      <w:r w:rsidR="005645F5">
        <w:rPr>
          <w:rFonts w:ascii="Verdana" w:eastAsia="Verdana" w:hAnsi="Verdana" w:cs="Verdana"/>
          <w:color w:val="000000"/>
          <w:szCs w:val="22"/>
        </w:rPr>
        <w:t>–</w:t>
      </w:r>
      <w:r w:rsidRPr="005645F5">
        <w:rPr>
          <w:rFonts w:ascii="Verdana" w:eastAsia="Verdana" w:hAnsi="Verdana" w:cs="Verdana"/>
          <w:color w:val="000000"/>
          <w:szCs w:val="22"/>
        </w:rPr>
        <w:t xml:space="preserve"> uzupełnić możliwość finansowania tworzenia i rozwoju gospodarstw opiekuńczych świadczących usługi społecznej oraz usługi w zakresie reintegracji społecznej i zawodowej. Ponadto grupę beneficjentów należy uzupełnić</w:t>
      </w:r>
      <w:r w:rsidR="005645F5">
        <w:rPr>
          <w:rFonts w:ascii="Verdana" w:eastAsia="Verdana" w:hAnsi="Verdana" w:cs="Verdana"/>
          <w:color w:val="000000"/>
          <w:szCs w:val="22"/>
        </w:rPr>
        <w:t xml:space="preserve"> o przedsiębiorstwa społeczne.</w:t>
      </w:r>
    </w:p>
    <w:p w14:paraId="0000000D" w14:textId="185DAE13" w:rsidR="00E254DD" w:rsidRPr="005645F5" w:rsidRDefault="00C62ECD" w:rsidP="00870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Cs w:val="22"/>
        </w:rPr>
      </w:pPr>
      <w:r w:rsidRPr="005645F5">
        <w:rPr>
          <w:rFonts w:ascii="Verdana" w:eastAsia="Verdana" w:hAnsi="Verdana" w:cs="Verdana"/>
          <w:szCs w:val="22"/>
        </w:rPr>
        <w:t xml:space="preserve">W Priorytecie 4. Kapitał społeczny, turystyka oraz usługi uzdrowiskowe. CS V zwiększenie roli kultury i turystyki w rozwoju gospodarczym, integracji społecznej i innowacjach społecznych </w:t>
      </w:r>
      <w:r w:rsidR="005645F5">
        <w:rPr>
          <w:rFonts w:ascii="Verdana" w:eastAsia="Verdana" w:hAnsi="Verdana" w:cs="Verdana"/>
          <w:szCs w:val="22"/>
        </w:rPr>
        <w:t>–</w:t>
      </w:r>
      <w:r w:rsidRPr="005645F5">
        <w:rPr>
          <w:rFonts w:ascii="Verdana" w:eastAsia="Verdana" w:hAnsi="Verdana" w:cs="Verdana"/>
          <w:szCs w:val="22"/>
        </w:rPr>
        <w:t xml:space="preserve"> uzupełnić wykorzystanie bibliotek multimedialnych również jako lokalnych centrów informacji publicznej, w których udzielana będzie pomoc mieszkańcom w korzystaniu z e-usług administracji publicznej, służących do komunikacji obywateli z jednostkami administracji publicznej.</w:t>
      </w:r>
    </w:p>
    <w:p w14:paraId="0000000E" w14:textId="6FA14A4B" w:rsidR="00E254DD" w:rsidRPr="005645F5" w:rsidRDefault="00C62ECD" w:rsidP="008706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Cs w:val="22"/>
        </w:rPr>
      </w:pPr>
      <w:r w:rsidRPr="005645F5">
        <w:rPr>
          <w:rFonts w:ascii="Verdana" w:eastAsia="Verdana" w:hAnsi="Verdana" w:cs="Verdana"/>
          <w:color w:val="000000"/>
          <w:szCs w:val="22"/>
        </w:rPr>
        <w:t>W całym programie nale</w:t>
      </w:r>
      <w:r w:rsidR="005645F5">
        <w:rPr>
          <w:rFonts w:ascii="Verdana" w:eastAsia="Verdana" w:hAnsi="Verdana" w:cs="Verdana"/>
          <w:color w:val="000000"/>
          <w:szCs w:val="22"/>
        </w:rPr>
        <w:t>ży uporządkować pojęcia „</w:t>
      </w:r>
      <w:proofErr w:type="spellStart"/>
      <w:r w:rsidR="005645F5">
        <w:rPr>
          <w:rFonts w:ascii="Verdana" w:eastAsia="Verdana" w:hAnsi="Verdana" w:cs="Verdana"/>
          <w:color w:val="000000"/>
          <w:szCs w:val="22"/>
        </w:rPr>
        <w:t>ngo</w:t>
      </w:r>
      <w:proofErr w:type="spellEnd"/>
      <w:r w:rsidR="005645F5">
        <w:rPr>
          <w:rFonts w:ascii="Verdana" w:eastAsia="Verdana" w:hAnsi="Verdana" w:cs="Verdana"/>
          <w:color w:val="000000"/>
          <w:szCs w:val="22"/>
        </w:rPr>
        <w:t>” i </w:t>
      </w:r>
      <w:r w:rsidRPr="005645F5">
        <w:rPr>
          <w:rFonts w:ascii="Verdana" w:eastAsia="Verdana" w:hAnsi="Verdana" w:cs="Verdana"/>
          <w:color w:val="000000"/>
          <w:szCs w:val="22"/>
        </w:rPr>
        <w:t xml:space="preserve">„organizacje pozarządowe”, które są stosowane zamiennie. Ponadto pojawiają się w niektórych sytuacjach „podmioty ekonomii społecznej” albo osobno, albo w połączeniu z organizacjami </w:t>
      </w:r>
      <w:r w:rsidRPr="005645F5">
        <w:rPr>
          <w:rFonts w:ascii="Verdana" w:eastAsia="Verdana" w:hAnsi="Verdana" w:cs="Verdana"/>
          <w:color w:val="000000"/>
          <w:szCs w:val="22"/>
        </w:rPr>
        <w:lastRenderedPageBreak/>
        <w:t>pozarządowymi. Rekomendujemy używanie pojęcia „podmioty ekonomii społecznej, w tym organizacje pozarządowe”.</w:t>
      </w:r>
    </w:p>
    <w:p w14:paraId="00000010" w14:textId="19AC06A6" w:rsidR="00E254DD" w:rsidRPr="005645F5" w:rsidRDefault="00E254DD" w:rsidP="003302EA">
      <w:pPr>
        <w:spacing w:line="276" w:lineRule="auto"/>
        <w:rPr>
          <w:rFonts w:ascii="Verdana" w:eastAsia="Verdana" w:hAnsi="Verdana" w:cs="Verdana"/>
          <w:szCs w:val="22"/>
        </w:rPr>
      </w:pPr>
    </w:p>
    <w:p w14:paraId="00000011" w14:textId="457FAFB5" w:rsidR="00E254DD" w:rsidRPr="005645F5" w:rsidRDefault="005645F5" w:rsidP="003302EA">
      <w:pPr>
        <w:spacing w:line="276" w:lineRule="auto"/>
        <w:jc w:val="center"/>
        <w:rPr>
          <w:rFonts w:ascii="Verdana" w:eastAsia="Verdana" w:hAnsi="Verdana" w:cs="Verdana"/>
          <w:b/>
          <w:szCs w:val="22"/>
        </w:rPr>
      </w:pPr>
      <w:r>
        <w:rPr>
          <w:rFonts w:ascii="Verdana" w:eastAsia="Verdana" w:hAnsi="Verdana" w:cs="Verdana"/>
          <w:b/>
          <w:szCs w:val="22"/>
        </w:rPr>
        <w:t xml:space="preserve">§ </w:t>
      </w:r>
      <w:r w:rsidR="003302EA">
        <w:rPr>
          <w:rFonts w:ascii="Verdana" w:eastAsia="Verdana" w:hAnsi="Verdana" w:cs="Verdana"/>
          <w:b/>
          <w:szCs w:val="22"/>
        </w:rPr>
        <w:t>3</w:t>
      </w:r>
    </w:p>
    <w:p w14:paraId="00000012" w14:textId="348ED8DB" w:rsidR="00E254DD" w:rsidRPr="005645F5" w:rsidRDefault="00C62ECD" w:rsidP="00E3584B">
      <w:pPr>
        <w:spacing w:line="276" w:lineRule="auto"/>
        <w:rPr>
          <w:rFonts w:ascii="Verdana" w:eastAsia="Verdana" w:hAnsi="Verdana" w:cs="Verdana"/>
          <w:szCs w:val="22"/>
        </w:rPr>
      </w:pPr>
      <w:bookmarkStart w:id="2" w:name="_heading=h.1fob9te" w:colFirst="0" w:colLast="0"/>
      <w:bookmarkEnd w:id="2"/>
      <w:r w:rsidRPr="005645F5">
        <w:rPr>
          <w:rFonts w:ascii="Verdana" w:eastAsia="Verdana" w:hAnsi="Verdana" w:cs="Verdana"/>
          <w:szCs w:val="22"/>
        </w:rPr>
        <w:t>Za potrzebne i cenne społecznie Rada uważa działania dotyczące miejsc aktywności lokalnej. Działania te będ</w:t>
      </w:r>
      <w:r w:rsidR="005645F5">
        <w:rPr>
          <w:rFonts w:ascii="Verdana" w:eastAsia="Verdana" w:hAnsi="Verdana" w:cs="Verdana"/>
          <w:szCs w:val="22"/>
        </w:rPr>
        <w:t>ą mogły być finansowane także w </w:t>
      </w:r>
      <w:r w:rsidRPr="005645F5">
        <w:rPr>
          <w:rFonts w:ascii="Verdana" w:eastAsia="Verdana" w:hAnsi="Verdana" w:cs="Verdana"/>
          <w:szCs w:val="22"/>
        </w:rPr>
        <w:t xml:space="preserve">ramach poszczególnych Regionalnych Programów Operacyjnych, jednak ich pozostawienie w FEPW znacznie wzmacnia i rozszerza potencjalny zakres interwencji we wspominanym obszarze. Rada opowiada się więc </w:t>
      </w:r>
      <w:r w:rsidR="005645F5">
        <w:rPr>
          <w:rFonts w:ascii="Verdana" w:eastAsia="Verdana" w:hAnsi="Verdana" w:cs="Verdana"/>
          <w:szCs w:val="22"/>
        </w:rPr>
        <w:t xml:space="preserve">za pozostawieniem ww. działań w </w:t>
      </w:r>
      <w:r w:rsidRPr="005645F5">
        <w:rPr>
          <w:rFonts w:ascii="Verdana" w:eastAsia="Verdana" w:hAnsi="Verdana" w:cs="Verdana"/>
          <w:szCs w:val="22"/>
        </w:rPr>
        <w:t>treści FEPW.</w:t>
      </w:r>
    </w:p>
    <w:p w14:paraId="00000015" w14:textId="77777777" w:rsidR="00E254DD" w:rsidRPr="005645F5" w:rsidRDefault="00E254DD" w:rsidP="00E3584B">
      <w:pPr>
        <w:spacing w:line="276" w:lineRule="auto"/>
        <w:rPr>
          <w:rFonts w:ascii="Verdana" w:eastAsia="Verdana" w:hAnsi="Verdana" w:cs="Verdana"/>
          <w:szCs w:val="22"/>
        </w:rPr>
      </w:pPr>
    </w:p>
    <w:p w14:paraId="00000016" w14:textId="4F43272E" w:rsidR="00E254DD" w:rsidRPr="005645F5" w:rsidRDefault="005645F5" w:rsidP="00E3584B">
      <w:pPr>
        <w:spacing w:line="276" w:lineRule="auto"/>
        <w:jc w:val="center"/>
        <w:rPr>
          <w:rFonts w:ascii="Verdana" w:eastAsia="Verdana" w:hAnsi="Verdana" w:cs="Verdana"/>
          <w:szCs w:val="22"/>
        </w:rPr>
      </w:pPr>
      <w:r>
        <w:rPr>
          <w:rFonts w:ascii="Verdana" w:eastAsia="Verdana" w:hAnsi="Verdana" w:cs="Verdana"/>
          <w:b/>
          <w:szCs w:val="22"/>
        </w:rPr>
        <w:t xml:space="preserve">§ </w:t>
      </w:r>
      <w:r w:rsidR="003302EA">
        <w:rPr>
          <w:rFonts w:ascii="Verdana" w:eastAsia="Verdana" w:hAnsi="Verdana" w:cs="Verdana"/>
          <w:b/>
          <w:szCs w:val="22"/>
        </w:rPr>
        <w:t>4</w:t>
      </w:r>
    </w:p>
    <w:p w14:paraId="6D3933B2" w14:textId="77777777" w:rsidR="003C17AD" w:rsidRPr="00210352" w:rsidRDefault="003C17AD" w:rsidP="00E3584B">
      <w:pPr>
        <w:spacing w:line="276" w:lineRule="auto"/>
        <w:rPr>
          <w:rFonts w:ascii="Verdana" w:hAnsi="Verdana"/>
        </w:rPr>
      </w:pPr>
      <w:r w:rsidRPr="00210352">
        <w:rPr>
          <w:rFonts w:ascii="Verdana" w:hAnsi="Verdana"/>
        </w:rPr>
        <w:t>Rada wnosi o przekazanie niniejszej uchwały:</w:t>
      </w:r>
    </w:p>
    <w:p w14:paraId="46813571" w14:textId="77777777" w:rsidR="003C17AD" w:rsidRPr="00210352" w:rsidRDefault="003C17AD" w:rsidP="00E3584B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210352">
        <w:rPr>
          <w:rFonts w:ascii="Verdana" w:hAnsi="Verdana"/>
        </w:rPr>
        <w:t>Prezesowi Rady Ministrów;</w:t>
      </w:r>
    </w:p>
    <w:p w14:paraId="65EBFA9A" w14:textId="77777777" w:rsidR="003C17AD" w:rsidRPr="00210352" w:rsidRDefault="003C17AD" w:rsidP="00E3584B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210352">
        <w:rPr>
          <w:rFonts w:ascii="Verdana" w:hAnsi="Verdana"/>
        </w:rPr>
        <w:t>Ministrowi Finansów, Funduszy i Polityki Regionalnej;</w:t>
      </w:r>
    </w:p>
    <w:p w14:paraId="28F9DBE2" w14:textId="77777777" w:rsidR="003C17AD" w:rsidRPr="00210352" w:rsidRDefault="003C17AD" w:rsidP="00E3584B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210352">
        <w:rPr>
          <w:rFonts w:ascii="Verdana" w:hAnsi="Verdana"/>
        </w:rPr>
        <w:t xml:space="preserve">Komisji Europejskiej oraz Przedstawicielstwu Komisji Europejskiej </w:t>
      </w:r>
      <w:r w:rsidRPr="00210352">
        <w:rPr>
          <w:rFonts w:ascii="Verdana" w:hAnsi="Verdana"/>
        </w:rPr>
        <w:br/>
        <w:t>w Polsce;</w:t>
      </w:r>
    </w:p>
    <w:p w14:paraId="14754332" w14:textId="77777777" w:rsidR="003C17AD" w:rsidRPr="00210352" w:rsidRDefault="003C17AD" w:rsidP="00E3584B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210352">
        <w:rPr>
          <w:rFonts w:ascii="Verdana" w:hAnsi="Verdana"/>
        </w:rPr>
        <w:t>Przewodniczącemu Podkomitetu ds. Realizacji Rozwoju Partnerstwa;</w:t>
      </w:r>
    </w:p>
    <w:p w14:paraId="719FA3B0" w14:textId="77777777" w:rsidR="003C17AD" w:rsidRPr="00210352" w:rsidRDefault="003C17AD" w:rsidP="00E3584B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210352">
        <w:rPr>
          <w:rFonts w:ascii="Verdana" w:hAnsi="Verdana"/>
        </w:rPr>
        <w:t>polskim członkom Europejskiego Komitetu Ekonomiczno- Społecznego;</w:t>
      </w:r>
    </w:p>
    <w:p w14:paraId="14577E91" w14:textId="77777777" w:rsidR="003C17AD" w:rsidRPr="00210352" w:rsidRDefault="003C17AD" w:rsidP="00E3584B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Verdana" w:hAnsi="Verdana"/>
        </w:rPr>
      </w:pPr>
      <w:r w:rsidRPr="00210352">
        <w:rPr>
          <w:rFonts w:ascii="Verdana" w:hAnsi="Verdana"/>
        </w:rPr>
        <w:t>Komitetowi Umowy Partnerstwa oraz Podkomitetowi ds. rozwoju partnerstwa.</w:t>
      </w:r>
    </w:p>
    <w:p w14:paraId="7B8F3AB3" w14:textId="77777777" w:rsidR="00E3584B" w:rsidRDefault="00E3584B" w:rsidP="00E3584B">
      <w:pPr>
        <w:spacing w:line="276" w:lineRule="auto"/>
        <w:jc w:val="center"/>
        <w:rPr>
          <w:rFonts w:ascii="Verdana" w:eastAsia="Verdana" w:hAnsi="Verdana" w:cs="Verdana"/>
          <w:b/>
          <w:szCs w:val="22"/>
        </w:rPr>
      </w:pPr>
    </w:p>
    <w:p w14:paraId="765808AF" w14:textId="4B7BF010" w:rsidR="003302EA" w:rsidRDefault="00203734" w:rsidP="00E3584B">
      <w:pPr>
        <w:spacing w:line="276" w:lineRule="auto"/>
        <w:jc w:val="center"/>
        <w:rPr>
          <w:rFonts w:ascii="Verdana" w:eastAsia="Verdana" w:hAnsi="Verdana" w:cs="Verdana"/>
          <w:szCs w:val="22"/>
        </w:rPr>
      </w:pPr>
      <w:r>
        <w:rPr>
          <w:rFonts w:ascii="Verdana" w:eastAsia="Verdana" w:hAnsi="Verdana" w:cs="Verdana"/>
          <w:b/>
          <w:szCs w:val="22"/>
        </w:rPr>
        <w:t>§ 5</w:t>
      </w:r>
      <w:bookmarkStart w:id="3" w:name="_GoBack"/>
      <w:bookmarkEnd w:id="3"/>
    </w:p>
    <w:p w14:paraId="00000017" w14:textId="53B8DF36" w:rsidR="00E254DD" w:rsidRPr="005645F5" w:rsidRDefault="00C62ECD" w:rsidP="00E3584B">
      <w:pPr>
        <w:spacing w:line="276" w:lineRule="auto"/>
        <w:rPr>
          <w:rFonts w:ascii="Verdana" w:eastAsia="Verdana" w:hAnsi="Verdana" w:cs="Verdana"/>
          <w:szCs w:val="22"/>
        </w:rPr>
      </w:pPr>
      <w:r w:rsidRPr="005645F5">
        <w:rPr>
          <w:rFonts w:ascii="Verdana" w:eastAsia="Verdana" w:hAnsi="Verdana" w:cs="Verdana"/>
          <w:szCs w:val="22"/>
        </w:rPr>
        <w:t>Uchwała wchodzi w życie z dniem podjęcia.</w:t>
      </w:r>
    </w:p>
    <w:sectPr w:rsidR="00E254DD" w:rsidRPr="005645F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C3A85" w14:textId="77777777" w:rsidR="00657D1B" w:rsidRDefault="00657D1B">
      <w:r>
        <w:separator/>
      </w:r>
    </w:p>
  </w:endnote>
  <w:endnote w:type="continuationSeparator" w:id="0">
    <w:p w14:paraId="62470234" w14:textId="77777777" w:rsidR="00657D1B" w:rsidRDefault="0065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7777777" w:rsidR="00E254DD" w:rsidRDefault="00E254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D29CB" w14:textId="77777777" w:rsidR="00657D1B" w:rsidRDefault="00657D1B">
      <w:r>
        <w:separator/>
      </w:r>
    </w:p>
  </w:footnote>
  <w:footnote w:type="continuationSeparator" w:id="0">
    <w:p w14:paraId="32D6BAA7" w14:textId="77777777" w:rsidR="00657D1B" w:rsidRDefault="0065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DD6A2F"/>
    <w:multiLevelType w:val="multilevel"/>
    <w:tmpl w:val="94504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0E72"/>
    <w:multiLevelType w:val="multilevel"/>
    <w:tmpl w:val="BEE4A2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647A0"/>
    <w:multiLevelType w:val="hybridMultilevel"/>
    <w:tmpl w:val="2BB8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DD"/>
    <w:rsid w:val="00203734"/>
    <w:rsid w:val="003302EA"/>
    <w:rsid w:val="003C17AD"/>
    <w:rsid w:val="005645F5"/>
    <w:rsid w:val="00657D1B"/>
    <w:rsid w:val="00870684"/>
    <w:rsid w:val="00BC121B"/>
    <w:rsid w:val="00BC200A"/>
    <w:rsid w:val="00C62ECD"/>
    <w:rsid w:val="00E254DD"/>
    <w:rsid w:val="00E3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1345"/>
  <w15:docId w15:val="{431CB97F-B2CF-4A50-A2DD-55DD94EC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p3L87bziNilYgrMzeb9Dkvx/mA==">AMUW2mW4HsITC8WHAZsReOF7n7W3FIkVKzWG6PRcjvBFD6OGD8OL6z6Oya+3BOrCYIffO1axJ3jgetgqEFdzUM40Z1c+WGHznyxGdEIWDUzDFfgIrUoES43ex0LH7ixCqhIGA1/EJeoe00klMP1YcZBmeN23qcpY1g==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 Oskar</dc:creator>
  <cp:lastModifiedBy>Krupa Katarzyna (DOB)</cp:lastModifiedBy>
  <cp:revision>6</cp:revision>
  <dcterms:created xsi:type="dcterms:W3CDTF">2021-04-19T13:37:00Z</dcterms:created>
  <dcterms:modified xsi:type="dcterms:W3CDTF">2021-04-20T14:40:00Z</dcterms:modified>
</cp:coreProperties>
</file>