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1F" w:rsidRDefault="0077561F" w:rsidP="007756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815D9">
        <w:rPr>
          <w:rFonts w:ascii="Times New Roman" w:hAnsi="Times New Roman"/>
        </w:rPr>
        <w:t>Załącznik B.</w:t>
      </w:r>
      <w:r w:rsidR="002815D9" w:rsidRPr="002815D9">
        <w:rPr>
          <w:rFonts w:ascii="Times New Roman" w:hAnsi="Times New Roman"/>
        </w:rPr>
        <w:t>52</w:t>
      </w:r>
      <w:r w:rsidRPr="002815D9">
        <w:rPr>
          <w:rFonts w:ascii="Times New Roman" w:hAnsi="Times New Roman"/>
        </w:rPr>
        <w:t>.</w:t>
      </w:r>
    </w:p>
    <w:p w:rsidR="0077561F" w:rsidRPr="002815D9" w:rsidRDefault="0077561F" w:rsidP="007756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p w:rsidR="0077561F" w:rsidRPr="0077561F" w:rsidRDefault="0077561F" w:rsidP="007756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561F">
        <w:rPr>
          <w:rFonts w:ascii="Times New Roman" w:hAnsi="Times New Roman"/>
          <w:b/>
          <w:sz w:val="28"/>
          <w:szCs w:val="28"/>
        </w:rPr>
        <w:t xml:space="preserve">LECZENIE </w:t>
      </w:r>
      <w:r w:rsidR="002A6749">
        <w:rPr>
          <w:rFonts w:ascii="Times New Roman" w:hAnsi="Times New Roman"/>
          <w:b/>
          <w:sz w:val="28"/>
          <w:szCs w:val="28"/>
        </w:rPr>
        <w:t> </w:t>
      </w:r>
      <w:r w:rsidRPr="0077561F">
        <w:rPr>
          <w:rFonts w:ascii="Times New Roman" w:hAnsi="Times New Roman"/>
          <w:b/>
          <w:sz w:val="28"/>
          <w:szCs w:val="28"/>
        </w:rPr>
        <w:t xml:space="preserve">PŁASKONABŁONKOWEGO </w:t>
      </w:r>
      <w:r w:rsidR="002A6749">
        <w:rPr>
          <w:rFonts w:ascii="Times New Roman" w:hAnsi="Times New Roman"/>
          <w:b/>
          <w:sz w:val="28"/>
          <w:szCs w:val="28"/>
        </w:rPr>
        <w:t> </w:t>
      </w:r>
      <w:r w:rsidRPr="0077561F">
        <w:rPr>
          <w:rFonts w:ascii="Times New Roman" w:hAnsi="Times New Roman"/>
          <w:b/>
          <w:sz w:val="28"/>
          <w:szCs w:val="28"/>
        </w:rPr>
        <w:t xml:space="preserve">RAKA </w:t>
      </w:r>
      <w:r w:rsidR="002A6749">
        <w:rPr>
          <w:rFonts w:ascii="Times New Roman" w:hAnsi="Times New Roman"/>
          <w:b/>
          <w:sz w:val="28"/>
          <w:szCs w:val="28"/>
        </w:rPr>
        <w:t> </w:t>
      </w:r>
      <w:r w:rsidR="005E557A" w:rsidRPr="005E557A">
        <w:rPr>
          <w:rFonts w:ascii="Times New Roman" w:hAnsi="Times New Roman"/>
          <w:b/>
          <w:sz w:val="28"/>
          <w:szCs w:val="28"/>
        </w:rPr>
        <w:t>NARZĄDÓ</w:t>
      </w:r>
      <w:r w:rsidRPr="005E557A">
        <w:rPr>
          <w:rFonts w:ascii="Times New Roman" w:hAnsi="Times New Roman"/>
          <w:b/>
          <w:sz w:val="28"/>
          <w:szCs w:val="28"/>
        </w:rPr>
        <w:t>W</w:t>
      </w:r>
      <w:r w:rsidRPr="0077561F">
        <w:rPr>
          <w:rFonts w:ascii="Times New Roman" w:hAnsi="Times New Roman"/>
          <w:b/>
          <w:sz w:val="28"/>
          <w:szCs w:val="28"/>
        </w:rPr>
        <w:t xml:space="preserve"> GŁOWY I SZYI </w:t>
      </w:r>
      <w:r w:rsidRPr="0077561F">
        <w:rPr>
          <w:rFonts w:ascii="Times New Roman" w:hAnsi="Times New Roman"/>
          <w:b/>
          <w:caps/>
          <w:sz w:val="28"/>
          <w:szCs w:val="28"/>
        </w:rPr>
        <w:t>w skojarzeniu z</w:t>
      </w:r>
      <w:r w:rsidR="005A5840">
        <w:rPr>
          <w:rFonts w:ascii="Times New Roman" w:hAnsi="Times New Roman"/>
          <w:b/>
          <w:caps/>
          <w:sz w:val="28"/>
          <w:szCs w:val="28"/>
        </w:rPr>
        <w:t> </w:t>
      </w:r>
      <w:r w:rsidRPr="0077561F">
        <w:rPr>
          <w:rFonts w:ascii="Times New Roman" w:hAnsi="Times New Roman"/>
          <w:b/>
          <w:caps/>
          <w:sz w:val="28"/>
          <w:szCs w:val="28"/>
        </w:rPr>
        <w:t>radioterapią w miejscowo zaawansowanej chorobie</w:t>
      </w:r>
      <w:r w:rsidRPr="0077561F">
        <w:rPr>
          <w:rFonts w:ascii="Times New Roman" w:hAnsi="Times New Roman"/>
          <w:b/>
          <w:sz w:val="28"/>
          <w:szCs w:val="28"/>
        </w:rPr>
        <w:t xml:space="preserve"> (ICD-10  C01, C05.0, C05.1, C05.2, C05.8, C05.9, C09.0, C09.1, C09.8, C09.9, C10.0, C10.1, C10.2, C10.3, C10.4, C10.8, C10.9, C12, C13.0, C13.1, C13.2, C13.8, C13.9, C32.0, C32.1, C32.2, C32.3, C32.8, C32.9)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677"/>
        <w:gridCol w:w="5404"/>
      </w:tblGrid>
      <w:tr w:rsidR="0077561F" w:rsidRPr="0077561F" w:rsidTr="0077561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2F3F10" w:rsidRPr="0077561F" w:rsidTr="002F3F10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77561F" w:rsidRPr="0077561F" w:rsidTr="002F3F10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1. Leczenie płaskonabłonkowego raka narządów głowy i szyi przy wykorzystaniu substancji czynnej cetuksymab</w:t>
            </w:r>
          </w:p>
          <w:p w:rsidR="0077561F" w:rsidRPr="0077561F" w:rsidRDefault="0077561F" w:rsidP="0077561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1.1. Kryteria kwalifikacji:</w:t>
            </w:r>
          </w:p>
          <w:p w:rsidR="0077561F" w:rsidRPr="0077561F" w:rsidRDefault="0077561F" w:rsidP="002F3F10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do programu kwalifikowani są dorośli pacjenci</w:t>
            </w:r>
            <w:r w:rsidRPr="0077561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z  potwierdzeniem histologicznego rozpoznania płaskonabłonkowego raka narządów głowy i szyi (lokalizacja – ustna część gardła, krtaniowa część gardła lub krtań) ustalonego  na podstawie badania materiału uzyskanego przez biopsję wycinkową ogniska pierwotnego nowotworu lub przerzutowo zmienionych regionalnych węzłów chłonnych;</w:t>
            </w:r>
          </w:p>
          <w:p w:rsidR="0077561F" w:rsidRPr="0077561F" w:rsidRDefault="0077561F" w:rsidP="002F3F10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potwierdzenie zaawansowania w stopniach III lub IV (z wyłączeniem stopnia T1N1 i wykluczeniem obecności przerzutów w odległych  narządach) ustalone na podstawie badania przedmiotowego i badań obrazowych;</w:t>
            </w:r>
          </w:p>
          <w:p w:rsidR="0077561F" w:rsidRPr="0077561F" w:rsidRDefault="0077561F" w:rsidP="002F3F10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wykluczenie stosowania uprzedniego  leczenia przyczynowego z wyłączeniem chirurgicznej biopsji wycinkowej;</w:t>
            </w:r>
          </w:p>
          <w:p w:rsidR="0077561F" w:rsidRPr="0077561F" w:rsidRDefault="0077561F" w:rsidP="007553CD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potwierdzenie możliwości obiektywnej oceny zaawansowania miejscowego i regionalnego na podstawie badania przedmiotowego (w tym –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fiberoskopia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) oraz badania komputerowej tomografii (TK) lub magnetycznego</w:t>
            </w:r>
            <w:r w:rsidR="007553CD">
              <w:rPr>
                <w:rFonts w:ascii="Times New Roman" w:hAnsi="Times New Roman"/>
                <w:sz w:val="20"/>
                <w:szCs w:val="20"/>
              </w:rPr>
              <w:t xml:space="preserve"> rezonansu (MR) z wykluczeniem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nacieku chrząstki tarczowatej lub kości żuchwy lub skóry;</w:t>
            </w:r>
          </w:p>
          <w:p w:rsidR="0077561F" w:rsidRPr="0077561F" w:rsidRDefault="0077561F" w:rsidP="002F3F10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lastRenderedPageBreak/>
              <w:t>wykluczenie obecności przerzutów odległych przynajmniej na podstawie rentgenografii klatki piersiowej w dwóch projekcjach i ultrasonografii jamy brzusznej;</w:t>
            </w:r>
          </w:p>
          <w:p w:rsidR="0077561F" w:rsidRPr="0077561F" w:rsidRDefault="0077561F" w:rsidP="002F3F10">
            <w:pPr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potwierdzenie obecności medycznych przeciwwskazań do jednoczesnej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chemioradioterapii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z udziałem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cisplatyny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, w tym:</w:t>
            </w:r>
          </w:p>
          <w:p w:rsidR="0077561F" w:rsidRPr="0077561F" w:rsidRDefault="0077561F" w:rsidP="002F3F10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zaburzenia czynności nerek – (jeden z wymienionych stanów- przewlekła choroba nerek w wywiadzie, stwierdzenie wartości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klirensu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kreatyniny poniżej 50ml/min. bez związku z przejściowym odwodnieniem lub potwierdzenie w przynajmniej dwóch badaniach podwyższonej wartości stężenia kreatyniny i/lub mocznika bez związku z przejściowym odwodnieniem),</w:t>
            </w:r>
          </w:p>
          <w:p w:rsidR="0077561F" w:rsidRPr="0077561F" w:rsidRDefault="0077561F" w:rsidP="002F3F10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choroby narządu słuchu ( w tym niedosłuch potwierdzony badaniem laryngologicznym lub - w przypadku wątpliwości- badaniem audiometrycznym),</w:t>
            </w:r>
          </w:p>
          <w:p w:rsidR="0077561F" w:rsidRPr="0077561F" w:rsidRDefault="0077561F" w:rsidP="002F3F10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polineuropatia potwierdzona badaniem neurologicznym;</w:t>
            </w:r>
          </w:p>
          <w:p w:rsidR="0077561F" w:rsidRPr="0077561F" w:rsidRDefault="0077561F" w:rsidP="003E18BF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potwierdzenie sprawności w stopniu 0 lub 1 według klasyfikacji WHO; </w:t>
            </w:r>
          </w:p>
          <w:p w:rsidR="0077561F" w:rsidRPr="0077561F" w:rsidRDefault="0077561F" w:rsidP="003E18BF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wykluczenie ciąży lub karmienia piersią;</w:t>
            </w:r>
          </w:p>
          <w:p w:rsidR="0077561F" w:rsidRPr="0077561F" w:rsidRDefault="0077561F" w:rsidP="003E18BF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wykluczenie współwystępowania innych nowotworów złośliwych:</w:t>
            </w:r>
          </w:p>
          <w:p w:rsidR="0077561F" w:rsidRPr="0077561F" w:rsidRDefault="0077561F" w:rsidP="007553CD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 lub w trakcie leczenia o założeniu paliatywnym niezależnie od kategorii uzyskanej odpowiedzi oraz,</w:t>
            </w:r>
          </w:p>
          <w:p w:rsidR="0077561F" w:rsidRPr="0077561F" w:rsidRDefault="0077561F" w:rsidP="007553CD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 leczeniu o założeniu radykalnym, którym nie uzyskano całkowitej remisji choroby;</w:t>
            </w:r>
          </w:p>
          <w:p w:rsidR="0077561F" w:rsidRPr="0077561F" w:rsidRDefault="0077561F" w:rsidP="007553CD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potwierdzenie zachowanej wydolności narządowej określonej na podstawie wyników badań laboratoryjnych: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"/>
              </w:numPr>
              <w:spacing w:after="0"/>
              <w:ind w:left="440" w:firstLine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czynności wątroby: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7"/>
              </w:numPr>
              <w:spacing w:after="0"/>
              <w:ind w:left="993" w:hanging="285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stęże</w:t>
            </w:r>
            <w:r w:rsidR="005E557A">
              <w:rPr>
                <w:rFonts w:ascii="Times New Roman" w:hAnsi="Times New Roman"/>
                <w:sz w:val="20"/>
                <w:szCs w:val="20"/>
              </w:rPr>
              <w:t>nie bilirubiny całkowitej ≤ 1,5-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krotnej wartości górnej granicy normy;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7"/>
              </w:numPr>
              <w:spacing w:after="0"/>
              <w:ind w:left="993" w:hanging="285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aktywność transaminaz alaninowej i asparaginowej w surowicy ≤ 5</w:t>
            </w:r>
            <w:r w:rsidRPr="005E557A">
              <w:rPr>
                <w:rFonts w:ascii="Times New Roman" w:hAnsi="Times New Roman"/>
                <w:sz w:val="20"/>
                <w:szCs w:val="20"/>
              </w:rPr>
              <w:t>-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krotnej wartości górnej granicy normy;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"/>
              </w:numPr>
              <w:spacing w:after="0"/>
              <w:ind w:left="567" w:hanging="127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morfologii krwi z rozmazem: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8"/>
              </w:numPr>
              <w:spacing w:after="0"/>
              <w:ind w:left="993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stężenie hemoglobiny ≥ 10,0g/dl</w:t>
            </w:r>
            <w:r w:rsidR="002C19A4" w:rsidRPr="005E55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8"/>
              </w:numPr>
              <w:spacing w:after="0"/>
              <w:ind w:left="993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poziom leukocytów &gt; 3 000/mm</w:t>
            </w:r>
            <w:r w:rsidRPr="0077561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5E55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8"/>
              </w:numPr>
              <w:spacing w:after="0"/>
              <w:ind w:left="993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lastRenderedPageBreak/>
              <w:t>poziom neutrofili &gt; 1 500/mm</w:t>
            </w:r>
            <w:r w:rsidRPr="0077561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5E55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561F" w:rsidRPr="0077561F" w:rsidRDefault="0077561F" w:rsidP="007553CD">
            <w:pPr>
              <w:pStyle w:val="Akapitzlist"/>
              <w:numPr>
                <w:ilvl w:val="0"/>
                <w:numId w:val="18"/>
              </w:numPr>
              <w:spacing w:after="0"/>
              <w:ind w:left="993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poziom płytek krwi &gt; 100 000/mm</w:t>
            </w:r>
            <w:r w:rsidRPr="0077561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561F" w:rsidRPr="007553CD" w:rsidRDefault="0077561F" w:rsidP="007553C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wykluczenie niekontrolowanych chorób układu sercowo-naczyniowego.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1.2. Określenie czasu leczenia w programie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Całkowity czas trwania leczenia w ramach programu oznacza okres między podaniem pierwszej – wyprzedzającej napromienianie – dawki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cetuksymabu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i dniem zakończenia radioterapii. Leczenie może być przerwane w momencie podjęcia przez lekarza prowadzącego decyzji o wyłączeniu świadczeniobiorcy z programu, zgodnie z kryteriami wyłączenia z programu.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1.3. Kryteria wyłączenia z programu</w:t>
            </w:r>
          </w:p>
          <w:p w:rsidR="0077561F" w:rsidRPr="0077561F" w:rsidRDefault="0077561F" w:rsidP="00755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wystąpienie nasilonej reakcji infuzyjnej po podaniu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cetuksymabu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561F" w:rsidRPr="0077561F" w:rsidRDefault="0077561F" w:rsidP="00755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wystąpienie wysypki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trądzikopodo</w:t>
            </w:r>
            <w:r w:rsidR="007553CD">
              <w:rPr>
                <w:rFonts w:ascii="Times New Roman" w:hAnsi="Times New Roman"/>
                <w:sz w:val="20"/>
                <w:szCs w:val="20"/>
              </w:rPr>
              <w:t>bnej</w:t>
            </w:r>
            <w:proofErr w:type="spellEnd"/>
            <w:r w:rsidR="007553CD">
              <w:rPr>
                <w:rFonts w:ascii="Times New Roman" w:hAnsi="Times New Roman"/>
                <w:sz w:val="20"/>
                <w:szCs w:val="20"/>
              </w:rPr>
              <w:t xml:space="preserve"> o przynajmniej 3 stopniu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nasilenia po raz czwarty z kolei lub brak zmniejszenia się nasilenia wysypki do 2 stopnia w okresie przerwy w podawaniu leku;</w:t>
            </w:r>
          </w:p>
          <w:p w:rsidR="0077561F" w:rsidRPr="0077561F" w:rsidRDefault="0077561F" w:rsidP="00755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definitywne przerwanie napromieniania z jakichkolwiek przyczyn;</w:t>
            </w:r>
          </w:p>
          <w:p w:rsidR="0077561F" w:rsidRPr="0077561F" w:rsidRDefault="0077561F" w:rsidP="007553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wystąpienie nasilonych odczynów popromiennych lub powikłań ogólnoustrojowych skutkujące dłuższą niż 2 tygodnie przerwą w napromienieniu.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 Cetuksymab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1.1. Przed pierwszym i kolejnymi zastosowaniami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cetuksymabu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konieczna jest premedykacja z udziałem leku przeciwhi</w:t>
            </w:r>
            <w:r w:rsidR="007553CD">
              <w:rPr>
                <w:rFonts w:ascii="Times New Roman" w:hAnsi="Times New Roman"/>
                <w:sz w:val="20"/>
                <w:szCs w:val="20"/>
              </w:rPr>
              <w:t xml:space="preserve">staminowego i kortykosteroidu.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Lek musi być podawany pod nadzorem lekarza doświadczonego w stosowaniu leków przeciwnowotworowych, a w czasie wlewu oraz przynajmniej przez godzinę po jego zakończeniu konieczne jest ścisłe monitorowanie st</w:t>
            </w:r>
            <w:r w:rsidR="007553CD">
              <w:rPr>
                <w:rFonts w:ascii="Times New Roman" w:hAnsi="Times New Roman"/>
                <w:sz w:val="20"/>
                <w:szCs w:val="20"/>
              </w:rPr>
              <w:t xml:space="preserve">anu pacjenta przy jednoczesnym 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zapewnieniu dostępności sprzętu resuscytacyjnego.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1.2. Cetuksymab podawany jest raz w tygodniu.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1.3. Cetuksymab w dawce 400 mg/m</w:t>
            </w:r>
            <w:r w:rsidRPr="0077561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podawany jest dożylnie po raz pierwszy 7 dni przed planowanym rozpoczęciem napromieniania (czas trwania pierwszego wlewu – 120 minut). </w:t>
            </w:r>
          </w:p>
          <w:p w:rsidR="0077561F" w:rsidRDefault="0077561F" w:rsidP="002F3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1.4. Kolejne dawki wynoszą 250 mg/m</w:t>
            </w:r>
            <w:r w:rsidRPr="0077561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– podania w 1 dniu radioterapii na 1-3 godziny przed frakcją napromieniani i następnie w analogiczny sposób w rytmie co tydzień do zakończenia radioterapii (czas trwania kolejnych wlewów – 60 min.).</w:t>
            </w:r>
          </w:p>
          <w:p w:rsidR="0077561F" w:rsidRPr="0077561F" w:rsidRDefault="0077561F" w:rsidP="002F3F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1.5. Łącznie, poza dawką indukcyjną poprzedzającą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napromienianie, chorzy otrzymują 6 (radioterapia przyspieszona) lub 7 (radioterapia frakcjonowana konwencjonalnie) podań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cetuksymabu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1.6. W trakcie kolejnych wlewów konieczne jest ścisłe monitorowanie stanu chorego w trakcie oraz przez godzinę po zakończeniu podawania leku.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>2. Planowanie i realizacja radioterapii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2.1. Napromienianie prowadzone jest przy użyciu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wysoenergetycznych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fotonów X indukowanych  w przyspieszaczu liniowym.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2.2. Radioterapia powinna być zaplanowana w oparciu o trójwymiarową rekonstrukcję badań obrazowych, zgodnie z wytycznymi ICRU odnośnie określania objętości napromienianej (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gross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tumor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volume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– GTV,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target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volume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– CTV,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planned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target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volume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– PTV).</w:t>
            </w:r>
          </w:p>
          <w:p w:rsidR="0077561F" w:rsidRPr="0077561F" w:rsidRDefault="007553CD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2.3. </w:t>
            </w:r>
            <w:r w:rsidR="0077561F" w:rsidRPr="0077561F">
              <w:rPr>
                <w:rFonts w:ascii="Times New Roman" w:hAnsi="Times New Roman"/>
                <w:sz w:val="20"/>
                <w:szCs w:val="20"/>
              </w:rPr>
              <w:t xml:space="preserve">Konieczne  jest stosowanie standardowej radioterapii 3D </w:t>
            </w:r>
            <w:proofErr w:type="spellStart"/>
            <w:r w:rsidR="0077561F" w:rsidRPr="0077561F">
              <w:rPr>
                <w:rFonts w:ascii="Times New Roman" w:hAnsi="Times New Roman"/>
                <w:sz w:val="20"/>
                <w:szCs w:val="20"/>
              </w:rPr>
              <w:t>konformalnej</w:t>
            </w:r>
            <w:proofErr w:type="spellEnd"/>
            <w:r w:rsidR="0077561F" w:rsidRPr="0077561F">
              <w:rPr>
                <w:rFonts w:ascii="Times New Roman" w:hAnsi="Times New Roman"/>
                <w:sz w:val="20"/>
                <w:szCs w:val="20"/>
              </w:rPr>
              <w:t xml:space="preserve"> lub napromieniania  z modulowaną intensywnością wiązki (IMRT).</w:t>
            </w:r>
          </w:p>
          <w:p w:rsidR="0077561F" w:rsidRPr="0077561F" w:rsidRDefault="0077561F" w:rsidP="002F3F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2.4. Frakcjonowanie dawki radioterapii zależne jest od preferencji ośrodka w następujących wariantach:</w:t>
            </w:r>
          </w:p>
          <w:p w:rsidR="0077561F" w:rsidRPr="0077561F" w:rsidRDefault="0077561F" w:rsidP="002F3F10">
            <w:pPr>
              <w:numPr>
                <w:ilvl w:val="0"/>
                <w:numId w:val="10"/>
              </w:numPr>
              <w:spacing w:after="0"/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frakcjonowani</w:t>
            </w:r>
            <w:r w:rsidR="005E557A">
              <w:rPr>
                <w:rFonts w:ascii="Times New Roman" w:hAnsi="Times New Roman"/>
                <w:sz w:val="20"/>
                <w:szCs w:val="20"/>
              </w:rPr>
              <w:t>a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557A" w:rsidRPr="0077561F">
              <w:rPr>
                <w:rFonts w:ascii="Times New Roman" w:hAnsi="Times New Roman"/>
                <w:sz w:val="20"/>
                <w:szCs w:val="20"/>
              </w:rPr>
              <w:t>konwencj</w:t>
            </w:r>
            <w:r w:rsidR="005E557A">
              <w:rPr>
                <w:rFonts w:ascii="Times New Roman" w:hAnsi="Times New Roman"/>
                <w:sz w:val="20"/>
                <w:szCs w:val="20"/>
              </w:rPr>
              <w:t>o</w:t>
            </w:r>
            <w:r w:rsidR="005E557A" w:rsidRPr="0077561F">
              <w:rPr>
                <w:rFonts w:ascii="Times New Roman" w:hAnsi="Times New Roman"/>
                <w:sz w:val="20"/>
                <w:szCs w:val="20"/>
              </w:rPr>
              <w:t>nalnego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="003E18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= 2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Gy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; 5 razy w tygodniu; TD = 70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Gy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77561F" w:rsidRPr="0077561F" w:rsidRDefault="0077561F" w:rsidP="002F3F10">
            <w:pPr>
              <w:numPr>
                <w:ilvl w:val="0"/>
                <w:numId w:val="10"/>
              </w:numPr>
              <w:spacing w:after="0"/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frakcjonowani</w:t>
            </w:r>
            <w:r w:rsidR="005E557A" w:rsidRPr="005E557A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przyspieszonego (metody SIB IMRT, CAIR,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concomitant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boost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, 6 kolejnych dni leczenia tygodniowo);</w:t>
            </w:r>
          </w:p>
          <w:p w:rsidR="0077561F" w:rsidRPr="0077561F" w:rsidRDefault="0077561F" w:rsidP="002F3F10">
            <w:pPr>
              <w:numPr>
                <w:ilvl w:val="0"/>
                <w:numId w:val="10"/>
              </w:numPr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hiperfrakcjonowania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(DF</w:t>
            </w:r>
            <w:r w:rsidR="003E18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= 1,1 – 1,2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Gy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2 razy dziennie).</w:t>
            </w:r>
          </w:p>
          <w:p w:rsidR="0077561F" w:rsidRPr="0077561F" w:rsidRDefault="0077561F" w:rsidP="0077561F">
            <w:pPr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2.5. Kontrola jakości napromieniania powinna odbywać się w oparciu o rekomendację ESTRO i zasady obowiązujące w ośrodku prowadzącym leczenie.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1. Badania przy kwalifikacji do leczenia </w:t>
            </w:r>
            <w:proofErr w:type="spellStart"/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cetuksymabem</w:t>
            </w:r>
            <w:proofErr w:type="spellEnd"/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>1.1. Badania laboratoryjne:</w:t>
            </w:r>
          </w:p>
          <w:p w:rsidR="0077561F" w:rsidRPr="0077561F" w:rsidRDefault="0077561F" w:rsidP="007756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histologiczne potwierdzenie </w:t>
            </w:r>
            <w:r w:rsidR="007553CD">
              <w:rPr>
                <w:rFonts w:ascii="Times New Roman" w:hAnsi="Times New Roman"/>
                <w:sz w:val="20"/>
                <w:szCs w:val="20"/>
              </w:rPr>
              <w:t>w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oparciu o ocenę materiału pobranego za pomocą biopsji wycinkowej ogniska pierwotnego lub przerzutowo zmiennych węzłów chłonnych;</w:t>
            </w:r>
          </w:p>
          <w:p w:rsidR="0077561F" w:rsidRPr="0077561F" w:rsidRDefault="0077561F" w:rsidP="007756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morfologia krwi z rozmazem; </w:t>
            </w:r>
          </w:p>
          <w:p w:rsidR="0077561F" w:rsidRPr="0077561F" w:rsidRDefault="007553CD" w:rsidP="007756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stężenie mocznika, kreatyniny, </w:t>
            </w:r>
            <w:r w:rsidR="0077561F" w:rsidRPr="0077561F">
              <w:rPr>
                <w:rFonts w:ascii="Times New Roman" w:hAnsi="Times New Roman"/>
                <w:sz w:val="20"/>
                <w:szCs w:val="20"/>
              </w:rPr>
              <w:t xml:space="preserve">transaminaz (ASPAT, ALAT), bilirubiny, dehydrogenazy mleczajowej (LDH), elektrolitów, wapnia i magnezu w surowicy; </w:t>
            </w:r>
          </w:p>
          <w:p w:rsidR="0077561F" w:rsidRPr="0077561F" w:rsidRDefault="0077561F" w:rsidP="007756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próba ciążowa (u kobiet w okresie prokreacyjnym); </w:t>
            </w:r>
          </w:p>
          <w:p w:rsidR="0077561F" w:rsidRPr="0077561F" w:rsidRDefault="0077561F" w:rsidP="007756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inne w razie wskazań klinicznych.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 xml:space="preserve">1.2. Inne </w:t>
            </w: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badania przy kwalifikacji do leczenia </w:t>
            </w:r>
            <w:proofErr w:type="spellStart"/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cetuksymabem</w:t>
            </w:r>
            <w:proofErr w:type="spellEnd"/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TK lub MR twarzoczaszki i szyi;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badanie laryngologiczne z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fiberoskopią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górnych dróg oddechowych krtaniowej części gardła;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rentgenografia klatki piersiowej w dwóch projekcjach;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ultrasonografia jamy brzusznej;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badanie elektrokardiograficzne (EKG);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pomiar ciśnienia tętniczego;</w:t>
            </w:r>
          </w:p>
          <w:p w:rsidR="0077561F" w:rsidRPr="0077561F" w:rsidRDefault="0077561F" w:rsidP="0077561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inne w zależności od wskazań klinicznych.</w:t>
            </w:r>
          </w:p>
          <w:p w:rsidR="0077561F" w:rsidRPr="0077561F" w:rsidRDefault="0077561F" w:rsidP="007756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1.2. Uwagi</w:t>
            </w:r>
          </w:p>
          <w:p w:rsidR="0077561F" w:rsidRPr="0077561F" w:rsidRDefault="0077561F" w:rsidP="0077561F">
            <w:pPr>
              <w:tabs>
                <w:tab w:val="left" w:pos="10348"/>
              </w:tabs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TK lub MR w ramach diagnostyki jest badaniem wykonywanym niezależnie od obrazowania w trakcie planowania napromieniania. </w:t>
            </w:r>
          </w:p>
          <w:p w:rsidR="0077561F" w:rsidRPr="0077561F" w:rsidRDefault="0077561F" w:rsidP="0077561F">
            <w:pPr>
              <w:pStyle w:val="Akapitzlist"/>
              <w:ind w:left="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2. Monitorowanie bezpieczeństwa leczenia</w:t>
            </w:r>
          </w:p>
          <w:p w:rsidR="0077561F" w:rsidRPr="0077561F" w:rsidRDefault="0077561F" w:rsidP="0077561F">
            <w:pPr>
              <w:pStyle w:val="Akapitzlist"/>
              <w:ind w:left="16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Badania należy wykonać przed podaniem pierwszej dawki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cetuksymabu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 xml:space="preserve"> przed pierwszym napromienianiem</w:t>
            </w:r>
            <w:r w:rsidRPr="0077561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oraz:</w:t>
            </w:r>
          </w:p>
          <w:p w:rsidR="0077561F" w:rsidRPr="0077561F" w:rsidRDefault="0077561F" w:rsidP="0077561F">
            <w:pPr>
              <w:pStyle w:val="Akapitzlist"/>
              <w:ind w:left="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 xml:space="preserve"> 2.1. Badania laboratoryjne:</w:t>
            </w:r>
          </w:p>
          <w:p w:rsidR="0077561F" w:rsidRPr="0077561F" w:rsidRDefault="0077561F" w:rsidP="0077561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morfologia krwi z rozmazem, co tydzień w trakcie radioterapii;</w:t>
            </w:r>
          </w:p>
          <w:p w:rsidR="0077561F" w:rsidRPr="0077561F" w:rsidRDefault="007553CD" w:rsidP="0077561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stężenie mocznika, kreatyniny, </w:t>
            </w:r>
            <w:r w:rsidR="0077561F" w:rsidRPr="0077561F">
              <w:rPr>
                <w:rFonts w:ascii="Times New Roman" w:hAnsi="Times New Roman"/>
                <w:sz w:val="20"/>
                <w:szCs w:val="20"/>
              </w:rPr>
              <w:t>transaminaz (ASPAT, ALAT), bilirubiny, dehydrogenazy mlecza</w:t>
            </w:r>
            <w:r w:rsidR="005E557A">
              <w:rPr>
                <w:rFonts w:ascii="Times New Roman" w:hAnsi="Times New Roman"/>
                <w:sz w:val="20"/>
                <w:szCs w:val="20"/>
              </w:rPr>
              <w:t>n</w:t>
            </w:r>
            <w:r w:rsidR="0077561F" w:rsidRPr="0077561F">
              <w:rPr>
                <w:rFonts w:ascii="Times New Roman" w:hAnsi="Times New Roman"/>
                <w:sz w:val="20"/>
                <w:szCs w:val="20"/>
              </w:rPr>
              <w:t>owej (LDH), elektrolitów, wapnia i magnezu w surowicy, co 3 tygodnie;</w:t>
            </w:r>
          </w:p>
          <w:p w:rsidR="0077561F" w:rsidRPr="0077561F" w:rsidRDefault="0077561F" w:rsidP="0077561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inne w razie wskazań klinicznych.</w:t>
            </w:r>
          </w:p>
          <w:p w:rsidR="0077561F" w:rsidRPr="0077561F" w:rsidRDefault="0077561F" w:rsidP="0077561F">
            <w:pPr>
              <w:pStyle w:val="Akapitzlist"/>
              <w:ind w:left="16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 xml:space="preserve"> 2.2. Inne badania:</w:t>
            </w:r>
          </w:p>
          <w:p w:rsidR="0077561F" w:rsidRPr="0077561F" w:rsidRDefault="0077561F" w:rsidP="002F3F1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ocena odczynów popromiennych co tydzień od 2 tygodnia radioterapii;</w:t>
            </w:r>
          </w:p>
          <w:p w:rsidR="0077561F" w:rsidRDefault="0077561F" w:rsidP="002F3F1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badanie skóry pod kątem oceny nasilenia wysypki </w:t>
            </w:r>
            <w:proofErr w:type="spellStart"/>
            <w:r w:rsidRPr="0077561F">
              <w:rPr>
                <w:rFonts w:ascii="Times New Roman" w:hAnsi="Times New Roman"/>
                <w:sz w:val="20"/>
                <w:szCs w:val="20"/>
              </w:rPr>
              <w:t>trądzikopodobnej</w:t>
            </w:r>
            <w:proofErr w:type="spellEnd"/>
            <w:r w:rsidRPr="0077561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7E93" w:rsidRPr="002F3F10" w:rsidRDefault="003F7E93" w:rsidP="003F7E93">
            <w:pPr>
              <w:pStyle w:val="Akapitzlist"/>
              <w:ind w:left="36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77561F" w:rsidRPr="0077561F" w:rsidRDefault="0077561F" w:rsidP="0077561F">
            <w:pPr>
              <w:pStyle w:val="Akapitzlist"/>
              <w:spacing w:after="0"/>
              <w:ind w:left="16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bCs/>
                <w:sz w:val="20"/>
                <w:szCs w:val="20"/>
              </w:rPr>
              <w:t>3. Monitorowanie skuteczności leczenia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Kliniczna ocena regresji raka płaskonabłonkowego co tydzień w trakcie leczenia, bezpośrednio po jego zakończeniu, a następnie systematycznie w trakcie wizyt kontrolnych.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 xml:space="preserve"> 3.1. Badania laboratoryjne:</w:t>
            </w:r>
          </w:p>
          <w:p w:rsidR="0077561F" w:rsidRPr="0077561F" w:rsidRDefault="0077561F" w:rsidP="002F3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 razie wskazań klinicznych</w:t>
            </w:r>
            <w:r w:rsidR="002F3F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561F" w:rsidRP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 xml:space="preserve"> 3.2. Inne badania:</w:t>
            </w:r>
          </w:p>
          <w:p w:rsidR="0077561F" w:rsidRPr="0077561F" w:rsidRDefault="0077561F" w:rsidP="002F3F10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badanie przedmiotowe (laryngologiczne);</w:t>
            </w:r>
          </w:p>
          <w:p w:rsidR="0077561F" w:rsidRPr="0077561F" w:rsidRDefault="0077561F" w:rsidP="002F3F10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TK lub MR twarzoczaszki i szyi 3-4 miesiące po zakończeniu napromieniania, następnie co 6 miesięcy przez 3 lata;</w:t>
            </w:r>
          </w:p>
          <w:p w:rsidR="0077561F" w:rsidRPr="0077561F" w:rsidRDefault="0077561F" w:rsidP="002F3F10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 xml:space="preserve">rentgenografia klatki piersiowej w dwóch projekcjach 1 raz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lastRenderedPageBreak/>
              <w:t>w roku;</w:t>
            </w:r>
          </w:p>
          <w:p w:rsidR="0077561F" w:rsidRPr="0077561F" w:rsidRDefault="0077561F" w:rsidP="002F3F10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inne badania zgodnie ze wskazaniami klinicznymi.</w:t>
            </w:r>
          </w:p>
          <w:p w:rsidR="0077561F" w:rsidRPr="0077561F" w:rsidRDefault="0077561F" w:rsidP="0077561F">
            <w:pPr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b/>
                <w:sz w:val="20"/>
                <w:szCs w:val="20"/>
              </w:rPr>
              <w:t>3.3. Uwagi</w:t>
            </w:r>
          </w:p>
          <w:p w:rsidR="0077561F" w:rsidRDefault="0077561F" w:rsidP="00775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561F">
              <w:rPr>
                <w:rFonts w:ascii="Times New Roman" w:hAnsi="Times New Roman"/>
                <w:sz w:val="20"/>
                <w:szCs w:val="20"/>
              </w:rPr>
              <w:t>Wizyty kontr</w:t>
            </w:r>
            <w:r w:rsidR="007553CD">
              <w:rPr>
                <w:rFonts w:ascii="Times New Roman" w:hAnsi="Times New Roman"/>
                <w:sz w:val="20"/>
                <w:szCs w:val="20"/>
              </w:rPr>
              <w:t xml:space="preserve">olne: 1 miesiąc po zakończeniu </w:t>
            </w:r>
            <w:r w:rsidRPr="0077561F">
              <w:rPr>
                <w:rFonts w:ascii="Times New Roman" w:hAnsi="Times New Roman"/>
                <w:sz w:val="20"/>
                <w:szCs w:val="20"/>
              </w:rPr>
              <w:t>leczenia, następnie co 2 miesiące w pierwszym roku po leczeniu, co 3 miesiące w drugim i trzecim roku po leczeniu, potem co 6 miesięcy.</w:t>
            </w:r>
          </w:p>
          <w:p w:rsidR="00394E45" w:rsidRPr="00394E45" w:rsidRDefault="008B6EB5" w:rsidP="00394E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94E45" w:rsidRPr="00394E45">
              <w:rPr>
                <w:rFonts w:ascii="Times New Roman" w:hAnsi="Times New Roman"/>
                <w:b/>
                <w:sz w:val="20"/>
                <w:szCs w:val="20"/>
              </w:rPr>
              <w:t>. Monitorowanie programu</w:t>
            </w:r>
          </w:p>
          <w:p w:rsidR="00394E45" w:rsidRPr="00394E45" w:rsidRDefault="00394E45" w:rsidP="00394E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4E45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394E45" w:rsidRPr="00394E45" w:rsidRDefault="00394E45" w:rsidP="00394E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4E45">
              <w:rPr>
                <w:rFonts w:ascii="Times New Roman" w:hAnsi="Times New Roman"/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394E45" w:rsidRPr="00394E45" w:rsidRDefault="00394E45" w:rsidP="007756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4E45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7B44C4" w:rsidRDefault="007B44C4" w:rsidP="0077561F"/>
    <w:sectPr w:rsidR="007B44C4" w:rsidSect="0077561F"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347"/>
    <w:multiLevelType w:val="hybridMultilevel"/>
    <w:tmpl w:val="B1E2C86A"/>
    <w:lvl w:ilvl="0" w:tplc="FFDA12AC">
      <w:start w:val="1"/>
      <w:numFmt w:val="bullet"/>
      <w:lvlText w:val="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07894F19"/>
    <w:multiLevelType w:val="hybridMultilevel"/>
    <w:tmpl w:val="78001AD4"/>
    <w:lvl w:ilvl="0" w:tplc="73865BD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C037B7D"/>
    <w:multiLevelType w:val="hybridMultilevel"/>
    <w:tmpl w:val="7DD03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941F38"/>
    <w:multiLevelType w:val="hybridMultilevel"/>
    <w:tmpl w:val="9B081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A4717"/>
    <w:multiLevelType w:val="hybridMultilevel"/>
    <w:tmpl w:val="E214DC0C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7402B27"/>
    <w:multiLevelType w:val="hybridMultilevel"/>
    <w:tmpl w:val="BFD2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2C28B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D03BE"/>
    <w:multiLevelType w:val="hybridMultilevel"/>
    <w:tmpl w:val="90A44D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B8479B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D4F09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443B3"/>
    <w:multiLevelType w:val="hybridMultilevel"/>
    <w:tmpl w:val="CE041810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3C8921A2"/>
    <w:multiLevelType w:val="hybridMultilevel"/>
    <w:tmpl w:val="06926048"/>
    <w:lvl w:ilvl="0" w:tplc="73865B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01F23FC"/>
    <w:multiLevelType w:val="hybridMultilevel"/>
    <w:tmpl w:val="551A2CF2"/>
    <w:lvl w:ilvl="0" w:tplc="73865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722F1"/>
    <w:multiLevelType w:val="hybridMultilevel"/>
    <w:tmpl w:val="56DCA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145DC7"/>
    <w:multiLevelType w:val="hybridMultilevel"/>
    <w:tmpl w:val="D0D2C1C8"/>
    <w:lvl w:ilvl="0" w:tplc="6AF8364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639B0134"/>
    <w:multiLevelType w:val="hybridMultilevel"/>
    <w:tmpl w:val="C75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2100B"/>
    <w:multiLevelType w:val="hybridMultilevel"/>
    <w:tmpl w:val="341C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74CF5"/>
    <w:multiLevelType w:val="hybridMultilevel"/>
    <w:tmpl w:val="768077E0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6F4C115E">
      <w:start w:val="1"/>
      <w:numFmt w:val="decimal"/>
      <w:lvlText w:val="%3)"/>
      <w:lvlJc w:val="left"/>
      <w:pPr>
        <w:ind w:left="21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>
    <w:nsid w:val="6AD23CBE"/>
    <w:multiLevelType w:val="hybridMultilevel"/>
    <w:tmpl w:val="F3BE66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6D76A4"/>
    <w:multiLevelType w:val="hybridMultilevel"/>
    <w:tmpl w:val="B08A23F2"/>
    <w:lvl w:ilvl="0" w:tplc="FFDA12A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80E7549"/>
    <w:multiLevelType w:val="hybridMultilevel"/>
    <w:tmpl w:val="9D949CC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>
      <w:start w:val="1"/>
      <w:numFmt w:val="lowerLetter"/>
      <w:lvlText w:val="%2."/>
      <w:lvlJc w:val="left"/>
      <w:pPr>
        <w:ind w:left="1096" w:hanging="360"/>
      </w:pPr>
    </w:lvl>
    <w:lvl w:ilvl="2" w:tplc="0415001B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0">
    <w:nsid w:val="7BF77C4E"/>
    <w:multiLevelType w:val="hybridMultilevel"/>
    <w:tmpl w:val="31086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7"/>
  </w:num>
  <w:num w:numId="5">
    <w:abstractNumId w:val="12"/>
  </w:num>
  <w:num w:numId="6">
    <w:abstractNumId w:val="19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1F"/>
    <w:rsid w:val="000F2C4E"/>
    <w:rsid w:val="002815D9"/>
    <w:rsid w:val="002A6749"/>
    <w:rsid w:val="002C19A4"/>
    <w:rsid w:val="002F3F10"/>
    <w:rsid w:val="00394E45"/>
    <w:rsid w:val="003E18BF"/>
    <w:rsid w:val="003F7E93"/>
    <w:rsid w:val="00421FE1"/>
    <w:rsid w:val="005A5840"/>
    <w:rsid w:val="005E557A"/>
    <w:rsid w:val="00680B56"/>
    <w:rsid w:val="007553CD"/>
    <w:rsid w:val="0077561F"/>
    <w:rsid w:val="007B44C4"/>
    <w:rsid w:val="008B6EB5"/>
    <w:rsid w:val="00A27B6A"/>
    <w:rsid w:val="00A73773"/>
    <w:rsid w:val="00D17A14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0D11B-D60C-4B14-BFA2-D60AC1C3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2013-10-15T14:06:00Z</dcterms:created>
  <dcterms:modified xsi:type="dcterms:W3CDTF">2014-08-11T14:57:00Z</dcterms:modified>
</cp:coreProperties>
</file>