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5E6522">
        <w:rPr>
          <w:b/>
          <w:sz w:val="28"/>
          <w:szCs w:val="28"/>
        </w:rPr>
        <w:t>33</w:t>
      </w:r>
      <w:r w:rsidR="00B128F5" w:rsidRPr="00B128F5">
        <w:rPr>
          <w:b/>
          <w:sz w:val="28"/>
          <w:szCs w:val="28"/>
        </w:rPr>
        <w:t xml:space="preserve"> (</w:t>
      </w:r>
      <w:r w:rsidR="005E6522">
        <w:rPr>
          <w:b/>
          <w:sz w:val="28"/>
          <w:szCs w:val="28"/>
        </w:rPr>
        <w:t xml:space="preserve">15 do 21 sierpnia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C1643D">
        <w:rPr>
          <w:b/>
          <w:sz w:val="28"/>
          <w:szCs w:val="28"/>
        </w:rPr>
        <w:t>38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686B52">
        <w:rPr>
          <w:b/>
          <w:sz w:val="28"/>
          <w:szCs w:val="28"/>
        </w:rPr>
        <w:t>3</w:t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C1643D">
        <w:rPr>
          <w:b/>
          <w:sz w:val="28"/>
          <w:szCs w:val="28"/>
        </w:rPr>
        <w:t>35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C1643D">
        <w:rPr>
          <w:b/>
          <w:sz w:val="28"/>
          <w:szCs w:val="28"/>
        </w:rPr>
        <w:t>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C1643D">
        <w:rPr>
          <w:b/>
          <w:sz w:val="28"/>
          <w:szCs w:val="28"/>
        </w:rPr>
        <w:t>7</w:t>
      </w:r>
      <w:r w:rsidR="00110F76">
        <w:rPr>
          <w:b/>
          <w:sz w:val="28"/>
          <w:szCs w:val="28"/>
        </w:rPr>
        <w:t>/</w:t>
      </w:r>
      <w:r w:rsidR="00C1643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5E6522">
              <w:rPr>
                <w:b/>
              </w:rPr>
              <w:t>33</w:t>
            </w:r>
            <w:r w:rsidR="00B128F5" w:rsidRPr="00B128F5">
              <w:rPr>
                <w:b/>
              </w:rPr>
              <w:t xml:space="preserve">  (</w:t>
            </w:r>
            <w:r w:rsidR="005E6522">
              <w:rPr>
                <w:b/>
              </w:rPr>
              <w:t xml:space="preserve">15 do 21 sierpnia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16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C1643D">
        <w:rPr>
          <w:b/>
          <w:sz w:val="28"/>
          <w:szCs w:val="28"/>
        </w:rPr>
        <w:t>1314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C1643D">
        <w:rPr>
          <w:b/>
          <w:sz w:val="28"/>
          <w:szCs w:val="28"/>
        </w:rPr>
        <w:t>182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C1643D">
        <w:rPr>
          <w:b/>
          <w:sz w:val="28"/>
          <w:szCs w:val="28"/>
        </w:rPr>
        <w:t>1092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C1643D">
        <w:rPr>
          <w:b/>
          <w:sz w:val="28"/>
          <w:szCs w:val="28"/>
        </w:rPr>
        <w:t>40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2022-08-20T19:44:00Z</dcterms:created>
  <dcterms:modified xsi:type="dcterms:W3CDTF">2022-08-22T08:14:00Z</dcterms:modified>
</cp:coreProperties>
</file>