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365125</wp:posOffset>
            </wp:positionH>
            <wp:positionV relativeFrom="margin">
              <wp:posOffset>0</wp:posOffset>
            </wp:positionV>
            <wp:extent cx="3145790" cy="106680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45790" cy="1066800"/>
                    </a:xfrm>
                    <a:prstGeom prst="rect"/>
                  </pic:spPr>
                </pic:pic>
              </a:graphicData>
            </a:graphic>
          </wp:anchor>
        </w:drawing>
      </w:r>
    </w:p>
    <w:p>
      <w:pPr>
        <w:widowControl w:val="0"/>
        <w:spacing w:line="360" w:lineRule="exact"/>
      </w:pPr>
    </w:p>
    <w:p>
      <w:pPr>
        <w:widowControl w:val="0"/>
        <w:spacing w:line="360" w:lineRule="exact"/>
      </w:pPr>
    </w:p>
    <w:p>
      <w:pPr>
        <w:widowControl w:val="0"/>
        <w:spacing w:after="594" w:line="1" w:lineRule="exact"/>
      </w:pPr>
    </w:p>
    <w:p>
      <w:pPr>
        <w:widowControl w:val="0"/>
        <w:spacing w:line="1" w:lineRule="exact"/>
        <w:sectPr>
          <w:footnotePr>
            <w:pos w:val="pageBottom"/>
            <w:numFmt w:val="decimal"/>
            <w:numRestart w:val="continuous"/>
          </w:footnotePr>
          <w:pgSz w:w="11900" w:h="16840"/>
          <w:pgMar w:top="438" w:right="1955" w:bottom="675" w:left="575" w:header="10" w:footer="247" w:gutter="0"/>
          <w:pgNumType w:start="1"/>
          <w:cols w:space="720"/>
          <w:noEndnote/>
          <w:rtlGutter w:val="0"/>
          <w:docGrid w:linePitch="360"/>
        </w:sectPr>
      </w:pP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0" w:h="16840"/>
          <w:pgMar w:top="2046" w:right="0" w:bottom="843" w:left="0" w:header="0" w:footer="3" w:gutter="0"/>
          <w:cols w:space="720"/>
          <w:noEndnote/>
          <w:rtlGutter w:val="0"/>
          <w:docGrid w:linePitch="360"/>
        </w:sectPr>
      </w:pPr>
    </w:p>
    <w:p>
      <w:pPr>
        <w:pStyle w:val="Style9"/>
        <w:keepNext w:val="0"/>
        <w:keepLines w:val="0"/>
        <w:widowControl w:val="0"/>
        <w:shd w:val="clear" w:color="auto" w:fill="auto"/>
        <w:bidi w:val="0"/>
        <w:spacing w:before="0" w:after="1640" w:line="254" w:lineRule="auto"/>
        <w:ind w:left="0" w:right="0" w:firstLine="0"/>
        <w:jc w:val="left"/>
      </w:pPr>
      <w:r>
        <w:rPr>
          <w:rStyle w:val="CharStyle10"/>
        </w:rPr>
        <w:t xml:space="preserve">DGL-WSM.053.1.2026.WK </w:t>
      </w:r>
      <w:r>
        <w:rPr>
          <w:rStyle w:val="CharStyle10"/>
          <w:sz w:val="18"/>
          <w:szCs w:val="18"/>
        </w:rPr>
        <w:t xml:space="preserve">4352143.17756149.14404086 </w:t>
      </w:r>
      <w:r>
        <w:rPr>
          <w:rStyle w:val="CharStyle10"/>
        </w:rPr>
        <w:t>Warszawa, 13-05-2026</w:t>
      </w:r>
    </w:p>
    <w:p>
      <w:pPr>
        <w:pStyle w:val="Style9"/>
        <w:keepNext w:val="0"/>
        <w:keepLines w:val="0"/>
        <w:widowControl w:val="0"/>
        <w:shd w:val="clear" w:color="auto" w:fill="auto"/>
        <w:bidi w:val="0"/>
        <w:spacing w:before="0"/>
        <w:ind w:left="0" w:right="0" w:firstLine="0"/>
        <w:jc w:val="left"/>
      </w:pPr>
      <w:r>
        <w:rPr>
          <w:rStyle w:val="CharStyle10"/>
        </w:rPr>
        <w:t>Szanowny Panie,</w:t>
      </w:r>
    </w:p>
    <w:p>
      <w:pPr>
        <w:pStyle w:val="Style9"/>
        <w:keepNext w:val="0"/>
        <w:keepLines w:val="0"/>
        <w:widowControl w:val="0"/>
        <w:shd w:val="clear" w:color="auto" w:fill="auto"/>
        <w:bidi w:val="0"/>
        <w:spacing w:before="0" w:line="300" w:lineRule="auto"/>
        <w:ind w:left="0" w:right="0" w:firstLine="0"/>
        <w:jc w:val="left"/>
      </w:pPr>
      <w:r>
        <w:rPr>
          <w:rStyle w:val="CharStyle10"/>
        </w:rPr>
        <w:t>Na wstępie informuję, że postulaty pozostające poza właściwością Ministerstwa Klimatu i Środowiska zostały przekazane zgodnie z kompetencjami:</w:t>
      </w:r>
    </w:p>
    <w:p>
      <w:pPr>
        <w:pStyle w:val="Style9"/>
        <w:keepNext w:val="0"/>
        <w:keepLines w:val="0"/>
        <w:widowControl w:val="0"/>
        <w:numPr>
          <w:ilvl w:val="0"/>
          <w:numId w:val="1"/>
        </w:numPr>
        <w:shd w:val="clear" w:color="auto" w:fill="auto"/>
        <w:tabs>
          <w:tab w:pos="740" w:val="left"/>
        </w:tabs>
        <w:bidi w:val="0"/>
        <w:spacing w:before="0"/>
        <w:ind w:left="0" w:right="0" w:firstLine="380"/>
        <w:jc w:val="both"/>
      </w:pPr>
      <w:r>
        <w:rPr>
          <w:rStyle w:val="CharStyle10"/>
        </w:rPr>
        <w:t>postulat nr 3 – do Ministerstwa Energii,</w:t>
      </w:r>
    </w:p>
    <w:p>
      <w:pPr>
        <w:pStyle w:val="Style9"/>
        <w:keepNext w:val="0"/>
        <w:keepLines w:val="0"/>
        <w:widowControl w:val="0"/>
        <w:numPr>
          <w:ilvl w:val="0"/>
          <w:numId w:val="1"/>
        </w:numPr>
        <w:shd w:val="clear" w:color="auto" w:fill="auto"/>
        <w:tabs>
          <w:tab w:pos="740" w:val="left"/>
          <w:tab w:pos="2871" w:val="left"/>
        </w:tabs>
        <w:bidi w:val="0"/>
        <w:spacing w:before="0" w:after="0" w:line="305" w:lineRule="auto"/>
        <w:ind w:left="0" w:right="0" w:firstLine="380"/>
        <w:jc w:val="both"/>
      </w:pPr>
      <w:r>
        <w:rPr>
          <w:rStyle w:val="CharStyle10"/>
        </w:rPr>
        <w:t>postulat nr 6</w:t>
        <w:tab/>
        <w:t>– do Ministerstwa Aktywów Państwowych,</w:t>
      </w:r>
    </w:p>
    <w:p>
      <w:pPr>
        <w:pStyle w:val="Style9"/>
        <w:keepNext w:val="0"/>
        <w:keepLines w:val="0"/>
        <w:widowControl w:val="0"/>
        <w:shd w:val="clear" w:color="auto" w:fill="auto"/>
        <w:bidi w:val="0"/>
        <w:spacing w:before="0" w:line="305" w:lineRule="auto"/>
        <w:ind w:left="740" w:right="0" w:firstLine="0"/>
        <w:jc w:val="both"/>
      </w:pPr>
      <w:r>
        <w:rPr>
          <w:rStyle w:val="CharStyle10"/>
        </w:rPr>
        <w:t>celem ich rozpatrzenia oraz udzielenia odpowiedzi bezpośrednio wnoszącemu petycję.</w:t>
      </w:r>
    </w:p>
    <w:p>
      <w:pPr>
        <w:pStyle w:val="Style9"/>
        <w:keepNext w:val="0"/>
        <w:keepLines w:val="0"/>
        <w:widowControl w:val="0"/>
        <w:shd w:val="clear" w:color="auto" w:fill="auto"/>
        <w:bidi w:val="0"/>
        <w:spacing w:before="0"/>
        <w:ind w:left="0" w:right="0" w:firstLine="0"/>
        <w:jc w:val="left"/>
      </w:pPr>
      <w:r>
        <w:rPr>
          <w:rStyle w:val="CharStyle10"/>
        </w:rPr>
        <w:t>W zakresie poniższych postulatów przekazuję następujące informacje:</w:t>
      </w:r>
    </w:p>
    <w:p>
      <w:pPr>
        <w:pStyle w:val="Style13"/>
        <w:keepNext w:val="0"/>
        <w:keepLines w:val="0"/>
        <w:widowControl w:val="0"/>
        <w:numPr>
          <w:ilvl w:val="0"/>
          <w:numId w:val="1"/>
        </w:numPr>
        <w:shd w:val="clear" w:color="auto" w:fill="auto"/>
        <w:tabs>
          <w:tab w:pos="740" w:val="left"/>
        </w:tabs>
        <w:bidi w:val="0"/>
        <w:spacing w:before="0"/>
        <w:ind w:left="0" w:right="0"/>
        <w:jc w:val="left"/>
      </w:pPr>
      <w:r>
        <w:rPr>
          <w:rStyle w:val="CharStyle14"/>
          <w:i/>
          <w:iCs/>
        </w:rPr>
        <w:t>Postulat 1. Wdrożenie unijnego rozporządzenia CRMA</w:t>
      </w:r>
    </w:p>
    <w:p>
      <w:pPr>
        <w:pStyle w:val="Style9"/>
        <w:keepNext w:val="0"/>
        <w:keepLines w:val="0"/>
        <w:widowControl w:val="0"/>
        <w:shd w:val="clear" w:color="auto" w:fill="auto"/>
        <w:bidi w:val="0"/>
        <w:spacing w:before="0" w:line="305" w:lineRule="auto"/>
        <w:ind w:left="0" w:right="0" w:firstLine="0"/>
        <w:jc w:val="both"/>
      </w:pPr>
      <w:r>
        <w:rPr>
          <w:rStyle w:val="CharStyle10"/>
        </w:rPr>
        <w:t>W odpowiedzi na postulaty dotyczące podjęcia działań legislacyjnych i organizacyjnych w zakresie wdrożenia rozwiązań wynikających z rozporządzenia CRMA uprzejmie informuję, że Ministerstwo Klimatu i Środowiska prowadzi obecnie prace nad projektem ustawy o zapewnieniu gospodarce krajowej dostępu do surowców, w tym surowców krytycznych (UC83), wdrażającym rozporządzenie Parlamentu Europejskiego i Rady (UE) 2024/1252 (CRMA).</w:t>
      </w:r>
    </w:p>
    <w:p>
      <w:pPr>
        <w:pStyle w:val="Style9"/>
        <w:keepNext w:val="0"/>
        <w:keepLines w:val="0"/>
        <w:widowControl w:val="0"/>
        <w:shd w:val="clear" w:color="auto" w:fill="auto"/>
        <w:bidi w:val="0"/>
        <w:spacing w:before="0" w:line="305" w:lineRule="auto"/>
        <w:ind w:left="0" w:right="0" w:firstLine="0"/>
        <w:jc w:val="both"/>
      </w:pPr>
      <w:r>
        <w:rPr>
          <w:rStyle w:val="CharStyle10"/>
        </w:rPr>
        <w:t>Projekt ustawy znajduje się na etapie końcowych uzgodnień rządowych. Szczegółowe informacje dostępne są na stronie Rządowego Centrum Legislacji:</w:t>
      </w:r>
    </w:p>
    <w:p>
      <w:pPr>
        <w:pStyle w:val="Style9"/>
        <w:keepNext w:val="0"/>
        <w:keepLines w:val="0"/>
        <w:widowControl w:val="0"/>
        <w:shd w:val="clear" w:color="auto" w:fill="auto"/>
        <w:bidi w:val="0"/>
        <w:spacing w:before="0"/>
        <w:ind w:left="0" w:right="0" w:firstLine="0"/>
        <w:jc w:val="both"/>
      </w:pPr>
      <w:r>
        <w:fldChar w:fldCharType="begin"/>
      </w:r>
      <w:r>
        <w:rPr/>
        <w:instrText> HYPERLINK "https://legislacja.rcl.gov.pl/projekt/12401805" </w:instrText>
      </w:r>
      <w:r>
        <w:fldChar w:fldCharType="separate"/>
      </w:r>
      <w:r>
        <w:rPr>
          <w:rStyle w:val="CharStyle10"/>
          <w:color w:val="0563C1"/>
          <w:u w:val="single"/>
        </w:rPr>
        <w:t>https://legislacja.rcl.gov.pl/projekt/12401805</w:t>
      </w:r>
      <w:r>
        <w:fldChar w:fldCharType="end"/>
      </w:r>
    </w:p>
    <w:p>
      <w:pPr>
        <w:pStyle w:val="Style9"/>
        <w:keepNext w:val="0"/>
        <w:keepLines w:val="0"/>
        <w:widowControl w:val="0"/>
        <w:shd w:val="clear" w:color="auto" w:fill="auto"/>
        <w:bidi w:val="0"/>
        <w:spacing w:before="0"/>
        <w:ind w:left="0" w:right="0" w:firstLine="0"/>
        <w:jc w:val="both"/>
      </w:pPr>
      <w:r>
        <w:rPr>
          <w:rStyle w:val="CharStyle10"/>
        </w:rPr>
        <w:t>W związku z powyższym uprzejmie proszę o zapoznanie się z projektowanymi rozwiązaniami zawartymi w projekcie UC83, które odnoszą się do przedstawionych postulatów.</w:t>
      </w:r>
    </w:p>
    <w:p>
      <w:pPr>
        <w:pStyle w:val="Style13"/>
        <w:keepNext w:val="0"/>
        <w:keepLines w:val="0"/>
        <w:widowControl w:val="0"/>
        <w:numPr>
          <w:ilvl w:val="0"/>
          <w:numId w:val="1"/>
        </w:numPr>
        <w:shd w:val="clear" w:color="auto" w:fill="auto"/>
        <w:tabs>
          <w:tab w:pos="740" w:val="left"/>
        </w:tabs>
        <w:bidi w:val="0"/>
        <w:spacing w:before="0"/>
        <w:ind w:left="0" w:right="0"/>
        <w:jc w:val="left"/>
      </w:pPr>
      <w:r>
        <w:rPr>
          <w:rStyle w:val="CharStyle14"/>
          <w:i/>
          <w:iCs/>
        </w:rPr>
        <w:t>Postulat 2. Powołanie międzyresortowego zespołu do spraw polityki surowcowej</w:t>
      </w:r>
    </w:p>
    <w:p>
      <w:pPr>
        <w:pStyle w:val="Style9"/>
        <w:keepNext w:val="0"/>
        <w:keepLines w:val="0"/>
        <w:widowControl w:val="0"/>
        <w:shd w:val="clear" w:color="auto" w:fill="auto"/>
        <w:bidi w:val="0"/>
        <w:spacing w:before="0"/>
        <w:ind w:left="0" w:right="0" w:firstLine="0"/>
        <w:jc w:val="both"/>
      </w:pPr>
      <w:r>
        <w:rPr>
          <w:rStyle w:val="CharStyle10"/>
        </w:rPr>
        <w:t>W odpowiedzi na postulat dotyczący powołania międzyresortowego zespołu do spraw polityki surowcowej uprzejmie informuję, że Zespół do spraw Polityki Surowcowej Państwa został utworzony Zarządzeniem nr 25 Prezesa Rady Ministrów z dnia 31 marca 2026 r. (M.P. 2026 poz. 353).</w:t>
      </w:r>
    </w:p>
    <w:p>
      <w:pPr>
        <w:pStyle w:val="Style9"/>
        <w:keepNext w:val="0"/>
        <w:keepLines w:val="0"/>
        <w:widowControl w:val="0"/>
        <w:shd w:val="clear" w:color="auto" w:fill="auto"/>
        <w:bidi w:val="0"/>
        <w:spacing w:before="0"/>
        <w:ind w:left="0" w:right="0" w:firstLine="0"/>
        <w:jc w:val="both"/>
      </w:pPr>
      <w:r>
        <w:rPr>
          <w:rStyle w:val="CharStyle10"/>
        </w:rPr>
        <w:t>Zespół jest organem pomocniczym Rady Ministrów, którego zadaniem jest wspieranie działań związanych z realizacją i koordynacją polityki surowcowej państwa, w tym wdrażaniem rozporządzenia Parlamentu Europejskiego i Rady (UE) 2024/1252 (CRMA).</w:t>
      </w:r>
    </w:p>
    <w:p>
      <w:pPr>
        <w:pStyle w:val="Style9"/>
        <w:keepNext w:val="0"/>
        <w:keepLines w:val="0"/>
        <w:widowControl w:val="0"/>
        <w:shd w:val="clear" w:color="auto" w:fill="auto"/>
        <w:bidi w:val="0"/>
        <w:spacing w:before="0" w:after="340"/>
        <w:ind w:left="0" w:right="0" w:firstLine="0"/>
        <w:jc w:val="both"/>
      </w:pPr>
      <w:r>
        <w:rPr>
          <w:rStyle w:val="CharStyle10"/>
        </w:rPr>
        <w:t>Do zadań Zespołu należy w szczególności:</w:t>
      </w:r>
    </w:p>
    <w:p>
      <w:pPr>
        <w:pStyle w:val="Style5"/>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4516755</wp:posOffset>
                </wp:positionH>
                <wp:positionV relativeFrom="paragraph">
                  <wp:posOffset>12700</wp:posOffset>
                </wp:positionV>
                <wp:extent cx="1795145" cy="271145"/>
                <wp:wrapSquare wrapText="left"/>
                <wp:docPr id="3" name="Shape 3"/>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rStyle w:val="CharStyle6"/>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5.65000000000003pt;margin-top:1.pt;width:141.34999999999999pt;height:21.350000000000001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rStyle w:val="CharStyle6"/>
                        </w:rPr>
                        <w:t>ul. Wawelska 52/54, 00-922 Warszawa Ministerstwo Klimatu i Środowiska</w:t>
                      </w:r>
                    </w:p>
                  </w:txbxContent>
                </v:textbox>
                <w10:wrap type="square" side="left" anchorx="page"/>
              </v:shape>
            </w:pict>
          </mc:Fallback>
        </mc:AlternateContent>
      </w:r>
      <w:r>
        <w:rPr>
          <w:rStyle w:val="CharStyle6"/>
        </w:rPr>
        <w:t>Telefon: (+48) 22 369 29 00</w:t>
      </w:r>
    </w:p>
    <w:p>
      <w:pPr>
        <w:pStyle w:val="Style5"/>
        <w:keepNext w:val="0"/>
        <w:keepLines w:val="0"/>
        <w:widowControl w:val="0"/>
        <w:shd w:val="clear" w:color="auto" w:fill="auto"/>
        <w:bidi w:val="0"/>
        <w:spacing w:before="0" w:after="0" w:line="240" w:lineRule="auto"/>
        <w:ind w:left="0" w:right="0" w:firstLine="0"/>
        <w:jc w:val="both"/>
      </w:pPr>
      <w:r>
        <w:fldChar w:fldCharType="begin"/>
      </w:r>
      <w:r>
        <w:rPr/>
        <w:instrText> HYPERLINK "mailto:info@klimat.gov.pl" </w:instrText>
      </w:r>
      <w:r>
        <w:fldChar w:fldCharType="separate"/>
      </w:r>
      <w:r>
        <w:rPr>
          <w:rStyle w:val="CharStyle6"/>
        </w:rPr>
        <w:t>info@klimat.gov.pl</w:t>
      </w:r>
      <w:r>
        <w:fldChar w:fldCharType="end"/>
      </w:r>
    </w:p>
    <w:p>
      <w:pPr>
        <w:pStyle w:val="Style5"/>
        <w:keepNext w:val="0"/>
        <w:keepLines w:val="0"/>
        <w:widowControl w:val="0"/>
        <w:shd w:val="clear" w:color="auto" w:fill="auto"/>
        <w:bidi w:val="0"/>
        <w:spacing w:before="0" w:after="8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114300</wp:posOffset>
                </wp:positionV>
                <wp:extent cx="2810510" cy="130810"/>
                <wp:wrapSquare wrapText="left"/>
                <wp:docPr id="5" name="Shape 5"/>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15000000000001pt;margin-top:9.pt;width:221.30000000000001pt;height:10.300000000000001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v:textbox>
                <w10:wrap type="square" side="left" anchorx="page"/>
              </v:shape>
            </w:pict>
          </mc:Fallback>
        </mc:AlternateContent>
      </w:r>
      <w:r>
        <w:fldChar w:fldCharType="begin"/>
      </w:r>
      <w:r>
        <w:rPr/>
        <w:instrText> HYPERLINK "http://www.gov.pl/klimat" </w:instrText>
      </w:r>
      <w:r>
        <w:fldChar w:fldCharType="separate"/>
      </w:r>
      <w:r>
        <w:rPr>
          <w:rStyle w:val="CharStyle6"/>
        </w:rPr>
        <w:t>www.gov.pl/klimat</w:t>
      </w:r>
      <w:r>
        <w:fldChar w:fldCharType="end"/>
      </w:r>
    </w:p>
    <w:p>
      <w:pPr>
        <w:pStyle w:val="Style9"/>
        <w:keepNext w:val="0"/>
        <w:keepLines w:val="0"/>
        <w:widowControl w:val="0"/>
        <w:numPr>
          <w:ilvl w:val="0"/>
          <w:numId w:val="3"/>
        </w:numPr>
        <w:shd w:val="clear" w:color="auto" w:fill="auto"/>
        <w:tabs>
          <w:tab w:pos="730" w:val="left"/>
        </w:tabs>
        <w:bidi w:val="0"/>
        <w:spacing w:before="0" w:line="305" w:lineRule="auto"/>
        <w:ind w:left="740" w:right="0" w:hanging="360"/>
        <w:jc w:val="both"/>
      </w:pPr>
      <w:r>
        <w:rPr>
          <w:rStyle w:val="CharStyle10"/>
        </w:rPr>
        <w:t>wspieranie działań w zakresie aktualizacji, inicjowania i koordynowania realizacji Polityki Surowcowej Państwa;</w:t>
      </w:r>
    </w:p>
    <w:p>
      <w:pPr>
        <w:pStyle w:val="Style9"/>
        <w:keepNext w:val="0"/>
        <w:keepLines w:val="0"/>
        <w:widowControl w:val="0"/>
        <w:numPr>
          <w:ilvl w:val="0"/>
          <w:numId w:val="3"/>
        </w:numPr>
        <w:shd w:val="clear" w:color="auto" w:fill="auto"/>
        <w:tabs>
          <w:tab w:pos="730" w:val="left"/>
        </w:tabs>
        <w:bidi w:val="0"/>
        <w:spacing w:before="0" w:line="300" w:lineRule="auto"/>
        <w:ind w:left="740" w:right="0" w:hanging="360"/>
        <w:jc w:val="both"/>
      </w:pPr>
      <w:r>
        <w:rPr>
          <w:rStyle w:val="CharStyle10"/>
        </w:rPr>
        <w:t>wydawanie opinii i rekomendacji dotyczących wdrażania CRMA, w tym stanowisk w sprawie uznania projektów za strategiczne dla Unii Europejskiej;</w:t>
      </w:r>
    </w:p>
    <w:p>
      <w:pPr>
        <w:pStyle w:val="Style9"/>
        <w:keepNext w:val="0"/>
        <w:keepLines w:val="0"/>
        <w:widowControl w:val="0"/>
        <w:numPr>
          <w:ilvl w:val="0"/>
          <w:numId w:val="3"/>
        </w:numPr>
        <w:shd w:val="clear" w:color="auto" w:fill="auto"/>
        <w:tabs>
          <w:tab w:pos="730" w:val="left"/>
        </w:tabs>
        <w:bidi w:val="0"/>
        <w:spacing w:before="0" w:line="300" w:lineRule="auto"/>
        <w:ind w:left="740" w:right="0" w:hanging="360"/>
        <w:jc w:val="both"/>
      </w:pPr>
      <w:r>
        <w:rPr>
          <w:rStyle w:val="CharStyle10"/>
        </w:rPr>
        <w:t>dokonywanie przeglądu zagadnień związanych z bezpieczeństwem surowcowym państwa, ochroną zasobów geologicznych oraz dostępem do surowców;</w:t>
      </w:r>
    </w:p>
    <w:p>
      <w:pPr>
        <w:pStyle w:val="Style9"/>
        <w:keepNext w:val="0"/>
        <w:keepLines w:val="0"/>
        <w:widowControl w:val="0"/>
        <w:numPr>
          <w:ilvl w:val="0"/>
          <w:numId w:val="3"/>
        </w:numPr>
        <w:shd w:val="clear" w:color="auto" w:fill="auto"/>
        <w:tabs>
          <w:tab w:pos="730" w:val="left"/>
        </w:tabs>
        <w:bidi w:val="0"/>
        <w:spacing w:before="0"/>
        <w:ind w:left="0" w:right="0" w:firstLine="380"/>
        <w:jc w:val="both"/>
      </w:pPr>
      <w:r>
        <w:rPr>
          <w:rStyle w:val="CharStyle10"/>
        </w:rPr>
        <w:t>ocena krajowych i międzynarodowych rozwiązań dotyczących polityki surowcowej;</w:t>
      </w:r>
    </w:p>
    <w:p>
      <w:pPr>
        <w:pStyle w:val="Style9"/>
        <w:keepNext w:val="0"/>
        <w:keepLines w:val="0"/>
        <w:widowControl w:val="0"/>
        <w:numPr>
          <w:ilvl w:val="0"/>
          <w:numId w:val="3"/>
        </w:numPr>
        <w:shd w:val="clear" w:color="auto" w:fill="auto"/>
        <w:tabs>
          <w:tab w:pos="730" w:val="left"/>
        </w:tabs>
        <w:bidi w:val="0"/>
        <w:spacing w:before="0" w:line="300" w:lineRule="auto"/>
        <w:ind w:left="740" w:right="0" w:hanging="360"/>
        <w:jc w:val="both"/>
      </w:pPr>
      <w:r>
        <w:rPr>
          <w:rStyle w:val="CharStyle10"/>
        </w:rPr>
        <w:t>wspieranie współpracy z podmiotami naukowymi oraz państwową służbą geologiczną;</w:t>
      </w:r>
    </w:p>
    <w:p>
      <w:pPr>
        <w:pStyle w:val="Style9"/>
        <w:keepNext w:val="0"/>
        <w:keepLines w:val="0"/>
        <w:widowControl w:val="0"/>
        <w:numPr>
          <w:ilvl w:val="0"/>
          <w:numId w:val="3"/>
        </w:numPr>
        <w:shd w:val="clear" w:color="auto" w:fill="auto"/>
        <w:tabs>
          <w:tab w:pos="730" w:val="left"/>
        </w:tabs>
        <w:bidi w:val="0"/>
        <w:spacing w:before="0" w:line="305" w:lineRule="auto"/>
        <w:ind w:left="740" w:right="0" w:hanging="360"/>
        <w:jc w:val="both"/>
      </w:pPr>
      <w:r>
        <w:rPr>
          <w:rStyle w:val="CharStyle10"/>
        </w:rPr>
        <w:t>wspieranie zapewnienia spójności polityki surowcowej z polityką energetyczną oraz innymi dokumentami strategicznymi państwa.</w:t>
      </w:r>
    </w:p>
    <w:p>
      <w:pPr>
        <w:pStyle w:val="Style9"/>
        <w:keepNext w:val="0"/>
        <w:keepLines w:val="0"/>
        <w:widowControl w:val="0"/>
        <w:shd w:val="clear" w:color="auto" w:fill="auto"/>
        <w:bidi w:val="0"/>
        <w:spacing w:before="0" w:after="0" w:line="305" w:lineRule="auto"/>
        <w:ind w:left="0" w:right="0" w:firstLine="0"/>
        <w:jc w:val="both"/>
      </w:pPr>
      <w:r>
        <w:rPr>
          <w:rStyle w:val="CharStyle10"/>
        </w:rPr>
        <w:t>W skład Zespołu wchodzą przedstawiciele właściwych resortów oraz instytucji zaangażowanych w realizację polityki surowcowej państwa.</w:t>
      </w:r>
    </w:p>
    <w:p>
      <w:pPr>
        <w:pStyle w:val="Style9"/>
        <w:keepNext w:val="0"/>
        <w:keepLines w:val="0"/>
        <w:widowControl w:val="0"/>
        <w:numPr>
          <w:ilvl w:val="0"/>
          <w:numId w:val="3"/>
        </w:numPr>
        <w:shd w:val="clear" w:color="auto" w:fill="auto"/>
        <w:tabs>
          <w:tab w:pos="730" w:val="left"/>
        </w:tabs>
        <w:bidi w:val="0"/>
        <w:spacing w:before="0" w:after="120" w:line="240" w:lineRule="auto"/>
        <w:ind w:left="740" w:right="0" w:hanging="360"/>
        <w:jc w:val="both"/>
      </w:pPr>
      <w:r>
        <w:rPr>
          <w:rStyle w:val="CharStyle10"/>
        </w:rPr>
        <w:t>Postulat 4. Opracowanie i wdrożenie Krajowego Programu Odwiertów Geotermalnych.</w:t>
      </w:r>
    </w:p>
    <w:p>
      <w:pPr>
        <w:pStyle w:val="Style9"/>
        <w:keepNext w:val="0"/>
        <w:keepLines w:val="0"/>
        <w:widowControl w:val="0"/>
        <w:shd w:val="clear" w:color="auto" w:fill="auto"/>
        <w:bidi w:val="0"/>
        <w:spacing w:before="0" w:line="305" w:lineRule="auto"/>
        <w:ind w:left="0" w:right="0" w:firstLine="0"/>
        <w:jc w:val="both"/>
      </w:pPr>
      <w:r>
        <w:rPr>
          <w:rStyle w:val="CharStyle10"/>
        </w:rPr>
        <w:t>Od wielu lat MKiŚ (wcześniej działające jako Ministerstwo Środowiska) podejmuje szereg działań zmierzających do zwiększenia wykorzystania zasobów geotermalnych w Polsce. Wsparcie to realizowane jest na kilku poziomach. Od 2016 r. działania te uległy intensyfikacji, co pozytywnie wpływa na rozwój wykorzystania wód termalnych w Polsce.</w:t>
      </w:r>
    </w:p>
    <w:p>
      <w:pPr>
        <w:pStyle w:val="Style9"/>
        <w:keepNext w:val="0"/>
        <w:keepLines w:val="0"/>
        <w:widowControl w:val="0"/>
        <w:shd w:val="clear" w:color="auto" w:fill="auto"/>
        <w:bidi w:val="0"/>
        <w:spacing w:before="0"/>
        <w:ind w:left="0" w:right="0" w:firstLine="0"/>
        <w:jc w:val="both"/>
      </w:pPr>
      <w:r>
        <w:rPr>
          <w:rStyle w:val="CharStyle10"/>
        </w:rPr>
        <w:t>Po pierwsze, od 2016 r. Minister Klimatu i Środowiska pozytywnie zaopiniował wykonanie 56 nowych otworów geotermalnych na obszarze Polski ze środków Narodowego Funduszu Ochrony Środowiska i Gospodarki Wodnej w dedykowanych programach wsparcia. Łączna kwota zaopiniowanych pozytywnie wniosków o dofinansowanie (dofinansowanie do 100% kosztów kwalifikowanych) w tym okresie to około 919 mln zł. 53 z tych przedsięwzięć jest w realizacji, na różnych etapach wykonania, w tym udało się już udokumentować kilka nowych złóż wód termalnych. Obecnie w Polsce istnieje 10 komunalnych ciepłowni geotermalnych, w tym otwarte ostatnio ciepłownie geotermalne w Kole, Sieradzu i Koninie, wykonywane są także geotermalne systemy ciepłownicze, które dostarczają energii geotermalnej do pojedynczych budynków lub do grupy budynków na zintegrowanym obszarze. Biorąc pod uwagę realizowane przedsięwzięcia, przewiduje się, że liczba ciepłowni geotermalnych będzie rosła zwiększając udział geotermii w krajowym bilansie energetycznym. MKiŚ na bieżąco śledzi postępy przy realizacji dofinansowanych otworów. Co do możliwości kontynuowania wsparcia wykonania nowych otworów geotermalnych ze środków Narodowego Funduszu Ochrony Środowiska i Gospodarki Wodnej w dotychczasowej formule, obecnie trwają analizy, lecz wydaje się, że na ten moment lepszym rozwiązaniem dla rozwoju geotermii w Polsce będzie umożliwienie dokończenia licznych inwestycji geotermalnych już rozpoczętych w taki sposób aby umożliwić uruchomienie kolejnych ciepłowni geotermalnych. Informacja na temat aktualnie dostępnych programów dofinansowania inwestycji geotermalnych dostępna jest w NFOŚiGW, ewentualnie w WFOŚiGW.</w:t>
      </w:r>
    </w:p>
    <w:p>
      <w:pPr>
        <w:pStyle w:val="Style9"/>
        <w:keepNext w:val="0"/>
        <w:keepLines w:val="0"/>
        <w:widowControl w:val="0"/>
        <w:shd w:val="clear" w:color="auto" w:fill="auto"/>
        <w:bidi w:val="0"/>
        <w:spacing w:before="0"/>
        <w:ind w:left="0" w:right="0" w:firstLine="0"/>
        <w:jc w:val="both"/>
      </w:pPr>
      <w:r>
        <w:rPr>
          <w:rStyle w:val="CharStyle10"/>
        </w:rPr>
        <w:t>Drugim obszarem wsparcia jest zapewnienie wiedzy merytorycznej, która umożliwia poznanie budowy geologicznej, warunków hydrogeologicznych i geotermalnych oraz ułatwia projektowanie inwestycji geotermalnych w perspektywicznych lokalizacjach. Wiedza ta jest pozyskiwana m.in. dzięki realizacji zadań państwowej służby geologicznej (psg), pełnionej przez Państwowy Instytut Geologiczny – Państwowy Instytut Badawczy. Corocznie takie zadania są podejmowane i realizowane. W ostatnich latach realizowane były/są np. takie tematy jak:</w:t>
      </w:r>
    </w:p>
    <w:p>
      <w:pPr>
        <w:pStyle w:val="Style9"/>
        <w:keepNext w:val="0"/>
        <w:keepLines w:val="0"/>
        <w:widowControl w:val="0"/>
        <w:numPr>
          <w:ilvl w:val="0"/>
          <w:numId w:val="3"/>
        </w:numPr>
        <w:shd w:val="clear" w:color="auto" w:fill="auto"/>
        <w:tabs>
          <w:tab w:pos="730" w:val="left"/>
        </w:tabs>
        <w:bidi w:val="0"/>
        <w:spacing w:before="0" w:line="300" w:lineRule="auto"/>
        <w:ind w:left="740" w:right="0" w:hanging="360"/>
        <w:jc w:val="both"/>
      </w:pPr>
      <w:r>
        <w:rPr>
          <w:rStyle w:val="CharStyle10"/>
        </w:rPr>
        <w:t>„Młode strefy tektoniczne a warunki geotermalne w Sudetach w świetle badań geochronologicznych, strukturalnych i termometrycznych – etap I i II”,</w:t>
      </w:r>
    </w:p>
    <w:p>
      <w:pPr>
        <w:pStyle w:val="Style9"/>
        <w:keepNext w:val="0"/>
        <w:keepLines w:val="0"/>
        <w:widowControl w:val="0"/>
        <w:numPr>
          <w:ilvl w:val="0"/>
          <w:numId w:val="3"/>
        </w:numPr>
        <w:shd w:val="clear" w:color="auto" w:fill="auto"/>
        <w:tabs>
          <w:tab w:pos="730" w:val="left"/>
        </w:tabs>
        <w:bidi w:val="0"/>
        <w:spacing w:before="0"/>
        <w:ind w:left="740" w:right="0" w:hanging="360"/>
        <w:jc w:val="both"/>
      </w:pPr>
      <w:r>
        <w:rPr>
          <w:rStyle w:val="CharStyle10"/>
        </w:rPr>
        <w:t>„Ocena potencjału energetycznego i surowcowego wód termalnych i leczniczych termalnych w wybranych obszarach zurbanizowanych wraz z analizą geośrodowiskowych oraz ekonomicznych uwarunkowań ich zagospodarowania”,</w:t>
      </w:r>
    </w:p>
    <w:p>
      <w:pPr>
        <w:pStyle w:val="Style9"/>
        <w:keepNext w:val="0"/>
        <w:keepLines w:val="0"/>
        <w:widowControl w:val="0"/>
        <w:numPr>
          <w:ilvl w:val="0"/>
          <w:numId w:val="3"/>
        </w:numPr>
        <w:shd w:val="clear" w:color="auto" w:fill="auto"/>
        <w:tabs>
          <w:tab w:pos="730" w:val="left"/>
        </w:tabs>
        <w:bidi w:val="0"/>
        <w:spacing w:before="0"/>
        <w:ind w:left="0" w:right="0" w:firstLine="380"/>
        <w:jc w:val="both"/>
      </w:pPr>
      <w:r>
        <w:rPr>
          <w:rStyle w:val="CharStyle10"/>
        </w:rPr>
        <w:t>„Atlas geotermalny Sudetów i ich przedpola”,</w:t>
      </w:r>
    </w:p>
    <w:p>
      <w:pPr>
        <w:pStyle w:val="Style9"/>
        <w:keepNext w:val="0"/>
        <w:keepLines w:val="0"/>
        <w:widowControl w:val="0"/>
        <w:numPr>
          <w:ilvl w:val="0"/>
          <w:numId w:val="3"/>
        </w:numPr>
        <w:shd w:val="clear" w:color="auto" w:fill="auto"/>
        <w:tabs>
          <w:tab w:pos="730" w:val="left"/>
        </w:tabs>
        <w:bidi w:val="0"/>
        <w:spacing w:before="0"/>
        <w:ind w:left="740" w:right="0" w:hanging="360"/>
        <w:jc w:val="both"/>
      </w:pPr>
      <w:r>
        <w:rPr>
          <w:rStyle w:val="CharStyle10"/>
        </w:rPr>
        <w:t>„Geośrodowiskowe uwarunkowania wykorzystania energii wód termalnych na obszarze niecki mogileńsko-łódzkiej z uwzględnieniem oddziaływania eksploatacji na użytkowe poziomy wodonośne”,</w:t>
      </w:r>
    </w:p>
    <w:p>
      <w:pPr>
        <w:pStyle w:val="Style9"/>
        <w:keepNext w:val="0"/>
        <w:keepLines w:val="0"/>
        <w:widowControl w:val="0"/>
        <w:numPr>
          <w:ilvl w:val="0"/>
          <w:numId w:val="3"/>
        </w:numPr>
        <w:shd w:val="clear" w:color="auto" w:fill="auto"/>
        <w:tabs>
          <w:tab w:pos="730" w:val="left"/>
        </w:tabs>
        <w:bidi w:val="0"/>
        <w:spacing w:before="0" w:line="305" w:lineRule="auto"/>
        <w:ind w:left="740" w:right="0" w:hanging="360"/>
        <w:jc w:val="both"/>
      </w:pPr>
      <w:r>
        <w:rPr>
          <w:rStyle w:val="CharStyle10"/>
        </w:rPr>
        <w:t>„Ocena potencjału energetycznego i surowcowego wód termalnych w miastach powyżej 50 tys. mieszkańców, posiadających sieć ciepłowniczą, zlokalizowanych na Niżu Polskim wraz z analizą geośrodowiskowych oraz ekonomicznych uwarunkowań ich zagospodarowania”.</w:t>
      </w:r>
    </w:p>
    <w:p>
      <w:pPr>
        <w:pStyle w:val="Style9"/>
        <w:keepNext w:val="0"/>
        <w:keepLines w:val="0"/>
        <w:widowControl w:val="0"/>
        <w:shd w:val="clear" w:color="auto" w:fill="auto"/>
        <w:bidi w:val="0"/>
        <w:spacing w:before="0" w:line="305" w:lineRule="auto"/>
        <w:ind w:left="0" w:right="0" w:firstLine="0"/>
        <w:jc w:val="both"/>
      </w:pPr>
      <w:r>
        <w:rPr>
          <w:rStyle w:val="CharStyle10"/>
        </w:rPr>
        <w:t>Realizowane są także zadania psg dedykowane rozwoju geotermii płytkiej na obszarze Polski, tj.:</w:t>
      </w:r>
    </w:p>
    <w:p>
      <w:pPr>
        <w:pStyle w:val="Style9"/>
        <w:keepNext w:val="0"/>
        <w:keepLines w:val="0"/>
        <w:widowControl w:val="0"/>
        <w:numPr>
          <w:ilvl w:val="0"/>
          <w:numId w:val="3"/>
        </w:numPr>
        <w:shd w:val="clear" w:color="auto" w:fill="auto"/>
        <w:tabs>
          <w:tab w:pos="730" w:val="left"/>
        </w:tabs>
        <w:bidi w:val="0"/>
        <w:spacing w:before="0" w:line="300" w:lineRule="auto"/>
        <w:ind w:left="740" w:right="0" w:hanging="360"/>
        <w:jc w:val="both"/>
      </w:pPr>
      <w:r>
        <w:rPr>
          <w:rStyle w:val="CharStyle10"/>
        </w:rPr>
        <w:t>„Ocena potencjału energetycznego i uwarunkowań środowiskowych dla wsparcia zrównoważonego rozwoju geotermii niskotemperaturowej”,</w:t>
      </w:r>
    </w:p>
    <w:p>
      <w:pPr>
        <w:pStyle w:val="Style9"/>
        <w:keepNext w:val="0"/>
        <w:keepLines w:val="0"/>
        <w:widowControl w:val="0"/>
        <w:numPr>
          <w:ilvl w:val="0"/>
          <w:numId w:val="3"/>
        </w:numPr>
        <w:shd w:val="clear" w:color="auto" w:fill="auto"/>
        <w:tabs>
          <w:tab w:pos="730" w:val="left"/>
        </w:tabs>
        <w:bidi w:val="0"/>
        <w:spacing w:before="0"/>
        <w:ind w:left="0" w:right="0" w:firstLine="380"/>
        <w:jc w:val="both"/>
      </w:pPr>
      <w:r>
        <w:rPr>
          <w:rStyle w:val="CharStyle10"/>
        </w:rPr>
        <w:t>„Mapa potencjału geotermii niskotemperaturowej Polski (MPGN) w skali 1:50 000”,</w:t>
      </w:r>
    </w:p>
    <w:p>
      <w:pPr>
        <w:pStyle w:val="Style9"/>
        <w:keepNext w:val="0"/>
        <w:keepLines w:val="0"/>
        <w:widowControl w:val="0"/>
        <w:numPr>
          <w:ilvl w:val="0"/>
          <w:numId w:val="3"/>
        </w:numPr>
        <w:shd w:val="clear" w:color="auto" w:fill="auto"/>
        <w:tabs>
          <w:tab w:pos="730" w:val="left"/>
        </w:tabs>
        <w:bidi w:val="0"/>
        <w:spacing w:before="0" w:line="300" w:lineRule="auto"/>
        <w:ind w:left="740" w:right="0" w:hanging="360"/>
        <w:jc w:val="both"/>
      </w:pPr>
      <w:r>
        <w:rPr>
          <w:rStyle w:val="CharStyle10"/>
        </w:rPr>
        <w:t>„Wstępna ocena możliwości magazynowania energii cieplnej w poziomach wodonośnych na obszarze Polski (ATES)”,</w:t>
      </w:r>
    </w:p>
    <w:p>
      <w:pPr>
        <w:pStyle w:val="Style9"/>
        <w:keepNext w:val="0"/>
        <w:keepLines w:val="0"/>
        <w:widowControl w:val="0"/>
        <w:numPr>
          <w:ilvl w:val="0"/>
          <w:numId w:val="3"/>
        </w:numPr>
        <w:shd w:val="clear" w:color="auto" w:fill="auto"/>
        <w:tabs>
          <w:tab w:pos="730" w:val="left"/>
        </w:tabs>
        <w:bidi w:val="0"/>
        <w:spacing w:before="0"/>
        <w:ind w:left="740" w:right="0" w:hanging="360"/>
        <w:jc w:val="both"/>
      </w:pPr>
      <w:r>
        <w:rPr>
          <w:rStyle w:val="CharStyle10"/>
        </w:rPr>
        <w:t>„Ocena możliwości magazynowania energii cieplnej w górotworze za pomocą systemów zamkniętych (BTES, PTES/TTES, EF) w wybranych lokalizacjach na terenie Polski”.</w:t>
      </w:r>
    </w:p>
    <w:p>
      <w:pPr>
        <w:pStyle w:val="Style9"/>
        <w:keepNext w:val="0"/>
        <w:keepLines w:val="0"/>
        <w:widowControl w:val="0"/>
        <w:shd w:val="clear" w:color="auto" w:fill="auto"/>
        <w:bidi w:val="0"/>
        <w:spacing w:before="0" w:line="305" w:lineRule="auto"/>
        <w:ind w:left="0" w:right="0" w:firstLine="0"/>
        <w:jc w:val="both"/>
      </w:pPr>
      <w:r>
        <w:rPr>
          <w:rStyle w:val="CharStyle10"/>
        </w:rPr>
        <w:t>Efekty zadań psg publikowane są na stronie internetowej PIG-PIB i MKiŚ (link:</w:t>
      </w:r>
      <w:r>
        <w:fldChar w:fldCharType="begin"/>
      </w:r>
      <w:r>
        <w:rPr/>
        <w:instrText> HYPERLINK "https://www.gov.pl/web/klimat/geotermia-wody-lecznicze-i-mineralne" </w:instrText>
      </w:r>
      <w:r>
        <w:fldChar w:fldCharType="separate"/>
      </w:r>
      <w:r>
        <w:rPr>
          <w:rStyle w:val="CharStyle10"/>
        </w:rPr>
        <w:t xml:space="preserve"> </w:t>
      </w:r>
      <w:r>
        <w:rPr>
          <w:rStyle w:val="CharStyle10"/>
          <w:color w:val="0563C1"/>
          <w:u w:val="single"/>
        </w:rPr>
        <w:t>https://www.gov.pl/web/klimat/geotermia-wody-lecznicze-i-mineralne</w:t>
      </w:r>
      <w:r>
        <w:fldChar w:fldCharType="end"/>
      </w:r>
      <w:r>
        <w:rPr>
          <w:rStyle w:val="CharStyle10"/>
        </w:rPr>
        <w:t>).</w:t>
      </w:r>
    </w:p>
    <w:p>
      <w:pPr>
        <w:pStyle w:val="Style9"/>
        <w:keepNext w:val="0"/>
        <w:keepLines w:val="0"/>
        <w:widowControl w:val="0"/>
        <w:shd w:val="clear" w:color="auto" w:fill="auto"/>
        <w:bidi w:val="0"/>
        <w:spacing w:before="0"/>
        <w:ind w:left="0" w:right="0" w:firstLine="0"/>
        <w:jc w:val="both"/>
      </w:pPr>
      <w:r>
        <w:rPr>
          <w:rStyle w:val="CharStyle10"/>
        </w:rPr>
        <w:t>Po trzecie, MKiŚ prowadzi prace nad zmianami prawa w dziedzinie geotermii i ciepła Ziemi, które stanowią odpowiedź za potrzeby zgłaszane przez przedsiębiorców, samorządy, instytucje i stowarzyszenia oraz organy administracji geologicznej. W 2021 r. MKiŚ przeprowadziło szerokie konsultacje z organami administracji geologicznej (marszałkowie, starostwie powiatowi), wyższym urzędem górniczym i okręgowymi urzędami górniczymi oraz urzędami morskimi w zakresie wskazania zagadnień hydrogeologicznych, geotermalnych i z dziedziny ciepła Ziemi, które wymagają zmiany w ustawie Prawo geologiczne i górnicze. Także Rada Gospodarowania Zasobami Ziemi, organ doradczy MKiŚ,</w:t>
      </w:r>
    </w:p>
    <w:p>
      <w:pPr>
        <w:pStyle w:val="Style9"/>
        <w:keepNext w:val="0"/>
        <w:keepLines w:val="0"/>
        <w:widowControl w:val="0"/>
        <w:shd w:val="clear" w:color="auto" w:fill="auto"/>
        <w:bidi w:val="0"/>
        <w:spacing w:before="0" w:line="305" w:lineRule="auto"/>
        <w:ind w:left="0" w:right="0" w:firstLine="0"/>
        <w:jc w:val="both"/>
      </w:pPr>
      <w:r>
        <w:rPr>
          <w:rStyle w:val="CharStyle10"/>
        </w:rPr>
        <w:t>wskazała kierunki niezbędnych zmian prawa. Wszystkie postulaty są analizowane i w miarę możliwości uwzględniane w pracach legislacyjnych.</w:t>
      </w:r>
    </w:p>
    <w:p>
      <w:pPr>
        <w:pStyle w:val="Style9"/>
        <w:keepNext w:val="0"/>
        <w:keepLines w:val="0"/>
        <w:widowControl w:val="0"/>
        <w:shd w:val="clear" w:color="auto" w:fill="auto"/>
        <w:bidi w:val="0"/>
        <w:spacing w:before="0"/>
        <w:ind w:left="0" w:right="0" w:firstLine="0"/>
        <w:jc w:val="both"/>
      </w:pPr>
      <w:r>
        <w:rPr>
          <w:rStyle w:val="CharStyle10"/>
        </w:rPr>
        <w:t xml:space="preserve">Po czwarte, MKiŚ prowadzi działania na rzecz promocji wykorzystania wód termalnych na obszarze kraju. Tego typu działania są realizowane przez Ministerstwo Klimatu i Środowiska m.in. poprzez prowadzenie strony internetowej poświęconej geotermii (link: </w:t>
      </w:r>
      <w:r>
        <w:fldChar w:fldCharType="begin"/>
      </w:r>
      <w:r>
        <w:rPr/>
        <w:instrText> HYPERLINK "https://www.gov.pl/web/klimat/geotermia" </w:instrText>
      </w:r>
      <w:r>
        <w:fldChar w:fldCharType="separate"/>
      </w:r>
      <w:r>
        <w:rPr>
          <w:rStyle w:val="CharStyle10"/>
          <w:color w:val="0563C1"/>
          <w:u w:val="single"/>
        </w:rPr>
        <w:t>https://www.gov.pl/web/klimat/geotermia</w:t>
      </w:r>
      <w:r>
        <w:fldChar w:fldCharType="end"/>
      </w:r>
      <w:r>
        <w:rPr>
          <w:rStyle w:val="CharStyle10"/>
        </w:rPr>
        <w:t>) oraz cykliczną publikację artykułów o tematyce geotermalnej w Przeglądzie Geologicznym (link:</w:t>
      </w:r>
      <w:r>
        <w:fldChar w:fldCharType="begin"/>
      </w:r>
      <w:r>
        <w:rPr/>
        <w:instrText> HYPERLINK "https://www.gov.pl/web/klimat/inne-materialy-dotyczace-geotermii" </w:instrText>
      </w:r>
      <w:r>
        <w:fldChar w:fldCharType="separate"/>
      </w:r>
      <w:r>
        <w:rPr>
          <w:rStyle w:val="CharStyle10"/>
        </w:rPr>
        <w:t xml:space="preserve"> </w:t>
      </w:r>
      <w:r>
        <w:rPr>
          <w:rStyle w:val="CharStyle10"/>
          <w:color w:val="0563C1"/>
          <w:u w:val="single"/>
        </w:rPr>
        <w:t>https://www.gov.pl/web/klimat/inne-materialy-dotyczace-geotermii</w:t>
      </w:r>
      <w:r>
        <w:fldChar w:fldCharType="end"/>
      </w:r>
      <w:r>
        <w:rPr>
          <w:rStyle w:val="CharStyle10"/>
        </w:rPr>
        <w:t>). Także psg prowadzi portal dedykowany geotermii (link:</w:t>
      </w:r>
      <w:r>
        <w:fldChar w:fldCharType="begin"/>
      </w:r>
      <w:r>
        <w:rPr/>
        <w:instrText> HYPERLINK "https://www.pgi.gov.pl/geotermia-2/przydatne/geotermia.html" </w:instrText>
      </w:r>
      <w:r>
        <w:fldChar w:fldCharType="separate"/>
      </w:r>
      <w:r>
        <w:rPr>
          <w:rStyle w:val="CharStyle10"/>
        </w:rPr>
        <w:t xml:space="preserve"> </w:t>
      </w:r>
      <w:r>
        <w:rPr>
          <w:rStyle w:val="CharStyle10"/>
          <w:color w:val="0563C1"/>
          <w:u w:val="single"/>
        </w:rPr>
        <w:t>https://www.pgi.gov.pl/geotermia-</w:t>
      </w:r>
      <w:r>
        <w:fldChar w:fldCharType="end"/>
      </w:r>
      <w:r>
        <w:rPr>
          <w:rStyle w:val="CharStyle10"/>
          <w:color w:val="0563C1"/>
          <w:u w:val="single"/>
        </w:rPr>
        <w:t xml:space="preserve"> </w:t>
      </w:r>
      <w:r>
        <w:fldChar w:fldCharType="begin"/>
      </w:r>
      <w:r>
        <w:rPr/>
        <w:instrText> HYPERLINK "https://www.pgi.gov.pl/geotermia-2/przydatne/geotermia.html" </w:instrText>
      </w:r>
      <w:r>
        <w:fldChar w:fldCharType="separate"/>
      </w:r>
      <w:r>
        <w:rPr>
          <w:rStyle w:val="CharStyle10"/>
          <w:color w:val="0563C1"/>
          <w:u w:val="single"/>
        </w:rPr>
        <w:t>2/przydatne/geotermia.html</w:t>
      </w:r>
      <w:r>
        <w:fldChar w:fldCharType="end"/>
      </w:r>
      <w:r>
        <w:rPr>
          <w:rStyle w:val="CharStyle10"/>
        </w:rPr>
        <w:t>). Ponadto, promocję swoich zadań prowadzi PIG-PIB np.: corocznie PIG-PIB organizuje Forum Geotermalne, które jest ważnym miejscem spotkań i wymiany doświadczeń branży geotermalnej. Regularnie publikowany jest także „Bilans i zagospodarowanie zasobów złóż wód termalnych i energii geotermalnej w Polsce”, który stanowi znakomite kompendium wiedzy o rozwoju geotermii w Polsce za dany rok.</w:t>
      </w:r>
    </w:p>
    <w:p>
      <w:pPr>
        <w:pStyle w:val="Style9"/>
        <w:keepNext w:val="0"/>
        <w:keepLines w:val="0"/>
        <w:widowControl w:val="0"/>
        <w:shd w:val="clear" w:color="auto" w:fill="auto"/>
        <w:bidi w:val="0"/>
        <w:spacing w:before="0"/>
        <w:ind w:left="0" w:right="0" w:firstLine="0"/>
        <w:jc w:val="both"/>
      </w:pPr>
      <w:r>
        <w:rPr>
          <w:rStyle w:val="CharStyle10"/>
        </w:rPr>
        <w:t>Rozwinięciem kwestii geotermalnych ujętych w Polityce surowcowej państwa jest opracowany w 2021 r. i przyjęty przez Kierownictwo Ministerstwa Klimatu i Środowiska w 2022 r. „Wieloletni Programu Rozwoju Wykorzystania Zasobów Geotermalnych w Polsce” (mapa drogowa rozwoju geotermii do 2040 roku, z perspektywą do 2050 roku). W mapie drogowej przedstawiono propozycję działań koniecznych do podjęcia na przestrzeni kolejnych lat dla rozwoju wykorzystania wód termalnych i energii geotermalnej w Polsce w podziale na kilka zagadnień m.in. geotermia płytka, geotermia otworowa, instalacje kogeneracyjne, głębokie otworowe wymienniki ciepła i magazynowanie ciepła i chłodu w górotworze. Ujęto tam także kwestie dotyczące promocji, edukacji i legislacji a także stworzenia centrum naukowo-technologiczno-biznesowego dla geotermii i pomp ciepła. Jednym z obszarów mapy drogowej rozwoju geotermii w Polsce jest również opracowanie ram dla organizacji funduszu ubezpieczenia ryzyka w projektach geotermalnych. Obecnie mapa drogowa poddawana jest weryfikacji i aktualizacji przez MKiŚ we współpracy z Radą Gospodarowania Zasobami Ziemi. Planuje się, że zostaną do niej dodane nowe obszary tematyczne jak np. wykorzystanie geotermii w rolnictwie i współpraca międzynarodowa. Przewiduje się, że odświeżona i uzupełniona wersja mapy drogowej zostanie opublikowana w 2026 r. W tworzenie nowej wersji mapy zaangażowani są także przedstawiciele instytucji pośredniczących w uzyskiwaniu środków na realizację różnego rodzaju przedsięwzięć związanych z geotermią i ciepłem Ziemi. Współpraca ta ma na celu wskazanie istniejących źródeł wsparcia a także umożliwi podjęcie dyskusji w przyszłości nad opracowaniem nowych programów pomocowych opartych m.in. o kierunki rozwoju geotermii wskazane w mapie drogowej.</w:t>
      </w:r>
    </w:p>
    <w:p>
      <w:pPr>
        <w:pStyle w:val="Style9"/>
        <w:keepNext w:val="0"/>
        <w:keepLines w:val="0"/>
        <w:widowControl w:val="0"/>
        <w:shd w:val="clear" w:color="auto" w:fill="auto"/>
        <w:bidi w:val="0"/>
        <w:spacing w:before="0" w:line="305" w:lineRule="auto"/>
        <w:ind w:left="0" w:right="0" w:firstLine="0"/>
        <w:jc w:val="both"/>
      </w:pPr>
      <w:r>
        <w:rPr>
          <w:rStyle w:val="CharStyle10"/>
        </w:rPr>
        <w:t>Jak wskazano powyżej, MKiŚ podejmuje działania będące odpowiedzią na problemy zaakcentowane w petycji, a prowadzone obecnie prace nad aktualizacją mapy drogowej rozwoju geotermii w Polsce z pewnością przyczynią się do ich zdynamizowania i będą stanowić odpowiedź na nowe wyzwania w zakresie geotermii.</w:t>
      </w:r>
    </w:p>
    <w:p>
      <w:pPr>
        <w:pStyle w:val="Style9"/>
        <w:keepNext w:val="0"/>
        <w:keepLines w:val="0"/>
        <w:widowControl w:val="0"/>
        <w:numPr>
          <w:ilvl w:val="0"/>
          <w:numId w:val="5"/>
        </w:numPr>
        <w:shd w:val="clear" w:color="auto" w:fill="auto"/>
        <w:tabs>
          <w:tab w:pos="740" w:val="left"/>
        </w:tabs>
        <w:bidi w:val="0"/>
        <w:spacing w:before="0" w:after="120" w:line="240" w:lineRule="auto"/>
        <w:ind w:left="740" w:right="0" w:hanging="360"/>
        <w:jc w:val="both"/>
      </w:pPr>
      <w:r>
        <w:rPr>
          <w:rStyle w:val="CharStyle10"/>
        </w:rPr>
        <w:t>Postulat 5. Uznanie strategicznych złóż za priorytetowe dla bezpieczeństwa państwa</w:t>
      </w:r>
    </w:p>
    <w:p>
      <w:pPr>
        <w:pStyle w:val="Style9"/>
        <w:keepNext w:val="0"/>
        <w:keepLines w:val="0"/>
        <w:widowControl w:val="0"/>
        <w:shd w:val="clear" w:color="auto" w:fill="auto"/>
        <w:bidi w:val="0"/>
        <w:spacing w:before="0"/>
        <w:ind w:left="0" w:right="0" w:firstLine="0"/>
        <w:jc w:val="both"/>
      </w:pPr>
      <w:r>
        <w:rPr>
          <w:rStyle w:val="CharStyle10"/>
        </w:rPr>
        <w:t>Odnośnie złóż przywołanych w Postulacie 5 Petycji informuję, że:</w:t>
      </w:r>
    </w:p>
    <w:p>
      <w:pPr>
        <w:pStyle w:val="Style9"/>
        <w:keepNext w:val="0"/>
        <w:keepLines w:val="0"/>
        <w:widowControl w:val="0"/>
        <w:numPr>
          <w:ilvl w:val="0"/>
          <w:numId w:val="5"/>
        </w:numPr>
        <w:shd w:val="clear" w:color="auto" w:fill="auto"/>
        <w:tabs>
          <w:tab w:pos="740" w:val="left"/>
        </w:tabs>
        <w:bidi w:val="0"/>
        <w:spacing w:before="0" w:line="300" w:lineRule="auto"/>
        <w:ind w:left="740" w:right="0" w:hanging="360"/>
        <w:jc w:val="both"/>
      </w:pPr>
      <w:r>
        <w:rPr>
          <w:rStyle w:val="CharStyle10"/>
        </w:rPr>
        <w:t>Złoże Rudniki SR objęte jest postępowaniem w sprawie uznania złoża za strategiczne.</w:t>
      </w:r>
    </w:p>
    <w:p>
      <w:pPr>
        <w:pStyle w:val="Style9"/>
        <w:keepNext w:val="0"/>
        <w:keepLines w:val="0"/>
        <w:widowControl w:val="0"/>
        <w:numPr>
          <w:ilvl w:val="0"/>
          <w:numId w:val="5"/>
        </w:numPr>
        <w:shd w:val="clear" w:color="auto" w:fill="auto"/>
        <w:tabs>
          <w:tab w:pos="740" w:val="left"/>
        </w:tabs>
        <w:bidi w:val="0"/>
        <w:spacing w:before="0" w:line="305" w:lineRule="auto"/>
        <w:ind w:left="740" w:right="0" w:hanging="360"/>
        <w:jc w:val="both"/>
      </w:pPr>
      <w:r>
        <w:rPr>
          <w:rStyle w:val="CharStyle10"/>
        </w:rPr>
        <w:t>Złoże Krzemianka objęte jest postepowaniem w sprawie uznania złoża za strategiczne.</w:t>
      </w:r>
    </w:p>
    <w:p>
      <w:pPr>
        <w:pStyle w:val="Style9"/>
        <w:keepNext w:val="0"/>
        <w:keepLines w:val="0"/>
        <w:widowControl w:val="0"/>
        <w:numPr>
          <w:ilvl w:val="0"/>
          <w:numId w:val="5"/>
        </w:numPr>
        <w:shd w:val="clear" w:color="auto" w:fill="auto"/>
        <w:tabs>
          <w:tab w:pos="740" w:val="left"/>
        </w:tabs>
        <w:bidi w:val="0"/>
        <w:spacing w:before="0" w:line="305" w:lineRule="auto"/>
        <w:ind w:left="740" w:right="0" w:hanging="360"/>
        <w:jc w:val="both"/>
      </w:pPr>
      <w:r>
        <w:rPr>
          <w:rStyle w:val="CharStyle10"/>
        </w:rPr>
        <w:t>Złoża węgla koksowego na Górnym Śląsku – wszczęte 6 postępowań w tym rejonie, ogólnie dla złóż węgla kamiennego wszczęte 7 postępowań.</w:t>
      </w:r>
    </w:p>
    <w:p>
      <w:pPr>
        <w:pStyle w:val="Style9"/>
        <w:keepNext w:val="0"/>
        <w:keepLines w:val="0"/>
        <w:widowControl w:val="0"/>
        <w:numPr>
          <w:ilvl w:val="0"/>
          <w:numId w:val="5"/>
        </w:numPr>
        <w:shd w:val="clear" w:color="auto" w:fill="auto"/>
        <w:tabs>
          <w:tab w:pos="740" w:val="left"/>
        </w:tabs>
        <w:bidi w:val="0"/>
        <w:spacing w:before="0" w:line="300" w:lineRule="auto"/>
        <w:ind w:left="740" w:right="0" w:hanging="360"/>
        <w:jc w:val="both"/>
      </w:pPr>
      <w:r>
        <w:rPr>
          <w:rStyle w:val="CharStyle10"/>
        </w:rPr>
        <w:t>Złoża miedzi i srebra Lubin-Polkowice-Głogów – wszczęte 4 postępowania z tego rejonu, ogólnie dla miedzi wszczęte 9 postępowań.</w:t>
      </w:r>
    </w:p>
    <w:p>
      <w:pPr>
        <w:pStyle w:val="Style9"/>
        <w:keepNext w:val="0"/>
        <w:keepLines w:val="0"/>
        <w:widowControl w:val="0"/>
        <w:shd w:val="clear" w:color="auto" w:fill="auto"/>
        <w:bidi w:val="0"/>
        <w:spacing w:before="0"/>
        <w:ind w:left="0" w:right="0" w:firstLine="0"/>
        <w:jc w:val="both"/>
      </w:pPr>
      <w:r>
        <w:rPr>
          <w:rStyle w:val="CharStyle10"/>
        </w:rPr>
        <w:t>Postępowania w sprawie uznania złóż za strategiczne są prowadzone na postawie nowelizacja Prawa geologicznego i górniczego z 2023 r.</w:t>
      </w:r>
      <w:r>
        <w:rPr>
          <w:rStyle w:val="CharStyle10"/>
          <w:vertAlign w:val="superscript"/>
        </w:rPr>
        <w:footnoteReference w:id="2"/>
      </w:r>
      <w:r>
        <w:rPr>
          <w:rStyle w:val="CharStyle10"/>
        </w:rPr>
        <w:t>, która wprowadziła pojęcie „złoże strategiczne” oraz regulacji dotyczących uznania złóż kopalin za złoża strategiczne. Znajdują się one w art. 94a ustawy Prawo geologiczne i górnicze</w:t>
      </w:r>
      <w:r>
        <w:rPr>
          <w:rStyle w:val="CharStyle10"/>
          <w:vertAlign w:val="superscript"/>
        </w:rPr>
        <w:footnoteReference w:id="3"/>
      </w:r>
      <w:r>
        <w:rPr>
          <w:rStyle w:val="CharStyle10"/>
        </w:rPr>
        <w:t>. Przepisy te przewidują, że nadanie statusu złoża strategicznego następuje po przeprowadzeniu postępowania administracyjnego, w toku, którego bada się, czy określone złoże kopaliny spełnia przesłanki uznania go za złoże strategiczne. W toku postępowania organ pozyskuje opnie państwowej służby geologicznej.</w:t>
      </w:r>
    </w:p>
    <w:p>
      <w:pPr>
        <w:pStyle w:val="Style9"/>
        <w:keepNext w:val="0"/>
        <w:keepLines w:val="0"/>
        <w:widowControl w:val="0"/>
        <w:shd w:val="clear" w:color="auto" w:fill="auto"/>
        <w:bidi w:val="0"/>
        <w:spacing w:before="0"/>
        <w:ind w:left="0" w:right="0" w:firstLine="0"/>
        <w:jc w:val="both"/>
      </w:pPr>
      <w:r>
        <w:rPr>
          <w:rStyle w:val="CharStyle10"/>
        </w:rPr>
        <w:t>Minister właściwy ds. środowiska wszczyna ww. postępowanie administracyjne po zatwierdzeniu dokumentacji geologicznej, na bieżąco dokonuje oceny, czy dane złoże kopaliny, dla którego zatwierdzono dokumentację spełnia przesłanki złoża strategicznego (tj. wszczyna z urzędu postępowanie). Ponadto przepisy przejściowe</w:t>
      </w:r>
      <w:r>
        <w:rPr>
          <w:rStyle w:val="CharStyle10"/>
          <w:vertAlign w:val="superscript"/>
        </w:rPr>
        <w:footnoteReference w:id="4"/>
      </w:r>
      <w:r>
        <w:rPr>
          <w:rStyle w:val="CharStyle10"/>
        </w:rPr>
        <w:t xml:space="preserve"> przewidują, że w stosunku do złóż kopalin, dla których dokumentacja geologiczna została zatwierdzona przed wejściem w życie nowelizacji P.g.g., organ w terminie do 28 października 2025 r. wszczął postępowania administracyjne, w stosunku do niektórych złóż.</w:t>
      </w:r>
    </w:p>
    <w:p>
      <w:pPr>
        <w:pStyle w:val="Style9"/>
        <w:keepNext w:val="0"/>
        <w:keepLines w:val="0"/>
        <w:widowControl w:val="0"/>
        <w:shd w:val="clear" w:color="auto" w:fill="auto"/>
        <w:bidi w:val="0"/>
        <w:spacing w:before="0" w:line="305" w:lineRule="auto"/>
        <w:ind w:left="0" w:right="0" w:firstLine="0"/>
        <w:jc w:val="both"/>
      </w:pPr>
      <w:r>
        <w:rPr>
          <w:rStyle w:val="CharStyle10"/>
        </w:rPr>
        <w:t xml:space="preserve">W przypadku gdy decyzja o uznaniu złoża kopaliny za złoże strategiczne stanie się ostateczna, informacja o takim złożu podlega wpisowi do Wykazu złóż strategicznych prowadzonego oraz udostępnianego na BIP przez ministra właściwego ds. środowiska </w:t>
      </w:r>
      <w:r>
        <w:fldChar w:fldCharType="begin"/>
      </w:r>
      <w:r>
        <w:rPr/>
        <w:instrText> HYPERLINK "https://bip.mos.gov.pl/wykaz-zloz-strategicznych/wykaz-zloz-strategicznych/" </w:instrText>
      </w:r>
      <w:r>
        <w:fldChar w:fldCharType="separate"/>
      </w:r>
      <w:r>
        <w:rPr>
          <w:rStyle w:val="CharStyle10"/>
          <w:color w:val="0563C1"/>
          <w:u w:val="single"/>
        </w:rPr>
        <w:t>https://bip.mos.gov.pl/wykaz-zloz-strategicznych/wykaz-zloz-strategicznych/</w:t>
      </w:r>
      <w:r>
        <w:fldChar w:fldCharType="end"/>
      </w:r>
    </w:p>
    <w:p>
      <w:pPr>
        <w:pStyle w:val="Style9"/>
        <w:keepNext w:val="0"/>
        <w:keepLines w:val="0"/>
        <w:widowControl w:val="0"/>
        <w:shd w:val="clear" w:color="auto" w:fill="auto"/>
        <w:bidi w:val="0"/>
        <w:spacing w:before="0"/>
        <w:ind w:left="0" w:right="0" w:firstLine="0"/>
        <w:jc w:val="both"/>
      </w:pPr>
      <w:r>
        <w:rPr>
          <w:rStyle w:val="CharStyle10"/>
        </w:rPr>
        <w:t>Należy jednak podkreślić, że niezależnie od tego, czy złoże kopaliny zostanie uznane za złoże strategiczne, podlega ochronie. Obowiązek ochrony złóż wynika z przepisów rangi ustawowej, w szczególności ustawy – Prawo geologiczne i górnicze, ustawy – Prawa</w:t>
      </w:r>
    </w:p>
    <w:p>
      <w:pPr>
        <w:pStyle w:val="Style9"/>
        <w:keepNext w:val="0"/>
        <w:keepLines w:val="0"/>
        <w:widowControl w:val="0"/>
        <w:shd w:val="clear" w:color="auto" w:fill="auto"/>
        <w:bidi w:val="0"/>
        <w:spacing w:before="0" w:after="60" w:line="305" w:lineRule="auto"/>
        <w:ind w:left="0" w:right="0" w:firstLine="0"/>
        <w:jc w:val="both"/>
      </w:pPr>
      <w:r>
        <w:rPr>
          <w:rStyle w:val="CharStyle10"/>
        </w:rPr>
        <w:t>ochrony środowiska</w:t>
      </w:r>
      <w:r>
        <w:rPr>
          <w:rStyle w:val="CharStyle10"/>
          <w:vertAlign w:val="superscript"/>
        </w:rPr>
        <w:footnoteReference w:id="5"/>
      </w:r>
      <w:r>
        <w:rPr>
          <w:rStyle w:val="CharStyle10"/>
        </w:rPr>
        <w:t>, ustawy o planowaniu i zagospodarowaniu przestrzennym</w:t>
      </w:r>
      <w:r>
        <w:rPr>
          <w:rStyle w:val="CharStyle10"/>
          <w:vertAlign w:val="superscript"/>
        </w:rPr>
        <w:footnoteReference w:id="6"/>
      </w:r>
      <w:r>
        <w:rPr>
          <w:rStyle w:val="CharStyle10"/>
        </w:rPr>
        <w:t>, ustawy o zachowaniu narodowego charakteru strategicznych zasobów naturalnych kraju</w:t>
      </w:r>
      <w:r>
        <w:rPr>
          <w:rStyle w:val="CharStyle10"/>
          <w:vertAlign w:val="superscript"/>
        </w:rPr>
        <w:footnoteReference w:id="7"/>
      </w:r>
      <w:r>
        <w:rPr>
          <w:rStyle w:val="CharStyle10"/>
        </w:rPr>
        <w:t>.</w:t>
      </w:r>
    </w:p>
    <w:p>
      <w:pPr>
        <w:pStyle w:val="Style9"/>
        <w:keepNext w:val="0"/>
        <w:keepLines w:val="0"/>
        <w:widowControl w:val="0"/>
        <w:numPr>
          <w:ilvl w:val="0"/>
          <w:numId w:val="5"/>
        </w:numPr>
        <w:shd w:val="clear" w:color="auto" w:fill="auto"/>
        <w:tabs>
          <w:tab w:pos="740" w:val="left"/>
        </w:tabs>
        <w:bidi w:val="0"/>
        <w:spacing w:before="0" w:after="120" w:line="206" w:lineRule="auto"/>
        <w:ind w:left="0" w:right="0" w:firstLine="380"/>
        <w:jc w:val="left"/>
      </w:pPr>
      <w:r>
        <w:rPr>
          <w:rStyle w:val="CharStyle10"/>
        </w:rPr>
        <w:t>Postulat 6. System zachęt dla recyklingu surowców krytycznych</w:t>
      </w:r>
    </w:p>
    <w:p>
      <w:pPr>
        <w:pStyle w:val="Style9"/>
        <w:keepNext w:val="0"/>
        <w:keepLines w:val="0"/>
        <w:widowControl w:val="0"/>
        <w:shd w:val="clear" w:color="auto" w:fill="auto"/>
        <w:bidi w:val="0"/>
        <w:spacing w:before="0" w:after="60"/>
        <w:ind w:left="0" w:right="0" w:firstLine="0"/>
        <w:jc w:val="both"/>
      </w:pPr>
      <w:r>
        <w:rPr>
          <w:rStyle w:val="CharStyle10"/>
        </w:rPr>
        <w:t>W odpowiedzi na postulat dotyczący stworzenia systemu zachęt dla recyklingu surowców krytycznych uprzejmie informuję, że projekty strategiczne w rozumieniu CRMA już obecnie korzystają z szeregu mechanizmów wspierających ich realizację na poziomie Unii Europejskiej.</w:t>
      </w:r>
    </w:p>
    <w:p>
      <w:pPr>
        <w:pStyle w:val="Style9"/>
        <w:keepNext w:val="0"/>
        <w:keepLines w:val="0"/>
        <w:widowControl w:val="0"/>
        <w:shd w:val="clear" w:color="auto" w:fill="auto"/>
        <w:bidi w:val="0"/>
        <w:spacing w:before="0" w:after="60"/>
        <w:ind w:left="0" w:right="0" w:firstLine="0"/>
        <w:jc w:val="both"/>
      </w:pPr>
      <w:r>
        <w:rPr>
          <w:rStyle w:val="CharStyle10"/>
        </w:rPr>
        <w:t>CRMA przewiduje dla projektów strategicznych m.in. uproszczone i przyspieszone procedury wydawania pozwoleń, obowiązek wyznaczenia punktu kontaktowego koordynującego proces administracyjny, krótsze terminy procedowania decyzji, a także możliwość uzyskania wsparcia w zakresie dostępu do finansowania publicznego i prywatnego na poziomie UE. Projekty strategiczne mogą również uzyskać wsparcie w zakresie budowania partnerstw, kontaktów inwestycyjnych oraz zwiększenia widoczności na poziomie europejskim.</w:t>
      </w:r>
    </w:p>
    <w:p>
      <w:pPr>
        <w:pStyle w:val="Style9"/>
        <w:keepNext w:val="0"/>
        <w:keepLines w:val="0"/>
        <w:widowControl w:val="0"/>
        <w:shd w:val="clear" w:color="auto" w:fill="auto"/>
        <w:bidi w:val="0"/>
        <w:spacing w:before="0" w:after="60" w:line="305" w:lineRule="auto"/>
        <w:ind w:left="0" w:right="0" w:firstLine="0"/>
        <w:jc w:val="both"/>
      </w:pPr>
      <w:r>
        <w:rPr>
          <w:rStyle w:val="CharStyle10"/>
        </w:rPr>
        <w:t>Wskazane w postulacie projekty, tj. Zakład Rafinacji Pierwiastków Ziem Rzadkich w Puławach oraz zakład recyklingu baterii Polvolt w Zawierciu, wpisują się w cele CRMA związane ze wzmacnianiem europejskich zdolności w zakresie przetwarzania i recyklingu surowców krytycznych.</w:t>
      </w:r>
    </w:p>
    <w:p>
      <w:pPr>
        <w:pStyle w:val="Style9"/>
        <w:keepNext w:val="0"/>
        <w:keepLines w:val="0"/>
        <w:widowControl w:val="0"/>
        <w:shd w:val="clear" w:color="auto" w:fill="auto"/>
        <w:bidi w:val="0"/>
        <w:spacing w:before="0" w:after="60" w:line="305" w:lineRule="auto"/>
        <w:ind w:left="0" w:right="0" w:firstLine="0"/>
        <w:jc w:val="both"/>
      </w:pPr>
      <w:r>
        <w:rPr>
          <w:rStyle w:val="CharStyle10"/>
        </w:rPr>
        <w:t>Jednocześnie należy wskazać, że na poziomie krajowym prowadzone są analizy dotyczące możliwości wdrożenia dodatkowych instrumentów wspierających realizację projektów strategicznych, w tym potencjalnych rozwiązań finansowych i organizacyjnych wspierających rozwój łańcucha wartości surowców krytycznych w Polsce.</w:t>
      </w:r>
    </w:p>
    <w:p>
      <w:pPr>
        <w:pStyle w:val="Style9"/>
        <w:keepNext w:val="0"/>
        <w:keepLines w:val="0"/>
        <w:widowControl w:val="0"/>
        <w:shd w:val="clear" w:color="auto" w:fill="auto"/>
        <w:bidi w:val="0"/>
        <w:spacing w:before="0" w:after="60" w:line="305" w:lineRule="auto"/>
        <w:ind w:left="0" w:right="0" w:firstLine="0"/>
        <w:jc w:val="both"/>
      </w:pPr>
      <w:r>
        <w:rPr>
          <w:rStyle w:val="CharStyle10"/>
        </w:rPr>
        <w:t>Część rozwiązań wspierających realizację projektów strategicznych została przewidziana również w procedowanym projekcie ustawy o którym mowa w odpowiedzi na postulat I.</w:t>
      </w:r>
    </w:p>
    <w:p>
      <w:pPr>
        <w:pStyle w:val="Style9"/>
        <w:keepNext w:val="0"/>
        <w:keepLines w:val="0"/>
        <w:widowControl w:val="0"/>
        <w:shd w:val="clear" w:color="auto" w:fill="auto"/>
        <w:bidi w:val="0"/>
        <w:spacing w:before="0" w:after="360"/>
        <w:ind w:left="0" w:right="0" w:firstLine="0"/>
        <w:jc w:val="both"/>
      </w:pPr>
      <w:r>
        <w:rPr>
          <w:rStyle w:val="CharStyle10"/>
        </w:rPr>
        <w:t>Z wyrazami szacunku</w:t>
      </w:r>
    </w:p>
    <w:p>
      <w:pPr>
        <w:pStyle w:val="Style9"/>
        <w:keepNext w:val="0"/>
        <w:keepLines w:val="0"/>
        <w:widowControl w:val="0"/>
        <w:shd w:val="clear" w:color="auto" w:fill="auto"/>
        <w:bidi w:val="0"/>
        <w:spacing w:before="0" w:after="0" w:line="264" w:lineRule="auto"/>
        <w:ind w:left="0" w:right="0" w:firstLine="0"/>
        <w:jc w:val="both"/>
      </w:pPr>
      <w:r>
        <w:rPr>
          <w:rStyle w:val="CharStyle10"/>
        </w:rPr>
        <w:t>Zastępca Dyrektora</w:t>
      </w:r>
    </w:p>
    <w:p>
      <w:pPr>
        <w:pStyle w:val="Style9"/>
        <w:keepNext w:val="0"/>
        <w:keepLines w:val="0"/>
        <w:widowControl w:val="0"/>
        <w:shd w:val="clear" w:color="auto" w:fill="auto"/>
        <w:bidi w:val="0"/>
        <w:spacing w:before="0" w:after="0" w:line="264" w:lineRule="auto"/>
        <w:ind w:left="0" w:right="0" w:firstLine="0"/>
        <w:jc w:val="both"/>
      </w:pPr>
      <w:r>
        <w:rPr>
          <w:rStyle w:val="CharStyle10"/>
        </w:rPr>
        <w:t>Departament Geologii</w:t>
      </w:r>
    </w:p>
    <w:p>
      <w:pPr>
        <w:pStyle w:val="Style9"/>
        <w:keepNext w:val="0"/>
        <w:keepLines w:val="0"/>
        <w:widowControl w:val="0"/>
        <w:shd w:val="clear" w:color="auto" w:fill="auto"/>
        <w:bidi w:val="0"/>
        <w:spacing w:before="0" w:after="800" w:line="264" w:lineRule="auto"/>
        <w:ind w:left="0" w:right="0" w:firstLine="0"/>
        <w:jc w:val="both"/>
      </w:pPr>
      <w:r>
        <w:rPr>
          <w:rStyle w:val="CharStyle10"/>
        </w:rPr>
        <w:t>Ministerstwo Klimatu i Środowiska / – podpisany cyfrowo/</w:t>
      </w:r>
    </w:p>
    <w:p>
      <w:pPr>
        <w:pStyle w:val="Style9"/>
        <w:keepNext w:val="0"/>
        <w:keepLines w:val="0"/>
        <w:widowControl w:val="0"/>
        <w:shd w:val="clear" w:color="auto" w:fill="auto"/>
        <w:bidi w:val="0"/>
        <w:spacing w:before="0" w:after="60" w:line="319" w:lineRule="auto"/>
        <w:ind w:left="0" w:right="0" w:firstLine="0"/>
        <w:jc w:val="both"/>
        <w:rPr>
          <w:sz w:val="18"/>
          <w:szCs w:val="18"/>
        </w:rPr>
      </w:pPr>
      <w:r>
        <w:rPr>
          <w:rStyle w:val="CharStyle10"/>
          <w:sz w:val="18"/>
          <w:szCs w:val="18"/>
        </w:rPr>
        <w:t>Do wiadomości:</w:t>
      </w:r>
    </w:p>
    <w:p>
      <w:pPr>
        <w:pStyle w:val="Style9"/>
        <w:keepNext w:val="0"/>
        <w:keepLines w:val="0"/>
        <w:widowControl w:val="0"/>
        <w:shd w:val="clear" w:color="auto" w:fill="auto"/>
        <w:bidi w:val="0"/>
        <w:spacing w:before="0" w:after="60" w:line="319" w:lineRule="auto"/>
        <w:ind w:left="0" w:right="0" w:firstLine="0"/>
        <w:jc w:val="both"/>
        <w:rPr>
          <w:sz w:val="18"/>
          <w:szCs w:val="18"/>
        </w:rPr>
      </w:pPr>
      <w:r>
        <w:rPr>
          <w:rStyle w:val="CharStyle10"/>
          <w:sz w:val="18"/>
          <w:szCs w:val="18"/>
        </w:rPr>
        <w:t>Biuro Kontroli i Audytu MKiŚ.</w:t>
      </w:r>
    </w:p>
    <w:sectPr>
      <w:footnotePr>
        <w:pos w:val="pageBottom"/>
        <w:numFmt w:val="decimal"/>
        <w:numStart w:val="1"/>
        <w:numRestart w:val="continuous"/>
        <w15:footnoteColumns w:val="1"/>
      </w:footnotePr>
      <w:type w:val="continuous"/>
      <w:pgSz w:w="11900" w:h="16840"/>
      <w:pgMar w:top="2046" w:right="1952" w:bottom="843" w:left="1952" w:header="1618" w:footer="415"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ustawa z dnia 16 czerwca 2023 r. o zmianie ustawy Prawo geologiczne i górnicze oraz niektórych innych ustaw (Dz.U. z 2023 r. poz. 2029 ze zm.), dalej jako: „nowelizacja P.g.g.”)</w:t>
      </w:r>
    </w:p>
  </w:footnote>
  <w:footnote w:id="3">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ustawa z dnia 9 czerwca 2011 r. – Prawo geologiczne i górnicze, Dz.U. z 2024 r. poz. 1290, ze zm., zwanej Prawo geologiczne i górnicze lub w skrócie P.g.g.</w:t>
      </w:r>
    </w:p>
  </w:footnote>
  <w:footnote w:id="4">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Art. 50 nowelizacji P.g.g.</w:t>
      </w:r>
    </w:p>
  </w:footnote>
  <w:footnote w:id="5">
    <w:p>
      <w:pPr>
        <w:pStyle w:val="Style2"/>
        <w:keepNext w:val="0"/>
        <w:keepLines w:val="0"/>
        <w:widowControl w:val="0"/>
        <w:shd w:val="clear" w:color="auto" w:fill="auto"/>
        <w:bidi w:val="0"/>
        <w:spacing w:before="0" w:after="0" w:line="240" w:lineRule="auto"/>
        <w:ind w:left="0" w:right="0" w:firstLine="0"/>
        <w:jc w:val="left"/>
      </w:pPr>
      <w:r>
        <w:rPr>
          <w:rStyle w:val="CharStyle3"/>
          <w:rFonts w:ascii="Calibri" w:eastAsia="Calibri" w:hAnsi="Calibri" w:cs="Calibri"/>
          <w:sz w:val="16"/>
          <w:szCs w:val="16"/>
          <w:vertAlign w:val="superscript"/>
        </w:rPr>
        <w:footnoteRef/>
      </w:r>
      <w:r>
        <w:rPr>
          <w:rStyle w:val="CharStyle3"/>
          <w:rFonts w:ascii="Calibri" w:eastAsia="Calibri" w:hAnsi="Calibri" w:cs="Calibri"/>
          <w:sz w:val="16"/>
          <w:szCs w:val="16"/>
        </w:rPr>
        <w:t xml:space="preserve"> art. 72 i 125 ustawy z 27 kwietnia 2001 r. Prawo ochrony środowiska</w:t>
      </w:r>
    </w:p>
  </w:footnote>
  <w:footnote w:id="6">
    <w:p>
      <w:pPr>
        <w:pStyle w:val="Style2"/>
        <w:keepNext w:val="0"/>
        <w:keepLines w:val="0"/>
        <w:widowControl w:val="0"/>
        <w:shd w:val="clear" w:color="auto" w:fill="auto"/>
        <w:bidi w:val="0"/>
        <w:spacing w:before="0" w:after="0" w:line="240" w:lineRule="auto"/>
        <w:ind w:left="0" w:right="0" w:firstLine="0"/>
        <w:jc w:val="left"/>
      </w:pPr>
      <w:r>
        <w:rPr>
          <w:rStyle w:val="CharStyle3"/>
          <w:rFonts w:ascii="Calibri" w:eastAsia="Calibri" w:hAnsi="Calibri" w:cs="Calibri"/>
          <w:sz w:val="16"/>
          <w:szCs w:val="16"/>
          <w:vertAlign w:val="superscript"/>
        </w:rPr>
        <w:footnoteRef/>
      </w:r>
      <w:r>
        <w:rPr>
          <w:rStyle w:val="CharStyle3"/>
          <w:rFonts w:ascii="Calibri" w:eastAsia="Calibri" w:hAnsi="Calibri" w:cs="Calibri"/>
          <w:sz w:val="16"/>
          <w:szCs w:val="16"/>
        </w:rPr>
        <w:t xml:space="preserve"> art. 7 ust. 2 pkt 3 lit. c) i art. 13b pkt 3 lit. h) ustawy z dnia 27 marca 2003 r. ustawy o planowaniu i zagospodarowaniu przestrzennym</w:t>
      </w:r>
    </w:p>
  </w:footnote>
  <w:footnote w:id="7">
    <w:p>
      <w:pPr>
        <w:pStyle w:val="Style2"/>
        <w:keepNext w:val="0"/>
        <w:keepLines w:val="0"/>
        <w:widowControl w:val="0"/>
        <w:shd w:val="clear" w:color="auto" w:fill="auto"/>
        <w:bidi w:val="0"/>
        <w:spacing w:before="0" w:after="0" w:line="240" w:lineRule="auto"/>
        <w:ind w:left="0" w:right="0" w:firstLine="0"/>
        <w:jc w:val="left"/>
      </w:pPr>
      <w:r>
        <w:rPr>
          <w:rStyle w:val="CharStyle3"/>
          <w:rFonts w:ascii="Calibri" w:eastAsia="Calibri" w:hAnsi="Calibri" w:cs="Calibri"/>
          <w:sz w:val="16"/>
          <w:szCs w:val="16"/>
          <w:vertAlign w:val="superscript"/>
        </w:rPr>
        <w:footnoteRef/>
      </w:r>
      <w:r>
        <w:rPr>
          <w:rStyle w:val="CharStyle3"/>
          <w:rFonts w:ascii="Calibri" w:eastAsia="Calibri" w:hAnsi="Calibri" w:cs="Calibri"/>
          <w:sz w:val="16"/>
          <w:szCs w:val="16"/>
        </w:rPr>
        <w:t xml:space="preserve"> art. 1 pkt 4 i art. 3 ustawy z dnia 6 lipca 2001 r. o zachowaniu narodowego charakteru strategicznych zasobów naturalnych kraju</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28"/>
        <w:szCs w:val="28"/>
        <w:u w:val="none"/>
        <w:shd w:val="clear" w:color="auto" w:fill="auto"/>
        <w:lang w:val="pl-PL" w:eastAsia="pl-PL"/>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8"/>
        <w:szCs w:val="28"/>
        <w:u w:val="none"/>
        <w:shd w:val="clear" w:color="auto" w:fill="auto"/>
        <w:lang w:val="pl-PL" w:eastAsia="pl-PL"/>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6">
    <w:name w:val="Body text (2)_"/>
    <w:basedOn w:val="DefaultParagraphFont"/>
    <w:link w:val="Style5"/>
    <w:rPr>
      <w:rFonts w:ascii="Arial" w:eastAsia="Arial" w:hAnsi="Arial" w:cs="Arial"/>
      <w:b w:val="0"/>
      <w:bCs w:val="0"/>
      <w:i w:val="0"/>
      <w:iCs w:val="0"/>
      <w:smallCaps w:val="0"/>
      <w:strike w:val="0"/>
      <w:sz w:val="16"/>
      <w:szCs w:val="16"/>
      <w:u w:val="none"/>
    </w:rPr>
  </w:style>
  <w:style w:type="character" w:customStyle="1" w:styleId="CharStyle8">
    <w:name w:val="Body text (4)_"/>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Body text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4">
    <w:name w:val="Body text (3)_"/>
    <w:basedOn w:val="DefaultParagraphFont"/>
    <w:link w:val="Style13"/>
    <w:rPr>
      <w:rFonts w:ascii="Calibri" w:eastAsia="Calibri" w:hAnsi="Calibri" w:cs="Calibri"/>
      <w:b w:val="0"/>
      <w:bCs w:val="0"/>
      <w:i/>
      <w:iCs/>
      <w:smallCaps w:val="0"/>
      <w:strike w:val="0"/>
      <w:sz w:val="20"/>
      <w:szCs w:val="20"/>
      <w:u w:val="none"/>
    </w:rPr>
  </w:style>
  <w:style w:type="paragraph" w:customStyle="1" w:styleId="Style2">
    <w:name w:val="Footnote"/>
    <w:basedOn w:val="Normal"/>
    <w:link w:val="CharStyle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5">
    <w:name w:val="Body text (2)"/>
    <w:basedOn w:val="Normal"/>
    <w:link w:val="CharStyle6"/>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7">
    <w:name w:val="Body text (4)"/>
    <w:basedOn w:val="Normal"/>
    <w:link w:val="CharStyle8"/>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styleId="Style9">
    <w:name w:val="Body text"/>
    <w:basedOn w:val="Normal"/>
    <w:link w:val="CharStyle10"/>
    <w:qFormat/>
    <w:pPr>
      <w:widowControl w:val="0"/>
      <w:shd w:val="clear" w:color="auto" w:fill="auto"/>
      <w:spacing w:after="80" w:line="302" w:lineRule="auto"/>
    </w:pPr>
    <w:rPr>
      <w:rFonts w:ascii="Arial" w:eastAsia="Arial" w:hAnsi="Arial" w:cs="Arial"/>
      <w:b w:val="0"/>
      <w:bCs w:val="0"/>
      <w:i w:val="0"/>
      <w:iCs w:val="0"/>
      <w:smallCaps w:val="0"/>
      <w:strike w:val="0"/>
      <w:sz w:val="19"/>
      <w:szCs w:val="19"/>
      <w:u w:val="none"/>
    </w:rPr>
  </w:style>
  <w:style w:type="paragraph" w:customStyle="1" w:styleId="Style13">
    <w:name w:val="Body text (3)"/>
    <w:basedOn w:val="Normal"/>
    <w:link w:val="CharStyle14"/>
    <w:pPr>
      <w:widowControl w:val="0"/>
      <w:shd w:val="clear" w:color="auto" w:fill="auto"/>
      <w:spacing w:after="120" w:line="206" w:lineRule="auto"/>
      <w:ind w:firstLine="380"/>
    </w:pPr>
    <w:rPr>
      <w:rFonts w:ascii="Calibri" w:eastAsia="Calibri" w:hAnsi="Calibri" w:cs="Calibri"/>
      <w:b w:val="0"/>
      <w:bCs w:val="0"/>
      <w:i/>
      <w:iCs/>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Szablon ogólny kolor</dc:title>
  <dc:subject/>
  <dc:creator/>
  <cp:keywords>PL, KOLOR</cp:keywords>
</cp:coreProperties>
</file>