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F08" w:rsidRPr="00651A24" w14:paraId="4CF8BB3F" w14:textId="77777777" w:rsidTr="00062B3F">
        <w:tc>
          <w:tcPr>
            <w:tcW w:w="9062" w:type="dxa"/>
          </w:tcPr>
          <w:p w14:paraId="12632D28" w14:textId="77777777" w:rsidR="00690EA5" w:rsidRPr="00651A24" w:rsidRDefault="00690EA5" w:rsidP="00EE4D53">
            <w:pPr>
              <w:framePr w:hSpace="141" w:wrap="around" w:vAnchor="text" w:hAnchor="margin" w:y="43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A24">
              <w:rPr>
                <w:rFonts w:ascii="Arial" w:hAnsi="Arial" w:cs="Arial"/>
                <w:b/>
                <w:sz w:val="28"/>
                <w:szCs w:val="28"/>
              </w:rPr>
              <w:t>Dobre praktyki postępowania dyspozytorów medycznych, zespołów ratownictwa medycznego oraz SOR/IP</w:t>
            </w:r>
          </w:p>
          <w:p w14:paraId="5F8A0543" w14:textId="01C821CA" w:rsidR="00062B3F" w:rsidRPr="00651A24" w:rsidRDefault="00690EA5" w:rsidP="00EE4D53">
            <w:pPr>
              <w:framePr w:hSpace="141" w:wrap="around" w:vAnchor="text" w:hAnchor="margin" w:y="43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A24">
              <w:rPr>
                <w:rFonts w:ascii="Arial" w:hAnsi="Arial" w:cs="Arial"/>
                <w:b/>
                <w:sz w:val="28"/>
                <w:szCs w:val="28"/>
              </w:rPr>
              <w:t xml:space="preserve">wobec pacjenta z hemofilią  lub pokrewną skazą krwotoczną  </w:t>
            </w:r>
          </w:p>
        </w:tc>
      </w:tr>
    </w:tbl>
    <w:p w14:paraId="6D16480A" w14:textId="3CF0395E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66D595B3" w14:textId="2ADCE9F7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78087ED2" w14:textId="78F6332D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2"/>
        <w:tblW w:w="9646" w:type="dxa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9D71EC" w:rsidRPr="00651A24" w14:paraId="01F30CE5" w14:textId="77777777" w:rsidTr="00816B3C">
        <w:trPr>
          <w:trHeight w:val="1290"/>
        </w:trPr>
        <w:tc>
          <w:tcPr>
            <w:tcW w:w="3215" w:type="dxa"/>
            <w:vAlign w:val="center"/>
          </w:tcPr>
          <w:p w14:paraId="3A19296D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Konsultant Krajowy w dziedzinie </w:t>
            </w:r>
          </w:p>
          <w:p w14:paraId="7257035A" w14:textId="54C758B2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hematologii</w:t>
            </w:r>
          </w:p>
          <w:p w14:paraId="0F287BD9" w14:textId="3C077C84" w:rsidR="009D71EC" w:rsidRPr="00671A5F" w:rsidRDefault="004142AF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dr hab. </w:t>
            </w:r>
            <w:r w:rsidRPr="00671A5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Ewa Lech-Marańda</w:t>
            </w:r>
          </w:p>
        </w:tc>
        <w:tc>
          <w:tcPr>
            <w:tcW w:w="3215" w:type="dxa"/>
            <w:vAlign w:val="center"/>
          </w:tcPr>
          <w:p w14:paraId="1F23F9E4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Konsultant Krajowy</w:t>
            </w:r>
          </w:p>
          <w:p w14:paraId="4236734C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dziedzinie </w:t>
            </w:r>
          </w:p>
          <w:p w14:paraId="3DF211C9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medycyny ratunkowej</w:t>
            </w:r>
          </w:p>
          <w:p w14:paraId="0AA12A6F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Prof. dr hab. Jerzy Robert Ładny</w:t>
            </w:r>
          </w:p>
        </w:tc>
        <w:tc>
          <w:tcPr>
            <w:tcW w:w="3216" w:type="dxa"/>
            <w:vAlign w:val="center"/>
          </w:tcPr>
          <w:p w14:paraId="76C4314D" w14:textId="77777777" w:rsidR="009D71EC" w:rsidRPr="00671A5F" w:rsidRDefault="004F2672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Minister Zdrowia</w:t>
            </w:r>
          </w:p>
          <w:p w14:paraId="3E69F544" w14:textId="4E242CAE" w:rsidR="004F2672" w:rsidRPr="00671A5F" w:rsidRDefault="004F2672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Izabela Leszczyna</w:t>
            </w:r>
          </w:p>
        </w:tc>
      </w:tr>
    </w:tbl>
    <w:p w14:paraId="3C6618F4" w14:textId="633B8495" w:rsidR="009D71EC" w:rsidRPr="00651A24" w:rsidRDefault="009D71E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5A39DE" w14:textId="096AEF84" w:rsidR="00EF285C" w:rsidRPr="00651A24" w:rsidRDefault="00EF285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9101FA" w14:textId="77777777" w:rsidR="00EF285C" w:rsidRPr="00651A24" w:rsidRDefault="00EF285C" w:rsidP="00EE4D53">
      <w:pPr>
        <w:rPr>
          <w:rFonts w:ascii="Arial" w:hAnsi="Arial" w:cs="Arial"/>
          <w:b/>
          <w:sz w:val="24"/>
          <w:szCs w:val="24"/>
        </w:rPr>
      </w:pPr>
      <w:r w:rsidRPr="00651A24"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Y="207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285C" w:rsidRPr="00651A24" w14:paraId="7AD3C837" w14:textId="77777777" w:rsidTr="00EF285C">
        <w:tc>
          <w:tcPr>
            <w:tcW w:w="9062" w:type="dxa"/>
          </w:tcPr>
          <w:p w14:paraId="0DF493B9" w14:textId="77777777" w:rsidR="00EF285C" w:rsidRPr="00651A24" w:rsidRDefault="00EF285C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POSTĘPOWANIE DYSPOZYTORA MEDYCZNEGO PRZYJMUJĄCEGO</w:t>
            </w:r>
          </w:p>
        </w:tc>
      </w:tr>
    </w:tbl>
    <w:p w14:paraId="66479AC4" w14:textId="77777777" w:rsidR="00EF285C" w:rsidRPr="00651A24" w:rsidRDefault="00EF285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F3A110" w14:textId="715C7C74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51A24">
        <w:rPr>
          <w:rFonts w:ascii="Arial" w:hAnsi="Arial" w:cs="Arial"/>
          <w:b/>
          <w:sz w:val="24"/>
          <w:szCs w:val="24"/>
        </w:rPr>
        <w:t xml:space="preserve">Zbierz wywiad medyczny </w:t>
      </w:r>
      <w:bookmarkStart w:id="0" w:name="_Hlk65579976"/>
      <w:r w:rsidRPr="00651A24">
        <w:rPr>
          <w:rFonts w:ascii="Arial" w:hAnsi="Arial" w:cs="Arial"/>
          <w:b/>
          <w:sz w:val="24"/>
          <w:szCs w:val="24"/>
        </w:rPr>
        <w:t xml:space="preserve">zgodnie z procedurą ogólną oraz procedurą nr 11 „Krwotok, krwawienie” zawartą w algorytmie zbierania wywiadu medycznego, </w:t>
      </w:r>
      <w:bookmarkEnd w:id="0"/>
      <w:r w:rsidRPr="00651A24">
        <w:rPr>
          <w:rFonts w:ascii="Arial" w:hAnsi="Arial" w:cs="Arial"/>
          <w:b/>
          <w:sz w:val="24"/>
          <w:szCs w:val="24"/>
        </w:rPr>
        <w:t>i ustal:</w:t>
      </w:r>
    </w:p>
    <w:p w14:paraId="4A76ACF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lokalizację krwawienia, nasilenie i czas wystąpienia dolegliwości;</w:t>
      </w:r>
    </w:p>
    <w:p w14:paraId="45D75F5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czy krwawienie wystąpiło samoistnie, czy w wyniku urazu;</w:t>
      </w:r>
    </w:p>
    <w:p w14:paraId="727283D8" w14:textId="69867B9D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każdy uraz może spowodować krwawienie, które nie musi być jawne klinicznie,</w:t>
      </w:r>
    </w:p>
    <w:p w14:paraId="2E38E87C" w14:textId="3C75421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after="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nierzadko krwawienia zagrażające życiu są niewidoczne;</w:t>
      </w:r>
    </w:p>
    <w:p w14:paraId="583BAFF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objawy towarzyszące, w szczególności: ból, duszność, ograniczenie ruchomości;</w:t>
      </w:r>
    </w:p>
    <w:p w14:paraId="04DB800A" w14:textId="77777777" w:rsidR="0036570F" w:rsidRPr="00651A24" w:rsidRDefault="0036570F" w:rsidP="00EE4D53">
      <w:pPr>
        <w:pStyle w:val="Akapitzlist"/>
        <w:numPr>
          <w:ilvl w:val="0"/>
          <w:numId w:val="1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rodzaj skazy krwotocznej.</w:t>
      </w:r>
    </w:p>
    <w:p w14:paraId="73CBAE29" w14:textId="77777777" w:rsidR="0036570F" w:rsidRPr="00651A24" w:rsidRDefault="0036570F" w:rsidP="00EE4D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Pamiętaj: </w:t>
      </w:r>
    </w:p>
    <w:p w14:paraId="67E55361" w14:textId="77777777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W polu karty zlecenia wyjazdu „wywiad medyczny” umieść informację o rodzaju skazy krwotocznej.</w:t>
      </w:r>
    </w:p>
    <w:p w14:paraId="63BC8D13" w14:textId="4DFFF754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</w:rPr>
        <w:t xml:space="preserve">W razie podejrzenia </w:t>
      </w:r>
      <w:r w:rsidRPr="00651A24">
        <w:rPr>
          <w:rFonts w:ascii="Arial" w:hAnsi="Arial" w:cs="Arial"/>
          <w:b/>
          <w:sz w:val="24"/>
          <w:szCs w:val="24"/>
        </w:rPr>
        <w:t>krwawienia wewnętrznego w okolicach: głowy, szyi, klatki piersiowej lub brzucha</w:t>
      </w:r>
      <w:r w:rsidRPr="00651A24">
        <w:rPr>
          <w:rFonts w:ascii="Arial" w:hAnsi="Arial" w:cs="Arial"/>
          <w:bCs/>
          <w:sz w:val="24"/>
          <w:szCs w:val="24"/>
        </w:rPr>
        <w:t xml:space="preserve"> albo </w:t>
      </w:r>
      <w:r w:rsidRPr="00651A24">
        <w:rPr>
          <w:rFonts w:ascii="Arial" w:hAnsi="Arial" w:cs="Arial"/>
          <w:b/>
          <w:sz w:val="24"/>
          <w:szCs w:val="24"/>
        </w:rPr>
        <w:t>masywnego krwawienia zewnętrznego,</w:t>
      </w:r>
      <w:r w:rsidRPr="00651A24">
        <w:rPr>
          <w:rFonts w:ascii="Arial" w:hAnsi="Arial" w:cs="Arial"/>
          <w:bCs/>
          <w:sz w:val="24"/>
          <w:szCs w:val="24"/>
        </w:rPr>
        <w:t xml:space="preserve"> przyjmij zgłoszenie </w:t>
      </w:r>
      <w:r w:rsidRPr="00651A24">
        <w:rPr>
          <w:rFonts w:ascii="Arial" w:hAnsi="Arial" w:cs="Arial"/>
          <w:b/>
          <w:sz w:val="24"/>
          <w:szCs w:val="24"/>
        </w:rPr>
        <w:t>w kodzie 1</w:t>
      </w:r>
      <w:r w:rsidR="00032A48" w:rsidRPr="00651A24">
        <w:rPr>
          <w:rFonts w:ascii="Arial" w:hAnsi="Arial" w:cs="Arial"/>
          <w:b/>
          <w:sz w:val="24"/>
          <w:szCs w:val="24"/>
        </w:rPr>
        <w:t xml:space="preserve"> i rozważ zadysponowanie lotniczego zespołu ratownictwa medycznego.</w:t>
      </w:r>
    </w:p>
    <w:p w14:paraId="537CEDC3" w14:textId="77777777" w:rsidR="0036570F" w:rsidRPr="00651A24" w:rsidRDefault="0036570F" w:rsidP="00EE4D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</w:rPr>
        <w:t xml:space="preserve">W pozostałych przypadkach rozważ przyjęcie zgłoszenia </w:t>
      </w:r>
      <w:r w:rsidRPr="00651A24">
        <w:rPr>
          <w:rFonts w:ascii="Arial" w:hAnsi="Arial" w:cs="Arial"/>
          <w:b/>
          <w:sz w:val="24"/>
          <w:szCs w:val="24"/>
        </w:rPr>
        <w:t>w kodzie 2.</w:t>
      </w:r>
      <w:r w:rsidRPr="00651A24">
        <w:rPr>
          <w:rFonts w:ascii="Arial" w:hAnsi="Arial" w:cs="Arial"/>
          <w:bCs/>
          <w:sz w:val="24"/>
          <w:szCs w:val="24"/>
        </w:rPr>
        <w:t xml:space="preserve"> </w:t>
      </w:r>
    </w:p>
    <w:p w14:paraId="7ABA4633" w14:textId="77777777" w:rsidR="0036570F" w:rsidRPr="00651A24" w:rsidRDefault="0036570F" w:rsidP="00EE4D53">
      <w:pPr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  <w:u w:val="single"/>
        </w:rPr>
        <w:t>Pamiętaj, że zgłoszenie możesz przyjąć w dowolnym momencie prowadzenia rozmowy, podczas gdy dyspozytor wysyłający będzie dysponował zespół ratownictwa medycznego możesz pozostać na linii ze zgłaszającym i udzielać informacji odnośnie postępowania zanim zespół ratownictwa medycznego przyjedzie na miejsce zdarzenia</w:t>
      </w:r>
      <w:r w:rsidRPr="00651A24">
        <w:rPr>
          <w:rFonts w:ascii="Arial" w:hAnsi="Arial" w:cs="Arial"/>
          <w:bCs/>
          <w:sz w:val="24"/>
          <w:szCs w:val="24"/>
        </w:rPr>
        <w:t>.</w:t>
      </w:r>
    </w:p>
    <w:p w14:paraId="1E70BBCA" w14:textId="36843117" w:rsidR="0036570F" w:rsidRPr="00651A24" w:rsidRDefault="0036570F" w:rsidP="00EE4D53">
      <w:pPr>
        <w:pStyle w:val="Akapitzlist"/>
        <w:numPr>
          <w:ilvl w:val="0"/>
          <w:numId w:val="16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Zapytaj osobę dzwoniącą, czy pacjent ma przy sobie koncentrat czynnika krzepnięcia i zaleć jego samodzielne podanie w dawce zaleconej przez ośrodek  leczenia hemofilii i pokrewnych skaz krwotocznych w razie urazów/operacji;</w:t>
      </w:r>
    </w:p>
    <w:p w14:paraId="65E0EDC7" w14:textId="77777777" w:rsidR="0036570F" w:rsidRPr="00651A24" w:rsidRDefault="0036570F" w:rsidP="00EE4D53">
      <w:pPr>
        <w:spacing w:after="12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651A24">
        <w:rPr>
          <w:rFonts w:ascii="Arial" w:hAnsi="Arial" w:cs="Arial"/>
          <w:color w:val="FF0000"/>
          <w:sz w:val="24"/>
          <w:szCs w:val="24"/>
          <w:u w:val="single"/>
        </w:rPr>
        <w:t>Pamiętaj:</w:t>
      </w:r>
    </w:p>
    <w:p w14:paraId="010ECA62" w14:textId="302C0B69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Obowiązuje zasada „najpierw czynnik”</w:t>
      </w:r>
      <w:r w:rsidR="00032A48" w:rsidRPr="00651A24">
        <w:rPr>
          <w:rFonts w:ascii="Arial" w:hAnsi="Arial" w:cs="Arial"/>
          <w:b/>
          <w:bCs/>
          <w:sz w:val="24"/>
          <w:szCs w:val="24"/>
        </w:rPr>
        <w:t>.</w:t>
      </w:r>
    </w:p>
    <w:p w14:paraId="2F76B1F9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779662EA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U chorego na hemofilię mogą występować poważne krwawienia samoistne (śródczaszkowe, do dna jamy ustnej i szyi, mięśnia biodrowo-lędźwiowego, zaotrzewnowe, do stawów) i po urazach.</w:t>
      </w:r>
    </w:p>
    <w:p w14:paraId="5F5D9EF5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24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lastRenderedPageBreak/>
        <w:t>Pozytywny wywiad przebycia istotnego urazu oraz podejrzenie krwawienia stanowi zawsze wskazanie do leczenia hemostatycznego.</w:t>
      </w:r>
    </w:p>
    <w:p w14:paraId="25A80D79" w14:textId="691A6F74" w:rsidR="0036570F" w:rsidRPr="00651A24" w:rsidRDefault="0036570F" w:rsidP="00EE4D53">
      <w:pPr>
        <w:pStyle w:val="Akapitzlist"/>
        <w:numPr>
          <w:ilvl w:val="0"/>
          <w:numId w:val="16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Zaleć przygotowanie karty postępowania, karty chorego na hemofilię i inne </w:t>
      </w:r>
      <w:r w:rsidR="00CF16A4" w:rsidRPr="00651A24">
        <w:rPr>
          <w:rFonts w:ascii="Arial" w:hAnsi="Arial" w:cs="Arial"/>
          <w:sz w:val="24"/>
          <w:szCs w:val="24"/>
        </w:rPr>
        <w:t xml:space="preserve">pokrewne </w:t>
      </w:r>
      <w:r w:rsidRPr="00651A24">
        <w:rPr>
          <w:rFonts w:ascii="Arial" w:hAnsi="Arial" w:cs="Arial"/>
          <w:sz w:val="24"/>
          <w:szCs w:val="24"/>
        </w:rPr>
        <w:t>skazy krwotoczne (legitymacji), książeczki leczenia domowego do okazania zespołowi ratownictwa medycznego;</w:t>
      </w:r>
    </w:p>
    <w:p w14:paraId="3B19A716" w14:textId="77777777" w:rsidR="0036570F" w:rsidRPr="00651A24" w:rsidRDefault="0036570F" w:rsidP="00EE4D53">
      <w:pPr>
        <w:pStyle w:val="Akapitzlist"/>
        <w:numPr>
          <w:ilvl w:val="0"/>
          <w:numId w:val="16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Zaleć przygotowanie 2-3 dawek koncentratu czynnika krzepnięcia do zabrania ze sobą do szpitala.</w:t>
      </w:r>
    </w:p>
    <w:p w14:paraId="622BBF72" w14:textId="77777777" w:rsidR="0036570F" w:rsidRPr="00651A24" w:rsidRDefault="0036570F" w:rsidP="00EE4D5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POSTĘPOWANIE DYSPOZYTORA MEDYCZNEGO WYSYŁAJĄCEGO</w:t>
      </w:r>
    </w:p>
    <w:p w14:paraId="435C6B0E" w14:textId="77777777" w:rsidR="0036570F" w:rsidRPr="00651A24" w:rsidRDefault="0036570F" w:rsidP="00EE4D53">
      <w:pPr>
        <w:pStyle w:val="Akapitzlist"/>
        <w:numPr>
          <w:ilvl w:val="0"/>
          <w:numId w:val="15"/>
        </w:numPr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Zadysponuj zespół ratownictwa medycznego do zdarzenia zgodnie z nadanym mu kodem pilności (kod 1 lub kod 2).</w:t>
      </w:r>
    </w:p>
    <w:p w14:paraId="71DA69BE" w14:textId="31EC5258" w:rsidR="00D96E90" w:rsidRPr="00651A24" w:rsidRDefault="00D96E90" w:rsidP="00EE4D53">
      <w:pPr>
        <w:pStyle w:val="Akapitzlist"/>
        <w:numPr>
          <w:ilvl w:val="0"/>
          <w:numId w:val="1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przypadku, gdy kierownik </w:t>
      </w:r>
      <w:r w:rsidR="00032A48" w:rsidRPr="00651A24">
        <w:rPr>
          <w:rFonts w:ascii="Arial" w:hAnsi="Arial" w:cs="Arial"/>
          <w:sz w:val="24"/>
          <w:szCs w:val="24"/>
        </w:rPr>
        <w:t>zespołu ratownictwa medycznego</w:t>
      </w:r>
      <w:r w:rsidRPr="00651A24">
        <w:rPr>
          <w:rFonts w:ascii="Arial" w:hAnsi="Arial" w:cs="Arial"/>
          <w:sz w:val="24"/>
          <w:szCs w:val="24"/>
        </w:rPr>
        <w:t xml:space="preserve"> podejmie decyzję o transporcie pacjenta do szpitala, wskaż najbliższy miejscu zdarzenia:</w:t>
      </w:r>
    </w:p>
    <w:p w14:paraId="1A9508B9" w14:textId="515241CB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ośrodek leczenia hemofilii i pokrewnych skaz krwotocznych</w:t>
      </w:r>
    </w:p>
    <w:p w14:paraId="627C51FC" w14:textId="78524A2C" w:rsidR="0036570F" w:rsidRPr="00651A24" w:rsidRDefault="0036570F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566213E7" w14:textId="45152265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taki, w którym prowadzony jest szpitalny depozyt czynników krzepnięcia</w:t>
      </w:r>
    </w:p>
    <w:p w14:paraId="0BA25937" w14:textId="507C9B8E" w:rsidR="0036570F" w:rsidRPr="00651A24" w:rsidRDefault="0036570F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6E4553B7" w14:textId="5AE4CBD5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położony w sąsiedztwie RCKiK,</w:t>
      </w:r>
    </w:p>
    <w:p w14:paraId="0CF24C27" w14:textId="77777777" w:rsidR="00B06B3A" w:rsidRPr="00651A24" w:rsidRDefault="00B06B3A" w:rsidP="00EE4D53">
      <w:pPr>
        <w:jc w:val="both"/>
        <w:rPr>
          <w:rFonts w:ascii="Arial" w:hAnsi="Arial" w:cs="Arial"/>
          <w:sz w:val="24"/>
          <w:szCs w:val="24"/>
        </w:rPr>
      </w:pPr>
    </w:p>
    <w:p w14:paraId="28377676" w14:textId="247E6593" w:rsidR="0036570F" w:rsidRDefault="0036570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Lista szpitali docelowych </w:t>
      </w:r>
      <w:r w:rsidR="006F26C4"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oraz RCKiK </w:t>
      </w: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znajduje się pod adresem: </w:t>
      </w:r>
    </w:p>
    <w:p w14:paraId="425856E4" w14:textId="63D679C4" w:rsidR="00671A5F" w:rsidRDefault="00000000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hyperlink r:id="rId8" w:history="1">
        <w:r w:rsidR="00671A5F" w:rsidRPr="003818B9">
          <w:rPr>
            <w:rStyle w:val="Hipercze"/>
            <w:rFonts w:ascii="Arial" w:hAnsi="Arial" w:cs="Arial"/>
            <w:b/>
            <w:bCs/>
            <w:i/>
            <w:iCs/>
            <w:sz w:val="24"/>
            <w:szCs w:val="24"/>
          </w:rPr>
          <w:t>https://www.gov.pl/web/nck/dobre-praktyki-postepowania-oraz-podmioty-istotne-dla-ratownictwa-medycznego-chorych-na-hemofilie-i-pokrewne-skazy-krwotoczne</w:t>
        </w:r>
      </w:hyperlink>
    </w:p>
    <w:p w14:paraId="52630152" w14:textId="77777777" w:rsidR="00671A5F" w:rsidRPr="00651A24" w:rsidRDefault="00671A5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C857B8" w14:textId="51D9047B" w:rsidR="0036570F" w:rsidRPr="00651A24" w:rsidRDefault="0036570F" w:rsidP="00EE4D53">
      <w:pPr>
        <w:pStyle w:val="Akapitzlist"/>
        <w:numPr>
          <w:ilvl w:val="0"/>
          <w:numId w:val="15"/>
        </w:numPr>
        <w:ind w:left="0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Jeśli stan pacjenta nie pozwala na transport do szpitala, o którym mowa w pkt 2,</w:t>
      </w:r>
      <w:r w:rsidR="00682FEF" w:rsidRPr="00651A24">
        <w:rPr>
          <w:rFonts w:ascii="Arial" w:hAnsi="Arial" w:cs="Arial"/>
          <w:sz w:val="24"/>
          <w:szCs w:val="24"/>
        </w:rPr>
        <w:t xml:space="preserve"> zespół ratownictwa medycznego transportuje </w:t>
      </w:r>
      <w:r w:rsidRPr="00651A24">
        <w:rPr>
          <w:rFonts w:ascii="Arial" w:hAnsi="Arial" w:cs="Arial"/>
          <w:sz w:val="24"/>
          <w:szCs w:val="24"/>
        </w:rPr>
        <w:t xml:space="preserve">pacjenta </w:t>
      </w:r>
      <w:r w:rsidRPr="00651A24">
        <w:rPr>
          <w:rFonts w:ascii="Arial" w:hAnsi="Arial" w:cs="Arial"/>
          <w:b/>
          <w:bCs/>
          <w:sz w:val="24"/>
          <w:szCs w:val="24"/>
        </w:rPr>
        <w:t>do najbliższego SOR/IP.</w:t>
      </w:r>
    </w:p>
    <w:p w14:paraId="0ADA194B" w14:textId="3C133FB3" w:rsidR="0036570F" w:rsidRPr="00651A24" w:rsidRDefault="0036570F" w:rsidP="00EE4D53">
      <w:pPr>
        <w:pStyle w:val="Akapitzlist"/>
        <w:numPr>
          <w:ilvl w:val="0"/>
          <w:numId w:val="15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Poinformuj szpital</w:t>
      </w:r>
      <w:r w:rsidRPr="00651A24">
        <w:rPr>
          <w:rFonts w:ascii="Arial" w:hAnsi="Arial" w:cs="Arial"/>
          <w:sz w:val="24"/>
          <w:szCs w:val="24"/>
        </w:rPr>
        <w:t xml:space="preserve"> </w:t>
      </w:r>
      <w:r w:rsidRPr="00651A24">
        <w:rPr>
          <w:rFonts w:ascii="Arial" w:hAnsi="Arial" w:cs="Arial"/>
          <w:b/>
          <w:bCs/>
          <w:sz w:val="24"/>
          <w:szCs w:val="24"/>
        </w:rPr>
        <w:t>docelowy</w:t>
      </w:r>
      <w:r w:rsidRPr="00651A24">
        <w:rPr>
          <w:rFonts w:ascii="Arial" w:hAnsi="Arial" w:cs="Arial"/>
          <w:sz w:val="24"/>
          <w:szCs w:val="24"/>
        </w:rPr>
        <w:t xml:space="preserve"> o transporcie pacjenta ze skazą krwotoczną i uprzedź o konieczności </w:t>
      </w:r>
      <w:r w:rsidR="00D96E90" w:rsidRPr="00651A24">
        <w:rPr>
          <w:rFonts w:ascii="Arial" w:hAnsi="Arial" w:cs="Arial"/>
          <w:sz w:val="24"/>
          <w:szCs w:val="24"/>
        </w:rPr>
        <w:t>podania</w:t>
      </w:r>
      <w:r w:rsidRPr="00651A24">
        <w:rPr>
          <w:rFonts w:ascii="Arial" w:hAnsi="Arial" w:cs="Arial"/>
          <w:sz w:val="24"/>
          <w:szCs w:val="24"/>
        </w:rPr>
        <w:t xml:space="preserve"> koncentratu czynnika krzepnięcia. </w:t>
      </w:r>
    </w:p>
    <w:p w14:paraId="01DC3A7F" w14:textId="78BCC7D7" w:rsidR="00C24F08" w:rsidRPr="00651A24" w:rsidRDefault="00C24F08" w:rsidP="00EE4D53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br w:type="page"/>
      </w:r>
    </w:p>
    <w:p w14:paraId="7D4B7BAA" w14:textId="77777777" w:rsidR="00C24F08" w:rsidRPr="00651A24" w:rsidRDefault="00C24F08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F08" w:rsidRPr="00651A24" w14:paraId="36121961" w14:textId="77777777" w:rsidTr="00062B3F">
        <w:tc>
          <w:tcPr>
            <w:tcW w:w="9062" w:type="dxa"/>
          </w:tcPr>
          <w:p w14:paraId="43913E5C" w14:textId="77777777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t>POSTĘPOWANIE ZESPOŁU RATOWNICTWA MEDYCZNEGO</w:t>
            </w:r>
          </w:p>
        </w:tc>
      </w:tr>
    </w:tbl>
    <w:p w14:paraId="331C0504" w14:textId="1488B1BC" w:rsidR="003F5856" w:rsidRPr="00651A24" w:rsidRDefault="003F5856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Zbierz dokładny wywiad medyczny, ustal charakter dolegliwości, zwracaj baczną uwagę na wszelkie objawy mogące sugerować </w:t>
      </w:r>
      <w:r w:rsidRPr="00651A24">
        <w:rPr>
          <w:rFonts w:ascii="Arial" w:hAnsi="Arial" w:cs="Arial"/>
          <w:b/>
          <w:bCs/>
          <w:sz w:val="24"/>
          <w:szCs w:val="24"/>
        </w:rPr>
        <w:t>krwawienie wewnętrzne</w:t>
      </w:r>
      <w:r w:rsidRPr="00651A24">
        <w:rPr>
          <w:rFonts w:ascii="Arial" w:hAnsi="Arial" w:cs="Arial"/>
          <w:sz w:val="24"/>
          <w:szCs w:val="24"/>
        </w:rPr>
        <w:t xml:space="preserve"> (ból, zawroty głowy, nudności, utrudniony kontakt - objawy typowe dla krwawienia śródczaszkowego, ból brzucha, duszność, ograniczenie funkcji kończyny, obrzęki).</w:t>
      </w:r>
    </w:p>
    <w:p w14:paraId="382D6D24" w14:textId="77777777" w:rsidR="00E31CC1" w:rsidRPr="00651A24" w:rsidRDefault="003F5856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Zweryfikuj rozpoznanie</w:t>
      </w:r>
      <w:r w:rsidR="00E31CC1" w:rsidRPr="00651A24">
        <w:rPr>
          <w:rFonts w:ascii="Arial" w:hAnsi="Arial" w:cs="Arial"/>
          <w:sz w:val="24"/>
          <w:szCs w:val="24"/>
        </w:rPr>
        <w:t xml:space="preserve"> w oparciu o:</w:t>
      </w:r>
    </w:p>
    <w:p w14:paraId="2280294A" w14:textId="13C7C666" w:rsidR="00857253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kartę postępowania lub</w:t>
      </w:r>
    </w:p>
    <w:p w14:paraId="29BCC803" w14:textId="7548E581" w:rsidR="00857253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kartę chorego na hemofilię i inne</w:t>
      </w:r>
      <w:r w:rsidR="00416041">
        <w:rPr>
          <w:rFonts w:ascii="Arial" w:hAnsi="Arial" w:cs="Arial"/>
          <w:sz w:val="24"/>
          <w:szCs w:val="24"/>
        </w:rPr>
        <w:t xml:space="preserve"> pokrewne </w:t>
      </w:r>
      <w:r w:rsidRPr="00651A24">
        <w:rPr>
          <w:rFonts w:ascii="Arial" w:hAnsi="Arial" w:cs="Arial"/>
          <w:sz w:val="24"/>
          <w:szCs w:val="24"/>
        </w:rPr>
        <w:t xml:space="preserve"> skazy krwotoczne lub </w:t>
      </w:r>
    </w:p>
    <w:p w14:paraId="246532DB" w14:textId="13B02770" w:rsidR="005544A7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książeczkę leczenia domowego</w:t>
      </w:r>
      <w:r w:rsidR="005F4FEC" w:rsidRPr="00651A24">
        <w:rPr>
          <w:rFonts w:ascii="Arial" w:hAnsi="Arial" w:cs="Arial"/>
          <w:sz w:val="24"/>
          <w:szCs w:val="24"/>
        </w:rPr>
        <w:t>.</w:t>
      </w:r>
    </w:p>
    <w:p w14:paraId="63167D5F" w14:textId="33FC7A1A" w:rsidR="003F5856" w:rsidRPr="00651A24" w:rsidRDefault="003F5856" w:rsidP="00EE4D53">
      <w:pPr>
        <w:pStyle w:val="Akapitzlist"/>
        <w:numPr>
          <w:ilvl w:val="0"/>
          <w:numId w:val="4"/>
        </w:numPr>
        <w:suppressAutoHyphens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Upewnij się, czy pacjent </w:t>
      </w:r>
      <w:r w:rsidRPr="00651A24">
        <w:rPr>
          <w:rFonts w:ascii="Arial" w:hAnsi="Arial" w:cs="Arial"/>
          <w:b/>
          <w:bCs/>
          <w:sz w:val="24"/>
          <w:szCs w:val="24"/>
        </w:rPr>
        <w:t>podał sobie samodzielnie</w:t>
      </w:r>
      <w:r w:rsidRPr="00651A24">
        <w:rPr>
          <w:rFonts w:ascii="Arial" w:hAnsi="Arial" w:cs="Arial"/>
          <w:sz w:val="24"/>
          <w:szCs w:val="24"/>
        </w:rPr>
        <w:t xml:space="preserve"> koncentrat </w:t>
      </w:r>
      <w:r w:rsidR="009B6ECC" w:rsidRPr="00651A24">
        <w:rPr>
          <w:rFonts w:ascii="Arial" w:hAnsi="Arial" w:cs="Arial"/>
          <w:sz w:val="24"/>
          <w:szCs w:val="24"/>
        </w:rPr>
        <w:t xml:space="preserve">odpowiedniego </w:t>
      </w:r>
      <w:r w:rsidRPr="00651A24">
        <w:rPr>
          <w:rFonts w:ascii="Arial" w:hAnsi="Arial" w:cs="Arial"/>
          <w:sz w:val="24"/>
          <w:szCs w:val="24"/>
        </w:rPr>
        <w:t xml:space="preserve">czynnika krzepnięcia w dawce zaleconej przez </w:t>
      </w:r>
      <w:r w:rsidR="00D009DC" w:rsidRPr="00651A24">
        <w:rPr>
          <w:rFonts w:ascii="Arial" w:hAnsi="Arial" w:cs="Arial"/>
          <w:sz w:val="24"/>
          <w:szCs w:val="24"/>
        </w:rPr>
        <w:t> ośrodek 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do poważnych krwawień/urazów/operacji (informacje z </w:t>
      </w:r>
      <w:r w:rsidR="00D009DC" w:rsidRPr="00651A24">
        <w:rPr>
          <w:rFonts w:ascii="Arial" w:hAnsi="Arial" w:cs="Arial"/>
          <w:sz w:val="24"/>
          <w:szCs w:val="24"/>
        </w:rPr>
        <w:t>karty postępowania wydanej przez ośrodek</w:t>
      </w:r>
      <w:r w:rsidR="009B6ECC" w:rsidRPr="00651A24">
        <w:rPr>
          <w:rFonts w:ascii="Arial" w:hAnsi="Arial" w:cs="Arial"/>
          <w:sz w:val="24"/>
          <w:szCs w:val="24"/>
        </w:rPr>
        <w:t xml:space="preserve"> lub karty chorego na skazę krwotoczną</w:t>
      </w:r>
      <w:r w:rsidR="00D009DC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>. Jeżeli tego nie zrobił,</w:t>
      </w:r>
      <w:r w:rsidR="003D6243" w:rsidRPr="00651A24">
        <w:rPr>
          <w:rFonts w:ascii="Arial" w:hAnsi="Arial" w:cs="Arial"/>
          <w:sz w:val="24"/>
          <w:szCs w:val="24"/>
        </w:rPr>
        <w:t xml:space="preserve"> a posiada koncentrat czynnika krzepnięcia</w:t>
      </w:r>
      <w:r w:rsidR="00D96E90" w:rsidRPr="00651A24">
        <w:rPr>
          <w:rFonts w:ascii="Arial" w:hAnsi="Arial" w:cs="Arial"/>
          <w:sz w:val="24"/>
          <w:szCs w:val="24"/>
        </w:rPr>
        <w:t>,</w:t>
      </w:r>
      <w:r w:rsidRPr="00651A24">
        <w:rPr>
          <w:rFonts w:ascii="Arial" w:hAnsi="Arial" w:cs="Arial"/>
          <w:sz w:val="24"/>
          <w:szCs w:val="24"/>
        </w:rPr>
        <w:t xml:space="preserve"> podaj </w:t>
      </w:r>
      <w:r w:rsidR="003D6243" w:rsidRPr="00651A24">
        <w:rPr>
          <w:rFonts w:ascii="Arial" w:hAnsi="Arial" w:cs="Arial"/>
          <w:sz w:val="24"/>
          <w:szCs w:val="24"/>
        </w:rPr>
        <w:t xml:space="preserve">go </w:t>
      </w:r>
      <w:r w:rsidRPr="00651A24">
        <w:rPr>
          <w:rFonts w:ascii="Arial" w:hAnsi="Arial" w:cs="Arial"/>
          <w:b/>
          <w:bCs/>
          <w:sz w:val="24"/>
          <w:szCs w:val="24"/>
        </w:rPr>
        <w:t>z zasobów własnych</w:t>
      </w:r>
      <w:r w:rsidRPr="00651A24">
        <w:rPr>
          <w:rFonts w:ascii="Arial" w:hAnsi="Arial" w:cs="Arial"/>
          <w:sz w:val="24"/>
          <w:szCs w:val="24"/>
        </w:rPr>
        <w:t xml:space="preserve"> pacjenta</w:t>
      </w:r>
      <w:r w:rsidR="00D96E90" w:rsidRPr="00651A24">
        <w:rPr>
          <w:rFonts w:ascii="Arial" w:hAnsi="Arial" w:cs="Arial"/>
          <w:sz w:val="24"/>
          <w:szCs w:val="24"/>
        </w:rPr>
        <w:t xml:space="preserve">. </w:t>
      </w:r>
    </w:p>
    <w:p w14:paraId="2BA0E08F" w14:textId="77777777" w:rsidR="005544A7" w:rsidRPr="00651A24" w:rsidRDefault="005544A7" w:rsidP="00EE4D53">
      <w:pPr>
        <w:pStyle w:val="Akapitzlist"/>
        <w:numPr>
          <w:ilvl w:val="0"/>
          <w:numId w:val="4"/>
        </w:numPr>
        <w:suppressAutoHyphens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Obowiązuje zasada „najpierw czynnik”. </w:t>
      </w: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7852FEAE" w14:textId="514C8F42" w:rsidR="005F4FEC" w:rsidRPr="00651A24" w:rsidRDefault="005F4FEC" w:rsidP="00EE4D53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Zbadaj pacjenta i miej na uwadze, że:</w:t>
      </w:r>
    </w:p>
    <w:p w14:paraId="23015CA3" w14:textId="3CD164F0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 chorego na hemofilię </w:t>
      </w:r>
      <w:r w:rsidR="00705034" w:rsidRPr="00651A24">
        <w:rPr>
          <w:rFonts w:ascii="Arial" w:hAnsi="Arial" w:cs="Arial"/>
          <w:sz w:val="24"/>
          <w:szCs w:val="24"/>
        </w:rPr>
        <w:t xml:space="preserve">mogą </w:t>
      </w:r>
      <w:r w:rsidRPr="00651A24">
        <w:rPr>
          <w:rFonts w:ascii="Arial" w:hAnsi="Arial" w:cs="Arial"/>
          <w:sz w:val="24"/>
          <w:szCs w:val="24"/>
        </w:rPr>
        <w:t>występ</w:t>
      </w:r>
      <w:r w:rsidR="00705034" w:rsidRPr="00651A24">
        <w:rPr>
          <w:rFonts w:ascii="Arial" w:hAnsi="Arial" w:cs="Arial"/>
          <w:sz w:val="24"/>
          <w:szCs w:val="24"/>
        </w:rPr>
        <w:t xml:space="preserve">ować </w:t>
      </w:r>
      <w:r w:rsidRPr="00651A24">
        <w:rPr>
          <w:rFonts w:ascii="Arial" w:hAnsi="Arial" w:cs="Arial"/>
          <w:sz w:val="24"/>
          <w:szCs w:val="24"/>
        </w:rPr>
        <w:t>poważne krwawienia samoistne (śródczaszkowe, do dna jamy ustnej i szyi, mięśnia biodrowo-lędźwiowego, zaotrzewnowe, do stawów) i po urazach.</w:t>
      </w:r>
    </w:p>
    <w:p w14:paraId="064BA3C6" w14:textId="77777777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Nierzadko krwawienia zagrażające życiu są niewidoczne.</w:t>
      </w:r>
    </w:p>
    <w:p w14:paraId="1ED68C25" w14:textId="677C4B39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Ból głowy, zawroty głowy, nudności, wymioty, utrudniony kontakt logiczny mogą być objaw</w:t>
      </w:r>
      <w:r w:rsidR="00B019B6" w:rsidRPr="00651A24">
        <w:rPr>
          <w:rFonts w:ascii="Arial" w:hAnsi="Arial" w:cs="Arial"/>
          <w:sz w:val="24"/>
          <w:szCs w:val="24"/>
        </w:rPr>
        <w:t>ami</w:t>
      </w:r>
      <w:r w:rsidRPr="00651A24">
        <w:rPr>
          <w:rFonts w:ascii="Arial" w:hAnsi="Arial" w:cs="Arial"/>
          <w:sz w:val="24"/>
          <w:szCs w:val="24"/>
        </w:rPr>
        <w:t xml:space="preserve"> krwawienia do ośrodkowego układu nerwowego.</w:t>
      </w:r>
    </w:p>
    <w:p w14:paraId="761F1314" w14:textId="77777777" w:rsidR="00705034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Każdy uraz może spowodować krwawienie, które nie musi być jawne klinicznie.</w:t>
      </w:r>
    </w:p>
    <w:p w14:paraId="046E77C6" w14:textId="530B5DEC" w:rsidR="00705034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Pozytywny wywiad przebycia istotnego urazu oraz podejrzenie krwawienia stanowi</w:t>
      </w:r>
      <w:r w:rsidR="00B019B6" w:rsidRPr="00651A24">
        <w:rPr>
          <w:rFonts w:ascii="Arial" w:hAnsi="Arial" w:cs="Arial"/>
          <w:sz w:val="24"/>
          <w:szCs w:val="24"/>
        </w:rPr>
        <w:t>ą</w:t>
      </w:r>
      <w:r w:rsidRPr="00651A24">
        <w:rPr>
          <w:rFonts w:ascii="Arial" w:hAnsi="Arial" w:cs="Arial"/>
          <w:sz w:val="24"/>
          <w:szCs w:val="24"/>
        </w:rPr>
        <w:t xml:space="preserve"> zawsze wskazani</w:t>
      </w:r>
      <w:r w:rsidR="00B019B6" w:rsidRPr="00651A24">
        <w:rPr>
          <w:rFonts w:ascii="Arial" w:hAnsi="Arial" w:cs="Arial"/>
          <w:sz w:val="24"/>
          <w:szCs w:val="24"/>
        </w:rPr>
        <w:t>e</w:t>
      </w:r>
      <w:r w:rsidRPr="00651A24">
        <w:rPr>
          <w:rFonts w:ascii="Arial" w:hAnsi="Arial" w:cs="Arial"/>
          <w:sz w:val="24"/>
          <w:szCs w:val="24"/>
        </w:rPr>
        <w:t xml:space="preserve"> do leczenia hemostatycznego.</w:t>
      </w:r>
    </w:p>
    <w:p w14:paraId="0615EA8F" w14:textId="2A35B25D" w:rsidR="00705034" w:rsidRPr="00651A24" w:rsidRDefault="00705034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 podaniu koncentratu odpowiedniego czynnika krzepnięcia u chorego na hemofilię lub pokrewną skazę krwotoczną podejmuje się czynności ratunkowe analogiczne jak u pacjentów bez skazy krwotocznej.</w:t>
      </w:r>
    </w:p>
    <w:p w14:paraId="1E01F4E6" w14:textId="1A022A82" w:rsidR="00FC6353" w:rsidRPr="00651A24" w:rsidRDefault="00FC6353" w:rsidP="00EE4D53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7563034" w14:textId="6D60266B" w:rsidR="00857253" w:rsidRPr="00651A24" w:rsidRDefault="00857253" w:rsidP="00EE4D53">
      <w:pPr>
        <w:suppressAutoHyphens/>
        <w:rPr>
          <w:rFonts w:ascii="Arial" w:hAnsi="Arial" w:cs="Arial"/>
          <w:color w:val="FF0000"/>
          <w:sz w:val="23"/>
          <w:szCs w:val="23"/>
        </w:rPr>
      </w:pPr>
      <w:r w:rsidRPr="00651A24">
        <w:rPr>
          <w:rFonts w:ascii="Arial" w:hAnsi="Arial" w:cs="Arial"/>
          <w:color w:val="FF0000"/>
          <w:sz w:val="23"/>
          <w:szCs w:val="23"/>
          <w:u w:val="single"/>
        </w:rPr>
        <w:t>Pamiętaj</w:t>
      </w:r>
      <w:r w:rsidR="005F4FEC" w:rsidRPr="00651A24">
        <w:rPr>
          <w:rFonts w:ascii="Arial" w:hAnsi="Arial" w:cs="Arial"/>
          <w:color w:val="FF0000"/>
          <w:sz w:val="23"/>
          <w:szCs w:val="23"/>
          <w:u w:val="single"/>
        </w:rPr>
        <w:t>:</w:t>
      </w:r>
    </w:p>
    <w:p w14:paraId="2D2B213F" w14:textId="41824696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47246C07" w14:textId="066D482A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ind w:left="0"/>
        <w:rPr>
          <w:rFonts w:ascii="Arial" w:hAnsi="Arial" w:cs="Arial"/>
          <w:i/>
          <w:iCs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Chorym na hemofilię i pokrewne skazy krwotoczne nie wykonuje się iniekcji</w:t>
      </w:r>
      <w:r w:rsidR="00816B3C">
        <w:rPr>
          <w:rFonts w:ascii="Arial" w:hAnsi="Arial" w:cs="Arial"/>
          <w:sz w:val="23"/>
          <w:szCs w:val="23"/>
        </w:rPr>
        <w:t xml:space="preserve"> </w:t>
      </w:r>
      <w:r w:rsidRPr="00651A24">
        <w:rPr>
          <w:rFonts w:ascii="Arial" w:hAnsi="Arial" w:cs="Arial"/>
          <w:sz w:val="23"/>
          <w:szCs w:val="23"/>
        </w:rPr>
        <w:t>domięśniowo.</w:t>
      </w:r>
    </w:p>
    <w:p w14:paraId="50437676" w14:textId="6E5506DD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U chorych </w:t>
      </w:r>
      <w:r w:rsidR="00EF285C" w:rsidRPr="00651A24">
        <w:rPr>
          <w:rFonts w:ascii="Arial" w:hAnsi="Arial" w:cs="Arial"/>
          <w:sz w:val="23"/>
          <w:szCs w:val="23"/>
        </w:rPr>
        <w:t xml:space="preserve">na </w:t>
      </w:r>
      <w:r w:rsidRPr="00651A24">
        <w:rPr>
          <w:rFonts w:ascii="Arial" w:hAnsi="Arial" w:cs="Arial"/>
          <w:sz w:val="23"/>
          <w:szCs w:val="23"/>
        </w:rPr>
        <w:t xml:space="preserve">hemofilię i pokrewne skazy krwotoczne nie stosuje się rutynowo leków upośledzających hemostazę. W przypadku wskazań do tego typu leczenia konieczny jest kontakt z </w:t>
      </w:r>
      <w:r w:rsidR="00D009DC" w:rsidRPr="00651A24">
        <w:rPr>
          <w:rFonts w:ascii="Arial" w:hAnsi="Arial" w:cs="Arial"/>
          <w:sz w:val="23"/>
          <w:szCs w:val="23"/>
        </w:rPr>
        <w:t>ośrodkiem leczenia hemofilii i pokrewnych skaz krwotocznych.</w:t>
      </w:r>
    </w:p>
    <w:p w14:paraId="0CACB4CC" w14:textId="310BC59C" w:rsidR="005544A7" w:rsidRPr="00651A24" w:rsidRDefault="005544A7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W razie jakichkolwiek wątpliwości co do sposobu postępowania na miejscu zdarzenia albo w trakcie transportu pacjenta do szpitala, </w:t>
      </w:r>
      <w:r w:rsidR="001F0779" w:rsidRPr="00651A24">
        <w:rPr>
          <w:rFonts w:ascii="Arial" w:hAnsi="Arial" w:cs="Arial"/>
          <w:b/>
          <w:bCs/>
          <w:sz w:val="24"/>
          <w:szCs w:val="24"/>
        </w:rPr>
        <w:t>poproś dyspozytora wysyłającego o połączenie z</w:t>
      </w:r>
      <w:r w:rsidR="00EF285C" w:rsidRPr="00651A24">
        <w:rPr>
          <w:rFonts w:ascii="Arial" w:hAnsi="Arial" w:cs="Arial"/>
          <w:b/>
          <w:bCs/>
          <w:sz w:val="24"/>
          <w:szCs w:val="24"/>
        </w:rPr>
        <w:t>:</w:t>
      </w:r>
    </w:p>
    <w:p w14:paraId="58A0B0C7" w14:textId="77777777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lastRenderedPageBreak/>
        <w:t xml:space="preserve">ośrodkiem </w:t>
      </w:r>
      <w:bookmarkStart w:id="1" w:name="_Hlk62731877"/>
      <w:r w:rsidRPr="00651A24">
        <w:rPr>
          <w:rFonts w:ascii="Arial" w:hAnsi="Arial" w:cs="Arial"/>
          <w:b/>
          <w:bCs/>
          <w:sz w:val="24"/>
          <w:szCs w:val="24"/>
        </w:rPr>
        <w:t xml:space="preserve">leczenia hemofilii i pokrewnych skaz krwotocznych </w:t>
      </w:r>
      <w:bookmarkEnd w:id="1"/>
      <w:r w:rsidRPr="00651A24">
        <w:rPr>
          <w:rFonts w:ascii="Arial" w:hAnsi="Arial" w:cs="Arial"/>
          <w:b/>
          <w:bCs/>
          <w:sz w:val="24"/>
          <w:szCs w:val="24"/>
        </w:rPr>
        <w:t>wskazanym w dokumentacji chorego albo</w:t>
      </w:r>
    </w:p>
    <w:p w14:paraId="27AAA4C0" w14:textId="77777777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z ośrodkiem najbliższym miejscu zdarzenia lub</w:t>
      </w:r>
    </w:p>
    <w:p w14:paraId="587F2726" w14:textId="57D251DB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z krajowym ośrodkiem leczenia chorych na hemofilię i pokrewne skazy krwotoczne dla dorosłych -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Instytutem Hematologii i Transfuzjologii w Warszawie tel. 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>(</w:t>
      </w:r>
      <w:r w:rsidRPr="00671A5F">
        <w:rPr>
          <w:rFonts w:ascii="Arial" w:hAnsi="Arial" w:cs="Arial"/>
          <w:b/>
          <w:bCs/>
          <w:sz w:val="24"/>
          <w:szCs w:val="24"/>
        </w:rPr>
        <w:t>22</w:t>
      </w:r>
      <w:r w:rsidR="00A86CC7" w:rsidRPr="00671A5F">
        <w:rPr>
          <w:rFonts w:ascii="Arial" w:hAnsi="Arial" w:cs="Arial"/>
          <w:b/>
          <w:bCs/>
          <w:sz w:val="24"/>
          <w:szCs w:val="24"/>
        </w:rPr>
        <w:t>)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 349 65 81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 xml:space="preserve">, (22) 477 28 88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; dla dzieci </w:t>
      </w:r>
      <w:r w:rsidR="00846AF1" w:rsidRPr="00671A5F">
        <w:rPr>
          <w:rFonts w:ascii="Arial" w:hAnsi="Arial" w:cs="Arial"/>
          <w:b/>
          <w:bCs/>
          <w:sz w:val="24"/>
          <w:szCs w:val="24"/>
        </w:rPr>
        <w:t>-</w:t>
      </w:r>
      <w:r w:rsidR="00846AF1" w:rsidRPr="00671A5F">
        <w:rPr>
          <w:rFonts w:ascii="Arial" w:hAnsi="Arial" w:cs="Arial"/>
          <w:sz w:val="24"/>
          <w:szCs w:val="24"/>
        </w:rPr>
        <w:t xml:space="preserve"> </w:t>
      </w:r>
      <w:r w:rsidR="00846AF1" w:rsidRPr="00671A5F">
        <w:rPr>
          <w:rFonts w:ascii="Arial" w:hAnsi="Arial" w:cs="Arial"/>
          <w:b/>
          <w:bCs/>
          <w:sz w:val="24"/>
          <w:szCs w:val="24"/>
        </w:rPr>
        <w:t xml:space="preserve">Uniwersyteckim Centrum Klinicznym Warszawskiego Uniwersytetu Medycznego w Warszawie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tel. 22 317 96 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>17</w:t>
      </w:r>
      <w:r w:rsidRPr="00671A5F">
        <w:rPr>
          <w:rFonts w:ascii="Arial" w:hAnsi="Arial" w:cs="Arial"/>
          <w:b/>
          <w:bCs/>
          <w:sz w:val="24"/>
          <w:szCs w:val="24"/>
        </w:rPr>
        <w:t>;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 xml:space="preserve"> po godzinie 15:00 tel. Dyżurny 790 338 596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964382" w14:textId="2797BF7D" w:rsidR="00671A5F" w:rsidRDefault="005544A7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Wykaz ośrodków </w:t>
      </w:r>
      <w:r w:rsidRPr="00651A24">
        <w:rPr>
          <w:rFonts w:ascii="Arial" w:hAnsi="Arial" w:cs="Arial"/>
          <w:sz w:val="23"/>
          <w:szCs w:val="23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znajduje się na stronie internetowej </w:t>
      </w:r>
      <w:hyperlink r:id="rId9" w:history="1">
        <w:r w:rsidR="00671A5F" w:rsidRPr="003818B9">
          <w:rPr>
            <w:rStyle w:val="Hipercze"/>
            <w:rFonts w:ascii="Arial" w:hAnsi="Arial" w:cs="Arial"/>
            <w:sz w:val="24"/>
            <w:szCs w:val="24"/>
          </w:rPr>
          <w:t>https://www.gov.pl/web/nck/lista-osrodkow-realizujacych-narodowy-program-leczenia-chorych-na-hemofilie-i-pokrewne-skazy-krwotoczne-na-lata-2024-2028</w:t>
        </w:r>
      </w:hyperlink>
    </w:p>
    <w:p w14:paraId="29CADF96" w14:textId="5177C747" w:rsidR="005544A7" w:rsidRPr="00651A24" w:rsidRDefault="005544A7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Na stronie internetowej ośrodka wskazany jest link do informacji o całodobowym dyżurze konsultacyjnym dla innych podmiotów leczniczych, w tym dla ZRM i SOR (wraz z numerem telefonu). Ośrodki zobowiązane są udzielać konsultacji w stanach nagłych dla innych podmiotów leczniczych.</w:t>
      </w:r>
    </w:p>
    <w:p w14:paraId="05CC3183" w14:textId="698DC20E" w:rsidR="00D96E90" w:rsidRPr="00651A24" w:rsidRDefault="00D96E90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przypadku </w:t>
      </w:r>
      <w:r w:rsidR="00032A48" w:rsidRPr="00651A24">
        <w:rPr>
          <w:rFonts w:ascii="Arial" w:hAnsi="Arial" w:cs="Arial"/>
          <w:sz w:val="24"/>
          <w:szCs w:val="24"/>
        </w:rPr>
        <w:t>konieczności przewiezienia</w:t>
      </w:r>
      <w:r w:rsidRPr="00651A24">
        <w:rPr>
          <w:rFonts w:ascii="Arial" w:hAnsi="Arial" w:cs="Arial"/>
          <w:sz w:val="24"/>
          <w:szCs w:val="24"/>
        </w:rPr>
        <w:t xml:space="preserve"> pacjenta do szpitala, </w:t>
      </w:r>
      <w:r w:rsidR="00032A48" w:rsidRPr="00651A24">
        <w:rPr>
          <w:rFonts w:ascii="Arial" w:hAnsi="Arial" w:cs="Arial"/>
          <w:sz w:val="24"/>
          <w:szCs w:val="24"/>
        </w:rPr>
        <w:t xml:space="preserve">zwróć się do dyspozytora medycznego wysyłającego o wskazanie </w:t>
      </w:r>
      <w:r w:rsidRPr="00651A24">
        <w:rPr>
          <w:rFonts w:ascii="Arial" w:hAnsi="Arial" w:cs="Arial"/>
          <w:sz w:val="24"/>
          <w:szCs w:val="24"/>
        </w:rPr>
        <w:t>najbliższ</w:t>
      </w:r>
      <w:r w:rsidR="00032A48" w:rsidRPr="00651A24">
        <w:rPr>
          <w:rFonts w:ascii="Arial" w:hAnsi="Arial" w:cs="Arial"/>
          <w:sz w:val="24"/>
          <w:szCs w:val="24"/>
        </w:rPr>
        <w:t>ego</w:t>
      </w:r>
      <w:r w:rsidRPr="00651A24">
        <w:rPr>
          <w:rFonts w:ascii="Arial" w:hAnsi="Arial" w:cs="Arial"/>
          <w:sz w:val="24"/>
          <w:szCs w:val="24"/>
        </w:rPr>
        <w:t xml:space="preserve"> miejscu zdarzenia:</w:t>
      </w:r>
    </w:p>
    <w:p w14:paraId="05942956" w14:textId="12063714" w:rsidR="00D96E90" w:rsidRPr="00651A24" w:rsidRDefault="00D96E90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ośrodk</w:t>
      </w:r>
      <w:r w:rsidR="00032A48" w:rsidRPr="00651A24">
        <w:rPr>
          <w:rFonts w:ascii="Arial" w:hAnsi="Arial" w:cs="Arial"/>
          <w:sz w:val="24"/>
          <w:szCs w:val="24"/>
        </w:rPr>
        <w:t>a</w:t>
      </w:r>
      <w:r w:rsidRPr="00651A24">
        <w:rPr>
          <w:rFonts w:ascii="Arial" w:hAnsi="Arial" w:cs="Arial"/>
          <w:sz w:val="24"/>
          <w:szCs w:val="24"/>
        </w:rPr>
        <w:t xml:space="preserve"> leczenia hemofilii i pokrewnych skaz krwotocznych</w:t>
      </w:r>
    </w:p>
    <w:p w14:paraId="20028B4E" w14:textId="77777777" w:rsidR="00D96E90" w:rsidRPr="00651A24" w:rsidRDefault="00D96E90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1CA6F89E" w14:textId="18BE74D5" w:rsidR="00D96E90" w:rsidRPr="00651A24" w:rsidRDefault="00032A48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szpitala, </w:t>
      </w:r>
      <w:r w:rsidR="00D96E90" w:rsidRPr="00651A24">
        <w:rPr>
          <w:rFonts w:ascii="Arial" w:hAnsi="Arial" w:cs="Arial"/>
          <w:sz w:val="24"/>
          <w:szCs w:val="24"/>
        </w:rPr>
        <w:t>w którym prowadzony jest szpitalny depozyt czynników krzepnięcia</w:t>
      </w:r>
    </w:p>
    <w:p w14:paraId="4C9C919A" w14:textId="77777777" w:rsidR="00D96E90" w:rsidRPr="00651A24" w:rsidRDefault="00D96E90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2D8A905F" w14:textId="275E8B38" w:rsidR="00D96E90" w:rsidRPr="00651A24" w:rsidRDefault="00032A48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szpitala </w:t>
      </w:r>
      <w:r w:rsidR="00D96E90" w:rsidRPr="00651A24">
        <w:rPr>
          <w:rFonts w:ascii="Arial" w:hAnsi="Arial" w:cs="Arial"/>
          <w:sz w:val="24"/>
          <w:szCs w:val="24"/>
        </w:rPr>
        <w:t>położon</w:t>
      </w:r>
      <w:r w:rsidRPr="00651A24">
        <w:rPr>
          <w:rFonts w:ascii="Arial" w:hAnsi="Arial" w:cs="Arial"/>
          <w:sz w:val="24"/>
          <w:szCs w:val="24"/>
        </w:rPr>
        <w:t>ego</w:t>
      </w:r>
      <w:r w:rsidR="00D96E90" w:rsidRPr="00651A24">
        <w:rPr>
          <w:rFonts w:ascii="Arial" w:hAnsi="Arial" w:cs="Arial"/>
          <w:sz w:val="24"/>
          <w:szCs w:val="24"/>
        </w:rPr>
        <w:t xml:space="preserve"> w sąsiedztwie RCKiK,</w:t>
      </w:r>
    </w:p>
    <w:p w14:paraId="37D154AB" w14:textId="77777777" w:rsidR="00D96E90" w:rsidRPr="00651A24" w:rsidRDefault="00D96E90" w:rsidP="00EE4D53">
      <w:pPr>
        <w:jc w:val="both"/>
        <w:rPr>
          <w:rFonts w:ascii="Arial" w:hAnsi="Arial" w:cs="Arial"/>
          <w:sz w:val="24"/>
          <w:szCs w:val="24"/>
        </w:rPr>
      </w:pPr>
    </w:p>
    <w:p w14:paraId="74A9FAE3" w14:textId="662F4B9B" w:rsidR="00D96E90" w:rsidRDefault="00D96E90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>Lista szpitali docelowych</w:t>
      </w:r>
      <w:r w:rsidR="0095543E"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 oraz RCKiK</w:t>
      </w: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 znajduje się pod adresem: </w:t>
      </w:r>
      <w:hyperlink r:id="rId10" w:history="1">
        <w:r w:rsidR="00671A5F" w:rsidRPr="003818B9">
          <w:rPr>
            <w:rStyle w:val="Hipercze"/>
            <w:rFonts w:ascii="Arial" w:hAnsi="Arial" w:cs="Arial"/>
            <w:b/>
            <w:bCs/>
            <w:i/>
            <w:iCs/>
            <w:sz w:val="24"/>
            <w:szCs w:val="24"/>
          </w:rPr>
          <w:t>https://www.gov.pl/web/nck/dobre-praktyki-postepowania-oraz-podmioty-istotne-dla-ratownictwa-medycznego-chorych-na-hemofilie-i-pokrewne-skazy-krwotoczne</w:t>
        </w:r>
      </w:hyperlink>
    </w:p>
    <w:p w14:paraId="50DBB3E2" w14:textId="77777777" w:rsidR="00671A5F" w:rsidRPr="00651A24" w:rsidRDefault="00671A5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0ABD58" w14:textId="743039AE" w:rsidR="00D96E90" w:rsidRPr="00651A24" w:rsidRDefault="00032A48" w:rsidP="00EE4D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8. </w:t>
      </w:r>
      <w:r w:rsidR="00D96E90" w:rsidRPr="00651A24">
        <w:rPr>
          <w:rFonts w:ascii="Arial" w:hAnsi="Arial" w:cs="Arial"/>
          <w:sz w:val="24"/>
          <w:szCs w:val="24"/>
        </w:rPr>
        <w:t>Jeśli stan pacjenta nie pozwala na transport do szpitala, o którym mowa w pkt </w:t>
      </w:r>
      <w:r w:rsidRPr="00651A24">
        <w:rPr>
          <w:rFonts w:ascii="Arial" w:hAnsi="Arial" w:cs="Arial"/>
          <w:sz w:val="24"/>
          <w:szCs w:val="24"/>
        </w:rPr>
        <w:t>7</w:t>
      </w:r>
      <w:r w:rsidR="00D96E90" w:rsidRPr="00651A24">
        <w:rPr>
          <w:rFonts w:ascii="Arial" w:hAnsi="Arial" w:cs="Arial"/>
          <w:sz w:val="24"/>
          <w:szCs w:val="24"/>
        </w:rPr>
        <w:t xml:space="preserve">, zespół ratownictwa medycznego transportuje pacjenta </w:t>
      </w:r>
      <w:r w:rsidR="00D96E90" w:rsidRPr="00651A24">
        <w:rPr>
          <w:rFonts w:ascii="Arial" w:hAnsi="Arial" w:cs="Arial"/>
          <w:b/>
          <w:bCs/>
          <w:sz w:val="24"/>
          <w:szCs w:val="24"/>
        </w:rPr>
        <w:t>do najbliższego SOR/IP.</w:t>
      </w:r>
    </w:p>
    <w:p w14:paraId="5E681556" w14:textId="55A86C96" w:rsidR="00032A48" w:rsidRPr="00651A24" w:rsidRDefault="00032A48" w:rsidP="00EE4D53">
      <w:pPr>
        <w:rPr>
          <w:rFonts w:ascii="Arial" w:hAnsi="Arial" w:cs="Arial"/>
          <w:i/>
          <w:iCs/>
          <w:sz w:val="24"/>
          <w:szCs w:val="24"/>
        </w:rPr>
      </w:pPr>
      <w:r w:rsidRPr="00651A24">
        <w:rPr>
          <w:rFonts w:ascii="Arial" w:hAnsi="Arial" w:cs="Arial"/>
          <w:i/>
          <w:iCs/>
          <w:sz w:val="24"/>
          <w:szCs w:val="24"/>
        </w:rPr>
        <w:br w:type="page"/>
      </w:r>
    </w:p>
    <w:p w14:paraId="395A8997" w14:textId="77777777" w:rsidR="00425254" w:rsidRPr="00651A24" w:rsidRDefault="00425254" w:rsidP="00EE4D53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B3F" w:rsidRPr="00651A24" w14:paraId="5A52CCC5" w14:textId="77777777" w:rsidTr="00062B3F">
        <w:tc>
          <w:tcPr>
            <w:tcW w:w="9062" w:type="dxa"/>
          </w:tcPr>
          <w:p w14:paraId="463E2D0B" w14:textId="77777777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t>POSTĘPOWANIE LEKARZA W SOR/IP</w:t>
            </w:r>
          </w:p>
        </w:tc>
      </w:tr>
    </w:tbl>
    <w:p w14:paraId="75F56DD0" w14:textId="77777777" w:rsidR="009F74D4" w:rsidRPr="00651A24" w:rsidRDefault="009F74D4" w:rsidP="00EE4D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250DEB" w14:textId="6675DFAE" w:rsidR="00857253" w:rsidRPr="00651A24" w:rsidRDefault="0085725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Zweryfikuj rozpoznanie. Dokumentem potwierdzającym rozpoznanie skazy może być:</w:t>
      </w:r>
    </w:p>
    <w:p w14:paraId="0A93D17B" w14:textId="0BD13733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karta postępowania lub</w:t>
      </w:r>
    </w:p>
    <w:p w14:paraId="63D81EBE" w14:textId="2E001D2F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karta chorego na hemofilię i inne </w:t>
      </w:r>
      <w:r w:rsidR="00CC1F7C" w:rsidRPr="00651A24">
        <w:rPr>
          <w:rFonts w:ascii="Arial" w:hAnsi="Arial" w:cs="Arial"/>
          <w:sz w:val="24"/>
          <w:szCs w:val="24"/>
        </w:rPr>
        <w:t xml:space="preserve">pokrewne </w:t>
      </w:r>
      <w:r w:rsidRPr="00651A24">
        <w:rPr>
          <w:rFonts w:ascii="Arial" w:hAnsi="Arial" w:cs="Arial"/>
          <w:sz w:val="24"/>
          <w:szCs w:val="24"/>
        </w:rPr>
        <w:t xml:space="preserve">skazy krwotoczne lub </w:t>
      </w:r>
    </w:p>
    <w:p w14:paraId="75204EAA" w14:textId="6680449B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książeczka leczenia domowego</w:t>
      </w:r>
    </w:p>
    <w:p w14:paraId="2E09B9A7" w14:textId="65318E7F" w:rsidR="00857253" w:rsidRPr="00651A24" w:rsidRDefault="00857253" w:rsidP="00EE4D53">
      <w:pPr>
        <w:spacing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Jeśli pacjent nie posiada w/w dokumentów</w:t>
      </w:r>
      <w:r w:rsidR="00B019B6" w:rsidRPr="00651A24">
        <w:rPr>
          <w:rFonts w:ascii="Arial" w:hAnsi="Arial" w:cs="Arial"/>
          <w:sz w:val="23"/>
          <w:szCs w:val="23"/>
        </w:rPr>
        <w:t>,</w:t>
      </w:r>
      <w:r w:rsidRPr="00651A24">
        <w:rPr>
          <w:rFonts w:ascii="Arial" w:hAnsi="Arial" w:cs="Arial"/>
          <w:sz w:val="23"/>
          <w:szCs w:val="23"/>
        </w:rPr>
        <w:t xml:space="preserve"> zasięgnięcie informacji umożliwia rejestr w RCKiK. Informacjami na temat chorego może także dysponować lekarz dyżurny z ośrodka chorych na hemofilię. Pacjent i jego opiekun mogą być źródłem informacji na temat rodzaju skazy krwotocznej i jej leczenia.</w:t>
      </w:r>
    </w:p>
    <w:p w14:paraId="73A0C980" w14:textId="6E3257B3" w:rsidR="00857253" w:rsidRPr="00651A24" w:rsidRDefault="0085725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Podaj dożylnie koncentrat </w:t>
      </w:r>
      <w:r w:rsidR="00B816C3" w:rsidRPr="00651A24">
        <w:rPr>
          <w:rFonts w:ascii="Arial" w:hAnsi="Arial" w:cs="Arial"/>
          <w:sz w:val="23"/>
          <w:szCs w:val="23"/>
        </w:rPr>
        <w:t>odpowiedniego</w:t>
      </w:r>
      <w:r w:rsidRPr="00651A24">
        <w:rPr>
          <w:rFonts w:ascii="Arial" w:hAnsi="Arial" w:cs="Arial"/>
          <w:sz w:val="23"/>
          <w:szCs w:val="23"/>
        </w:rPr>
        <w:t xml:space="preserve"> czynnika krzepnięcia</w:t>
      </w:r>
      <w:r w:rsidR="00B019B6" w:rsidRPr="00651A24">
        <w:rPr>
          <w:rFonts w:ascii="Arial" w:hAnsi="Arial" w:cs="Arial"/>
          <w:sz w:val="23"/>
          <w:szCs w:val="23"/>
        </w:rPr>
        <w:t>,</w:t>
      </w:r>
      <w:r w:rsidRPr="00651A24">
        <w:rPr>
          <w:rFonts w:ascii="Arial" w:hAnsi="Arial" w:cs="Arial"/>
          <w:sz w:val="23"/>
          <w:szCs w:val="23"/>
        </w:rPr>
        <w:t xml:space="preserve"> jeśli chory nie otrzymał go po wystąpieni</w:t>
      </w:r>
      <w:r w:rsidR="00F805F2" w:rsidRPr="00651A24">
        <w:rPr>
          <w:rFonts w:ascii="Arial" w:hAnsi="Arial" w:cs="Arial"/>
          <w:sz w:val="23"/>
          <w:szCs w:val="23"/>
        </w:rPr>
        <w:t>u</w:t>
      </w:r>
      <w:r w:rsidRPr="00651A24">
        <w:rPr>
          <w:rFonts w:ascii="Arial" w:hAnsi="Arial" w:cs="Arial"/>
          <w:sz w:val="23"/>
          <w:szCs w:val="23"/>
        </w:rPr>
        <w:t xml:space="preserve"> objawów krwawienia/urazie.</w:t>
      </w:r>
    </w:p>
    <w:p w14:paraId="1730146D" w14:textId="672DF1E8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Koncentrat może pochodzić z zasobów chorego, depozytu szpitalnego lub może zostać sprowadzony z najbliższego RCKiK – </w:t>
      </w:r>
      <w:r w:rsidR="00B019B6" w:rsidRPr="00651A24">
        <w:rPr>
          <w:rFonts w:ascii="Arial" w:hAnsi="Arial" w:cs="Arial"/>
          <w:sz w:val="24"/>
          <w:szCs w:val="24"/>
        </w:rPr>
        <w:t>obowiązuje</w:t>
      </w:r>
      <w:r w:rsidRPr="00651A24">
        <w:rPr>
          <w:rFonts w:ascii="Arial" w:hAnsi="Arial" w:cs="Arial"/>
          <w:sz w:val="24"/>
          <w:szCs w:val="24"/>
        </w:rPr>
        <w:t xml:space="preserve"> priorytet CZASU.</w:t>
      </w:r>
    </w:p>
    <w:p w14:paraId="2A8C4D26" w14:textId="77777777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Zamów koncentrat czynnika krzepnięcia w ilości wystarczającej co najmniej na pierwszą dawkę.</w:t>
      </w:r>
    </w:p>
    <w:p w14:paraId="63788371" w14:textId="1C9049F0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671A5F">
        <w:rPr>
          <w:rFonts w:ascii="Arial" w:hAnsi="Arial" w:cs="Arial"/>
          <w:sz w:val="24"/>
          <w:szCs w:val="24"/>
        </w:rPr>
        <w:t xml:space="preserve">Koncentraty czynników krzepnięcia zamawia się poprzez stronę internetową </w:t>
      </w:r>
      <w:hyperlink r:id="rId11">
        <w:r w:rsidRPr="00671A5F">
          <w:rPr>
            <w:rFonts w:ascii="Arial" w:hAnsi="Arial" w:cs="Arial"/>
            <w:sz w:val="24"/>
            <w:szCs w:val="24"/>
          </w:rPr>
          <w:t>https://csm-swd.nfz.gov.pl/cnr/start.htm</w:t>
        </w:r>
      </w:hyperlink>
      <w:r w:rsidRPr="00671A5F">
        <w:rPr>
          <w:rFonts w:ascii="Arial" w:hAnsi="Arial" w:cs="Arial"/>
          <w:sz w:val="24"/>
          <w:szCs w:val="24"/>
        </w:rPr>
        <w:t xml:space="preserve"> (po wpisaniu do przeglądarki internetowej hasła „czynnik na ratunek”).</w:t>
      </w:r>
      <w:r w:rsidRPr="00651A24">
        <w:rPr>
          <w:rFonts w:ascii="Arial" w:hAnsi="Arial" w:cs="Arial"/>
          <w:sz w:val="24"/>
          <w:szCs w:val="24"/>
        </w:rPr>
        <w:t xml:space="preserve"> Zapotrzebowanie może być wystawione przez każdego lekarza dysponującego prawem wykonywania zawodu na terenie Rzeczpospolitej Polskiej niezależnie od specjalizacji. Koncentraty czynników krzepnięcia dostępne są nieodpłatnie.</w:t>
      </w:r>
    </w:p>
    <w:p w14:paraId="4FC34695" w14:textId="77777777" w:rsidR="00304917" w:rsidRPr="00651A24" w:rsidRDefault="00F805F2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Rodzaj koncentratu i wielkość pierwszej dawki należy ustalić w oparciu o</w:t>
      </w:r>
      <w:r w:rsidR="00304917" w:rsidRPr="00651A24">
        <w:rPr>
          <w:rFonts w:ascii="Arial" w:hAnsi="Arial" w:cs="Arial"/>
          <w:sz w:val="23"/>
          <w:szCs w:val="23"/>
        </w:rPr>
        <w:t>:</w:t>
      </w:r>
    </w:p>
    <w:p w14:paraId="352255F3" w14:textId="6743C6EA" w:rsidR="00304917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kartę postępowania </w:t>
      </w:r>
      <w:r w:rsidR="00F805F2" w:rsidRPr="00651A24">
        <w:rPr>
          <w:rFonts w:ascii="Arial" w:hAnsi="Arial" w:cs="Arial"/>
          <w:sz w:val="24"/>
          <w:szCs w:val="24"/>
        </w:rPr>
        <w:t>lub</w:t>
      </w:r>
    </w:p>
    <w:p w14:paraId="139F9FB3" w14:textId="35209F3F" w:rsidR="00304917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</w:t>
      </w:r>
      <w:r w:rsidR="00304917" w:rsidRPr="00651A24">
        <w:rPr>
          <w:rFonts w:ascii="Arial" w:hAnsi="Arial" w:cs="Arial"/>
          <w:sz w:val="24"/>
          <w:szCs w:val="24"/>
        </w:rPr>
        <w:t xml:space="preserve">artę chorego na hemofilię i inne </w:t>
      </w:r>
      <w:r w:rsidR="00E803A1" w:rsidRPr="00651A24">
        <w:rPr>
          <w:rFonts w:ascii="Arial" w:hAnsi="Arial" w:cs="Arial"/>
          <w:sz w:val="24"/>
          <w:szCs w:val="24"/>
        </w:rPr>
        <w:t xml:space="preserve">pokrewne </w:t>
      </w:r>
      <w:r w:rsidR="00304917" w:rsidRPr="00651A24">
        <w:rPr>
          <w:rFonts w:ascii="Arial" w:hAnsi="Arial" w:cs="Arial"/>
          <w:sz w:val="24"/>
          <w:szCs w:val="24"/>
        </w:rPr>
        <w:t xml:space="preserve">skazy krwotoczne </w:t>
      </w:r>
      <w:r w:rsidR="00F805F2" w:rsidRPr="00651A24">
        <w:rPr>
          <w:rFonts w:ascii="Arial" w:hAnsi="Arial" w:cs="Arial"/>
          <w:sz w:val="24"/>
          <w:szCs w:val="24"/>
        </w:rPr>
        <w:t xml:space="preserve">wydaną przez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="00304917" w:rsidRPr="00651A24">
        <w:rPr>
          <w:rFonts w:ascii="Arial" w:hAnsi="Arial" w:cs="Arial"/>
          <w:sz w:val="24"/>
          <w:szCs w:val="24"/>
        </w:rPr>
        <w:t xml:space="preserve">środek </w:t>
      </w:r>
      <w:r w:rsidR="005F4FEC" w:rsidRPr="00651A24">
        <w:rPr>
          <w:rFonts w:ascii="Arial" w:hAnsi="Arial" w:cs="Arial"/>
          <w:sz w:val="24"/>
          <w:szCs w:val="24"/>
        </w:rPr>
        <w:t xml:space="preserve">leczenia hemofilii i pokrewnych skaz krwotocznych </w:t>
      </w:r>
      <w:r w:rsidR="00304917" w:rsidRPr="00651A24">
        <w:rPr>
          <w:rFonts w:ascii="Arial" w:hAnsi="Arial" w:cs="Arial"/>
          <w:sz w:val="24"/>
          <w:szCs w:val="24"/>
        </w:rPr>
        <w:t>lub</w:t>
      </w:r>
    </w:p>
    <w:p w14:paraId="323D2EB4" w14:textId="5FBEEFB6" w:rsidR="00304917" w:rsidRPr="00651A24" w:rsidRDefault="00F805F2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pisemne zalecenia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Pr="00651A24">
        <w:rPr>
          <w:rFonts w:ascii="Arial" w:hAnsi="Arial" w:cs="Arial"/>
          <w:sz w:val="24"/>
          <w:szCs w:val="24"/>
        </w:rPr>
        <w:t xml:space="preserve">środka </w:t>
      </w:r>
      <w:r w:rsidR="005F4FEC" w:rsidRPr="00651A24">
        <w:rPr>
          <w:rFonts w:ascii="Arial" w:hAnsi="Arial" w:cs="Arial"/>
          <w:sz w:val="24"/>
          <w:szCs w:val="24"/>
        </w:rPr>
        <w:t xml:space="preserve">leczenia hemofilii i pokrewnych skaz krwotocznych </w:t>
      </w:r>
      <w:r w:rsidRPr="00651A24">
        <w:rPr>
          <w:rFonts w:ascii="Arial" w:hAnsi="Arial" w:cs="Arial"/>
          <w:sz w:val="24"/>
          <w:szCs w:val="24"/>
        </w:rPr>
        <w:t>(jeżeli pacjent takie posiada)</w:t>
      </w:r>
      <w:r w:rsidR="00304917" w:rsidRPr="00651A24">
        <w:rPr>
          <w:rFonts w:ascii="Arial" w:hAnsi="Arial" w:cs="Arial"/>
          <w:sz w:val="24"/>
          <w:szCs w:val="24"/>
        </w:rPr>
        <w:t xml:space="preserve"> lub</w:t>
      </w:r>
    </w:p>
    <w:p w14:paraId="7232531C" w14:textId="77777777" w:rsidR="00B019B6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zalecenia po kontakcie z ośrodkiem leczenia hemofilii i pokrewnych skaz krwotocznych</w:t>
      </w:r>
    </w:p>
    <w:p w14:paraId="5DACADAB" w14:textId="1AEF8780" w:rsidR="00304917" w:rsidRPr="00651A24" w:rsidRDefault="00F805F2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na podstawie ulotki dołączonej do opakowania </w:t>
      </w:r>
      <w:r w:rsidR="00BE77E4">
        <w:rPr>
          <w:rFonts w:ascii="Arial" w:hAnsi="Arial" w:cs="Arial"/>
          <w:sz w:val="24"/>
          <w:szCs w:val="24"/>
        </w:rPr>
        <w:t xml:space="preserve">koncentratu </w:t>
      </w:r>
      <w:r w:rsidRPr="00651A24">
        <w:rPr>
          <w:rFonts w:ascii="Arial" w:hAnsi="Arial" w:cs="Arial"/>
          <w:sz w:val="24"/>
          <w:szCs w:val="24"/>
        </w:rPr>
        <w:t>czynnika</w:t>
      </w:r>
      <w:r w:rsidR="00BE77E4">
        <w:rPr>
          <w:rFonts w:ascii="Arial" w:hAnsi="Arial" w:cs="Arial"/>
          <w:sz w:val="24"/>
          <w:szCs w:val="24"/>
        </w:rPr>
        <w:t xml:space="preserve"> krzepnięcia</w:t>
      </w:r>
      <w:r w:rsidRPr="00651A24">
        <w:rPr>
          <w:rFonts w:ascii="Arial" w:hAnsi="Arial" w:cs="Arial"/>
          <w:sz w:val="24"/>
          <w:szCs w:val="24"/>
        </w:rPr>
        <w:t>, który jest w posiadaniu pacjenta</w:t>
      </w:r>
      <w:r w:rsidR="005F4FEC" w:rsidRPr="00651A24">
        <w:rPr>
          <w:rFonts w:ascii="Arial" w:hAnsi="Arial" w:cs="Arial"/>
          <w:sz w:val="24"/>
          <w:szCs w:val="24"/>
        </w:rPr>
        <w:t>.</w:t>
      </w:r>
    </w:p>
    <w:p w14:paraId="696EE2CC" w14:textId="08F27AF4" w:rsidR="00B816C3" w:rsidRPr="00651A24" w:rsidRDefault="00B816C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Chory na hemofilię A powikłaną inhibitorem leczony </w:t>
      </w:r>
      <w:r w:rsidR="00C84272" w:rsidRPr="00651A24">
        <w:rPr>
          <w:rFonts w:ascii="Arial" w:hAnsi="Arial" w:cs="Arial"/>
          <w:sz w:val="23"/>
          <w:szCs w:val="23"/>
        </w:rPr>
        <w:t xml:space="preserve">bispecyficznym przeciwciałem naśladującym aktywny czynnik VIII </w:t>
      </w:r>
      <w:r w:rsidR="00F064F0">
        <w:rPr>
          <w:rFonts w:ascii="Arial" w:hAnsi="Arial" w:cs="Arial"/>
          <w:sz w:val="23"/>
          <w:szCs w:val="23"/>
        </w:rPr>
        <w:t xml:space="preserve">(Emicizumab) </w:t>
      </w:r>
      <w:r w:rsidR="00C84272" w:rsidRPr="00651A24">
        <w:rPr>
          <w:rFonts w:ascii="Arial" w:hAnsi="Arial" w:cs="Arial"/>
          <w:sz w:val="23"/>
          <w:szCs w:val="23"/>
        </w:rPr>
        <w:t xml:space="preserve">w przypadku wystąpienia/podejrzenia krwawienia powinien otrzymać </w:t>
      </w:r>
      <w:r w:rsidR="004E6CA5">
        <w:rPr>
          <w:rFonts w:ascii="Arial" w:hAnsi="Arial" w:cs="Arial"/>
          <w:sz w:val="23"/>
          <w:szCs w:val="23"/>
        </w:rPr>
        <w:t>koncentrat omijając</w:t>
      </w:r>
      <w:r w:rsidR="00BE77E4">
        <w:rPr>
          <w:rFonts w:ascii="Arial" w:hAnsi="Arial" w:cs="Arial"/>
          <w:sz w:val="23"/>
          <w:szCs w:val="23"/>
        </w:rPr>
        <w:t>y inhibitor</w:t>
      </w:r>
      <w:r w:rsidR="004E6CA5">
        <w:rPr>
          <w:rFonts w:ascii="Arial" w:hAnsi="Arial" w:cs="Arial"/>
          <w:sz w:val="23"/>
          <w:szCs w:val="23"/>
        </w:rPr>
        <w:t xml:space="preserve"> czyli </w:t>
      </w:r>
      <w:r w:rsidR="00C84272" w:rsidRPr="00651A24">
        <w:rPr>
          <w:rFonts w:ascii="Arial" w:hAnsi="Arial" w:cs="Arial"/>
          <w:sz w:val="23"/>
          <w:szCs w:val="23"/>
        </w:rPr>
        <w:t>rekombinowany aktywowany czynnik VII (</w:t>
      </w:r>
      <w:proofErr w:type="spellStart"/>
      <w:r w:rsidR="00C84272" w:rsidRPr="00651A24">
        <w:rPr>
          <w:rFonts w:ascii="Arial" w:hAnsi="Arial" w:cs="Arial"/>
          <w:sz w:val="23"/>
          <w:szCs w:val="23"/>
        </w:rPr>
        <w:t>NovoSeven</w:t>
      </w:r>
      <w:proofErr w:type="spellEnd"/>
      <w:r w:rsidR="00C84272" w:rsidRPr="00651A24">
        <w:rPr>
          <w:rFonts w:ascii="Arial" w:hAnsi="Arial" w:cs="Arial"/>
          <w:sz w:val="23"/>
          <w:szCs w:val="23"/>
        </w:rPr>
        <w:t>)</w:t>
      </w:r>
      <w:r w:rsidR="004E6CA5">
        <w:rPr>
          <w:rFonts w:ascii="Arial" w:hAnsi="Arial" w:cs="Arial"/>
          <w:sz w:val="23"/>
          <w:szCs w:val="23"/>
        </w:rPr>
        <w:t xml:space="preserve">, </w:t>
      </w:r>
      <w:r w:rsidR="00F064F0">
        <w:rPr>
          <w:rFonts w:ascii="Arial" w:hAnsi="Arial" w:cs="Arial"/>
          <w:sz w:val="23"/>
          <w:szCs w:val="23"/>
        </w:rPr>
        <w:t xml:space="preserve">a </w:t>
      </w:r>
      <w:r w:rsidR="004E6CA5">
        <w:rPr>
          <w:rFonts w:ascii="Arial" w:hAnsi="Arial" w:cs="Arial"/>
          <w:sz w:val="23"/>
          <w:szCs w:val="23"/>
        </w:rPr>
        <w:t xml:space="preserve">w przypadku jego nieskuteczności </w:t>
      </w:r>
      <w:r w:rsidR="00F064F0">
        <w:rPr>
          <w:rFonts w:ascii="Arial" w:hAnsi="Arial" w:cs="Arial"/>
          <w:sz w:val="23"/>
          <w:szCs w:val="23"/>
        </w:rPr>
        <w:t>konce</w:t>
      </w:r>
      <w:r w:rsidR="00FB5FEC">
        <w:rPr>
          <w:rFonts w:ascii="Arial" w:hAnsi="Arial" w:cs="Arial"/>
          <w:sz w:val="23"/>
          <w:szCs w:val="23"/>
        </w:rPr>
        <w:t>ntrat</w:t>
      </w:r>
      <w:r w:rsidR="00671A5F">
        <w:rPr>
          <w:rFonts w:ascii="Arial" w:hAnsi="Arial" w:cs="Arial"/>
          <w:sz w:val="23"/>
          <w:szCs w:val="23"/>
        </w:rPr>
        <w:t xml:space="preserve"> </w:t>
      </w:r>
      <w:r w:rsidR="00BB3CC8">
        <w:rPr>
          <w:rFonts w:ascii="Arial" w:hAnsi="Arial" w:cs="Arial"/>
          <w:sz w:val="23"/>
          <w:szCs w:val="23"/>
        </w:rPr>
        <w:t xml:space="preserve">aktywowanych czynników </w:t>
      </w:r>
      <w:r w:rsidR="0049218A">
        <w:rPr>
          <w:rFonts w:ascii="Arial" w:hAnsi="Arial" w:cs="Arial"/>
          <w:sz w:val="23"/>
          <w:szCs w:val="23"/>
        </w:rPr>
        <w:t xml:space="preserve">zespołu protrombiny </w:t>
      </w:r>
      <w:r w:rsidR="00C84272" w:rsidRPr="00651A24">
        <w:rPr>
          <w:rFonts w:ascii="Arial" w:hAnsi="Arial" w:cs="Arial"/>
          <w:sz w:val="23"/>
          <w:szCs w:val="23"/>
        </w:rPr>
        <w:t>(aPCC</w:t>
      </w:r>
      <w:r w:rsidR="00F064F0">
        <w:rPr>
          <w:rFonts w:ascii="Arial" w:hAnsi="Arial" w:cs="Arial"/>
          <w:sz w:val="23"/>
          <w:szCs w:val="23"/>
        </w:rPr>
        <w:t xml:space="preserve">, </w:t>
      </w:r>
      <w:r w:rsidR="00C84272" w:rsidRPr="00651A24">
        <w:rPr>
          <w:rFonts w:ascii="Arial" w:hAnsi="Arial" w:cs="Arial"/>
          <w:sz w:val="23"/>
          <w:szCs w:val="23"/>
        </w:rPr>
        <w:t xml:space="preserve">Feiba) </w:t>
      </w:r>
    </w:p>
    <w:p w14:paraId="3516E52D" w14:textId="43317256" w:rsidR="00F805F2" w:rsidRPr="00651A24" w:rsidRDefault="00B816C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hAnsi="Arial" w:cs="Arial"/>
          <w:sz w:val="23"/>
          <w:szCs w:val="23"/>
        </w:rPr>
      </w:pPr>
      <w:r w:rsidRPr="00651A24">
        <w:rPr>
          <w:rFonts w:ascii="Arial" w:hAnsi="Arial" w:cs="Arial"/>
          <w:sz w:val="24"/>
          <w:szCs w:val="24"/>
        </w:rPr>
        <w:t xml:space="preserve">Po podaniu koncentratu odpowiedniego </w:t>
      </w:r>
      <w:r w:rsidR="00BE77E4">
        <w:rPr>
          <w:rFonts w:ascii="Arial" w:hAnsi="Arial" w:cs="Arial"/>
          <w:sz w:val="24"/>
          <w:szCs w:val="24"/>
        </w:rPr>
        <w:t xml:space="preserve">niedoborowego </w:t>
      </w:r>
      <w:r w:rsidRPr="00651A24">
        <w:rPr>
          <w:rFonts w:ascii="Arial" w:hAnsi="Arial" w:cs="Arial"/>
          <w:sz w:val="24"/>
          <w:szCs w:val="24"/>
        </w:rPr>
        <w:t>czynnika krzepnięcia</w:t>
      </w:r>
      <w:r w:rsidR="00BE77E4">
        <w:rPr>
          <w:rFonts w:ascii="Arial" w:hAnsi="Arial" w:cs="Arial"/>
          <w:sz w:val="24"/>
          <w:szCs w:val="24"/>
        </w:rPr>
        <w:t xml:space="preserve"> (bądź  koncentratu omijającego inhibitor w przypadku hemofilii A powikłanej inhibitorem</w:t>
      </w:r>
      <w:r w:rsidR="00BE77E4" w:rsidRPr="001B619E">
        <w:rPr>
          <w:rFonts w:ascii="Arial" w:hAnsi="Arial" w:cs="Arial"/>
          <w:sz w:val="24"/>
          <w:szCs w:val="24"/>
        </w:rPr>
        <w:t>)</w:t>
      </w:r>
      <w:r w:rsidR="00BE77E4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1A24">
        <w:rPr>
          <w:rFonts w:ascii="Arial" w:hAnsi="Arial" w:cs="Arial"/>
          <w:sz w:val="24"/>
          <w:szCs w:val="24"/>
        </w:rPr>
        <w:t xml:space="preserve"> u </w:t>
      </w:r>
      <w:r w:rsidRPr="00651A24">
        <w:rPr>
          <w:rFonts w:ascii="Arial" w:hAnsi="Arial" w:cs="Arial"/>
          <w:sz w:val="24"/>
          <w:szCs w:val="24"/>
        </w:rPr>
        <w:lastRenderedPageBreak/>
        <w:t>chorego na hemofilię lub pokrewną skazę krwotoczną prowadzi się diagnostykę i podejmuje leczenie jak u pacjentów bez skazy krwotocznej</w:t>
      </w:r>
      <w:r w:rsidR="00F805F2" w:rsidRPr="00651A24">
        <w:rPr>
          <w:rFonts w:ascii="Arial" w:hAnsi="Arial" w:cs="Arial"/>
          <w:sz w:val="24"/>
          <w:szCs w:val="24"/>
        </w:rPr>
        <w:t>.</w:t>
      </w:r>
    </w:p>
    <w:p w14:paraId="369BE9A5" w14:textId="282023DE" w:rsidR="00B816C3" w:rsidRPr="00651A24" w:rsidRDefault="00B816C3" w:rsidP="00C84272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razie potrzeby celem ustalenia optymalnego postępowania skontaktuj się z lekarzem z najbliższego ośrodka leczenia chorych na hemofilię i pokrewne skazy krwotoczne krajowym ośrodkiem leczenia chorych na hemofilię i pokrewne skazy krwotoczne dla dorosłych - Instytutem Hematologii i Transfuzjologii w Warszawie tel. </w:t>
      </w:r>
      <w:r w:rsidR="00C84272" w:rsidRPr="00651A24">
        <w:rPr>
          <w:rFonts w:ascii="Arial" w:hAnsi="Arial" w:cs="Arial"/>
          <w:sz w:val="24"/>
          <w:szCs w:val="24"/>
        </w:rPr>
        <w:t>(</w:t>
      </w:r>
      <w:r w:rsidRPr="00651A24">
        <w:rPr>
          <w:rFonts w:ascii="Arial" w:hAnsi="Arial" w:cs="Arial"/>
          <w:sz w:val="24"/>
          <w:szCs w:val="24"/>
        </w:rPr>
        <w:t>22</w:t>
      </w:r>
      <w:r w:rsidR="00C84272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 xml:space="preserve"> 349 65 81</w:t>
      </w:r>
      <w:r w:rsidR="00C84272" w:rsidRPr="00651A24">
        <w:rPr>
          <w:rFonts w:ascii="Arial" w:hAnsi="Arial" w:cs="Arial"/>
          <w:sz w:val="24"/>
          <w:szCs w:val="24"/>
        </w:rPr>
        <w:t>, (22) 477 28 88</w:t>
      </w:r>
      <w:r w:rsidRPr="00651A24">
        <w:rPr>
          <w:rFonts w:ascii="Arial" w:hAnsi="Arial" w:cs="Arial"/>
          <w:sz w:val="24"/>
          <w:szCs w:val="24"/>
        </w:rPr>
        <w:t xml:space="preserve">; </w:t>
      </w:r>
      <w:r w:rsidR="00846AF1" w:rsidRPr="00651A24">
        <w:rPr>
          <w:rFonts w:ascii="Arial" w:hAnsi="Arial" w:cs="Arial"/>
          <w:sz w:val="24"/>
          <w:szCs w:val="24"/>
        </w:rPr>
        <w:t xml:space="preserve">- Uniwersyteckim Centrum Klinicznym Warszawskiego Uniwersytetu Medycznego w Warszawie </w:t>
      </w:r>
      <w:r w:rsidRPr="00651A24">
        <w:rPr>
          <w:rFonts w:ascii="Arial" w:hAnsi="Arial" w:cs="Arial"/>
          <w:sz w:val="24"/>
          <w:szCs w:val="24"/>
        </w:rPr>
        <w:t xml:space="preserve">dla dzieci tel. </w:t>
      </w:r>
      <w:r w:rsidR="00C84272" w:rsidRPr="00651A24">
        <w:rPr>
          <w:rFonts w:ascii="Arial" w:hAnsi="Arial" w:cs="Arial"/>
          <w:sz w:val="24"/>
          <w:szCs w:val="24"/>
        </w:rPr>
        <w:t>(</w:t>
      </w:r>
      <w:r w:rsidRPr="00651A24">
        <w:rPr>
          <w:rFonts w:ascii="Arial" w:hAnsi="Arial" w:cs="Arial"/>
          <w:sz w:val="24"/>
          <w:szCs w:val="24"/>
        </w:rPr>
        <w:t>22</w:t>
      </w:r>
      <w:r w:rsidR="00C84272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 xml:space="preserve"> 317 96</w:t>
      </w:r>
      <w:r w:rsidR="00671A5F">
        <w:rPr>
          <w:rFonts w:ascii="Arial" w:hAnsi="Arial" w:cs="Arial"/>
          <w:sz w:val="24"/>
          <w:szCs w:val="24"/>
        </w:rPr>
        <w:t xml:space="preserve"> </w:t>
      </w:r>
      <w:r w:rsidR="00C84272" w:rsidRPr="00651A24">
        <w:rPr>
          <w:rFonts w:ascii="Arial" w:hAnsi="Arial" w:cs="Arial"/>
          <w:sz w:val="24"/>
          <w:szCs w:val="24"/>
        </w:rPr>
        <w:t>17</w:t>
      </w:r>
      <w:r w:rsidRPr="00651A24">
        <w:rPr>
          <w:rFonts w:ascii="Arial" w:hAnsi="Arial" w:cs="Arial"/>
          <w:sz w:val="24"/>
          <w:szCs w:val="24"/>
        </w:rPr>
        <w:t xml:space="preserve">; </w:t>
      </w:r>
      <w:r w:rsidR="00C84272" w:rsidRPr="00651A24">
        <w:rPr>
          <w:rFonts w:ascii="Arial" w:hAnsi="Arial" w:cs="Arial"/>
          <w:sz w:val="24"/>
          <w:szCs w:val="24"/>
        </w:rPr>
        <w:t>po godzinie 15:00 tel. Dyżurny 790 338 596</w:t>
      </w:r>
    </w:p>
    <w:p w14:paraId="61626F2E" w14:textId="2E209C7C" w:rsidR="00671A5F" w:rsidRDefault="00B816C3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Wykaz ośrodków </w:t>
      </w:r>
      <w:r w:rsidRPr="00651A24">
        <w:rPr>
          <w:rFonts w:ascii="Arial" w:hAnsi="Arial" w:cs="Arial"/>
          <w:sz w:val="23"/>
          <w:szCs w:val="23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znajduje się na stronie internetowej</w:t>
      </w:r>
      <w:r w:rsidR="00C84272" w:rsidRPr="00651A24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71A5F" w:rsidRPr="003818B9">
          <w:rPr>
            <w:rStyle w:val="Hipercze"/>
            <w:rFonts w:ascii="Arial" w:hAnsi="Arial" w:cs="Arial"/>
            <w:sz w:val="24"/>
            <w:szCs w:val="24"/>
          </w:rPr>
          <w:t>https://www.gov.pl/web/nck/lista-osrodkow-realizujacych-narodowy-program-leczenia-chorych-na-hemofilie-i-pokrewne-skazy-krwotoczne-na-lata-2024-2028</w:t>
        </w:r>
      </w:hyperlink>
    </w:p>
    <w:p w14:paraId="6FB077BA" w14:textId="0FF6A946" w:rsidR="00B816C3" w:rsidRPr="00651A24" w:rsidRDefault="00B816C3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Na stronie internetowej ośrodka wskazany jest link do informacji o całodobowym dyżurze konsultacyjnym dla innych podmiotów leczniczych, w tym dla ZRM i SOR (wraz z numerem telefonu). Ośrodki zobowiązane są udzielać konsultacji w stanach nagłych dla innych podmiotów leczniczych.</w:t>
      </w:r>
    </w:p>
    <w:p w14:paraId="0B450362" w14:textId="77777777" w:rsidR="00B816C3" w:rsidRPr="00651A24" w:rsidRDefault="00B816C3" w:rsidP="00EE4D53">
      <w:pPr>
        <w:rPr>
          <w:rFonts w:ascii="Arial" w:hAnsi="Arial" w:cs="Arial"/>
          <w:sz w:val="24"/>
          <w:szCs w:val="24"/>
        </w:rPr>
      </w:pPr>
    </w:p>
    <w:p w14:paraId="48298680" w14:textId="3448124C" w:rsidR="00F805F2" w:rsidRPr="00651A24" w:rsidRDefault="00F805F2" w:rsidP="00EE4D53">
      <w:pPr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 w:rsidRPr="00651A24">
        <w:rPr>
          <w:rFonts w:ascii="Arial" w:hAnsi="Arial" w:cs="Arial"/>
          <w:color w:val="FF0000"/>
          <w:sz w:val="23"/>
          <w:szCs w:val="23"/>
          <w:u w:val="single"/>
        </w:rPr>
        <w:t>Pamiętaj</w:t>
      </w:r>
      <w:r w:rsidR="00304917" w:rsidRPr="00651A24">
        <w:rPr>
          <w:rFonts w:ascii="Arial" w:hAnsi="Arial" w:cs="Arial"/>
          <w:color w:val="FF0000"/>
          <w:sz w:val="23"/>
          <w:szCs w:val="23"/>
          <w:u w:val="single"/>
        </w:rPr>
        <w:t>:</w:t>
      </w:r>
    </w:p>
    <w:p w14:paraId="7107C215" w14:textId="5572B628" w:rsidR="00B816C3" w:rsidRPr="00651A24" w:rsidRDefault="00B816C3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Obowiązuje zasada „najpierw czynnik”</w:t>
      </w:r>
      <w:r w:rsidRPr="00651A24">
        <w:rPr>
          <w:rFonts w:ascii="Arial" w:hAnsi="Arial" w:cs="Arial"/>
          <w:sz w:val="24"/>
          <w:szCs w:val="24"/>
        </w:rPr>
        <w:t xml:space="preserve"> – chory na hemofilię lub pokrewną skazę krwotoczną w przypadku podejrzenia krwawienia lub istotnego urazu powinien jak najszybciej otrzymać dożylnie koncentrat odpowiedniego czynnika krzepnięcia. Każda zwłoka (</w:t>
      </w:r>
      <w:r w:rsidR="005544A7" w:rsidRPr="00651A24">
        <w:rPr>
          <w:rFonts w:ascii="Arial" w:hAnsi="Arial" w:cs="Arial"/>
          <w:sz w:val="24"/>
          <w:szCs w:val="24"/>
        </w:rPr>
        <w:t>np.</w:t>
      </w:r>
      <w:r w:rsidRPr="00651A24">
        <w:rPr>
          <w:rFonts w:ascii="Arial" w:hAnsi="Arial" w:cs="Arial"/>
          <w:sz w:val="24"/>
          <w:szCs w:val="24"/>
        </w:rPr>
        <w:t xml:space="preserve"> w celu wykonania badań diagnostycznych) zwiększa ilość wynaczynionej krwi i stanowi zagrożenie zdrowia a nawet życia.</w:t>
      </w:r>
    </w:p>
    <w:p w14:paraId="7C19BF41" w14:textId="2CC30D26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W przypadku konieczności wykonania zabiegu inwazyjnego</w:t>
      </w:r>
      <w:r w:rsidR="005544A7" w:rsidRPr="00651A24">
        <w:rPr>
          <w:rFonts w:ascii="Arial" w:hAnsi="Arial" w:cs="Arial"/>
          <w:sz w:val="24"/>
          <w:szCs w:val="24"/>
        </w:rPr>
        <w:t>,</w:t>
      </w:r>
      <w:r w:rsidRPr="00651A24">
        <w:rPr>
          <w:rFonts w:ascii="Arial" w:hAnsi="Arial" w:cs="Arial"/>
          <w:sz w:val="24"/>
          <w:szCs w:val="24"/>
        </w:rPr>
        <w:t xml:space="preserve"> chory na hemofilię lub pokrewną skazę krwotoczną wymaga leczenia hemostatycznego.</w:t>
      </w:r>
    </w:p>
    <w:p w14:paraId="02CB09E4" w14:textId="77777777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Chorym na hemofilię i pokrewne skazy krwotoczne </w:t>
      </w:r>
      <w:r w:rsidRPr="00651A24">
        <w:rPr>
          <w:rFonts w:ascii="Arial" w:hAnsi="Arial" w:cs="Arial"/>
          <w:b/>
          <w:bCs/>
          <w:sz w:val="24"/>
          <w:szCs w:val="24"/>
        </w:rPr>
        <w:t>nie wykonuje się iniekcji domięśniowo.</w:t>
      </w:r>
    </w:p>
    <w:p w14:paraId="42472B3F" w14:textId="486277CC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 chorych ze skazami krwotocznymi nie stosuje się rutynowo leków upośledzających hemostazę. W przypadku wskazań do tego typu leczenia konieczny jest kontakt z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Pr="00651A24">
        <w:rPr>
          <w:rFonts w:ascii="Arial" w:hAnsi="Arial" w:cs="Arial"/>
          <w:sz w:val="24"/>
          <w:szCs w:val="24"/>
        </w:rPr>
        <w:t xml:space="preserve">środkiem </w:t>
      </w:r>
      <w:r w:rsidR="005F4FEC" w:rsidRPr="00651A24">
        <w:rPr>
          <w:rFonts w:ascii="Arial" w:hAnsi="Arial" w:cs="Arial"/>
          <w:sz w:val="24"/>
          <w:szCs w:val="24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>.</w:t>
      </w:r>
    </w:p>
    <w:sectPr w:rsidR="00F805F2" w:rsidRPr="00651A24" w:rsidSect="00EF285C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2B693" w14:textId="77777777" w:rsidR="004330B6" w:rsidRDefault="004330B6" w:rsidP="009D71EC">
      <w:pPr>
        <w:spacing w:before="0" w:after="0" w:line="240" w:lineRule="auto"/>
      </w:pPr>
      <w:r>
        <w:separator/>
      </w:r>
    </w:p>
  </w:endnote>
  <w:endnote w:type="continuationSeparator" w:id="0">
    <w:p w14:paraId="5C916B5A" w14:textId="77777777" w:rsidR="004330B6" w:rsidRDefault="004330B6" w:rsidP="009D71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28494" w14:textId="77777777" w:rsidR="004330B6" w:rsidRDefault="004330B6" w:rsidP="009D71EC">
      <w:pPr>
        <w:spacing w:before="0" w:after="0" w:line="240" w:lineRule="auto"/>
      </w:pPr>
      <w:r>
        <w:separator/>
      </w:r>
    </w:p>
  </w:footnote>
  <w:footnote w:type="continuationSeparator" w:id="0">
    <w:p w14:paraId="645F71C9" w14:textId="77777777" w:rsidR="004330B6" w:rsidRDefault="004330B6" w:rsidP="009D71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2917" w14:textId="3EC6EDAD" w:rsidR="00EF285C" w:rsidRPr="00EF285C" w:rsidRDefault="00EF285C" w:rsidP="00EF285C">
    <w:pPr>
      <w:pStyle w:val="Nagwek"/>
      <w:jc w:val="center"/>
      <w:rPr>
        <w:b/>
      </w:rPr>
    </w:pPr>
    <w:r w:rsidRPr="00EF285C">
      <w:rPr>
        <w:b/>
      </w:rPr>
      <w:t>Dobre praktyki postępowania dyspozytorów medycznych, zespołów ratownictwa medycznego oraz SOR/IP</w:t>
    </w:r>
  </w:p>
  <w:p w14:paraId="5651A2EA" w14:textId="3FD9811B" w:rsidR="00EF285C" w:rsidRDefault="00EF285C" w:rsidP="00EF285C">
    <w:pPr>
      <w:pStyle w:val="Nagwek"/>
      <w:jc w:val="center"/>
    </w:pPr>
    <w:r w:rsidRPr="00EF285C">
      <w:rPr>
        <w:b/>
      </w:rPr>
      <w:t>wobec pacjenta z hemofilią  lub pokrewną skazą krwotoczną</w:t>
    </w:r>
  </w:p>
  <w:p w14:paraId="4EA38242" w14:textId="77777777" w:rsidR="00EF285C" w:rsidRDefault="00EF285C" w:rsidP="00EF285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23C2" w14:textId="77777777" w:rsidR="00EF285C" w:rsidRPr="00EF285C" w:rsidRDefault="00EF285C" w:rsidP="00EF285C">
    <w:pPr>
      <w:pStyle w:val="Nagwek"/>
      <w:jc w:val="center"/>
      <w:rPr>
        <w:b/>
      </w:rPr>
    </w:pPr>
    <w:r>
      <w:tab/>
    </w:r>
    <w:r w:rsidRPr="00EF285C">
      <w:rPr>
        <w:b/>
      </w:rPr>
      <w:t>Dobre praktyki postępowania dyspozytorów medycznych, zespołów ratownictwa medycznego oraz SOR/IP</w:t>
    </w:r>
  </w:p>
  <w:p w14:paraId="710683D8" w14:textId="77777777" w:rsidR="00EF285C" w:rsidRDefault="00EF285C" w:rsidP="00EF285C">
    <w:pPr>
      <w:pStyle w:val="Nagwek"/>
      <w:jc w:val="center"/>
    </w:pPr>
    <w:r w:rsidRPr="00EF285C">
      <w:rPr>
        <w:b/>
      </w:rPr>
      <w:t>wobec pacjenta z hemofilią  lub pokrewną skazą krwotoczną</w:t>
    </w:r>
  </w:p>
  <w:p w14:paraId="4A0BB8BC" w14:textId="21FCE26B" w:rsidR="009D71EC" w:rsidRDefault="009D71EC" w:rsidP="00EF285C">
    <w:pPr>
      <w:pStyle w:val="Nagwek"/>
      <w:tabs>
        <w:tab w:val="clear" w:pos="4536"/>
        <w:tab w:val="clear" w:pos="9072"/>
        <w:tab w:val="left" w:pos="50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680"/>
    <w:multiLevelType w:val="hybridMultilevel"/>
    <w:tmpl w:val="A3DCB628"/>
    <w:lvl w:ilvl="0" w:tplc="585C3416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4FD4"/>
    <w:multiLevelType w:val="hybridMultilevel"/>
    <w:tmpl w:val="F74E3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F9C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72CE7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E4E84"/>
    <w:multiLevelType w:val="hybridMultilevel"/>
    <w:tmpl w:val="DA4C59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50720"/>
    <w:multiLevelType w:val="hybridMultilevel"/>
    <w:tmpl w:val="571E8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B3E67"/>
    <w:multiLevelType w:val="hybridMultilevel"/>
    <w:tmpl w:val="191E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190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83D78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00A6"/>
    <w:multiLevelType w:val="hybridMultilevel"/>
    <w:tmpl w:val="2190D9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D043D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91"/>
    <w:multiLevelType w:val="multilevel"/>
    <w:tmpl w:val="98D6E0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D27C1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355B2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117A9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F7D05"/>
    <w:multiLevelType w:val="hybridMultilevel"/>
    <w:tmpl w:val="C16CBCFC"/>
    <w:lvl w:ilvl="0" w:tplc="0CA0A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F023C"/>
    <w:multiLevelType w:val="hybridMultilevel"/>
    <w:tmpl w:val="EDA8D92E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951B9"/>
    <w:multiLevelType w:val="hybridMultilevel"/>
    <w:tmpl w:val="45DC60B2"/>
    <w:lvl w:ilvl="0" w:tplc="483A5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431AA"/>
    <w:multiLevelType w:val="hybridMultilevel"/>
    <w:tmpl w:val="00F62E9C"/>
    <w:lvl w:ilvl="0" w:tplc="3B64B5F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3F3E"/>
    <w:multiLevelType w:val="hybridMultilevel"/>
    <w:tmpl w:val="3EA6FB2C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5384B"/>
    <w:multiLevelType w:val="hybridMultilevel"/>
    <w:tmpl w:val="7BCEFF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2683492">
    <w:abstractNumId w:val="20"/>
  </w:num>
  <w:num w:numId="2" w16cid:durableId="1965652098">
    <w:abstractNumId w:val="19"/>
  </w:num>
  <w:num w:numId="3" w16cid:durableId="830221442">
    <w:abstractNumId w:val="4"/>
  </w:num>
  <w:num w:numId="4" w16cid:durableId="287202556">
    <w:abstractNumId w:val="6"/>
  </w:num>
  <w:num w:numId="5" w16cid:durableId="909776888">
    <w:abstractNumId w:val="3"/>
  </w:num>
  <w:num w:numId="6" w16cid:durableId="756251888">
    <w:abstractNumId w:val="11"/>
  </w:num>
  <w:num w:numId="7" w16cid:durableId="1863400703">
    <w:abstractNumId w:val="0"/>
  </w:num>
  <w:num w:numId="8" w16cid:durableId="1593735214">
    <w:abstractNumId w:val="9"/>
  </w:num>
  <w:num w:numId="9" w16cid:durableId="643125965">
    <w:abstractNumId w:val="5"/>
  </w:num>
  <w:num w:numId="10" w16cid:durableId="1870533379">
    <w:abstractNumId w:val="2"/>
  </w:num>
  <w:num w:numId="11" w16cid:durableId="613370528">
    <w:abstractNumId w:val="7"/>
  </w:num>
  <w:num w:numId="12" w16cid:durableId="451022586">
    <w:abstractNumId w:val="12"/>
  </w:num>
  <w:num w:numId="13" w16cid:durableId="915091794">
    <w:abstractNumId w:val="13"/>
  </w:num>
  <w:num w:numId="14" w16cid:durableId="394358544">
    <w:abstractNumId w:val="14"/>
  </w:num>
  <w:num w:numId="15" w16cid:durableId="745735562">
    <w:abstractNumId w:val="8"/>
  </w:num>
  <w:num w:numId="16" w16cid:durableId="1621911738">
    <w:abstractNumId w:val="1"/>
  </w:num>
  <w:num w:numId="17" w16cid:durableId="205416898">
    <w:abstractNumId w:val="17"/>
  </w:num>
  <w:num w:numId="18" w16cid:durableId="5983627">
    <w:abstractNumId w:val="16"/>
  </w:num>
  <w:num w:numId="19" w16cid:durableId="1588730561">
    <w:abstractNumId w:val="18"/>
  </w:num>
  <w:num w:numId="20" w16cid:durableId="566914816">
    <w:abstractNumId w:val="10"/>
  </w:num>
  <w:num w:numId="21" w16cid:durableId="116748267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E"/>
    <w:rsid w:val="0000663E"/>
    <w:rsid w:val="00010F89"/>
    <w:rsid w:val="00032A48"/>
    <w:rsid w:val="000360BE"/>
    <w:rsid w:val="00062B3F"/>
    <w:rsid w:val="000E7562"/>
    <w:rsid w:val="00124E07"/>
    <w:rsid w:val="00141FE5"/>
    <w:rsid w:val="00142C95"/>
    <w:rsid w:val="00150CD7"/>
    <w:rsid w:val="00160CC9"/>
    <w:rsid w:val="001666EE"/>
    <w:rsid w:val="001A1308"/>
    <w:rsid w:val="001B619E"/>
    <w:rsid w:val="001F0779"/>
    <w:rsid w:val="001F7FC8"/>
    <w:rsid w:val="0028079D"/>
    <w:rsid w:val="00283EE9"/>
    <w:rsid w:val="00296583"/>
    <w:rsid w:val="00302516"/>
    <w:rsid w:val="00304917"/>
    <w:rsid w:val="00340EB5"/>
    <w:rsid w:val="0036570F"/>
    <w:rsid w:val="003C3B0E"/>
    <w:rsid w:val="003D6243"/>
    <w:rsid w:val="003F0C83"/>
    <w:rsid w:val="003F5856"/>
    <w:rsid w:val="004142AF"/>
    <w:rsid w:val="00416041"/>
    <w:rsid w:val="00417225"/>
    <w:rsid w:val="00425254"/>
    <w:rsid w:val="004330B6"/>
    <w:rsid w:val="00451592"/>
    <w:rsid w:val="004713B0"/>
    <w:rsid w:val="0049218A"/>
    <w:rsid w:val="004E6CA5"/>
    <w:rsid w:val="004F2672"/>
    <w:rsid w:val="0052596F"/>
    <w:rsid w:val="00537496"/>
    <w:rsid w:val="005544A7"/>
    <w:rsid w:val="005B49E1"/>
    <w:rsid w:val="005F4FEC"/>
    <w:rsid w:val="00621EDF"/>
    <w:rsid w:val="00642881"/>
    <w:rsid w:val="006458F2"/>
    <w:rsid w:val="00651A24"/>
    <w:rsid w:val="00665D59"/>
    <w:rsid w:val="00671A5F"/>
    <w:rsid w:val="00682FEF"/>
    <w:rsid w:val="00690EA5"/>
    <w:rsid w:val="006A0314"/>
    <w:rsid w:val="006A7FD4"/>
    <w:rsid w:val="006E2B02"/>
    <w:rsid w:val="006F26C4"/>
    <w:rsid w:val="00705034"/>
    <w:rsid w:val="00712D8A"/>
    <w:rsid w:val="0073005D"/>
    <w:rsid w:val="00747EC7"/>
    <w:rsid w:val="007565F2"/>
    <w:rsid w:val="007B2A9E"/>
    <w:rsid w:val="007B34AA"/>
    <w:rsid w:val="007C06D5"/>
    <w:rsid w:val="007F006C"/>
    <w:rsid w:val="00816B3C"/>
    <w:rsid w:val="00846AF1"/>
    <w:rsid w:val="00857253"/>
    <w:rsid w:val="00863BF1"/>
    <w:rsid w:val="00886D92"/>
    <w:rsid w:val="008D221D"/>
    <w:rsid w:val="008D4CD4"/>
    <w:rsid w:val="0095543E"/>
    <w:rsid w:val="009B6ECC"/>
    <w:rsid w:val="009C699D"/>
    <w:rsid w:val="009D71EC"/>
    <w:rsid w:val="009F6669"/>
    <w:rsid w:val="009F74D4"/>
    <w:rsid w:val="00A00FDC"/>
    <w:rsid w:val="00A15748"/>
    <w:rsid w:val="00A162A4"/>
    <w:rsid w:val="00A17245"/>
    <w:rsid w:val="00A2040B"/>
    <w:rsid w:val="00A32477"/>
    <w:rsid w:val="00A7213E"/>
    <w:rsid w:val="00A86CC7"/>
    <w:rsid w:val="00A94BE3"/>
    <w:rsid w:val="00AD355F"/>
    <w:rsid w:val="00B0152E"/>
    <w:rsid w:val="00B019B6"/>
    <w:rsid w:val="00B03EEF"/>
    <w:rsid w:val="00B06683"/>
    <w:rsid w:val="00B06B3A"/>
    <w:rsid w:val="00B07BE8"/>
    <w:rsid w:val="00B55165"/>
    <w:rsid w:val="00B61635"/>
    <w:rsid w:val="00B80531"/>
    <w:rsid w:val="00B816C3"/>
    <w:rsid w:val="00BB3CC8"/>
    <w:rsid w:val="00BD3B52"/>
    <w:rsid w:val="00BE77E4"/>
    <w:rsid w:val="00C24F08"/>
    <w:rsid w:val="00C332FD"/>
    <w:rsid w:val="00C42496"/>
    <w:rsid w:val="00C53D29"/>
    <w:rsid w:val="00C84272"/>
    <w:rsid w:val="00CC1F7C"/>
    <w:rsid w:val="00CF16A4"/>
    <w:rsid w:val="00D008DF"/>
    <w:rsid w:val="00D009DC"/>
    <w:rsid w:val="00D21C0D"/>
    <w:rsid w:val="00D34643"/>
    <w:rsid w:val="00D34C07"/>
    <w:rsid w:val="00D607F0"/>
    <w:rsid w:val="00D70749"/>
    <w:rsid w:val="00D71849"/>
    <w:rsid w:val="00D96E90"/>
    <w:rsid w:val="00DA1C9F"/>
    <w:rsid w:val="00DB708A"/>
    <w:rsid w:val="00DD4AD2"/>
    <w:rsid w:val="00DF3C79"/>
    <w:rsid w:val="00DF4590"/>
    <w:rsid w:val="00DF5A63"/>
    <w:rsid w:val="00E17333"/>
    <w:rsid w:val="00E21B9F"/>
    <w:rsid w:val="00E31CC1"/>
    <w:rsid w:val="00E361B9"/>
    <w:rsid w:val="00E62F8C"/>
    <w:rsid w:val="00E803A1"/>
    <w:rsid w:val="00E93B84"/>
    <w:rsid w:val="00EB38FB"/>
    <w:rsid w:val="00EE4D53"/>
    <w:rsid w:val="00EF285C"/>
    <w:rsid w:val="00F03728"/>
    <w:rsid w:val="00F064F0"/>
    <w:rsid w:val="00F06B84"/>
    <w:rsid w:val="00F32A2A"/>
    <w:rsid w:val="00F43E1B"/>
    <w:rsid w:val="00F52D71"/>
    <w:rsid w:val="00F7228F"/>
    <w:rsid w:val="00F805F2"/>
    <w:rsid w:val="00F80B28"/>
    <w:rsid w:val="00F92994"/>
    <w:rsid w:val="00FB5FEC"/>
    <w:rsid w:val="00FC10A7"/>
    <w:rsid w:val="00FC6353"/>
    <w:rsid w:val="00FD329E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54C39"/>
  <w15:docId w15:val="{71FCB2CC-1892-4B17-B6A3-8A38B7F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314"/>
  </w:style>
  <w:style w:type="paragraph" w:styleId="Nagwek1">
    <w:name w:val="heading 1"/>
    <w:basedOn w:val="Normalny"/>
    <w:next w:val="Normalny"/>
    <w:link w:val="Nagwek1Znak"/>
    <w:uiPriority w:val="9"/>
    <w:qFormat/>
    <w:rsid w:val="003C3B0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B0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B0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B0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B0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B0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B0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B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B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52E"/>
    <w:pPr>
      <w:ind w:left="720"/>
      <w:contextualSpacing/>
    </w:pPr>
  </w:style>
  <w:style w:type="paragraph" w:customStyle="1" w:styleId="Default">
    <w:name w:val="Default"/>
    <w:rsid w:val="00B01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59"/>
    <w:rsid w:val="00AD3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B3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F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F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F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F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0C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0C8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0C8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F805F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C3B0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B0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B0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B0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B0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3B0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B0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C3B0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B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C3B0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C3B0E"/>
    <w:rPr>
      <w:b/>
      <w:bCs/>
    </w:rPr>
  </w:style>
  <w:style w:type="character" w:styleId="Uwydatnienie">
    <w:name w:val="Emphasis"/>
    <w:uiPriority w:val="20"/>
    <w:qFormat/>
    <w:rsid w:val="003C3B0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3C3B0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3B0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C3B0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B0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B0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3C3B0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3C3B0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3C3B0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3C3B0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3C3B0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3B0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1EC"/>
  </w:style>
  <w:style w:type="paragraph" w:styleId="Stopka">
    <w:name w:val="footer"/>
    <w:basedOn w:val="Normalny"/>
    <w:link w:val="Stopka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1EC"/>
  </w:style>
  <w:style w:type="table" w:customStyle="1" w:styleId="Tabela-Siatka2">
    <w:name w:val="Tabela - Siatka2"/>
    <w:basedOn w:val="Standardowy"/>
    <w:next w:val="Tabela-Siatka"/>
    <w:uiPriority w:val="39"/>
    <w:rsid w:val="009D71EC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142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267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ck/dobre-praktyki-postepowania-oraz-podmioty-istotne-dla-ratownictwa-medycznego-chorych-na-hemofilie-i-pokrewne-skazy-krwotocz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ck/lista-osrodkow-realizujacych-narodowy-program-leczenia-chorych-na-hemofilie-i-pokrewne-skazy-krwotoczne-na-lata-2024-20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m-swd.nfz.gov.pl/cnr/star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ck/dobre-praktyki-postepowania-oraz-podmioty-istotne-dla-ratownictwa-medycznego-chorych-na-hemofilie-i-pokrewne-skazy-krwoto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ck/lista-osrodkow-realizujacych-narodowy-program-leczenia-chorych-na-hemofilie-i-pokrewne-skazy-krwotoczne-na-lata-2024-202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423C-339E-4247-AD4B-ECB78146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Niemczyk</dc:creator>
  <cp:lastModifiedBy>Sędek Joanna</cp:lastModifiedBy>
  <cp:revision>2</cp:revision>
  <cp:lastPrinted>2021-03-11T09:51:00Z</cp:lastPrinted>
  <dcterms:created xsi:type="dcterms:W3CDTF">2024-11-13T13:01:00Z</dcterms:created>
  <dcterms:modified xsi:type="dcterms:W3CDTF">2024-11-13T13:01:00Z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3708ee4299c211d59e85803174efe0d633aa6eca612387bff835920d8094b2e1</vt:lpwstr>
  </property>
</Properties>
</file>