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CF87" w14:textId="77777777" w:rsidR="008B46D9" w:rsidRDefault="008B46D9" w:rsidP="008B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  <w:r w:rsidRPr="008B46D9">
        <w:rPr>
          <w:rFonts w:ascii="Times New Roman" w:eastAsia="Times New Roman" w:hAnsi="Times New Roman"/>
          <w:szCs w:val="28"/>
          <w:lang w:val="pl-PL" w:eastAsia="pl-PL"/>
        </w:rPr>
        <w:t>Załącznik B.12.</w:t>
      </w:r>
    </w:p>
    <w:p w14:paraId="57F3E8E0" w14:textId="77777777" w:rsidR="008B46D9" w:rsidRPr="008B46D9" w:rsidRDefault="008B46D9" w:rsidP="008B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</w:p>
    <w:p w14:paraId="1CB1523F" w14:textId="773CB41C" w:rsidR="00225033" w:rsidRPr="008B46D9" w:rsidRDefault="002B739D" w:rsidP="008B46D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8B46D9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LECZENIE CHORYCH NA CHŁONIAKI ZŁOŚLIWE </w:t>
      </w:r>
      <w:r w:rsidR="0049607E" w:rsidRPr="008B46D9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(ICD -</w:t>
      </w:r>
      <w:r w:rsidRPr="008B46D9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10</w:t>
      </w:r>
      <w:r w:rsidR="006E4AE5" w:rsidRPr="008B46D9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C82, C83</w:t>
      </w:r>
      <w:r w:rsidR="00617645" w:rsidRPr="008B46D9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)</w:t>
      </w:r>
    </w:p>
    <w:tbl>
      <w:tblPr>
        <w:tblW w:w="0" w:type="auto"/>
        <w:tblInd w:w="-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7"/>
        <w:gridCol w:w="210"/>
        <w:gridCol w:w="4678"/>
        <w:gridCol w:w="289"/>
        <w:gridCol w:w="5178"/>
      </w:tblGrid>
      <w:tr w:rsidR="00225033" w:rsidRPr="008B46D9" w14:paraId="5C46A02D" w14:textId="77777777" w:rsidTr="008B46D9">
        <w:trPr>
          <w:trHeight w:val="56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CFBD9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ZAKRES ŚWIADCZENIA GWARANTOWANEGO</w:t>
            </w:r>
          </w:p>
        </w:tc>
      </w:tr>
      <w:tr w:rsidR="00225033" w:rsidRPr="008B46D9" w14:paraId="699DF842" w14:textId="77777777" w:rsidTr="002D1962">
        <w:trPr>
          <w:trHeight w:val="567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BD137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5EFEA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SCHEMAT DAWKOWANIA LEKÓW </w:t>
            </w: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br/>
              <w:t>W PROGRAMIE</w:t>
            </w:r>
          </w:p>
        </w:tc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1C20B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BADANIA DIAGNOSTYCZNE WYKONYWANE </w:t>
            </w: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br/>
              <w:t>W RAMACH PROGRAMU</w:t>
            </w:r>
          </w:p>
        </w:tc>
      </w:tr>
      <w:tr w:rsidR="00726C05" w:rsidRPr="008B46D9" w14:paraId="4FFFB361" w14:textId="77777777" w:rsidTr="008B46D9">
        <w:trPr>
          <w:trHeight w:val="56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9C94" w14:textId="122B4C53" w:rsidR="00726C05" w:rsidRPr="008B46D9" w:rsidRDefault="00726C05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Część I: Leczenie chorych na chłoniaka grudkowego</w:t>
            </w:r>
            <w:r w:rsidR="00E24F42"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obinutuzumabem</w:t>
            </w: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(ICD – 10</w:t>
            </w:r>
            <w:r w:rsidR="00467AD3"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C.82.0; C.82.1; C.82.7</w:t>
            </w: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) – pierwsza linia.</w:t>
            </w:r>
          </w:p>
        </w:tc>
      </w:tr>
      <w:tr w:rsidR="00225033" w:rsidRPr="008B46D9" w14:paraId="4DC12E09" w14:textId="77777777" w:rsidTr="002D1962">
        <w:trPr>
          <w:trHeight w:val="2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FB21" w14:textId="771FDB03" w:rsidR="00225033" w:rsidRPr="008B46D9" w:rsidRDefault="000C5779" w:rsidP="008B46D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60"/>
              <w:ind w:left="209" w:right="23" w:hanging="215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Kryteria k</w:t>
            </w:r>
            <w:r w:rsidR="00225033" w:rsidRPr="008B46D9">
              <w:rPr>
                <w:b/>
                <w:bCs/>
                <w:sz w:val="20"/>
                <w:szCs w:val="20"/>
              </w:rPr>
              <w:t>walifikacji:</w:t>
            </w:r>
          </w:p>
          <w:p w14:paraId="6D340431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 leczenia kwalifikowani są</w:t>
            </w:r>
            <w:r w:rsidR="00E90630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wcześniej nieleczeni pacjenci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 chłoniakiem grudkowym spełniający łącznie wszystkie poniższe kryteria:</w:t>
            </w:r>
          </w:p>
          <w:p w14:paraId="7F91B885" w14:textId="77777777" w:rsidR="00225033" w:rsidRPr="008B46D9" w:rsidRDefault="00225033" w:rsidP="008B46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wiek ≥18 roku życia; </w:t>
            </w:r>
          </w:p>
          <w:p w14:paraId="5D28CB08" w14:textId="0FE3F443" w:rsidR="001F2F31" w:rsidRPr="008B46D9" w:rsidRDefault="001F2F31" w:rsidP="008B46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potwierdzony histologicznie zaawansowany chłoniak grudkowy (stadium II bulky, III</w:t>
            </w:r>
            <w:r w:rsidR="004651AD" w:rsidRPr="008B46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, </w:t>
            </w:r>
            <w:r w:rsidRPr="008B46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IV wg Ann Arbor)</w:t>
            </w:r>
            <w:r w:rsidR="0049607E" w:rsidRPr="008B46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;</w:t>
            </w:r>
          </w:p>
          <w:p w14:paraId="74E5C1D3" w14:textId="1481ECF1" w:rsidR="00225033" w:rsidRDefault="00225033" w:rsidP="008B46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 ogólny według WHO 0 – 2.</w:t>
            </w:r>
          </w:p>
          <w:p w14:paraId="6683B1C7" w14:textId="77777777" w:rsidR="008B46D9" w:rsidRP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left="498"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2D49C1ED" w14:textId="53CE58EF" w:rsidR="00225033" w:rsidRPr="008B46D9" w:rsidRDefault="00225033" w:rsidP="008B46D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214" w:right="21" w:hanging="21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b/>
                <w:sz w:val="20"/>
                <w:szCs w:val="20"/>
              </w:rPr>
              <w:t>Kryteria uniemożliwiające włączenie do programu:</w:t>
            </w:r>
          </w:p>
          <w:p w14:paraId="01A167C2" w14:textId="247E7662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1)</w:t>
            </w: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="0049607E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czynne zakażenie HBV lub HCV;</w:t>
            </w:r>
          </w:p>
          <w:p w14:paraId="28163BF8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2) aktywność AST lub ALT przekraczająca ponad 5 razy wartość górnej granicy normy dla danego laboratorium; </w:t>
            </w:r>
          </w:p>
          <w:p w14:paraId="78075F4D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3) stężenie bilirubiny przekraczające 3 razy wartość górnej granicy normy dla danego laboratorium;</w:t>
            </w:r>
          </w:p>
          <w:p w14:paraId="4DDFF9E1" w14:textId="16002CB4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4)</w:t>
            </w:r>
            <w:r w:rsidR="002A13BB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 niewydoln</w:t>
            </w:r>
            <w:r w:rsidR="0049607E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ość krążenia wg skali NYHA &gt; II;</w:t>
            </w:r>
          </w:p>
          <w:p w14:paraId="24821A5C" w14:textId="18EEA51B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5)</w:t>
            </w:r>
            <w:r w:rsidR="00EB52F7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 niewydolność wieńcowa w</w:t>
            </w:r>
            <w:r w:rsidR="002A13BB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g skali CSS</w:t>
            </w:r>
            <w:r w:rsidR="00EB52F7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="0049607E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&gt; II;</w:t>
            </w:r>
          </w:p>
          <w:p w14:paraId="2E3A0B4C" w14:textId="77777777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6) inne czynne, ciężkie zakażenia;</w:t>
            </w:r>
          </w:p>
          <w:p w14:paraId="6489B205" w14:textId="07D112B8" w:rsidR="00225033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4"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7) ciąża.</w:t>
            </w:r>
          </w:p>
          <w:p w14:paraId="65480A83" w14:textId="77777777" w:rsid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</w:p>
          <w:p w14:paraId="66BE7FC1" w14:textId="77777777" w:rsidR="008B46D9" w:rsidRP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</w:p>
          <w:p w14:paraId="117F52F2" w14:textId="639B727D" w:rsidR="00225033" w:rsidRPr="008B46D9" w:rsidRDefault="00225033" w:rsidP="008B46D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214" w:right="21" w:hanging="21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14:paraId="5C9DBB52" w14:textId="77777777" w:rsidR="00225033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Czas leczenia w programie określa lekarz na podstawie kryteriów włączenia i kryteriów wyłączenia z programu. Maksymalny czas leczenia indukcyjnego wynosi 6-8 cykli w zależności od zastosowanej chemioterapii, zaś maksymalny czas leczenia podtrzymującego wynosi 2 lata.</w:t>
            </w:r>
          </w:p>
          <w:p w14:paraId="53545E9D" w14:textId="77777777" w:rsidR="008B46D9" w:rsidRP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5ECCB73F" w14:textId="2BDC7170" w:rsidR="00225033" w:rsidRPr="008B46D9" w:rsidRDefault="00225033" w:rsidP="008B46D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ind w:left="214" w:right="21" w:hanging="21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Kryteria wyłączenia z programu:</w:t>
            </w:r>
          </w:p>
          <w:p w14:paraId="6E9EC220" w14:textId="77777777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 objawów nadwrażliwości na obinutuzumab, którykolwiek ze składników preparatu lub na białka mysie (reakcje związane z wlewem 4. stopnia wg CTCAE oraz powtórne wystąpienie reakcji związanych z wlewem stopnia 3.);</w:t>
            </w:r>
          </w:p>
          <w:p w14:paraId="5B8A4873" w14:textId="6E0803D4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 po</w:t>
            </w:r>
            <w:r w:rsidR="0049607E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wikłań narządowych 4. stopnia,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związanych z leczeniem obinutuzumabem; </w:t>
            </w:r>
          </w:p>
          <w:p w14:paraId="630A434F" w14:textId="77777777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progresja choroby w trakcie leczenia, oceniana po podaniu co najmniej 2 cykli leczenia;</w:t>
            </w:r>
          </w:p>
          <w:p w14:paraId="1BC51E3E" w14:textId="77777777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rozpoznanie postępującej wieloogniskowej leukoencefalopatii (PML);</w:t>
            </w:r>
          </w:p>
          <w:p w14:paraId="7426039E" w14:textId="77777777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czynne zakażenie HBV lub HCV;</w:t>
            </w:r>
          </w:p>
          <w:p w14:paraId="76B8BD69" w14:textId="03ECD211" w:rsidR="00225033" w:rsidRPr="008B46D9" w:rsidRDefault="00225033" w:rsidP="008B46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498" w:right="2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ciąża.</w:t>
            </w: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5DA2" w14:textId="75E2A65A" w:rsidR="00225033" w:rsidRPr="008B46D9" w:rsidRDefault="00225033" w:rsidP="008B46D9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120" w:after="60"/>
              <w:ind w:left="260" w:right="74" w:hanging="215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Dawkowanie:</w:t>
            </w:r>
          </w:p>
          <w:p w14:paraId="54DFC653" w14:textId="5C3EC0CA" w:rsidR="00225033" w:rsidRPr="008B46D9" w:rsidRDefault="00225033" w:rsidP="008B46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191" w:right="73" w:hanging="21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złośliwy</w:t>
            </w:r>
            <w:r w:rsidRPr="008B46D9">
              <w:rPr>
                <w:b/>
                <w:sz w:val="20"/>
                <w:szCs w:val="20"/>
              </w:rPr>
              <w:t xml:space="preserve"> </w:t>
            </w:r>
            <w:r w:rsidRPr="008B46D9">
              <w:rPr>
                <w:b/>
                <w:bCs/>
                <w:sz w:val="20"/>
                <w:szCs w:val="20"/>
              </w:rPr>
              <w:t>typu grudkowego wymagający leczenia – leczenie indukcyjne:</w:t>
            </w:r>
          </w:p>
          <w:p w14:paraId="27C83A04" w14:textId="4949156E" w:rsidR="00225033" w:rsidRPr="008B46D9" w:rsidRDefault="00225033" w:rsidP="008B46D9">
            <w:pPr>
              <w:spacing w:after="60" w:line="240" w:lineRule="auto"/>
              <w:ind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Leczenie indukcyjne (w skojarzeniu z</w:t>
            </w:r>
            <w:r w:rsidR="00B54C92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 </w:t>
            </w: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chemioterapią</w:t>
            </w:r>
            <w:r w:rsidR="005D7ED1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 - CHOP, CVP lub Benda</w:t>
            </w:r>
            <w:r w:rsidR="002A13BB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mustyna</w:t>
            </w: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) </w:t>
            </w:r>
          </w:p>
          <w:p w14:paraId="47667974" w14:textId="77777777" w:rsidR="00225033" w:rsidRPr="008B46D9" w:rsidRDefault="00225033" w:rsidP="008B46D9">
            <w:pPr>
              <w:spacing w:after="60" w:line="240" w:lineRule="auto"/>
              <w:ind w:left="215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Cykl 1 </w:t>
            </w:r>
          </w:p>
          <w:p w14:paraId="414E345A" w14:textId="10028AE6" w:rsidR="005D7ED1" w:rsidRPr="008B46D9" w:rsidRDefault="00225033" w:rsidP="008B46D9">
            <w:pPr>
              <w:spacing w:after="60" w:line="240" w:lineRule="auto"/>
              <w:ind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Obinutuzumab w dawce 1000 mg w skojarzeniu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>z chemioterapią  podaje się w 1</w:t>
            </w:r>
            <w:r w:rsidR="00A467CD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dniu (</w:t>
            </w:r>
            <w:r w:rsidR="00A467CD" w:rsidRPr="008B46D9">
              <w:rPr>
                <w:rFonts w:ascii="Times New Roman" w:hAnsi="Times New Roman"/>
                <w:sz w:val="20"/>
                <w:szCs w:val="20"/>
                <w:lang w:val="pl-PL"/>
              </w:rPr>
              <w:t>(dopuszcza się rozdzielenie dawki -100 mg w 1. dniu i 900 mg w 2. dniu)</w:t>
            </w:r>
            <w:r w:rsidR="0049607E" w:rsidRPr="008B46D9">
              <w:rPr>
                <w:rStyle w:val="Odwoaniedokomentarza"/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8. </w:t>
            </w:r>
            <w:r w:rsidR="008D011C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</w:t>
            </w:r>
            <w:r w:rsidR="00A467CD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niu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i 15. dniu pierwszego cyklu leczenia. </w:t>
            </w:r>
          </w:p>
          <w:p w14:paraId="703B3908" w14:textId="7B3AF654" w:rsidR="002041EB" w:rsidRPr="008B46D9" w:rsidRDefault="00225033" w:rsidP="008B46D9">
            <w:pPr>
              <w:spacing w:after="60" w:line="240" w:lineRule="auto"/>
              <w:ind w:left="215" w:right="73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Cykle 2-6 lub 2-8 (</w:t>
            </w:r>
            <w:r w:rsidR="00D05A1E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liczba</w:t>
            </w:r>
            <w:r w:rsidR="00EB52F7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 cykli oraz ich długość zależna od zastosowanego schematu chemioterapii</w:t>
            </w:r>
            <w:r w:rsidR="005D7ED1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 zgodnie z </w:t>
            </w:r>
            <w:r w:rsidR="00EB52F7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 xml:space="preserve">aktualną </w:t>
            </w:r>
            <w:r w:rsidR="005D7ED1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Char</w:t>
            </w:r>
            <w:r w:rsidR="00EB52F7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a</w:t>
            </w:r>
            <w:r w:rsidR="005D7ED1"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kterystyką Produktu Leczniczego</w:t>
            </w:r>
            <w:r w:rsidRPr="008B46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14:paraId="2B07EE08" w14:textId="77777777" w:rsidR="002041EB" w:rsidRPr="008B46D9" w:rsidRDefault="002041EB" w:rsidP="008B46D9">
            <w:pPr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pl-PL"/>
              </w:rPr>
            </w:pPr>
          </w:p>
          <w:p w14:paraId="6A4361C6" w14:textId="31F5D15A" w:rsidR="00225033" w:rsidRPr="008B46D9" w:rsidRDefault="0049607E" w:rsidP="008B46D9">
            <w:pPr>
              <w:autoSpaceDE w:val="0"/>
              <w:autoSpaceDN w:val="0"/>
              <w:adjustRightInd w:val="0"/>
              <w:spacing w:after="60" w:line="240" w:lineRule="auto"/>
              <w:ind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Obinutuzumab </w:t>
            </w:r>
            <w:r w:rsidR="00225033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dawce 100</w:t>
            </w:r>
            <w:r w:rsidR="00F57E84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0 mg </w:t>
            </w:r>
            <w:r w:rsidR="002E55F3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w skojarzeniu </w:t>
            </w:r>
            <w:r w:rsidR="002E55F3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br/>
              <w:t xml:space="preserve">z </w:t>
            </w:r>
            <w:r w:rsidR="00225033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chemioterapią  podaje się w 1. dniu każdego cyklu leczenia.</w:t>
            </w:r>
          </w:p>
          <w:p w14:paraId="360AE3F6" w14:textId="03F74FF2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 indu</w:t>
            </w:r>
            <w:r w:rsid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kcyjne obejmuje nie więcej niż 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8 cykli. </w:t>
            </w:r>
          </w:p>
          <w:p w14:paraId="5AD837F2" w14:textId="77777777" w:rsidR="00225033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36948E9A" w14:textId="77777777" w:rsidR="002D1962" w:rsidRDefault="002D1962" w:rsidP="008B46D9">
            <w:pPr>
              <w:autoSpaceDE w:val="0"/>
              <w:autoSpaceDN w:val="0"/>
              <w:adjustRightInd w:val="0"/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7C2F76E5" w14:textId="77777777" w:rsidR="002D1962" w:rsidRDefault="002D1962" w:rsidP="008B46D9">
            <w:pPr>
              <w:autoSpaceDE w:val="0"/>
              <w:autoSpaceDN w:val="0"/>
              <w:adjustRightInd w:val="0"/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43F11DEF" w14:textId="77777777" w:rsidR="002D1962" w:rsidRPr="008B46D9" w:rsidRDefault="002D1962" w:rsidP="008B46D9">
            <w:pPr>
              <w:autoSpaceDE w:val="0"/>
              <w:autoSpaceDN w:val="0"/>
              <w:adjustRightInd w:val="0"/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33E7281D" w14:textId="77777777" w:rsidR="00225033" w:rsidRPr="008B46D9" w:rsidRDefault="00225033" w:rsidP="008B46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215" w:right="73" w:hanging="21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Chłoniak złośliwy typu grudkowego – leczenie podtrzymujące</w:t>
            </w:r>
          </w:p>
          <w:p w14:paraId="3EEF44FF" w14:textId="53DBF8FD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left="213" w:right="7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Obinutuzumab w dawce 1000 mg w</w:t>
            </w:r>
            <w:r w:rsidR="006323F1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 </w:t>
            </w: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monoterapii podaje się raz na 2 miesiące przez dwa lata</w:t>
            </w:r>
            <w:r w:rsidR="0049607E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lub do wystąpienia progresji choroby</w:t>
            </w:r>
            <w:r w:rsidR="002A13BB"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 xml:space="preserve"> w trakcie leczenia podtrzymującego</w:t>
            </w:r>
            <w:r w:rsidRPr="008B46D9"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B8EF" w14:textId="4647F0A6" w:rsidR="00225033" w:rsidRPr="008B46D9" w:rsidRDefault="00225033" w:rsidP="008B46D9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before="120" w:after="60"/>
              <w:ind w:left="171" w:right="79" w:hanging="171"/>
              <w:contextualSpacing w:val="0"/>
              <w:jc w:val="both"/>
              <w:rPr>
                <w:b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Badania przy kwalifikacji:</w:t>
            </w:r>
          </w:p>
          <w:p w14:paraId="5A61A1E8" w14:textId="04B2E05C" w:rsidR="00225033" w:rsidRPr="008B46D9" w:rsidRDefault="00225033" w:rsidP="008B46D9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morfologia krwi obwodowej</w:t>
            </w:r>
            <w:r w:rsidR="002041EB" w:rsidRPr="008B46D9">
              <w:rPr>
                <w:sz w:val="20"/>
                <w:szCs w:val="20"/>
              </w:rPr>
              <w:t xml:space="preserve"> </w:t>
            </w:r>
            <w:r w:rsidR="00D25D82" w:rsidRPr="008B46D9">
              <w:rPr>
                <w:sz w:val="20"/>
                <w:szCs w:val="20"/>
              </w:rPr>
              <w:t>z</w:t>
            </w:r>
            <w:r w:rsidR="00467AD3" w:rsidRPr="008B46D9">
              <w:rPr>
                <w:sz w:val="20"/>
                <w:szCs w:val="20"/>
              </w:rPr>
              <w:t>e</w:t>
            </w:r>
            <w:r w:rsidR="004E660A" w:rsidRPr="008B46D9">
              <w:rPr>
                <w:sz w:val="20"/>
                <w:szCs w:val="20"/>
              </w:rPr>
              <w:t xml:space="preserve"> </w:t>
            </w:r>
            <w:r w:rsidR="00467AD3" w:rsidRPr="008B46D9">
              <w:rPr>
                <w:sz w:val="20"/>
                <w:szCs w:val="20"/>
              </w:rPr>
              <w:t>wzorem odsetkowym</w:t>
            </w:r>
            <w:r w:rsidRPr="008B46D9">
              <w:rPr>
                <w:sz w:val="20"/>
                <w:szCs w:val="20"/>
              </w:rPr>
              <w:t>;</w:t>
            </w:r>
          </w:p>
          <w:p w14:paraId="6E8D2F80" w14:textId="4B7E9FBD" w:rsidR="00225033" w:rsidRPr="008B46D9" w:rsidRDefault="00225033" w:rsidP="008B46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ocena wydolności nerek i wątroby (stężenie kreatyniny, eGFR, kwasu moczowego, AST, ALT</w:t>
            </w:r>
            <w:r w:rsidR="00B77BA8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bilirubiny całkowitej w surowicy krwi);</w:t>
            </w:r>
          </w:p>
          <w:p w14:paraId="1CB495A1" w14:textId="13C7F3CE" w:rsidR="00B77BA8" w:rsidRPr="008B46D9" w:rsidRDefault="00B77BA8" w:rsidP="008B46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aktywność dehydrogenazy mleczanowej (LDH)</w:t>
            </w:r>
            <w:r w:rsidR="00B54C92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396422C2" w14:textId="2D499C8A" w:rsidR="00225033" w:rsidRPr="008B46D9" w:rsidRDefault="00225033" w:rsidP="008B46D9">
            <w:pPr>
              <w:numPr>
                <w:ilvl w:val="0"/>
                <w:numId w:val="45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 obrazowe, pozwalające na ocenę stopnia zaawansowania choroby (TK lub PET-TK lub NMR);</w:t>
            </w:r>
          </w:p>
          <w:p w14:paraId="6B67C9CE" w14:textId="652C8734" w:rsidR="00325F70" w:rsidRPr="008B46D9" w:rsidRDefault="00325F70" w:rsidP="008B46D9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badanie histologiczne węzła chłonnego lub tkanki pozawęzłowej w tym ocena obecności</w:t>
            </w:r>
            <w:r w:rsidR="002E55F3" w:rsidRPr="008B46D9">
              <w:rPr>
                <w:sz w:val="20"/>
                <w:szCs w:val="20"/>
              </w:rPr>
              <w:t xml:space="preserve"> antygenu CD20;</w:t>
            </w:r>
          </w:p>
          <w:p w14:paraId="51963DA0" w14:textId="7C0733F8" w:rsidR="00225033" w:rsidRPr="008B46D9" w:rsidRDefault="00225033" w:rsidP="008B46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badania przesiewowe w kierunku WZW typu B, zawierające co najmniej testy w kierunku HbsAg i HbcAb, a w przypadku dodatniego wyniku HbsAg lub HBcAb badanie HBV-DNA; </w:t>
            </w:r>
          </w:p>
          <w:p w14:paraId="0BC6F21A" w14:textId="67FD2134" w:rsidR="00225033" w:rsidRPr="008B46D9" w:rsidRDefault="00225033" w:rsidP="008B46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 przesiewowe w kierunku WZW typu</w:t>
            </w:r>
            <w:r w:rsidR="00B54C92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 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C, zawierające co najmniej oznaczenie przeciwciał anty-HCV, a w przypadku dodatniego wyniku badania na obecność przeciwciał anty-HCV badanie HCV-RNA; </w:t>
            </w:r>
          </w:p>
          <w:p w14:paraId="6A429427" w14:textId="77777777" w:rsidR="00225033" w:rsidRPr="008B46D9" w:rsidRDefault="00225033" w:rsidP="008B46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ind w:left="437" w:right="79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 ciążowy u kobiet w wieku rozrodczym.</w:t>
            </w:r>
          </w:p>
          <w:p w14:paraId="3B61A921" w14:textId="56F12A71" w:rsidR="002E55F3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 stosownie do wskazań lekarskich podczas diagnostyki chłoniaka w danej lokalizacji.</w:t>
            </w:r>
          </w:p>
          <w:p w14:paraId="402B8526" w14:textId="77777777" w:rsidR="002D1962" w:rsidRPr="008B46D9" w:rsidRDefault="002D1962" w:rsidP="008B46D9">
            <w:pPr>
              <w:autoSpaceDE w:val="0"/>
              <w:autoSpaceDN w:val="0"/>
              <w:adjustRightInd w:val="0"/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4ED638D8" w14:textId="2359A0DA" w:rsidR="00225033" w:rsidRPr="008B46D9" w:rsidRDefault="00225033" w:rsidP="008B46D9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ind w:left="171" w:right="79" w:hanging="17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Monitorowanie leczenia:</w:t>
            </w:r>
          </w:p>
          <w:p w14:paraId="0B4FA43E" w14:textId="4B14DB2F" w:rsidR="00225033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</w:t>
            </w:r>
            <w:r w:rsid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</w:t>
            </w: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przeprowadzane przed każdym podaniem leku:</w:t>
            </w:r>
          </w:p>
          <w:p w14:paraId="095C95F9" w14:textId="107A2D50" w:rsidR="00225033" w:rsidRPr="008B46D9" w:rsidRDefault="00225033" w:rsidP="008B46D9">
            <w:pPr>
              <w:pStyle w:val="Akapitzlist"/>
              <w:numPr>
                <w:ilvl w:val="1"/>
                <w:numId w:val="28"/>
              </w:numPr>
              <w:tabs>
                <w:tab w:val="left" w:pos="1771"/>
              </w:tabs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morfologia krwi obwodowej </w:t>
            </w:r>
            <w:r w:rsidR="00D25D82" w:rsidRPr="008B46D9">
              <w:rPr>
                <w:sz w:val="20"/>
                <w:szCs w:val="20"/>
              </w:rPr>
              <w:t>z</w:t>
            </w:r>
            <w:r w:rsidR="00467AD3" w:rsidRPr="008B46D9">
              <w:rPr>
                <w:sz w:val="20"/>
                <w:szCs w:val="20"/>
              </w:rPr>
              <w:t>e</w:t>
            </w:r>
            <w:r w:rsidR="00D25D82" w:rsidRPr="008B46D9">
              <w:rPr>
                <w:sz w:val="20"/>
                <w:szCs w:val="20"/>
              </w:rPr>
              <w:t xml:space="preserve"> </w:t>
            </w:r>
            <w:r w:rsidR="00EA6479" w:rsidRPr="008B46D9">
              <w:rPr>
                <w:sz w:val="20"/>
                <w:szCs w:val="20"/>
              </w:rPr>
              <w:t>wzorem odsetkowym;</w:t>
            </w:r>
          </w:p>
          <w:p w14:paraId="3FF234D1" w14:textId="101892F1" w:rsidR="00225033" w:rsidRPr="008B46D9" w:rsidRDefault="00225033" w:rsidP="008B46D9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kreatyniny w surowicy krwi;</w:t>
            </w:r>
          </w:p>
          <w:p w14:paraId="49E11B14" w14:textId="175A6CC3" w:rsidR="00225033" w:rsidRPr="008B46D9" w:rsidRDefault="00225033" w:rsidP="008B46D9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kwasu moczowego w surowicy krwi;</w:t>
            </w:r>
          </w:p>
          <w:p w14:paraId="6889EACB" w14:textId="0E4E4E8E" w:rsidR="00A467CD" w:rsidRPr="008B46D9" w:rsidRDefault="00A467CD" w:rsidP="008B46D9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elektrolity (stężenie sodu i potasu);</w:t>
            </w:r>
          </w:p>
          <w:p w14:paraId="3C72F90C" w14:textId="4B800FD8" w:rsidR="00225033" w:rsidRPr="008B46D9" w:rsidRDefault="00225033" w:rsidP="008B46D9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aktywność AST, ALT;</w:t>
            </w:r>
          </w:p>
          <w:p w14:paraId="39D4F455" w14:textId="76B1F612" w:rsidR="00225033" w:rsidRPr="008B46D9" w:rsidRDefault="00225033" w:rsidP="008B46D9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bilirubiny w surowicy krwi.</w:t>
            </w:r>
          </w:p>
          <w:p w14:paraId="7F439A79" w14:textId="0D75D659" w:rsidR="00173155" w:rsidRPr="008B46D9" w:rsidRDefault="00173155" w:rsidP="008B46D9">
            <w:pPr>
              <w:autoSpaceDE w:val="0"/>
              <w:autoSpaceDN w:val="0"/>
              <w:adjustRightInd w:val="0"/>
              <w:spacing w:after="6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Badanie przeprowadzane po zakończeniu leczenia indukcyjnego lub w przypadku podejrzenia progresji choroby (nie wcześniej niż po 2 cyklach leczenia)</w:t>
            </w:r>
          </w:p>
          <w:p w14:paraId="5777FB32" w14:textId="02ED2127" w:rsidR="00EA6479" w:rsidRDefault="00225033" w:rsidP="008B46D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437" w:right="79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obrazowe, pozwalające na ocenę stopnia zaawansowania choroby (TK lub PET-TK lub NMR).</w:t>
            </w:r>
          </w:p>
          <w:p w14:paraId="70FD0ACF" w14:textId="77777777" w:rsidR="002D1962" w:rsidRPr="008B46D9" w:rsidRDefault="002D1962" w:rsidP="002D1962">
            <w:pPr>
              <w:pStyle w:val="Akapitzlist"/>
              <w:autoSpaceDE w:val="0"/>
              <w:autoSpaceDN w:val="0"/>
              <w:adjustRightInd w:val="0"/>
              <w:spacing w:after="60"/>
              <w:ind w:left="437" w:right="79"/>
              <w:contextualSpacing w:val="0"/>
              <w:jc w:val="both"/>
              <w:rPr>
                <w:sz w:val="20"/>
                <w:szCs w:val="20"/>
              </w:rPr>
            </w:pPr>
          </w:p>
          <w:p w14:paraId="30EC97A3" w14:textId="084A9C91" w:rsidR="00EA6479" w:rsidRPr="008B46D9" w:rsidRDefault="00225033" w:rsidP="008B46D9">
            <w:pPr>
              <w:autoSpaceDE w:val="0"/>
              <w:autoSpaceDN w:val="0"/>
              <w:adjustRightInd w:val="0"/>
              <w:spacing w:after="60" w:line="240" w:lineRule="auto"/>
              <w:ind w:right="7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3. Monitorowanie programu:</w:t>
            </w:r>
          </w:p>
          <w:p w14:paraId="306A7475" w14:textId="406CA0E0" w:rsidR="002E55F3" w:rsidRPr="008B46D9" w:rsidRDefault="00225033" w:rsidP="008B46D9">
            <w:pPr>
              <w:pStyle w:val="Akapitzlist"/>
              <w:numPr>
                <w:ilvl w:val="0"/>
                <w:numId w:val="37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37" w:right="79" w:hanging="29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gromadzenie w dokumentacji medycznej pacjenta danych dotyczących monitorowania leczenia </w:t>
            </w:r>
            <w:r w:rsidRPr="008B46D9">
              <w:rPr>
                <w:sz w:val="20"/>
                <w:szCs w:val="20"/>
              </w:rPr>
              <w:br/>
              <w:t>i każdorazowe ich przedst</w:t>
            </w:r>
            <w:r w:rsidR="00B54C92" w:rsidRPr="008B46D9">
              <w:rPr>
                <w:sz w:val="20"/>
                <w:szCs w:val="20"/>
              </w:rPr>
              <w:t xml:space="preserve">awianie na żądanie kontrolerów </w:t>
            </w:r>
            <w:r w:rsidRPr="008B46D9">
              <w:rPr>
                <w:sz w:val="20"/>
                <w:szCs w:val="20"/>
              </w:rPr>
              <w:t>Narodowego Funduszu Zdrowia;</w:t>
            </w:r>
          </w:p>
          <w:p w14:paraId="1291892F" w14:textId="68E30185" w:rsidR="002E55F3" w:rsidRPr="008B46D9" w:rsidRDefault="00225033" w:rsidP="008B46D9">
            <w:pPr>
              <w:pStyle w:val="Akapitzlist"/>
              <w:numPr>
                <w:ilvl w:val="0"/>
                <w:numId w:val="37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37" w:right="79" w:hanging="29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uzupełnienie danych zawartych w </w:t>
            </w:r>
            <w:r w:rsidR="00766E06" w:rsidRPr="008B46D9">
              <w:rPr>
                <w:sz w:val="20"/>
                <w:szCs w:val="20"/>
              </w:rPr>
              <w:t xml:space="preserve">elektronicznym systemie monitorowania programów lekowych (rejestrze </w:t>
            </w:r>
            <w:r w:rsidRPr="008B46D9">
              <w:rPr>
                <w:sz w:val="20"/>
                <w:szCs w:val="20"/>
              </w:rPr>
              <w:t>SMPT) dostępnym za pomocą aplikacji internetowej udostępnionej przez OW NFZ, z</w:t>
            </w:r>
            <w:r w:rsidR="002E55F3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 xml:space="preserve">częstotliwością zgodną z opisem programu oraz </w:t>
            </w:r>
            <w:r w:rsidR="00617645" w:rsidRPr="008B46D9">
              <w:rPr>
                <w:sz w:val="20"/>
                <w:szCs w:val="20"/>
              </w:rPr>
              <w:br/>
            </w:r>
            <w:r w:rsidRPr="008B46D9">
              <w:rPr>
                <w:sz w:val="20"/>
                <w:szCs w:val="20"/>
              </w:rPr>
              <w:t>na zakończenie leczenia;</w:t>
            </w:r>
          </w:p>
          <w:p w14:paraId="69288146" w14:textId="77777777" w:rsidR="002E55F3" w:rsidRDefault="00225033" w:rsidP="008B46D9">
            <w:pPr>
              <w:pStyle w:val="Akapitzlist"/>
              <w:numPr>
                <w:ilvl w:val="0"/>
                <w:numId w:val="37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37" w:right="79" w:hanging="29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</w:t>
            </w:r>
            <w:r w:rsidR="002E55F3" w:rsidRPr="008B46D9">
              <w:rPr>
                <w:sz w:val="20"/>
                <w:szCs w:val="20"/>
              </w:rPr>
              <w:t>.</w:t>
            </w:r>
          </w:p>
          <w:p w14:paraId="141645A6" w14:textId="77777777" w:rsidR="008B46D9" w:rsidRDefault="008B46D9" w:rsidP="008B46D9">
            <w:pPr>
              <w:pStyle w:val="Akapitzlist"/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37" w:right="79"/>
              <w:contextualSpacing w:val="0"/>
              <w:jc w:val="both"/>
              <w:rPr>
                <w:sz w:val="20"/>
                <w:szCs w:val="20"/>
              </w:rPr>
            </w:pPr>
          </w:p>
          <w:p w14:paraId="1E7370F5" w14:textId="35E0410F" w:rsidR="002D1962" w:rsidRPr="008B46D9" w:rsidRDefault="002D1962" w:rsidP="008B46D9">
            <w:pPr>
              <w:pStyle w:val="Akapitzlist"/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37" w:right="79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E24F42" w:rsidRPr="008B46D9" w14:paraId="5435E9F0" w14:textId="77777777" w:rsidTr="008B46D9">
        <w:trPr>
          <w:trHeight w:val="56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8271" w14:textId="37E8B420" w:rsidR="00E24F42" w:rsidRPr="008B46D9" w:rsidRDefault="00CD3DA7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Część II</w:t>
            </w:r>
            <w:r w:rsidR="000C5779"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: </w:t>
            </w:r>
            <w:r w:rsidR="00E24F42"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Leczenie chorych na chłoniaka grudkowego obinutuzumabem (ICD – 10 C.82.0; C.82.1; C.82.7)</w:t>
            </w:r>
            <w:r w:rsidR="004E660A" w:rsidRPr="008B46D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– oporność lub progresja</w:t>
            </w:r>
          </w:p>
        </w:tc>
      </w:tr>
      <w:tr w:rsidR="00E24F42" w:rsidRPr="008B46D9" w14:paraId="0B1C0AE8" w14:textId="77777777" w:rsidTr="002D196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6A94" w14:textId="784BBFC3" w:rsidR="00E24F42" w:rsidRPr="008B46D9" w:rsidRDefault="00E24F42" w:rsidP="008B46D9">
            <w:pPr>
              <w:autoSpaceDE w:val="0"/>
              <w:autoSpaceDN w:val="0"/>
              <w:adjustRightInd w:val="0"/>
              <w:spacing w:before="120" w:after="60" w:line="240" w:lineRule="auto"/>
              <w:ind w:right="6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 Kryteria kwalifikacji</w:t>
            </w:r>
            <w:r w:rsidR="00617645"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25EBAF81" w14:textId="77777777" w:rsidR="002E3E30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 leczenia kwalifikowani są pacjenci z chłoniakiem grudkowym spełniający łącznie wszystkie poniższe kryteria:</w:t>
            </w:r>
          </w:p>
          <w:p w14:paraId="7FEFCD4C" w14:textId="164360EB" w:rsidR="002E3E30" w:rsidRPr="008B46D9" w:rsidRDefault="00E24F42" w:rsidP="008B46D9">
            <w:pPr>
              <w:pStyle w:val="Akapitzlist"/>
              <w:numPr>
                <w:ilvl w:val="0"/>
                <w:numId w:val="1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/>
              <w:ind w:left="498" w:right="62" w:hanging="350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wiek </w:t>
            </w:r>
            <w:r w:rsidR="00467AD3" w:rsidRPr="008B46D9">
              <w:rPr>
                <w:sz w:val="20"/>
                <w:szCs w:val="20"/>
              </w:rPr>
              <w:t xml:space="preserve">≥18 </w:t>
            </w:r>
            <w:r w:rsidRPr="008B46D9">
              <w:rPr>
                <w:sz w:val="20"/>
                <w:szCs w:val="20"/>
              </w:rPr>
              <w:t>roku życia;</w:t>
            </w:r>
          </w:p>
          <w:p w14:paraId="4F17D080" w14:textId="77777777" w:rsidR="002E3E30" w:rsidRPr="008B46D9" w:rsidRDefault="00E24F42" w:rsidP="008B46D9">
            <w:pPr>
              <w:pStyle w:val="Akapitzlist"/>
              <w:numPr>
                <w:ilvl w:val="0"/>
                <w:numId w:val="1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/>
              <w:ind w:left="498" w:right="62" w:hanging="350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potwierdzony histologicznie chłoniak złośliwy typu</w:t>
            </w:r>
            <w:r w:rsidR="002E3E30" w:rsidRPr="008B46D9">
              <w:rPr>
                <w:sz w:val="20"/>
                <w:szCs w:val="20"/>
              </w:rPr>
              <w:t xml:space="preserve"> </w:t>
            </w:r>
            <w:r w:rsidRPr="008B46D9">
              <w:rPr>
                <w:sz w:val="20"/>
                <w:szCs w:val="20"/>
              </w:rPr>
              <w:t>grudkowego;</w:t>
            </w:r>
          </w:p>
          <w:p w14:paraId="3AD933F9" w14:textId="2F363EE6" w:rsidR="00E24F42" w:rsidRPr="008B46D9" w:rsidRDefault="00E24F42" w:rsidP="008B46D9">
            <w:pPr>
              <w:pStyle w:val="Akapitzlist"/>
              <w:numPr>
                <w:ilvl w:val="0"/>
                <w:numId w:val="1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/>
              <w:ind w:left="498" w:right="62" w:hanging="350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brak odpowiedzi na leczenie lub progresja choroby podczas leczenia lub maksymalnie do 6 miesięcy po zakończeniu  leczeniu rytuksymabem lub schematem zawierającym rytuksymab;</w:t>
            </w:r>
          </w:p>
          <w:p w14:paraId="092274C7" w14:textId="5D019497" w:rsidR="00E24F42" w:rsidRDefault="00E24F42" w:rsidP="008B46D9">
            <w:pPr>
              <w:pStyle w:val="Akapitzlist"/>
              <w:numPr>
                <w:ilvl w:val="0"/>
                <w:numId w:val="1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/>
              <w:ind w:left="498" w:right="62" w:hanging="350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stan ogólny według WHO 0 – 2.</w:t>
            </w:r>
          </w:p>
          <w:p w14:paraId="5F576194" w14:textId="77777777" w:rsidR="008B46D9" w:rsidRPr="008B46D9" w:rsidRDefault="008B46D9" w:rsidP="008B46D9">
            <w:pPr>
              <w:pStyle w:val="Akapitzlist"/>
              <w:tabs>
                <w:tab w:val="left" w:pos="498"/>
              </w:tabs>
              <w:autoSpaceDE w:val="0"/>
              <w:autoSpaceDN w:val="0"/>
              <w:adjustRightInd w:val="0"/>
              <w:spacing w:after="60"/>
              <w:ind w:left="498" w:right="62"/>
              <w:contextualSpacing w:val="0"/>
              <w:jc w:val="both"/>
              <w:rPr>
                <w:sz w:val="20"/>
                <w:szCs w:val="20"/>
              </w:rPr>
            </w:pPr>
          </w:p>
          <w:p w14:paraId="730E4516" w14:textId="20AE5E17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2. </w:t>
            </w:r>
            <w:r w:rsidRPr="008B46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 uniemożliwiające włączenie do programu:</w:t>
            </w:r>
          </w:p>
          <w:p w14:paraId="5D24DD4F" w14:textId="77777777" w:rsidR="00A467CD" w:rsidRPr="008B46D9" w:rsidRDefault="00A467CD" w:rsidP="008B46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czynne zakażenie HBV lub HCV;</w:t>
            </w:r>
          </w:p>
          <w:p w14:paraId="057D53FB" w14:textId="39BD8794" w:rsidR="00E24F42" w:rsidRPr="008B46D9" w:rsidRDefault="00E24F42" w:rsidP="008B46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aktywność AST lub ALT przekraczająca ponad 5</w:t>
            </w:r>
            <w:r w:rsidR="00B54C92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razy wartość górnej granicy normy;</w:t>
            </w:r>
          </w:p>
          <w:p w14:paraId="340B88BE" w14:textId="77777777" w:rsidR="00E24F42" w:rsidRPr="008B46D9" w:rsidRDefault="00E24F42" w:rsidP="008B46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bilirubiny przekraczające 3 razy wartość górnej granicy normy;</w:t>
            </w:r>
          </w:p>
          <w:p w14:paraId="25741973" w14:textId="24045C82" w:rsidR="00A467CD" w:rsidRPr="008B46D9" w:rsidRDefault="00E24F42" w:rsidP="008B46D9">
            <w:pPr>
              <w:pStyle w:val="Akapitzlist"/>
              <w:numPr>
                <w:ilvl w:val="0"/>
                <w:numId w:val="15"/>
              </w:numPr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nie</w:t>
            </w:r>
            <w:r w:rsidR="0049607E" w:rsidRPr="008B46D9">
              <w:rPr>
                <w:sz w:val="20"/>
                <w:szCs w:val="20"/>
              </w:rPr>
              <w:t>wydolność krążenia wg NYHA &gt;II;</w:t>
            </w:r>
          </w:p>
          <w:p w14:paraId="4C250822" w14:textId="720117A8" w:rsidR="00E24F42" w:rsidRPr="008B46D9" w:rsidRDefault="00E24F42" w:rsidP="008B46D9">
            <w:pPr>
              <w:pStyle w:val="Akapitzlist"/>
              <w:numPr>
                <w:ilvl w:val="0"/>
                <w:numId w:val="15"/>
              </w:numPr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niewydolność  wieńcowa wg CCS &gt; II;</w:t>
            </w:r>
          </w:p>
          <w:p w14:paraId="537C5AE0" w14:textId="77777777" w:rsidR="00A467CD" w:rsidRPr="008B46D9" w:rsidRDefault="00A467CD" w:rsidP="008B46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inne czynne, ciężkie zakażenia;</w:t>
            </w:r>
          </w:p>
          <w:p w14:paraId="30CB6F22" w14:textId="1F3F394A" w:rsidR="00E24F42" w:rsidRDefault="00E24F42" w:rsidP="008B46D9">
            <w:pPr>
              <w:pStyle w:val="Akapitzlist"/>
              <w:numPr>
                <w:ilvl w:val="0"/>
                <w:numId w:val="15"/>
              </w:numPr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ciąża.</w:t>
            </w:r>
          </w:p>
          <w:p w14:paraId="36474F78" w14:textId="77777777" w:rsidR="008B46D9" w:rsidRPr="008B46D9" w:rsidRDefault="008B46D9" w:rsidP="008B46D9">
            <w:pPr>
              <w:pStyle w:val="Akapitzlist"/>
              <w:spacing w:after="60"/>
              <w:ind w:left="498" w:right="62"/>
              <w:contextualSpacing w:val="0"/>
              <w:jc w:val="both"/>
              <w:rPr>
                <w:sz w:val="20"/>
                <w:szCs w:val="20"/>
              </w:rPr>
            </w:pPr>
          </w:p>
          <w:p w14:paraId="684427BC" w14:textId="57858427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3. Określenie czasu leczenia w programie</w:t>
            </w:r>
          </w:p>
          <w:p w14:paraId="4245EDD8" w14:textId="0903B650" w:rsidR="009712CD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Czas leczenia w programie określa lekarz na podstawie kryteriów włączenia i kryteriów wyłączenia z programu. Maksymalny czas leczenia indukcyjnego wynosi 6 cykli, zaś maksymalny czas leczenia podtrzymującego wynosi 2</w:t>
            </w:r>
            <w:r w:rsidR="00B54C92" w:rsidRPr="008B46D9">
              <w:rPr>
                <w:rFonts w:ascii="Times New Roman" w:hAnsi="Times New Roman"/>
                <w:sz w:val="20"/>
                <w:szCs w:val="20"/>
                <w:lang w:val="pl-PL"/>
              </w:rPr>
              <w:t> </w:t>
            </w: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lata.</w:t>
            </w:r>
          </w:p>
          <w:p w14:paraId="09B95974" w14:textId="77777777" w:rsid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57AB364" w14:textId="77777777" w:rsidR="002D1962" w:rsidRPr="008B46D9" w:rsidRDefault="002D196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14:paraId="6661861D" w14:textId="7FEAF11B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6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>4. Kryteria wyłączenia z programu:</w:t>
            </w:r>
          </w:p>
          <w:p w14:paraId="4662E3F8" w14:textId="7ACD8FEF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wystąpienie objawów nadwrażliwości na obinutuzumab, którykolwiek ze składników preparatu lub na białka mysie; (reakcje związane z</w:t>
            </w:r>
            <w:r w:rsidR="00E54E49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wlewem 4. stopnia wg CTCAE oraz powtórne wystąpienie reakcji związanych z wlewem stopnia 3.);</w:t>
            </w:r>
          </w:p>
          <w:p w14:paraId="5AD08E56" w14:textId="022034F0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wystąpienie powikłań narządowych 4. stopnia;</w:t>
            </w:r>
          </w:p>
          <w:p w14:paraId="0DF17301" w14:textId="1C126A78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progresja choroby w trakcie leczenia oceniana po podaniu co najmniej 2 cykli leczenia;</w:t>
            </w:r>
          </w:p>
          <w:p w14:paraId="02D5A736" w14:textId="04EFAD03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potwierdzone rozpoznanie postępującej wieloogniskowej leukoencefalopatii;</w:t>
            </w:r>
          </w:p>
          <w:p w14:paraId="597C7EC9" w14:textId="4A71DB17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czynne zakażenie HBV lub HCV;</w:t>
            </w:r>
          </w:p>
          <w:p w14:paraId="3B79689F" w14:textId="21FD005E" w:rsidR="00E24F42" w:rsidRPr="008B46D9" w:rsidRDefault="00E24F42" w:rsidP="008B46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ind w:left="498" w:right="62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ciąża.</w:t>
            </w: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DCBB" w14:textId="1D7EC290" w:rsidR="00E24F42" w:rsidRPr="008B46D9" w:rsidRDefault="00E24F42" w:rsidP="008B46D9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before="120" w:after="60"/>
              <w:ind w:left="204" w:right="57" w:hanging="215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Dawkowanie</w:t>
            </w:r>
            <w:r w:rsidR="00617645" w:rsidRPr="008B46D9">
              <w:rPr>
                <w:b/>
                <w:bCs/>
                <w:sz w:val="20"/>
                <w:szCs w:val="20"/>
              </w:rPr>
              <w:t>:</w:t>
            </w:r>
          </w:p>
          <w:p w14:paraId="066F44F0" w14:textId="2B71DC54" w:rsidR="00E24F42" w:rsidRPr="008B46D9" w:rsidRDefault="00E24F42" w:rsidP="008B46D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283" w:right="57" w:hanging="23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złośliwy</w:t>
            </w:r>
            <w:r w:rsidRPr="008B46D9">
              <w:rPr>
                <w:b/>
                <w:sz w:val="20"/>
                <w:szCs w:val="20"/>
              </w:rPr>
              <w:t xml:space="preserve"> </w:t>
            </w:r>
            <w:r w:rsidRPr="008B46D9">
              <w:rPr>
                <w:b/>
                <w:bCs/>
                <w:sz w:val="20"/>
                <w:szCs w:val="20"/>
              </w:rPr>
              <w:t>typu grudkowego - leczenie indukcyjne</w:t>
            </w:r>
          </w:p>
          <w:p w14:paraId="75B46B53" w14:textId="77777777" w:rsidR="00E24F42" w:rsidRPr="008B46D9" w:rsidRDefault="00E24F42" w:rsidP="008B46D9">
            <w:pPr>
              <w:pStyle w:val="Akapitzlist"/>
              <w:spacing w:after="60"/>
              <w:ind w:left="-2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i/>
                <w:iCs/>
                <w:sz w:val="20"/>
                <w:szCs w:val="20"/>
              </w:rPr>
              <w:t xml:space="preserve">Leczenie indukcyjne (w skojarzeniu z bendamustyną) </w:t>
            </w:r>
          </w:p>
          <w:p w14:paraId="25863B93" w14:textId="77777777" w:rsidR="00E24F42" w:rsidRPr="008B46D9" w:rsidRDefault="00E24F42" w:rsidP="008B46D9">
            <w:pPr>
              <w:pStyle w:val="Akapitzlist"/>
              <w:spacing w:after="60"/>
              <w:ind w:left="213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i/>
                <w:iCs/>
                <w:sz w:val="20"/>
                <w:szCs w:val="20"/>
              </w:rPr>
              <w:t xml:space="preserve">Cykl 1 </w:t>
            </w:r>
          </w:p>
          <w:p w14:paraId="29A849F3" w14:textId="28EF2B83" w:rsidR="00E24F42" w:rsidRPr="008B46D9" w:rsidRDefault="00E24F42" w:rsidP="008B46D9">
            <w:pPr>
              <w:pStyle w:val="Akapitzlist"/>
              <w:spacing w:after="60"/>
              <w:ind w:left="-2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Obinutuzumab podaje się w skojarzeniu z bendamustyną w zalecanej dawce 1000mg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1.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dniu (dopuszcza się rozdzielenie dawki -100 mg w 1. dniu i 900 mg w 2. dniu)</w:t>
            </w:r>
            <w:r w:rsidRPr="008B46D9">
              <w:rPr>
                <w:rStyle w:val="Odwoaniedokomentarza"/>
                <w:rFonts w:eastAsia="PMingLiU"/>
                <w:sz w:val="20"/>
                <w:szCs w:val="20"/>
              </w:rPr>
              <w:t xml:space="preserve">,  </w:t>
            </w:r>
            <w:r w:rsidRPr="008B46D9">
              <w:rPr>
                <w:sz w:val="20"/>
                <w:szCs w:val="20"/>
              </w:rPr>
              <w:t xml:space="preserve">8. dniu i 15. dniu pierwszego 28-dniowego cyklu leczenia. </w:t>
            </w:r>
          </w:p>
          <w:p w14:paraId="3829B70F" w14:textId="77777777" w:rsidR="00E24F42" w:rsidRPr="008B46D9" w:rsidRDefault="00E24F42" w:rsidP="008B46D9">
            <w:pPr>
              <w:pStyle w:val="Akapitzlist"/>
              <w:spacing w:after="60"/>
              <w:ind w:left="213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i/>
                <w:iCs/>
                <w:sz w:val="20"/>
                <w:szCs w:val="20"/>
              </w:rPr>
              <w:t xml:space="preserve">Cykle 2-6 </w:t>
            </w:r>
          </w:p>
          <w:p w14:paraId="1B36EBC8" w14:textId="494AD599" w:rsidR="00E24F42" w:rsidRPr="008B46D9" w:rsidRDefault="00E24F42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-2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Zalecaną dawkę obinutuzumabu -</w:t>
            </w:r>
            <w:r w:rsidR="00E54E49" w:rsidRPr="008B46D9">
              <w:rPr>
                <w:sz w:val="20"/>
                <w:szCs w:val="20"/>
              </w:rPr>
              <w:t xml:space="preserve"> </w:t>
            </w:r>
            <w:r w:rsidRPr="008B46D9">
              <w:rPr>
                <w:sz w:val="20"/>
                <w:szCs w:val="20"/>
              </w:rPr>
              <w:t>1000 mg w skojarzeniu z bendamustyną podaje się w 1. dniu każdego 28-dniowego cyklu leczenia.</w:t>
            </w:r>
          </w:p>
          <w:p w14:paraId="25001852" w14:textId="5153CCBE" w:rsidR="00E24F42" w:rsidRDefault="00E24F42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5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Bendamustynę</w:t>
            </w:r>
            <w:r w:rsidR="00E54E49" w:rsidRPr="008B46D9">
              <w:rPr>
                <w:sz w:val="20"/>
                <w:szCs w:val="20"/>
              </w:rPr>
              <w:t xml:space="preserve"> </w:t>
            </w:r>
            <w:r w:rsidRPr="008B46D9">
              <w:rPr>
                <w:sz w:val="20"/>
                <w:szCs w:val="20"/>
              </w:rPr>
              <w:t>w dawce 90 mg/m</w:t>
            </w:r>
            <w:r w:rsidRPr="008B46D9">
              <w:rPr>
                <w:sz w:val="20"/>
                <w:szCs w:val="20"/>
                <w:vertAlign w:val="superscript"/>
              </w:rPr>
              <w:t xml:space="preserve">2 </w:t>
            </w:r>
            <w:r w:rsidRPr="008B46D9">
              <w:rPr>
                <w:sz w:val="20"/>
                <w:szCs w:val="20"/>
              </w:rPr>
              <w:t xml:space="preserve"> podaje się dożylnie w 1. i 2. dniu każdego cyklu leczenia (</w:t>
            </w:r>
            <w:r w:rsidRPr="008B46D9">
              <w:rPr>
                <w:i/>
                <w:sz w:val="20"/>
                <w:szCs w:val="20"/>
              </w:rPr>
              <w:t>cykle 1-6</w:t>
            </w:r>
            <w:r w:rsidRPr="008B46D9">
              <w:rPr>
                <w:sz w:val="20"/>
                <w:szCs w:val="20"/>
              </w:rPr>
              <w:t>). Dopuszcza się redukcję dawki zgodnie z zapisem w ChPL.</w:t>
            </w:r>
          </w:p>
          <w:p w14:paraId="68C08D3A" w14:textId="77777777" w:rsidR="008B46D9" w:rsidRPr="008B46D9" w:rsidRDefault="008B46D9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57"/>
              <w:contextualSpacing w:val="0"/>
              <w:jc w:val="both"/>
              <w:rPr>
                <w:sz w:val="20"/>
                <w:szCs w:val="20"/>
              </w:rPr>
            </w:pPr>
          </w:p>
          <w:p w14:paraId="0DAC2467" w14:textId="1AFA6B74" w:rsidR="00E24F42" w:rsidRPr="008B46D9" w:rsidRDefault="00E24F42" w:rsidP="008B46D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right="5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złośliwy typu grudkowego - leczenie podtrzymujące</w:t>
            </w:r>
          </w:p>
          <w:p w14:paraId="50CDD9C0" w14:textId="52048C8C" w:rsidR="00E24F42" w:rsidRPr="008B46D9" w:rsidRDefault="00E24F42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8B46D9">
              <w:rPr>
                <w:bCs/>
                <w:sz w:val="20"/>
                <w:szCs w:val="20"/>
              </w:rPr>
              <w:t>Obinutuzumab w dawce 1000 mg w monoterapii podaje się raz na 2 miesiące przez dwa lata lub do wystąpienia progresji choroby.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7139" w14:textId="61BD2B6B" w:rsidR="00E24F42" w:rsidRPr="008B46D9" w:rsidRDefault="00E24F42" w:rsidP="008B46D9">
            <w:pPr>
              <w:autoSpaceDE w:val="0"/>
              <w:autoSpaceDN w:val="0"/>
              <w:adjustRightInd w:val="0"/>
              <w:spacing w:before="120" w:after="60" w:line="240" w:lineRule="auto"/>
              <w:ind w:right="5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 Badania przy kwalifikacji</w:t>
            </w:r>
            <w:r w:rsidR="00617645"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52D287F3" w14:textId="70D5E076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morfologia krwi obwodowej ze wzorem odsetkowym;</w:t>
            </w:r>
          </w:p>
          <w:p w14:paraId="71B65303" w14:textId="7BBF92F2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ocena wydolnoś</w:t>
            </w:r>
            <w:r w:rsidR="00617645" w:rsidRPr="008B46D9">
              <w:rPr>
                <w:sz w:val="20"/>
                <w:szCs w:val="20"/>
              </w:rPr>
              <w:t xml:space="preserve">ci nerek i wątroby (kreatynina, </w:t>
            </w:r>
            <w:r w:rsidRPr="008B46D9">
              <w:rPr>
                <w:sz w:val="20"/>
                <w:szCs w:val="20"/>
              </w:rPr>
              <w:t>eGFR, kwas moczowy, AST, ALT, bilirubina całkowita);</w:t>
            </w:r>
          </w:p>
          <w:p w14:paraId="3198CD9C" w14:textId="0C6BD927" w:rsidR="00532485" w:rsidRPr="008B46D9" w:rsidRDefault="00532485" w:rsidP="008B46D9">
            <w:pPr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40" w:lineRule="auto"/>
              <w:ind w:left="422" w:right="51" w:hanging="286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aktywność dehydrogenazy mleczanowej (LDH)</w:t>
            </w:r>
            <w:r w:rsidR="00E54E49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7A9B7CD8" w14:textId="77777777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496"/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obrazowe, pozwalające na ocenę stopnia zaawansowania choroby (TK lub PET-TK lub NMR);</w:t>
            </w:r>
          </w:p>
          <w:p w14:paraId="3A1153E5" w14:textId="77777777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przesiewowe w kierunku WZW typu B, zawierające co najmniej testy w kierunku HbsAg i HbcAb; a w przypadku dodatniego wyniku HBsAg lub HBcAb badanie HBV-DNA;</w:t>
            </w:r>
          </w:p>
          <w:p w14:paraId="45CC418C" w14:textId="66E63796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przesiewowe w kierunku WZW typu C, zawierające co najmniej oznaczenie przeciwciał anty-HCV, a w przypadku dodatniego wyn</w:t>
            </w:r>
            <w:r w:rsidR="008D011C" w:rsidRPr="008B46D9">
              <w:rPr>
                <w:sz w:val="20"/>
                <w:szCs w:val="20"/>
              </w:rPr>
              <w:t>i</w:t>
            </w:r>
            <w:r w:rsidRPr="008B46D9">
              <w:rPr>
                <w:sz w:val="20"/>
                <w:szCs w:val="20"/>
              </w:rPr>
              <w:t>ku badania na obecność przeciwciał anty-HCV badanie HCV-RNA;</w:t>
            </w:r>
          </w:p>
          <w:p w14:paraId="1345DD36" w14:textId="64551E9F" w:rsidR="00E24F42" w:rsidRPr="008B46D9" w:rsidRDefault="00E24F42" w:rsidP="008B46D9">
            <w:pPr>
              <w:pStyle w:val="Akapitzlist"/>
              <w:numPr>
                <w:ilvl w:val="0"/>
                <w:numId w:val="17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422" w:right="51" w:hanging="286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test ciążowy u kobiet w wieku rozrodczym.</w:t>
            </w:r>
          </w:p>
          <w:p w14:paraId="23EB6A0D" w14:textId="3084A848" w:rsidR="00E24F42" w:rsidRDefault="00E24F42" w:rsidP="008B46D9">
            <w:pPr>
              <w:pStyle w:val="Tekstpodstawowy"/>
              <w:spacing w:after="60"/>
              <w:ind w:right="51"/>
              <w:jc w:val="both"/>
            </w:pPr>
            <w:r w:rsidRPr="008B46D9">
              <w:t>Badania stosownie do wskazań lekarskich podczas diagnostyki chłoniaka w danej lokalizacji.</w:t>
            </w:r>
          </w:p>
          <w:p w14:paraId="71FE31EF" w14:textId="77777777" w:rsidR="008B46D9" w:rsidRPr="008B46D9" w:rsidRDefault="008B46D9" w:rsidP="008B46D9">
            <w:pPr>
              <w:pStyle w:val="Tekstpodstawowy"/>
              <w:spacing w:after="60"/>
              <w:ind w:right="51"/>
              <w:jc w:val="both"/>
            </w:pPr>
          </w:p>
          <w:p w14:paraId="37C348EB" w14:textId="6C38A8EC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5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2. Monitorowanie leczenia</w:t>
            </w:r>
          </w:p>
          <w:p w14:paraId="59D12EDE" w14:textId="7055951E" w:rsidR="00E24F42" w:rsidRPr="008B46D9" w:rsidRDefault="00E24F42" w:rsidP="008B46D9">
            <w:pPr>
              <w:pStyle w:val="Tekstpodstawowy"/>
              <w:spacing w:after="60"/>
              <w:ind w:right="51"/>
              <w:jc w:val="both"/>
            </w:pPr>
            <w:r w:rsidRPr="008B46D9">
              <w:t>Badani</w:t>
            </w:r>
            <w:r w:rsidR="008B46D9">
              <w:t>a</w:t>
            </w:r>
            <w:r w:rsidRPr="008B46D9">
              <w:t xml:space="preserve"> przeprowadzane przed każdym podaniem leku:</w:t>
            </w:r>
          </w:p>
          <w:p w14:paraId="48FFF023" w14:textId="6AF2B331" w:rsidR="00E24F42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morfologia krwi obwodowej ze wzorem odsetkowym;</w:t>
            </w:r>
          </w:p>
          <w:p w14:paraId="1DAC415D" w14:textId="66B0BC0C" w:rsidR="00E24F42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kreatyniny;</w:t>
            </w:r>
          </w:p>
          <w:p w14:paraId="1CF5813F" w14:textId="77777777" w:rsidR="00FF1E1A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kwasu moczowego;</w:t>
            </w:r>
          </w:p>
          <w:p w14:paraId="2CEEC87A" w14:textId="77777777" w:rsidR="00FF1E1A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elektrolity (stężenie sodu i potasu);</w:t>
            </w:r>
          </w:p>
          <w:p w14:paraId="76DB61C8" w14:textId="77777777" w:rsidR="00FF1E1A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aktywność AST, ALT;</w:t>
            </w:r>
          </w:p>
          <w:p w14:paraId="0194BB58" w14:textId="435D32AC" w:rsidR="00E24F42" w:rsidRPr="008B46D9" w:rsidRDefault="00E24F42" w:rsidP="008B46D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422" w:right="51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bilirubiny</w:t>
            </w:r>
            <w:r w:rsidRPr="008B46D9">
              <w:rPr>
                <w:rStyle w:val="Odwoaniedokomentarza"/>
                <w:rFonts w:eastAsia="PMingLiU"/>
                <w:sz w:val="20"/>
                <w:szCs w:val="20"/>
              </w:rPr>
              <w:t>.</w:t>
            </w:r>
          </w:p>
          <w:p w14:paraId="41E3BF7D" w14:textId="159B813A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5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Badani</w:t>
            </w:r>
            <w:r w:rsidR="008B46D9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przeprowadzane po zakończeniu leczenia indukcyjnego lub w przypadku podejrzenia progresji choroby</w:t>
            </w:r>
            <w:r w:rsidR="00173155" w:rsidRPr="008B46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(nie wcześniej niż po 2 cyklach leczenia):</w:t>
            </w:r>
          </w:p>
          <w:p w14:paraId="67683366" w14:textId="18FFB7BC" w:rsidR="00641880" w:rsidRPr="008B46D9" w:rsidRDefault="00E24F42" w:rsidP="008B46D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/>
              <w:ind w:left="370" w:right="51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obrazowe, pozwalające na ocenę stopnia zaawansowania choroby (TK lub PET-TK lub NMR).</w:t>
            </w:r>
          </w:p>
          <w:p w14:paraId="275F6CAF" w14:textId="25386EB5" w:rsidR="00E24F42" w:rsidRPr="008B46D9" w:rsidRDefault="00E24F42" w:rsidP="008B46D9">
            <w:pPr>
              <w:autoSpaceDE w:val="0"/>
              <w:autoSpaceDN w:val="0"/>
              <w:adjustRightInd w:val="0"/>
              <w:spacing w:after="60" w:line="240" w:lineRule="auto"/>
              <w:ind w:right="51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3. Monitorowanie programu</w:t>
            </w:r>
          </w:p>
          <w:p w14:paraId="4CA7BA76" w14:textId="77777777" w:rsidR="002E55F3" w:rsidRPr="008B46D9" w:rsidRDefault="00E24F42" w:rsidP="008B46D9">
            <w:pPr>
              <w:pStyle w:val="Akapitzlist"/>
              <w:numPr>
                <w:ilvl w:val="0"/>
                <w:numId w:val="40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354" w:right="51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gromadzenie w dokumentacji medycznej pacjenta danych dotyczących monitorowania leczenia i każdorazowe ich przedstawianie na żądanie kontrolerów  Narodowego Funduszu Zdrowia;</w:t>
            </w:r>
          </w:p>
          <w:p w14:paraId="16130BD0" w14:textId="77777777" w:rsidR="002E55F3" w:rsidRPr="008B46D9" w:rsidRDefault="00E24F42" w:rsidP="008B46D9">
            <w:pPr>
              <w:pStyle w:val="Akapitzlist"/>
              <w:numPr>
                <w:ilvl w:val="0"/>
                <w:numId w:val="40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354" w:right="51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14:paraId="51F440A2" w14:textId="77777777" w:rsidR="00E24F42" w:rsidRDefault="00E24F42" w:rsidP="008B46D9">
            <w:pPr>
              <w:pStyle w:val="Akapitzlist"/>
              <w:numPr>
                <w:ilvl w:val="0"/>
                <w:numId w:val="40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354" w:right="51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  <w:p w14:paraId="2131B5E6" w14:textId="73B8E6E0" w:rsidR="008B46D9" w:rsidRPr="008B46D9" w:rsidRDefault="008B46D9" w:rsidP="008B46D9">
            <w:pPr>
              <w:pStyle w:val="Akapitzlist"/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354" w:right="51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CD3DA7" w:rsidRPr="008B46D9" w14:paraId="1E1479E6" w14:textId="77777777" w:rsidTr="008B46D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7D95" w14:textId="09AC77F2" w:rsidR="00CD3DA7" w:rsidRPr="008B46D9" w:rsidRDefault="000C5779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Część III: </w:t>
            </w:r>
            <w:r w:rsidR="00CD3DA7"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Leczenie chorych na chłoniaki złośliwe (ICD- 10 C.82; C.83)</w:t>
            </w:r>
          </w:p>
        </w:tc>
      </w:tr>
      <w:tr w:rsidR="002E3E30" w:rsidRPr="008B46D9" w14:paraId="3E3C2EBC" w14:textId="77777777" w:rsidTr="002D196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746E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>1. Kryteria kwalifikacji</w:t>
            </w:r>
          </w:p>
          <w:p w14:paraId="321199A5" w14:textId="27F7A94C" w:rsidR="002E3E30" w:rsidRPr="008B46D9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potwierdzony histologicznie chłoniak złośliwy typu grudkowego w III lub IV stopniu zaawansowania</w:t>
            </w:r>
          </w:p>
          <w:p w14:paraId="6840282E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72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lub</w:t>
            </w:r>
          </w:p>
          <w:p w14:paraId="0052535E" w14:textId="3A980730" w:rsidR="002E3E30" w:rsidRPr="008B46D9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potwierdzony histologicznie chłoniak nieziarniczy rozlany z dużych komórek B, z udokumentowaną w badaniu obecnością antygenu CD20 na powierzchni komórek chłoniaka</w:t>
            </w:r>
          </w:p>
          <w:p w14:paraId="7154EAC7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oraz</w:t>
            </w:r>
          </w:p>
          <w:p w14:paraId="61BFC5E2" w14:textId="77777777" w:rsidR="002E3E30" w:rsidRPr="008B46D9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wiek powyżej 18 roku życia;</w:t>
            </w:r>
          </w:p>
          <w:p w14:paraId="1517656B" w14:textId="77777777" w:rsidR="002E3E30" w:rsidRPr="008B46D9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stan ogólny według WHO 0 - 2;</w:t>
            </w:r>
          </w:p>
          <w:p w14:paraId="3D9A6614" w14:textId="77777777" w:rsidR="002E3E30" w:rsidRPr="008B46D9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wyrównana niewydolność krążenia lub niewydolność wieńcowa (jeżeli występują);</w:t>
            </w:r>
          </w:p>
          <w:p w14:paraId="4087FD5C" w14:textId="212FB6B9" w:rsidR="002E3E30" w:rsidRDefault="002E3E30" w:rsidP="008B46D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498" w:hanging="284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dobrze kontrolowane nadciśnienie tętnicze (jeżeli występuje).</w:t>
            </w:r>
          </w:p>
          <w:p w14:paraId="301B2307" w14:textId="77777777" w:rsidR="008B46D9" w:rsidRPr="008B46D9" w:rsidRDefault="008B46D9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498"/>
              <w:contextualSpacing w:val="0"/>
              <w:jc w:val="both"/>
              <w:rPr>
                <w:sz w:val="20"/>
                <w:szCs w:val="20"/>
              </w:rPr>
            </w:pPr>
          </w:p>
          <w:p w14:paraId="3C0F82AC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2. Określenie czasu leczenia w programie</w:t>
            </w:r>
          </w:p>
          <w:p w14:paraId="4A5F3279" w14:textId="2B6656D2" w:rsidR="002E3E30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Czas leczenia w programie określa lekarz na podstawie kryteriów włączenia i kryteriów wyłączenia z programu.</w:t>
            </w:r>
          </w:p>
          <w:p w14:paraId="1C1B8F73" w14:textId="77777777" w:rsidR="008B46D9" w:rsidRP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12036F4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>3. Kryteria wyłączenia</w:t>
            </w:r>
          </w:p>
          <w:p w14:paraId="1651A530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wystąpienie objawów nadwrażliwości na rytuksymab, którykolwiek ze składników preparatu lub na białka mysie;</w:t>
            </w:r>
          </w:p>
          <w:p w14:paraId="606A34D4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toksyczność według WHO powyżej 3;</w:t>
            </w:r>
          </w:p>
          <w:p w14:paraId="6B5DB652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stan sprawności według WHO 3 - 4;</w:t>
            </w:r>
          </w:p>
          <w:p w14:paraId="68AF31B7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brak skuteczności leku po 2 cyklach stosowania;</w:t>
            </w:r>
          </w:p>
          <w:p w14:paraId="5EACBCAC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progresja lub nawrót choroby w okresie 6 miesięcy przy leczeniu rytuksymabem;</w:t>
            </w:r>
          </w:p>
          <w:p w14:paraId="7C88D726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niewydolność serca w IV klasie według NYHA;</w:t>
            </w:r>
          </w:p>
          <w:p w14:paraId="1EBA289F" w14:textId="77777777" w:rsidR="00E54E49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czynne ciężkie zakażenie;</w:t>
            </w:r>
          </w:p>
          <w:p w14:paraId="29FF6F4F" w14:textId="4DD0E968" w:rsidR="002E3E30" w:rsidRPr="008B46D9" w:rsidRDefault="002E3E30" w:rsidP="008B46D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ind w:left="639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ciąża.</w:t>
            </w: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B207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before="120" w:after="6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>1. Dawkowanie</w:t>
            </w:r>
          </w:p>
          <w:p w14:paraId="5B0877CE" w14:textId="291C84F6" w:rsidR="002E3E30" w:rsidRPr="008B46D9" w:rsidRDefault="002E3E30" w:rsidP="008B46D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367" w:right="4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złośliwy</w:t>
            </w:r>
            <w:r w:rsidRPr="008B46D9">
              <w:rPr>
                <w:b/>
                <w:sz w:val="20"/>
                <w:szCs w:val="20"/>
              </w:rPr>
              <w:t xml:space="preserve"> </w:t>
            </w:r>
            <w:r w:rsidRPr="008B46D9">
              <w:rPr>
                <w:b/>
                <w:bCs/>
                <w:sz w:val="20"/>
                <w:szCs w:val="20"/>
              </w:rPr>
              <w:t>typu grudkowego w III lub IV stopniu zaawansowania - leczenie indukcyjne</w:t>
            </w:r>
          </w:p>
          <w:p w14:paraId="6EE8FBB1" w14:textId="2364A150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bCs/>
                <w:sz w:val="20"/>
                <w:szCs w:val="20"/>
              </w:rPr>
            </w:pPr>
            <w:r w:rsidRPr="008B46D9">
              <w:rPr>
                <w:bCs/>
                <w:sz w:val="20"/>
                <w:szCs w:val="20"/>
              </w:rPr>
              <w:t>Rytuksymab podawany jest w skojarzeniu z</w:t>
            </w:r>
            <w:r w:rsidR="006323F1" w:rsidRPr="008B46D9">
              <w:rPr>
                <w:bCs/>
                <w:sz w:val="20"/>
                <w:szCs w:val="20"/>
              </w:rPr>
              <w:t> </w:t>
            </w:r>
            <w:r w:rsidRPr="008B46D9">
              <w:rPr>
                <w:bCs/>
                <w:sz w:val="20"/>
                <w:szCs w:val="20"/>
              </w:rPr>
              <w:t>chemioterapią co 21 dni.</w:t>
            </w:r>
          </w:p>
          <w:p w14:paraId="7B0C97AE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213" w:right="48"/>
              <w:contextualSpacing w:val="0"/>
              <w:jc w:val="both"/>
              <w:rPr>
                <w:i/>
                <w:sz w:val="20"/>
                <w:szCs w:val="20"/>
              </w:rPr>
            </w:pPr>
            <w:r w:rsidRPr="008B46D9">
              <w:rPr>
                <w:i/>
                <w:sz w:val="20"/>
                <w:szCs w:val="20"/>
              </w:rPr>
              <w:t xml:space="preserve">Pierwszy cykl leczenia </w:t>
            </w:r>
          </w:p>
          <w:p w14:paraId="2D23DB15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Rytuksymab podawany jest w dawce 375 mg/m</w:t>
            </w:r>
            <w:r w:rsidRPr="008B46D9">
              <w:rPr>
                <w:sz w:val="20"/>
                <w:szCs w:val="20"/>
                <w:vertAlign w:val="superscript"/>
              </w:rPr>
              <w:t>2</w:t>
            </w:r>
            <w:r w:rsidRPr="008B46D9">
              <w:rPr>
                <w:sz w:val="20"/>
                <w:szCs w:val="20"/>
              </w:rPr>
              <w:t xml:space="preserve"> pow. ciała w postaci wlewu dożylnego.</w:t>
            </w:r>
          </w:p>
          <w:p w14:paraId="53988B9F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213" w:right="48"/>
              <w:contextualSpacing w:val="0"/>
              <w:jc w:val="both"/>
              <w:rPr>
                <w:i/>
                <w:sz w:val="20"/>
                <w:szCs w:val="20"/>
              </w:rPr>
            </w:pPr>
            <w:r w:rsidRPr="008B46D9">
              <w:rPr>
                <w:i/>
                <w:sz w:val="20"/>
                <w:szCs w:val="20"/>
              </w:rPr>
              <w:t>Kolejne cykle leczenia</w:t>
            </w:r>
          </w:p>
          <w:p w14:paraId="1E31282F" w14:textId="0B90C0C0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Rytuksymab podawany jest w dawce 375 mg/m</w:t>
            </w:r>
            <w:r w:rsidRPr="008B46D9">
              <w:rPr>
                <w:sz w:val="20"/>
                <w:szCs w:val="20"/>
                <w:vertAlign w:val="superscript"/>
              </w:rPr>
              <w:t xml:space="preserve">2 </w:t>
            </w:r>
            <w:r w:rsidRPr="008B46D9">
              <w:rPr>
                <w:sz w:val="20"/>
                <w:szCs w:val="20"/>
              </w:rPr>
              <w:t>pow. ciała w postaci wlewu dożylnego albo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postaci roztworu do wstrzykiwań podskórnych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stałej dawce 1400 mg/cykl .</w:t>
            </w:r>
          </w:p>
          <w:p w14:paraId="1052EEA6" w14:textId="6F0F3544" w:rsidR="002E3E30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Leczenie indukcyjne obejmuje nie więcej niż 8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podań.</w:t>
            </w:r>
          </w:p>
          <w:p w14:paraId="685AE253" w14:textId="77777777" w:rsidR="008B46D9" w:rsidRPr="008B46D9" w:rsidRDefault="008B46D9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</w:p>
          <w:p w14:paraId="589A0BA7" w14:textId="20D46141" w:rsidR="002E3E30" w:rsidRPr="008B46D9" w:rsidRDefault="002E3E30" w:rsidP="008B46D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367" w:right="4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złośliwy typu grudkowego w III lub IV stopniu zaawansowania - leczenie podtrzymujące</w:t>
            </w:r>
          </w:p>
          <w:p w14:paraId="28BDEC19" w14:textId="357B5EF3" w:rsidR="002E3E30" w:rsidRPr="008B46D9" w:rsidRDefault="002E3E30" w:rsidP="008B46D9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60"/>
              <w:ind w:left="367" w:right="4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u pacjentów, u których uzyskano odpowiedź na leczenie indukcyjne po zastosowaniu chemioterapii bez lub z rytuksymabem  dawka wynosi 375mg/m</w:t>
            </w:r>
            <w:r w:rsidRPr="008B46D9">
              <w:rPr>
                <w:sz w:val="20"/>
                <w:szCs w:val="20"/>
                <w:vertAlign w:val="superscript"/>
              </w:rPr>
              <w:t xml:space="preserve">2 </w:t>
            </w:r>
            <w:r w:rsidRPr="008B46D9">
              <w:rPr>
                <w:sz w:val="20"/>
                <w:szCs w:val="20"/>
              </w:rPr>
              <w:t>powierzchni ciała raz na 2 miesiące</w:t>
            </w:r>
            <w:r w:rsidRPr="008B46D9">
              <w:rPr>
                <w:color w:val="FF0000"/>
                <w:sz w:val="20"/>
                <w:szCs w:val="20"/>
              </w:rPr>
              <w:t xml:space="preserve"> </w:t>
            </w:r>
            <w:r w:rsidRPr="008B46D9">
              <w:rPr>
                <w:sz w:val="20"/>
                <w:szCs w:val="20"/>
              </w:rPr>
              <w:t>w przypadku rytuksymabu podawanego dożylnie albo 1400mg/cykl raz na 2 miesiące w przypadku rytuksymabu podawanego podskórnie; terapię prowadzi się do czasu progresji choroby lub przez maksymalnie okres dwóch lat,</w:t>
            </w:r>
          </w:p>
          <w:p w14:paraId="2B1F8194" w14:textId="5F946D3A" w:rsidR="002E3E30" w:rsidRPr="008B46D9" w:rsidRDefault="002E3E30" w:rsidP="008B46D9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60"/>
              <w:ind w:left="367" w:right="4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u</w:t>
            </w:r>
            <w:r w:rsidRPr="008B46D9">
              <w:rPr>
                <w:b/>
                <w:sz w:val="20"/>
                <w:szCs w:val="20"/>
              </w:rPr>
              <w:t xml:space="preserve"> </w:t>
            </w:r>
            <w:r w:rsidRPr="008B46D9">
              <w:rPr>
                <w:sz w:val="20"/>
                <w:szCs w:val="20"/>
              </w:rPr>
              <w:t>pacjentów w fazie nawrotu choroby lub w przypadku oporności na leczenie, u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których uzyskano odpowiedź na leczenie indukcyjne po zastosowaniu chemioterapii bez lub z rytuksymabem dawka wynosi 375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mg/m</w:t>
            </w:r>
            <w:r w:rsidRPr="008B46D9">
              <w:rPr>
                <w:sz w:val="20"/>
                <w:szCs w:val="20"/>
                <w:vertAlign w:val="superscript"/>
              </w:rPr>
              <w:t>2</w:t>
            </w:r>
            <w:r w:rsidRPr="008B46D9">
              <w:rPr>
                <w:sz w:val="20"/>
                <w:szCs w:val="20"/>
              </w:rPr>
              <w:t xml:space="preserve"> powierzchni ciała raz na 3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miesiące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przypadku rytuksymabu podawanego dożylnie albo 1400mg/cykl raz na 3 miesiące w przypadku rytuksymabu podawanego podskórnie; terapię prowadzi się do czasu progresji choroby lub przez maksymalnie okres dwóch lat.</w:t>
            </w:r>
          </w:p>
          <w:p w14:paraId="01A98929" w14:textId="77777777" w:rsidR="008B46D9" w:rsidRPr="008B46D9" w:rsidRDefault="008B46D9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367" w:right="48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  <w:p w14:paraId="72BACB34" w14:textId="1F00E112" w:rsidR="002E3E30" w:rsidRPr="008B46D9" w:rsidRDefault="002E3E30" w:rsidP="008B46D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13" w:right="48" w:hanging="213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b/>
                <w:bCs/>
                <w:sz w:val="20"/>
                <w:szCs w:val="20"/>
              </w:rPr>
              <w:t>Chłoniak nieziarniczy rozlany z dużych komórek</w:t>
            </w:r>
            <w:r w:rsidR="00001380" w:rsidRPr="008B46D9">
              <w:rPr>
                <w:b/>
                <w:bCs/>
                <w:sz w:val="20"/>
                <w:szCs w:val="20"/>
              </w:rPr>
              <w:t> </w:t>
            </w:r>
            <w:r w:rsidRPr="008B46D9">
              <w:rPr>
                <w:b/>
                <w:bCs/>
                <w:sz w:val="20"/>
                <w:szCs w:val="20"/>
              </w:rPr>
              <w:t>B</w:t>
            </w:r>
          </w:p>
          <w:p w14:paraId="03126BD3" w14:textId="02801EB2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U pacjentów z rozpoznaniem chłoniaka rozlanego z dużych komórek B  </w:t>
            </w:r>
            <w:r w:rsidRPr="008B46D9">
              <w:rPr>
                <w:bCs/>
                <w:sz w:val="20"/>
                <w:szCs w:val="20"/>
              </w:rPr>
              <w:t>rytuksymab</w:t>
            </w:r>
            <w:r w:rsidRPr="008B46D9">
              <w:rPr>
                <w:sz w:val="20"/>
                <w:szCs w:val="20"/>
              </w:rPr>
              <w:t xml:space="preserve"> podawany jest w</w:t>
            </w:r>
            <w:r w:rsidR="006323F1" w:rsidRPr="008B46D9">
              <w:rPr>
                <w:sz w:val="20"/>
                <w:szCs w:val="20"/>
              </w:rPr>
              <w:t xml:space="preserve"> skojarzeniu ze schematem CHOP </w:t>
            </w:r>
            <w:r w:rsidRPr="008B46D9">
              <w:rPr>
                <w:sz w:val="20"/>
                <w:szCs w:val="20"/>
              </w:rPr>
              <w:t>co 21 dni.</w:t>
            </w:r>
          </w:p>
          <w:p w14:paraId="74BF40B6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213" w:right="48"/>
              <w:contextualSpacing w:val="0"/>
              <w:jc w:val="both"/>
              <w:rPr>
                <w:i/>
                <w:sz w:val="20"/>
                <w:szCs w:val="20"/>
              </w:rPr>
            </w:pPr>
            <w:r w:rsidRPr="008B46D9">
              <w:rPr>
                <w:i/>
                <w:sz w:val="20"/>
                <w:szCs w:val="20"/>
              </w:rPr>
              <w:t xml:space="preserve">Pierwszy cykl leczenia </w:t>
            </w:r>
          </w:p>
          <w:p w14:paraId="682275C3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Rytuksymab podawany jest w dawce 375 mg/m</w:t>
            </w:r>
            <w:r w:rsidRPr="008B46D9">
              <w:rPr>
                <w:sz w:val="20"/>
                <w:szCs w:val="20"/>
                <w:vertAlign w:val="superscript"/>
              </w:rPr>
              <w:t>2</w:t>
            </w:r>
            <w:r w:rsidRPr="008B46D9">
              <w:rPr>
                <w:sz w:val="20"/>
                <w:szCs w:val="20"/>
              </w:rPr>
              <w:t xml:space="preserve"> pow. ciała w postaci wlewu dożylnego.</w:t>
            </w:r>
          </w:p>
          <w:p w14:paraId="0D0C9D20" w14:textId="77777777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213" w:right="48"/>
              <w:contextualSpacing w:val="0"/>
              <w:jc w:val="both"/>
              <w:rPr>
                <w:i/>
                <w:sz w:val="20"/>
                <w:szCs w:val="20"/>
              </w:rPr>
            </w:pPr>
            <w:r w:rsidRPr="008B46D9">
              <w:rPr>
                <w:i/>
                <w:sz w:val="20"/>
                <w:szCs w:val="20"/>
              </w:rPr>
              <w:t>Kolejne cykle leczenia</w:t>
            </w:r>
          </w:p>
          <w:p w14:paraId="37F47B97" w14:textId="499582AF" w:rsidR="002E3E30" w:rsidRPr="008B46D9" w:rsidRDefault="002E3E30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Rytuksymab podawany jest w dawce 375 mg/m</w:t>
            </w:r>
            <w:r w:rsidRPr="008B46D9">
              <w:rPr>
                <w:sz w:val="20"/>
                <w:szCs w:val="20"/>
                <w:vertAlign w:val="superscript"/>
              </w:rPr>
              <w:t>2</w:t>
            </w:r>
            <w:r w:rsidRPr="008B46D9">
              <w:rPr>
                <w:sz w:val="20"/>
                <w:szCs w:val="20"/>
              </w:rPr>
              <w:t xml:space="preserve"> pow. ciała w postaci wlewu dożylnego albo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postaci roztworu do wstrzykiwań podskórnych w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>stałej dawce 1400 mg/cykl .</w:t>
            </w:r>
          </w:p>
          <w:p w14:paraId="609FE40F" w14:textId="77777777" w:rsidR="002E3E30" w:rsidRDefault="0049607E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 xml:space="preserve">Leczenie </w:t>
            </w:r>
            <w:r w:rsidR="002E3E30" w:rsidRPr="008B46D9">
              <w:rPr>
                <w:sz w:val="20"/>
                <w:szCs w:val="20"/>
              </w:rPr>
              <w:t>obejmuje nie więcej niż 8 podań.</w:t>
            </w:r>
          </w:p>
          <w:p w14:paraId="475DF095" w14:textId="7E747C7F" w:rsidR="002D1962" w:rsidRPr="008B46D9" w:rsidRDefault="002D1962" w:rsidP="008B46D9">
            <w:pPr>
              <w:pStyle w:val="Akapitzlist"/>
              <w:autoSpaceDE w:val="0"/>
              <w:autoSpaceDN w:val="0"/>
              <w:adjustRightInd w:val="0"/>
              <w:spacing w:after="60"/>
              <w:ind w:left="0" w:right="48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878B" w14:textId="3AD793A3" w:rsidR="002E3E30" w:rsidRPr="008B46D9" w:rsidRDefault="00001380" w:rsidP="008B46D9">
            <w:pPr>
              <w:autoSpaceDE w:val="0"/>
              <w:autoSpaceDN w:val="0"/>
              <w:adjustRightInd w:val="0"/>
              <w:spacing w:before="120" w:after="60" w:line="240" w:lineRule="auto"/>
              <w:ind w:right="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2E3E30" w:rsidRPr="008B46D9">
              <w:rPr>
                <w:rFonts w:ascii="Times New Roman" w:hAnsi="Times New Roman"/>
                <w:b/>
                <w:bCs/>
                <w:sz w:val="20"/>
                <w:szCs w:val="20"/>
              </w:rPr>
              <w:t>Badania przy kwalifikacji</w:t>
            </w:r>
          </w:p>
          <w:p w14:paraId="7D945138" w14:textId="5A9460F6" w:rsidR="008D011C" w:rsidRPr="008B46D9" w:rsidRDefault="008D011C" w:rsidP="008B46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morfologia krwi obwodowej ze wzorem odsetkowym;</w:t>
            </w:r>
          </w:p>
          <w:p w14:paraId="3DFCC88E" w14:textId="29789688" w:rsidR="008D011C" w:rsidRPr="008B46D9" w:rsidRDefault="008D011C" w:rsidP="008B46D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ocena wydolności nerek i wątroby (kreatynina, eGFR, kwas moczowy, AST, ALT, bilirubina całkowita);</w:t>
            </w:r>
          </w:p>
          <w:p w14:paraId="422105EC" w14:textId="108C1C43" w:rsidR="00B77BA8" w:rsidRPr="008B46D9" w:rsidRDefault="00B77BA8" w:rsidP="008B46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ind w:left="370" w:right="3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aktywność dehydrogenazy mleczanowej (LDH)</w:t>
            </w:r>
            <w:r w:rsidR="00B54C92" w:rsidRPr="008B46D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72849758" w14:textId="227EC6D6" w:rsidR="00325F70" w:rsidRPr="008B46D9" w:rsidRDefault="008D011C" w:rsidP="008B46D9">
            <w:pPr>
              <w:pStyle w:val="Akapitzlist"/>
              <w:numPr>
                <w:ilvl w:val="0"/>
                <w:numId w:val="31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obrazowe, pozwalające na ocenę stopnia zaawansowania choroby (TK lub PET-TK lub NMR);</w:t>
            </w:r>
          </w:p>
          <w:p w14:paraId="713AA97A" w14:textId="193CE1A2" w:rsidR="00325F70" w:rsidRPr="008B46D9" w:rsidRDefault="00325F70" w:rsidP="008B46D9">
            <w:pPr>
              <w:pStyle w:val="Akapitzlist"/>
              <w:numPr>
                <w:ilvl w:val="0"/>
                <w:numId w:val="31"/>
              </w:numPr>
              <w:tabs>
                <w:tab w:val="left" w:pos="704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badanie histologiczne węzła chłonnego lub tkanki pozawęzłowej w tym ocena obecności</w:t>
            </w:r>
            <w:r w:rsidR="00E54E49" w:rsidRPr="008B46D9">
              <w:rPr>
                <w:sz w:val="20"/>
                <w:szCs w:val="20"/>
              </w:rPr>
              <w:t xml:space="preserve"> antygenu CD20;</w:t>
            </w:r>
          </w:p>
          <w:p w14:paraId="09E7D00F" w14:textId="78B7348A" w:rsidR="00EA6479" w:rsidRPr="008B46D9" w:rsidRDefault="008D011C" w:rsidP="008B46D9">
            <w:pPr>
              <w:pStyle w:val="Akapitzlist"/>
              <w:numPr>
                <w:ilvl w:val="0"/>
                <w:numId w:val="31"/>
              </w:numPr>
              <w:tabs>
                <w:tab w:val="left" w:pos="704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przesiewowe w kierunku WZW typu B, zawierające co najmniej testy w kierunku HbsAg i HbcAb; a w przypadku dodatniego wyniku HBsAg lub HBcAb badanie HBV-DNA;</w:t>
            </w:r>
          </w:p>
          <w:p w14:paraId="38B784E5" w14:textId="77777777" w:rsidR="008D011C" w:rsidRPr="008B46D9" w:rsidRDefault="008D011C" w:rsidP="008B46D9">
            <w:pPr>
              <w:pStyle w:val="Akapitzlist"/>
              <w:numPr>
                <w:ilvl w:val="0"/>
                <w:numId w:val="31"/>
              </w:numPr>
              <w:tabs>
                <w:tab w:val="left" w:pos="704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badania przesiewowe w kierunku WZW typu C, zawierające co najmniej oznaczenie przeciwciał anty-HCV, a w przypadku dodatniego wyniku badania na obecność przeciwciał anty-HCV badanie HCV-RNA;</w:t>
            </w:r>
          </w:p>
          <w:p w14:paraId="37361382" w14:textId="45FA4D7C" w:rsidR="00641880" w:rsidRPr="008B46D9" w:rsidRDefault="008D011C" w:rsidP="008B46D9">
            <w:pPr>
              <w:pStyle w:val="Akapitzlist"/>
              <w:numPr>
                <w:ilvl w:val="0"/>
                <w:numId w:val="31"/>
              </w:numPr>
              <w:tabs>
                <w:tab w:val="left" w:pos="704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test ciążowy u kobiet w wieku rozrodczym.</w:t>
            </w:r>
          </w:p>
          <w:p w14:paraId="4580032A" w14:textId="52454287" w:rsidR="002E3E30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Badania stosownie do wskazań lekarskich podczas diagnostyki chłoniaka w danej lokalizacji.</w:t>
            </w:r>
          </w:p>
          <w:p w14:paraId="5FFF98CC" w14:textId="77777777" w:rsidR="008B46D9" w:rsidRPr="008B46D9" w:rsidRDefault="008B46D9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B063161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2. Monitorowanie leczenia</w:t>
            </w:r>
          </w:p>
          <w:p w14:paraId="17A14F40" w14:textId="77777777" w:rsidR="002E3E30" w:rsidRPr="008B46D9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>Badanie przeprowadzane przed każdym podaniem leku:</w:t>
            </w:r>
          </w:p>
          <w:p w14:paraId="06ADF751" w14:textId="220BED48" w:rsidR="00B77BA8" w:rsidRPr="008B46D9" w:rsidRDefault="00B77BA8" w:rsidP="008B46D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morfologia krwi obwodowej ze wzorem odsetkowym;</w:t>
            </w:r>
          </w:p>
          <w:p w14:paraId="5AF5A59B" w14:textId="77777777" w:rsidR="00B77BA8" w:rsidRPr="008B46D9" w:rsidRDefault="00B77BA8" w:rsidP="008B46D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kreatyniny;</w:t>
            </w:r>
          </w:p>
          <w:p w14:paraId="1CDF1A94" w14:textId="77777777" w:rsidR="00B77BA8" w:rsidRPr="008B46D9" w:rsidRDefault="00B77BA8" w:rsidP="008B46D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kwasu moczowego;</w:t>
            </w:r>
          </w:p>
          <w:p w14:paraId="360B6F7E" w14:textId="77777777" w:rsidR="00B77BA8" w:rsidRPr="008B46D9" w:rsidRDefault="00B77BA8" w:rsidP="008B46D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elektrolity (stężenie sodu i potasu);</w:t>
            </w:r>
          </w:p>
          <w:p w14:paraId="6FC0F270" w14:textId="77777777" w:rsidR="00B77BA8" w:rsidRPr="008B46D9" w:rsidRDefault="00B77BA8" w:rsidP="008B46D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aktywność AST, ALT;</w:t>
            </w:r>
          </w:p>
          <w:p w14:paraId="617120AE" w14:textId="4A42BE75" w:rsidR="002E3E30" w:rsidRPr="008B46D9" w:rsidRDefault="00B77BA8" w:rsidP="008B46D9">
            <w:pPr>
              <w:pStyle w:val="Akapitzlist"/>
              <w:numPr>
                <w:ilvl w:val="0"/>
                <w:numId w:val="33"/>
              </w:numPr>
              <w:tabs>
                <w:tab w:val="left" w:pos="1966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stężenie bilirubiny</w:t>
            </w:r>
            <w:r w:rsidRPr="008B46D9">
              <w:rPr>
                <w:rStyle w:val="Odwoaniedokomentarza"/>
                <w:rFonts w:eastAsia="PMingLiU"/>
                <w:sz w:val="20"/>
                <w:szCs w:val="20"/>
              </w:rPr>
              <w:t>.</w:t>
            </w:r>
          </w:p>
          <w:p w14:paraId="4BFF949E" w14:textId="444D8B47" w:rsidR="002E3E30" w:rsidRPr="008B46D9" w:rsidRDefault="00B77BA8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46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Badania </w:t>
            </w:r>
            <w:r w:rsidR="002E3E30" w:rsidRPr="008B46D9">
              <w:rPr>
                <w:rFonts w:ascii="Times New Roman" w:hAnsi="Times New Roman"/>
                <w:sz w:val="20"/>
                <w:szCs w:val="20"/>
                <w:lang w:val="pl-PL"/>
              </w:rPr>
              <w:t>przeprowadzane po 3 lub 4 cyklu leczenia oraz po 8 cyklach (odpowiednio do ilości cykli w zastosowanym schemacie leczenia):</w:t>
            </w:r>
          </w:p>
          <w:p w14:paraId="2D1E107F" w14:textId="170C30A1" w:rsidR="00001380" w:rsidRPr="008B46D9" w:rsidRDefault="00B77BA8" w:rsidP="008B46D9">
            <w:pPr>
              <w:pStyle w:val="Akapitzlist"/>
              <w:numPr>
                <w:ilvl w:val="0"/>
                <w:numId w:val="44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Badanie obrazowe, pozwalające na ocenę stopnia zaawansowania choroby (TK lub PET-TK lub NMR)</w:t>
            </w:r>
            <w:r w:rsidR="00B54C92" w:rsidRPr="008B46D9">
              <w:rPr>
                <w:sz w:val="20"/>
                <w:szCs w:val="20"/>
              </w:rPr>
              <w:t>;</w:t>
            </w:r>
          </w:p>
          <w:p w14:paraId="6A6BF810" w14:textId="73A8AA4F" w:rsidR="00B54C92" w:rsidRDefault="002E3E30" w:rsidP="008B46D9">
            <w:pPr>
              <w:pStyle w:val="Akapitzlist"/>
              <w:numPr>
                <w:ilvl w:val="0"/>
                <w:numId w:val="44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370" w:right="37" w:hanging="283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EKG</w:t>
            </w:r>
            <w:r w:rsidR="004B1E3E" w:rsidRPr="008B46D9">
              <w:rPr>
                <w:sz w:val="20"/>
                <w:szCs w:val="20"/>
              </w:rPr>
              <w:t xml:space="preserve"> (u chorych leczonych schematem </w:t>
            </w:r>
            <w:r w:rsidR="00B54C92" w:rsidRPr="008B46D9">
              <w:rPr>
                <w:sz w:val="20"/>
                <w:szCs w:val="20"/>
              </w:rPr>
              <w:br/>
            </w:r>
            <w:r w:rsidR="004B1E3E" w:rsidRPr="008B46D9">
              <w:rPr>
                <w:sz w:val="20"/>
                <w:szCs w:val="20"/>
              </w:rPr>
              <w:t>R-CHOP</w:t>
            </w:r>
            <w:r w:rsidR="00B77BA8" w:rsidRPr="008B46D9">
              <w:rPr>
                <w:sz w:val="20"/>
                <w:szCs w:val="20"/>
              </w:rPr>
              <w:t>)</w:t>
            </w:r>
            <w:r w:rsidR="00B54C92" w:rsidRPr="008B46D9">
              <w:rPr>
                <w:sz w:val="20"/>
                <w:szCs w:val="20"/>
              </w:rPr>
              <w:t>.</w:t>
            </w:r>
          </w:p>
          <w:p w14:paraId="44A2A2A5" w14:textId="77777777" w:rsidR="008B46D9" w:rsidRPr="008B46D9" w:rsidRDefault="008B46D9" w:rsidP="008B46D9">
            <w:pPr>
              <w:pStyle w:val="Akapitzlist"/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left="370" w:right="37"/>
              <w:contextualSpacing w:val="0"/>
              <w:jc w:val="both"/>
              <w:rPr>
                <w:sz w:val="20"/>
                <w:szCs w:val="20"/>
              </w:rPr>
            </w:pPr>
          </w:p>
          <w:p w14:paraId="7B4BA994" w14:textId="41EEE544" w:rsidR="002E3E30" w:rsidRPr="008B46D9" w:rsidRDefault="002E3E30" w:rsidP="008B46D9">
            <w:pPr>
              <w:autoSpaceDE w:val="0"/>
              <w:autoSpaceDN w:val="0"/>
              <w:adjustRightInd w:val="0"/>
              <w:spacing w:after="60" w:line="240" w:lineRule="auto"/>
              <w:ind w:right="3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46D9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8B46D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 programu</w:t>
            </w:r>
          </w:p>
          <w:p w14:paraId="20B57B98" w14:textId="65833E3D" w:rsidR="002E3E30" w:rsidRPr="008B46D9" w:rsidRDefault="002E3E30" w:rsidP="008B46D9">
            <w:pPr>
              <w:pStyle w:val="Akapitzlist"/>
              <w:numPr>
                <w:ilvl w:val="0"/>
                <w:numId w:val="35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21" w:right="3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gromadzenie w dokumentacji medycznej pacjenta danych dotyczących monitorowania leczenia i</w:t>
            </w:r>
            <w:r w:rsidR="006323F1" w:rsidRPr="008B46D9">
              <w:rPr>
                <w:sz w:val="20"/>
                <w:szCs w:val="20"/>
              </w:rPr>
              <w:t> </w:t>
            </w:r>
            <w:r w:rsidRPr="008B46D9">
              <w:rPr>
                <w:sz w:val="20"/>
                <w:szCs w:val="20"/>
              </w:rPr>
              <w:t xml:space="preserve">każdorazowe ich przedstawianie </w:t>
            </w:r>
            <w:r w:rsidR="006323F1" w:rsidRPr="008B46D9">
              <w:rPr>
                <w:sz w:val="20"/>
                <w:szCs w:val="20"/>
              </w:rPr>
              <w:t xml:space="preserve">na żądanie kontrolerów </w:t>
            </w:r>
            <w:r w:rsidRPr="008B46D9">
              <w:rPr>
                <w:sz w:val="20"/>
                <w:szCs w:val="20"/>
              </w:rPr>
              <w:t>Narodowego Funduszu Zdrowia;</w:t>
            </w:r>
          </w:p>
          <w:p w14:paraId="6D532E30" w14:textId="49802437" w:rsidR="002E3E30" w:rsidRPr="008B46D9" w:rsidRDefault="002E3E30" w:rsidP="008B46D9">
            <w:pPr>
              <w:pStyle w:val="Akapitzlist"/>
              <w:numPr>
                <w:ilvl w:val="0"/>
                <w:numId w:val="35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421" w:right="37"/>
              <w:contextualSpacing w:val="0"/>
              <w:jc w:val="both"/>
              <w:rPr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14:paraId="5432B51C" w14:textId="77777777" w:rsidR="008B46D9" w:rsidRPr="002D1962" w:rsidRDefault="002E3E30" w:rsidP="002D196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ind w:left="421" w:right="3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46D9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  <w:p w14:paraId="416AEE13" w14:textId="6200CFD9" w:rsidR="002D1962" w:rsidRPr="002D1962" w:rsidRDefault="002D1962" w:rsidP="002D1962">
            <w:pPr>
              <w:pStyle w:val="Akapitzlist"/>
              <w:autoSpaceDE w:val="0"/>
              <w:autoSpaceDN w:val="0"/>
              <w:adjustRightInd w:val="0"/>
              <w:spacing w:after="60"/>
              <w:ind w:left="421" w:right="3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37DFD6D" w14:textId="4B186D4E" w:rsidR="00F03EE3" w:rsidRPr="006E4AE5" w:rsidRDefault="00F03EE3" w:rsidP="002D1962">
      <w:pPr>
        <w:rPr>
          <w:lang w:val="pl-PL"/>
        </w:rPr>
      </w:pPr>
    </w:p>
    <w:sectPr w:rsidR="00F03EE3" w:rsidRPr="006E4AE5" w:rsidSect="008B46D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DC1F4" w14:textId="77777777" w:rsidR="00DD5533" w:rsidRDefault="00DD5533" w:rsidP="007074EB">
      <w:pPr>
        <w:spacing w:after="0" w:line="240" w:lineRule="auto"/>
      </w:pPr>
      <w:r>
        <w:separator/>
      </w:r>
    </w:p>
  </w:endnote>
  <w:endnote w:type="continuationSeparator" w:id="0">
    <w:p w14:paraId="359D4841" w14:textId="77777777" w:rsidR="00DD5533" w:rsidRDefault="00DD5533" w:rsidP="007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7B15" w14:textId="77777777" w:rsidR="00DD5533" w:rsidRDefault="00DD5533" w:rsidP="007074EB">
      <w:pPr>
        <w:spacing w:after="0" w:line="240" w:lineRule="auto"/>
      </w:pPr>
      <w:r>
        <w:separator/>
      </w:r>
    </w:p>
  </w:footnote>
  <w:footnote w:type="continuationSeparator" w:id="0">
    <w:p w14:paraId="0DDC7021" w14:textId="77777777" w:rsidR="00DD5533" w:rsidRDefault="00DD5533" w:rsidP="0070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CFF"/>
    <w:multiLevelType w:val="hybridMultilevel"/>
    <w:tmpl w:val="9F1ED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73E"/>
    <w:multiLevelType w:val="hybridMultilevel"/>
    <w:tmpl w:val="AE14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697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658"/>
    <w:multiLevelType w:val="hybridMultilevel"/>
    <w:tmpl w:val="51B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EA7"/>
    <w:multiLevelType w:val="hybridMultilevel"/>
    <w:tmpl w:val="F1BEB96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14CE830A">
      <w:start w:val="1"/>
      <w:numFmt w:val="lowerLetter"/>
      <w:lvlText w:val="%2)"/>
      <w:lvlJc w:val="left"/>
      <w:pPr>
        <w:ind w:left="112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1FF0812C">
      <w:start w:val="1"/>
      <w:numFmt w:val="decimal"/>
      <w:lvlText w:val="%4."/>
      <w:lvlJc w:val="left"/>
      <w:pPr>
        <w:ind w:left="2565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7E91E5B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4FBE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546"/>
    <w:multiLevelType w:val="hybridMultilevel"/>
    <w:tmpl w:val="213A18D6"/>
    <w:lvl w:ilvl="0" w:tplc="0A92C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D55"/>
    <w:multiLevelType w:val="hybridMultilevel"/>
    <w:tmpl w:val="899213AE"/>
    <w:lvl w:ilvl="0" w:tplc="2528F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712"/>
    <w:multiLevelType w:val="hybridMultilevel"/>
    <w:tmpl w:val="73560E9A"/>
    <w:lvl w:ilvl="0" w:tplc="760C2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A93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15CC1"/>
    <w:multiLevelType w:val="hybridMultilevel"/>
    <w:tmpl w:val="045C81D4"/>
    <w:lvl w:ilvl="0" w:tplc="BC2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20D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495E"/>
    <w:multiLevelType w:val="hybridMultilevel"/>
    <w:tmpl w:val="2DC06A12"/>
    <w:lvl w:ilvl="0" w:tplc="3AD42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3E5232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5459"/>
    <w:multiLevelType w:val="hybridMultilevel"/>
    <w:tmpl w:val="B06E1C9A"/>
    <w:lvl w:ilvl="0" w:tplc="B3E85A24">
      <w:start w:val="10"/>
      <w:numFmt w:val="decimal"/>
      <w:lvlText w:val="%1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5" w15:restartNumberingAfterBreak="0">
    <w:nsid w:val="25E44A6B"/>
    <w:multiLevelType w:val="hybridMultilevel"/>
    <w:tmpl w:val="12B05342"/>
    <w:lvl w:ilvl="0" w:tplc="6FCC763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500997"/>
    <w:multiLevelType w:val="hybridMultilevel"/>
    <w:tmpl w:val="203CE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00BFE"/>
    <w:multiLevelType w:val="hybridMultilevel"/>
    <w:tmpl w:val="88F4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6EB9"/>
    <w:multiLevelType w:val="hybridMultilevel"/>
    <w:tmpl w:val="ED5A1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20235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673DD"/>
    <w:multiLevelType w:val="hybridMultilevel"/>
    <w:tmpl w:val="A6A20AFA"/>
    <w:lvl w:ilvl="0" w:tplc="18F2795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3DCF77DD"/>
    <w:multiLevelType w:val="hybridMultilevel"/>
    <w:tmpl w:val="FA448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4C79"/>
    <w:multiLevelType w:val="hybridMultilevel"/>
    <w:tmpl w:val="5E12681E"/>
    <w:lvl w:ilvl="0" w:tplc="BA8E8B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2597E"/>
    <w:multiLevelType w:val="hybridMultilevel"/>
    <w:tmpl w:val="9870946A"/>
    <w:lvl w:ilvl="0" w:tplc="F9944530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46252BBB"/>
    <w:multiLevelType w:val="hybridMultilevel"/>
    <w:tmpl w:val="A0DE1474"/>
    <w:lvl w:ilvl="0" w:tplc="EA02FA32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EA5EB6F6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 w15:restartNumberingAfterBreak="0">
    <w:nsid w:val="478B6C12"/>
    <w:multiLevelType w:val="hybridMultilevel"/>
    <w:tmpl w:val="ADF63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1A1F"/>
    <w:multiLevelType w:val="hybridMultilevel"/>
    <w:tmpl w:val="B6182928"/>
    <w:lvl w:ilvl="0" w:tplc="CE202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A976C9"/>
    <w:multiLevelType w:val="hybridMultilevel"/>
    <w:tmpl w:val="F014F4B8"/>
    <w:lvl w:ilvl="0" w:tplc="CF405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01EAA"/>
    <w:multiLevelType w:val="hybridMultilevel"/>
    <w:tmpl w:val="FDBA8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16F71"/>
    <w:multiLevelType w:val="hybridMultilevel"/>
    <w:tmpl w:val="22685D3A"/>
    <w:lvl w:ilvl="0" w:tplc="5A4C95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D1F36E3"/>
    <w:multiLevelType w:val="hybridMultilevel"/>
    <w:tmpl w:val="BD86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559C2"/>
    <w:multiLevelType w:val="hybridMultilevel"/>
    <w:tmpl w:val="C0BEBB2E"/>
    <w:lvl w:ilvl="0" w:tplc="825201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160A45"/>
    <w:multiLevelType w:val="hybridMultilevel"/>
    <w:tmpl w:val="235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66573"/>
    <w:multiLevelType w:val="hybridMultilevel"/>
    <w:tmpl w:val="FC584252"/>
    <w:lvl w:ilvl="0" w:tplc="901C2E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6C661F7"/>
    <w:multiLevelType w:val="hybridMultilevel"/>
    <w:tmpl w:val="9796C2CC"/>
    <w:lvl w:ilvl="0" w:tplc="9D203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029C3"/>
    <w:multiLevelType w:val="hybridMultilevel"/>
    <w:tmpl w:val="3786A1EA"/>
    <w:lvl w:ilvl="0" w:tplc="A9189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23C9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37"/>
  </w:num>
  <w:num w:numId="11">
    <w:abstractNumId w:val="5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26"/>
  </w:num>
  <w:num w:numId="17">
    <w:abstractNumId w:val="28"/>
  </w:num>
  <w:num w:numId="18">
    <w:abstractNumId w:val="29"/>
  </w:num>
  <w:num w:numId="19">
    <w:abstractNumId w:val="12"/>
  </w:num>
  <w:num w:numId="20">
    <w:abstractNumId w:val="0"/>
  </w:num>
  <w:num w:numId="21">
    <w:abstractNumId w:val="1"/>
  </w:num>
  <w:num w:numId="22">
    <w:abstractNumId w:val="31"/>
  </w:num>
  <w:num w:numId="23">
    <w:abstractNumId w:val="24"/>
  </w:num>
  <w:num w:numId="24">
    <w:abstractNumId w:val="23"/>
  </w:num>
  <w:num w:numId="25">
    <w:abstractNumId w:val="20"/>
  </w:num>
  <w:num w:numId="26">
    <w:abstractNumId w:val="9"/>
  </w:num>
  <w:num w:numId="27">
    <w:abstractNumId w:val="8"/>
  </w:num>
  <w:num w:numId="28">
    <w:abstractNumId w:val="11"/>
  </w:num>
  <w:num w:numId="29">
    <w:abstractNumId w:val="34"/>
  </w:num>
  <w:num w:numId="30">
    <w:abstractNumId w:val="36"/>
  </w:num>
  <w:num w:numId="31">
    <w:abstractNumId w:val="15"/>
  </w:num>
  <w:num w:numId="32">
    <w:abstractNumId w:val="7"/>
  </w:num>
  <w:num w:numId="33">
    <w:abstractNumId w:val="22"/>
  </w:num>
  <w:num w:numId="34">
    <w:abstractNumId w:val="14"/>
  </w:num>
  <w:num w:numId="35">
    <w:abstractNumId w:val="27"/>
  </w:num>
  <w:num w:numId="36">
    <w:abstractNumId w:val="17"/>
  </w:num>
  <w:num w:numId="37">
    <w:abstractNumId w:val="21"/>
  </w:num>
  <w:num w:numId="38">
    <w:abstractNumId w:val="32"/>
  </w:num>
  <w:num w:numId="39">
    <w:abstractNumId w:val="25"/>
  </w:num>
  <w:num w:numId="40">
    <w:abstractNumId w:val="16"/>
  </w:num>
  <w:num w:numId="41">
    <w:abstractNumId w:val="35"/>
  </w:num>
  <w:num w:numId="42">
    <w:abstractNumId w:val="30"/>
  </w:num>
  <w:num w:numId="43">
    <w:abstractNumId w:val="18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3"/>
    <w:rsid w:val="00001380"/>
    <w:rsid w:val="00015C70"/>
    <w:rsid w:val="0001692B"/>
    <w:rsid w:val="000265C8"/>
    <w:rsid w:val="00031690"/>
    <w:rsid w:val="000618E4"/>
    <w:rsid w:val="000C5779"/>
    <w:rsid w:val="0013774F"/>
    <w:rsid w:val="00173155"/>
    <w:rsid w:val="001C1490"/>
    <w:rsid w:val="001F2F31"/>
    <w:rsid w:val="002041EB"/>
    <w:rsid w:val="00225033"/>
    <w:rsid w:val="002A13BB"/>
    <w:rsid w:val="002B739D"/>
    <w:rsid w:val="002D1962"/>
    <w:rsid w:val="002E3E30"/>
    <w:rsid w:val="002E55F3"/>
    <w:rsid w:val="002F2FF2"/>
    <w:rsid w:val="002F6023"/>
    <w:rsid w:val="00325F70"/>
    <w:rsid w:val="0035045C"/>
    <w:rsid w:val="003512E3"/>
    <w:rsid w:val="004215C8"/>
    <w:rsid w:val="004651AD"/>
    <w:rsid w:val="00467AD3"/>
    <w:rsid w:val="0049607E"/>
    <w:rsid w:val="004B1E3E"/>
    <w:rsid w:val="004E5084"/>
    <w:rsid w:val="004E660A"/>
    <w:rsid w:val="00532485"/>
    <w:rsid w:val="005D7ED1"/>
    <w:rsid w:val="00617645"/>
    <w:rsid w:val="006323F1"/>
    <w:rsid w:val="00641880"/>
    <w:rsid w:val="006622FB"/>
    <w:rsid w:val="006E3B36"/>
    <w:rsid w:val="006E4AE5"/>
    <w:rsid w:val="007074EB"/>
    <w:rsid w:val="00726C05"/>
    <w:rsid w:val="00733036"/>
    <w:rsid w:val="0075129B"/>
    <w:rsid w:val="00766E06"/>
    <w:rsid w:val="007D3EAF"/>
    <w:rsid w:val="007E2A54"/>
    <w:rsid w:val="008B46D9"/>
    <w:rsid w:val="008D011C"/>
    <w:rsid w:val="0090243E"/>
    <w:rsid w:val="00932978"/>
    <w:rsid w:val="00947AEC"/>
    <w:rsid w:val="00967BB4"/>
    <w:rsid w:val="009712CD"/>
    <w:rsid w:val="009F72B1"/>
    <w:rsid w:val="00A2037E"/>
    <w:rsid w:val="00A355ED"/>
    <w:rsid w:val="00A467CD"/>
    <w:rsid w:val="00A63448"/>
    <w:rsid w:val="00A95393"/>
    <w:rsid w:val="00AB3172"/>
    <w:rsid w:val="00B2291A"/>
    <w:rsid w:val="00B54C92"/>
    <w:rsid w:val="00B57EC2"/>
    <w:rsid w:val="00B62B38"/>
    <w:rsid w:val="00B77BA8"/>
    <w:rsid w:val="00BB7120"/>
    <w:rsid w:val="00BF07DB"/>
    <w:rsid w:val="00C26DAF"/>
    <w:rsid w:val="00CC05A7"/>
    <w:rsid w:val="00CD3DA7"/>
    <w:rsid w:val="00D05A1E"/>
    <w:rsid w:val="00D16026"/>
    <w:rsid w:val="00D25D82"/>
    <w:rsid w:val="00D51FA5"/>
    <w:rsid w:val="00DD5533"/>
    <w:rsid w:val="00E24F42"/>
    <w:rsid w:val="00E54E49"/>
    <w:rsid w:val="00E90630"/>
    <w:rsid w:val="00EA6479"/>
    <w:rsid w:val="00EB52F7"/>
    <w:rsid w:val="00F03EE3"/>
    <w:rsid w:val="00F57E84"/>
    <w:rsid w:val="00F62A20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497"/>
  <w15:chartTrackingRefBased/>
  <w15:docId w15:val="{C93C6F9F-D635-4B1A-AAB5-D1BC471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033"/>
    <w:pPr>
      <w:spacing w:after="200" w:line="276" w:lineRule="auto"/>
    </w:pPr>
    <w:rPr>
      <w:rFonts w:ascii="Minion" w:eastAsia="PMingLiU" w:hAnsi="Minion" w:cs="Times New Roman"/>
      <w:lang w:val="en-US"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82"/>
    <w:rPr>
      <w:rFonts w:ascii="Segoe UI" w:eastAsia="PMingLiU" w:hAnsi="Segoe UI" w:cs="Segoe UI"/>
      <w:sz w:val="18"/>
      <w:szCs w:val="18"/>
      <w:lang w:val="en-US" w:eastAsia="zh-TW"/>
    </w:rPr>
  </w:style>
  <w:style w:type="paragraph" w:styleId="Nagwek">
    <w:name w:val="header"/>
    <w:basedOn w:val="Normalny"/>
    <w:link w:val="NagwekZnak"/>
    <w:uiPriority w:val="99"/>
    <w:unhideWhenUsed/>
    <w:rsid w:val="007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4EB"/>
    <w:rPr>
      <w:rFonts w:ascii="Minion" w:eastAsia="PMingLiU" w:hAnsi="Minion" w:cs="Times New Roman"/>
      <w:lang w:val="en-US" w:eastAsia="zh-TW"/>
    </w:rPr>
  </w:style>
  <w:style w:type="paragraph" w:styleId="Stopka">
    <w:name w:val="footer"/>
    <w:basedOn w:val="Normalny"/>
    <w:link w:val="StopkaZnak"/>
    <w:uiPriority w:val="99"/>
    <w:unhideWhenUsed/>
    <w:rsid w:val="007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4EB"/>
    <w:rPr>
      <w:rFonts w:ascii="Minion" w:eastAsia="PMingLiU" w:hAnsi="Minion" w:cs="Times New Roman"/>
      <w:lang w:val="en-US" w:eastAsia="zh-TW"/>
    </w:rPr>
  </w:style>
  <w:style w:type="character" w:styleId="Odwoaniedokomentarza">
    <w:name w:val="annotation reference"/>
    <w:basedOn w:val="Domylnaczcionkaakapitu"/>
    <w:semiHidden/>
    <w:unhideWhenUsed/>
    <w:rsid w:val="001F2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F31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F31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paragraph" w:styleId="Akapitzlist">
    <w:name w:val="List Paragraph"/>
    <w:basedOn w:val="Normalny"/>
    <w:uiPriority w:val="34"/>
    <w:qFormat/>
    <w:rsid w:val="00E24F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4F4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F42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104A-0F01-4E9B-8DCC-BA06AFF5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2069</Words>
  <Characters>12418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Paulina</dc:creator>
  <cp:keywords/>
  <dc:description/>
  <cp:lastModifiedBy>Królak-Buzakowska Joanna</cp:lastModifiedBy>
  <cp:revision>2</cp:revision>
  <cp:lastPrinted>2018-03-26T07:55:00Z</cp:lastPrinted>
  <dcterms:created xsi:type="dcterms:W3CDTF">2019-12-13T09:22:00Z</dcterms:created>
  <dcterms:modified xsi:type="dcterms:W3CDTF">2019-12-13T09:22:00Z</dcterms:modified>
</cp:coreProperties>
</file>