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D4B" w:rsidRDefault="001E66F6">
      <w:pPr>
        <w:spacing w:after="0"/>
      </w:pPr>
      <w:bookmarkStart w:id="0" w:name="_GoBack"/>
      <w:bookmarkEnd w:id="0"/>
      <w:r>
        <w:t xml:space="preserve"> GKN.6845.16.2024.BM                                                                                                                                                                                                         </w:t>
      </w:r>
      <w:r>
        <w:rPr>
          <w:i/>
          <w:color w:val="000000"/>
          <w:sz w:val="24"/>
          <w:szCs w:val="24"/>
        </w:rPr>
        <w:t>Załącznik nr 1</w:t>
      </w:r>
    </w:p>
    <w:p w:rsidR="00E10D4B" w:rsidRDefault="001E66F6">
      <w:pPr>
        <w:spacing w:after="0" w:line="240" w:lineRule="auto"/>
        <w:jc w:val="center"/>
        <w:rPr>
          <w:rFonts w:ascii="Calibri" w:hAnsi="Calibri"/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do zarządzenia nr 26/2024</w:t>
      </w:r>
    </w:p>
    <w:p w:rsidR="00E10D4B" w:rsidRDefault="001E66F6">
      <w:pPr>
        <w:spacing w:after="0" w:line="240" w:lineRule="auto"/>
        <w:jc w:val="right"/>
        <w:rPr>
          <w:rFonts w:ascii="Calibri" w:hAnsi="Calibri"/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 xml:space="preserve">Starosty Łęczyckiego </w:t>
      </w:r>
    </w:p>
    <w:p w:rsidR="00E10D4B" w:rsidRDefault="001E66F6">
      <w:pPr>
        <w:spacing w:after="0" w:line="240" w:lineRule="auto"/>
        <w:jc w:val="right"/>
        <w:rPr>
          <w:sz w:val="24"/>
          <w:szCs w:val="24"/>
        </w:rPr>
      </w:pPr>
      <w:r>
        <w:rPr>
          <w:i/>
          <w:color w:val="000000"/>
          <w:sz w:val="24"/>
          <w:szCs w:val="24"/>
        </w:rPr>
        <w:t>z dnia 08.08.2024 r.</w:t>
      </w:r>
    </w:p>
    <w:p w:rsidR="00E10D4B" w:rsidRDefault="001E66F6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STAROSTA ŁĘCZYCKI</w:t>
      </w:r>
    </w:p>
    <w:p w:rsidR="00E10D4B" w:rsidRDefault="001E66F6">
      <w:pPr>
        <w:spacing w:after="0"/>
        <w:jc w:val="center"/>
        <w:rPr>
          <w:b/>
        </w:rPr>
      </w:pPr>
      <w:r>
        <w:rPr>
          <w:b/>
        </w:rPr>
        <w:t>podaje do publicznej wiadomości</w:t>
      </w:r>
    </w:p>
    <w:p w:rsidR="00E10D4B" w:rsidRDefault="001E66F6">
      <w:pPr>
        <w:spacing w:after="0"/>
        <w:jc w:val="center"/>
        <w:rPr>
          <w:b/>
        </w:rPr>
      </w:pPr>
      <w:r>
        <w:rPr>
          <w:b/>
        </w:rPr>
        <w:t>WYKAZ</w:t>
      </w:r>
    </w:p>
    <w:p w:rsidR="00E10D4B" w:rsidRDefault="001E66F6">
      <w:pPr>
        <w:spacing w:after="0"/>
        <w:jc w:val="center"/>
        <w:rPr>
          <w:b/>
        </w:rPr>
      </w:pPr>
      <w:r>
        <w:rPr>
          <w:b/>
        </w:rPr>
        <w:t>nieruchomości stanowiącej własność Skarbu Państwa, przeznaczonej do oddania w dzierżawę w drodze bezprzetargowej na czas oznaczony do lat 3.</w:t>
      </w:r>
    </w:p>
    <w:p w:rsidR="00E10D4B" w:rsidRDefault="00E10D4B">
      <w:pPr>
        <w:spacing w:after="0"/>
        <w:jc w:val="center"/>
        <w:rPr>
          <w:b/>
        </w:rPr>
      </w:pPr>
    </w:p>
    <w:p w:rsidR="00E10D4B" w:rsidRDefault="001E66F6">
      <w:pPr>
        <w:spacing w:after="0"/>
        <w:jc w:val="center"/>
      </w:pPr>
      <w:r>
        <w:t>Sporządzono na podstawie art. 35 ust. 1 i 2 ustawy z dnia 21 sierpnia 1997 r. o gospodarce nieruchomościami (Dz. U. z 2024 r., poz. 1145)</w:t>
      </w:r>
    </w:p>
    <w:tbl>
      <w:tblPr>
        <w:tblStyle w:val="Tabela-Siatka"/>
        <w:tblW w:w="15723" w:type="dxa"/>
        <w:tblInd w:w="-906" w:type="dxa"/>
        <w:tblLayout w:type="fixed"/>
        <w:tblLook w:val="04A0" w:firstRow="1" w:lastRow="0" w:firstColumn="1" w:lastColumn="0" w:noHBand="0" w:noVBand="1"/>
      </w:tblPr>
      <w:tblGrid>
        <w:gridCol w:w="496"/>
        <w:gridCol w:w="2845"/>
        <w:gridCol w:w="1645"/>
        <w:gridCol w:w="2099"/>
        <w:gridCol w:w="3680"/>
        <w:gridCol w:w="1530"/>
        <w:gridCol w:w="1970"/>
        <w:gridCol w:w="1458"/>
      </w:tblGrid>
      <w:tr w:rsidR="00E10D4B">
        <w:tc>
          <w:tcPr>
            <w:tcW w:w="495" w:type="dxa"/>
          </w:tcPr>
          <w:p w:rsidR="00E10D4B" w:rsidRDefault="001E66F6">
            <w:pPr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>Lp.</w:t>
            </w:r>
          </w:p>
        </w:tc>
        <w:tc>
          <w:tcPr>
            <w:tcW w:w="2844" w:type="dxa"/>
          </w:tcPr>
          <w:p w:rsidR="00E10D4B" w:rsidRDefault="00E10D4B">
            <w:pPr>
              <w:spacing w:after="0" w:line="240" w:lineRule="auto"/>
              <w:jc w:val="center"/>
              <w:rPr>
                <w:b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>Oznaczenie nieruchomości wg KW i wg ewidencji</w:t>
            </w:r>
          </w:p>
        </w:tc>
        <w:tc>
          <w:tcPr>
            <w:tcW w:w="1645" w:type="dxa"/>
          </w:tcPr>
          <w:p w:rsidR="00E10D4B" w:rsidRDefault="00E10D4B">
            <w:pPr>
              <w:spacing w:after="0" w:line="240" w:lineRule="auto"/>
              <w:jc w:val="center"/>
              <w:rPr>
                <w:b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>Pow. nieruchomości</w:t>
            </w:r>
          </w:p>
        </w:tc>
        <w:tc>
          <w:tcPr>
            <w:tcW w:w="2099" w:type="dxa"/>
          </w:tcPr>
          <w:p w:rsidR="00E10D4B" w:rsidRDefault="00E10D4B">
            <w:pPr>
              <w:spacing w:after="0" w:line="240" w:lineRule="auto"/>
              <w:jc w:val="center"/>
              <w:rPr>
                <w:b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>Położenie / opis</w:t>
            </w:r>
          </w:p>
          <w:p w:rsidR="00E10D4B" w:rsidRDefault="001E66F6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>nieruchomości</w:t>
            </w:r>
          </w:p>
        </w:tc>
        <w:tc>
          <w:tcPr>
            <w:tcW w:w="3680" w:type="dxa"/>
          </w:tcPr>
          <w:p w:rsidR="00E10D4B" w:rsidRDefault="00E10D4B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 xml:space="preserve"> Przeznaczenie nieruchomości</w:t>
            </w:r>
          </w:p>
          <w:p w:rsidR="00E10D4B" w:rsidRDefault="001E66F6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>oraz</w:t>
            </w:r>
          </w:p>
          <w:p w:rsidR="00E10D4B" w:rsidRDefault="001E66F6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 xml:space="preserve"> sposób jej zagospodarowania</w:t>
            </w:r>
          </w:p>
        </w:tc>
        <w:tc>
          <w:tcPr>
            <w:tcW w:w="1530" w:type="dxa"/>
          </w:tcPr>
          <w:p w:rsidR="00E10D4B" w:rsidRDefault="001E66F6">
            <w:pPr>
              <w:spacing w:after="0" w:line="240" w:lineRule="auto"/>
              <w:jc w:val="center"/>
              <w:rPr>
                <w:b/>
              </w:rPr>
            </w:pPr>
            <w:r>
              <w:rPr>
                <w:rFonts w:eastAsia="Calibri"/>
                <w:b/>
              </w:rPr>
              <w:t>Cena rocznego czynszu dzierżawnego</w:t>
            </w:r>
          </w:p>
          <w:p w:rsidR="00E10D4B" w:rsidRDefault="00E10D4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970" w:type="dxa"/>
          </w:tcPr>
          <w:p w:rsidR="00E10D4B" w:rsidRDefault="00E10D4B">
            <w:pPr>
              <w:spacing w:after="0" w:line="240" w:lineRule="auto"/>
              <w:jc w:val="center"/>
              <w:rPr>
                <w:b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b/>
              </w:rPr>
            </w:pPr>
            <w:r>
              <w:rPr>
                <w:rFonts w:eastAsia="Calibri"/>
                <w:b/>
              </w:rPr>
              <w:t>Zasady aktualizacji opłat</w:t>
            </w:r>
          </w:p>
        </w:tc>
        <w:tc>
          <w:tcPr>
            <w:tcW w:w="1458" w:type="dxa"/>
          </w:tcPr>
          <w:p w:rsidR="00E10D4B" w:rsidRDefault="00E10D4B">
            <w:pPr>
              <w:spacing w:after="0" w:line="240" w:lineRule="auto"/>
              <w:jc w:val="center"/>
              <w:rPr>
                <w:b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</w:rPr>
              <w:t>Termin wnoszenia czynszu</w:t>
            </w:r>
          </w:p>
        </w:tc>
      </w:tr>
      <w:tr w:rsidR="00E10D4B">
        <w:trPr>
          <w:trHeight w:val="104"/>
        </w:trPr>
        <w:tc>
          <w:tcPr>
            <w:tcW w:w="495" w:type="dxa"/>
          </w:tcPr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1E66F6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  <w:r>
              <w:rPr>
                <w:rFonts w:eastAsia="Calibri"/>
                <w:b/>
                <w:bCs/>
              </w:rPr>
              <w:t>1.</w:t>
            </w: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</w:tc>
        <w:tc>
          <w:tcPr>
            <w:tcW w:w="2844" w:type="dxa"/>
          </w:tcPr>
          <w:p w:rsidR="00E10D4B" w:rsidRDefault="00E10D4B">
            <w:pPr>
              <w:spacing w:after="0" w:line="240" w:lineRule="auto"/>
              <w:rPr>
                <w:rFonts w:ascii="Calibri" w:eastAsia="Calibri" w:hAnsi="Calibri"/>
              </w:rPr>
            </w:pPr>
          </w:p>
          <w:p w:rsidR="00E10D4B" w:rsidRDefault="001E66F6">
            <w:pPr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  <w:b/>
                <w:bCs/>
              </w:rPr>
              <w:t>Nieruchomość</w:t>
            </w:r>
            <w:r>
              <w:rPr>
                <w:rFonts w:eastAsia="Calibri"/>
              </w:rPr>
              <w:t xml:space="preserve"> - działka:</w:t>
            </w:r>
          </w:p>
          <w:p w:rsidR="00E10D4B" w:rsidRDefault="001E66F6">
            <w:pPr>
              <w:spacing w:after="0" w:line="240" w:lineRule="auto"/>
              <w:jc w:val="both"/>
              <w:rPr>
                <w:rStyle w:val="Pogrubienie"/>
                <w:rFonts w:ascii="Calibri" w:hAnsi="Calibri" w:cs="Calibri"/>
                <w:b w:val="0"/>
                <w:bCs w:val="0"/>
                <w:color w:val="000000"/>
              </w:rPr>
            </w:pPr>
            <w:r>
              <w:rPr>
                <w:rStyle w:val="Pogrubienie"/>
                <w:rFonts w:cs="Calibri"/>
                <w:color w:val="000000"/>
              </w:rPr>
              <w:t>nr 150/2</w:t>
            </w:r>
          </w:p>
          <w:p w:rsidR="00E10D4B" w:rsidRDefault="00E10D4B">
            <w:pPr>
              <w:spacing w:after="0" w:line="240" w:lineRule="auto"/>
              <w:jc w:val="both"/>
            </w:pPr>
          </w:p>
          <w:p w:rsidR="00E10D4B" w:rsidRDefault="001E66F6">
            <w:pPr>
              <w:spacing w:after="0" w:line="240" w:lineRule="auto"/>
              <w:jc w:val="both"/>
            </w:pPr>
            <w:r>
              <w:rPr>
                <w:rStyle w:val="Pogrubienie"/>
                <w:rFonts w:cs="Calibri"/>
                <w:b w:val="0"/>
                <w:bCs w:val="0"/>
                <w:color w:val="000000"/>
              </w:rPr>
              <w:t>KW nr LD1Y/00064903/9</w:t>
            </w:r>
          </w:p>
          <w:p w:rsidR="00E10D4B" w:rsidRDefault="00E10D4B">
            <w:pPr>
              <w:spacing w:after="0" w:line="240" w:lineRule="auto"/>
            </w:pPr>
          </w:p>
          <w:p w:rsidR="00E10D4B" w:rsidRDefault="00E10D4B">
            <w:pPr>
              <w:spacing w:after="0" w:line="240" w:lineRule="auto"/>
              <w:jc w:val="both"/>
            </w:pPr>
          </w:p>
        </w:tc>
        <w:tc>
          <w:tcPr>
            <w:tcW w:w="1645" w:type="dxa"/>
          </w:tcPr>
          <w:p w:rsidR="00E10D4B" w:rsidRDefault="00E10D4B">
            <w:pPr>
              <w:spacing w:after="0" w:line="240" w:lineRule="auto"/>
              <w:rPr>
                <w:rStyle w:val="Pogrubienie"/>
                <w:rFonts w:ascii="Calibri" w:hAnsi="Calibri" w:cs="Calibri"/>
                <w:b w:val="0"/>
                <w:bCs w:val="0"/>
                <w:color w:val="000000"/>
              </w:rPr>
            </w:pPr>
          </w:p>
          <w:p w:rsidR="00E10D4B" w:rsidRDefault="00E10D4B">
            <w:pPr>
              <w:spacing w:after="0" w:line="240" w:lineRule="auto"/>
              <w:jc w:val="both"/>
            </w:pPr>
          </w:p>
          <w:p w:rsidR="00E10D4B" w:rsidRDefault="001E66F6">
            <w:pPr>
              <w:spacing w:after="0" w:line="240" w:lineRule="auto"/>
              <w:jc w:val="both"/>
              <w:rPr>
                <w:rStyle w:val="Pogrubienie"/>
                <w:rFonts w:ascii="Calibri" w:hAnsi="Calibri" w:cs="Calibri"/>
                <w:b w:val="0"/>
                <w:bCs w:val="0"/>
                <w:color w:val="000000"/>
              </w:rPr>
            </w:pPr>
            <w:r>
              <w:rPr>
                <w:rStyle w:val="Pogrubienie"/>
                <w:rFonts w:cs="Calibri"/>
                <w:color w:val="000000"/>
              </w:rPr>
              <w:t>1,8598 ha</w:t>
            </w:r>
          </w:p>
          <w:p w:rsidR="00E10D4B" w:rsidRDefault="00E10D4B">
            <w:pPr>
              <w:spacing w:after="29" w:line="240" w:lineRule="auto"/>
              <w:jc w:val="both"/>
              <w:rPr>
                <w:rStyle w:val="Pogrubienie"/>
                <w:rFonts w:ascii="Calibri" w:hAnsi="Calibri" w:cs="Calibri"/>
                <w:b w:val="0"/>
                <w:bCs w:val="0"/>
                <w:color w:val="000000"/>
              </w:rPr>
            </w:pPr>
          </w:p>
        </w:tc>
        <w:tc>
          <w:tcPr>
            <w:tcW w:w="2099" w:type="dxa"/>
          </w:tcPr>
          <w:p w:rsidR="00E10D4B" w:rsidRDefault="00E10D4B">
            <w:pPr>
              <w:spacing w:after="0" w:line="240" w:lineRule="auto"/>
              <w:rPr>
                <w:rFonts w:ascii="Calibri" w:eastAsia="Calibri" w:hAnsi="Calibri"/>
              </w:rPr>
            </w:pPr>
          </w:p>
          <w:p w:rsidR="00E10D4B" w:rsidRDefault="001E66F6">
            <w:pPr>
              <w:spacing w:after="0" w:line="240" w:lineRule="auto"/>
            </w:pPr>
            <w:r>
              <w:rPr>
                <w:rFonts w:eastAsia="Calibri"/>
              </w:rPr>
              <w:t>województwo: łódzkie</w:t>
            </w:r>
          </w:p>
          <w:p w:rsidR="00E10D4B" w:rsidRDefault="001E66F6">
            <w:pPr>
              <w:spacing w:after="0" w:line="240" w:lineRule="auto"/>
            </w:pPr>
            <w:r>
              <w:rPr>
                <w:rFonts w:eastAsia="Calibri"/>
              </w:rPr>
              <w:t>powiat: łęczycki</w:t>
            </w:r>
          </w:p>
          <w:p w:rsidR="00E10D4B" w:rsidRDefault="001E66F6">
            <w:pPr>
              <w:spacing w:after="0" w:line="240" w:lineRule="auto"/>
            </w:pPr>
            <w:r>
              <w:rPr>
                <w:rFonts w:eastAsia="Calibri"/>
              </w:rPr>
              <w:t>gmina:</w:t>
            </w:r>
          </w:p>
          <w:p w:rsidR="00E10D4B" w:rsidRDefault="001E66F6">
            <w:pPr>
              <w:spacing w:after="0" w:line="240" w:lineRule="auto"/>
            </w:pPr>
            <w:r>
              <w:rPr>
                <w:rFonts w:eastAsia="Calibri"/>
              </w:rPr>
              <w:t>Grabów Miasto</w:t>
            </w:r>
          </w:p>
          <w:p w:rsidR="00E10D4B" w:rsidRDefault="001E66F6">
            <w:pPr>
              <w:spacing w:after="0" w:line="240" w:lineRule="auto"/>
            </w:pPr>
            <w:r>
              <w:rPr>
                <w:rFonts w:eastAsia="Calibri"/>
                <w:b/>
                <w:bCs/>
              </w:rPr>
              <w:t>obręb:</w:t>
            </w:r>
          </w:p>
          <w:p w:rsidR="00E10D4B" w:rsidRDefault="001E66F6">
            <w:pPr>
              <w:spacing w:after="0" w:line="240" w:lineRule="auto"/>
            </w:pPr>
            <w:r>
              <w:rPr>
                <w:rFonts w:eastAsia="Calibri"/>
                <w:b/>
                <w:bCs/>
              </w:rPr>
              <w:t>Grabów Wieś</w:t>
            </w:r>
          </w:p>
          <w:p w:rsidR="00E10D4B" w:rsidRDefault="00E10D4B">
            <w:pPr>
              <w:spacing w:after="0" w:line="240" w:lineRule="auto"/>
              <w:rPr>
                <w:rFonts w:ascii="Calibri" w:eastAsia="Calibri" w:hAnsi="Calibri"/>
                <w:b/>
                <w:bCs/>
              </w:rPr>
            </w:pPr>
          </w:p>
          <w:p w:rsidR="00E10D4B" w:rsidRDefault="001E66F6">
            <w:pPr>
              <w:spacing w:after="0" w:line="240" w:lineRule="auto"/>
            </w:pPr>
            <w:r>
              <w:rPr>
                <w:rFonts w:eastAsia="Calibri"/>
              </w:rPr>
              <w:t>Nieruchomość - staw</w:t>
            </w:r>
          </w:p>
        </w:tc>
        <w:tc>
          <w:tcPr>
            <w:tcW w:w="3680" w:type="dxa"/>
          </w:tcPr>
          <w:p w:rsidR="00E10D4B" w:rsidRDefault="00E10D4B">
            <w:pPr>
              <w:spacing w:after="0" w:line="240" w:lineRule="auto"/>
              <w:rPr>
                <w:rFonts w:ascii="Calibri" w:eastAsia="Calibri" w:hAnsi="Calibri"/>
              </w:rPr>
            </w:pPr>
          </w:p>
          <w:p w:rsidR="00E10D4B" w:rsidRDefault="001E66F6">
            <w:pPr>
              <w:spacing w:after="0" w:line="240" w:lineRule="auto"/>
              <w:jc w:val="center"/>
            </w:pPr>
            <w:r>
              <w:rPr>
                <w:rFonts w:eastAsia="Calibri" w:cs="0"/>
                <w:color w:val="000000"/>
              </w:rPr>
              <w:t xml:space="preserve">Zgodnie z miejscowym planem zagospodarowania przestrzennego przyjętego Uchwałą nr XII/80/03 Rady Gminy Grabów z dnia 30 grudnia 2003 r., </w:t>
            </w:r>
            <w:r>
              <w:rPr>
                <w:rFonts w:eastAsia="Calibri"/>
                <w:color w:val="000000"/>
              </w:rPr>
              <w:t>działka: nr 150/2</w:t>
            </w:r>
          </w:p>
          <w:p w:rsidR="00E10D4B" w:rsidRDefault="001E66F6">
            <w:pPr>
              <w:spacing w:after="0" w:line="240" w:lineRule="auto"/>
              <w:jc w:val="center"/>
            </w:pPr>
            <w:r>
              <w:rPr>
                <w:rFonts w:eastAsia="Calibri"/>
                <w:color w:val="000000"/>
              </w:rPr>
              <w:t>przeznaczona jest pod tereny oznaczone 1WS – urządzenia produkcji gospodarki rolnej rybnej – stawy rybne.</w:t>
            </w:r>
          </w:p>
          <w:p w:rsidR="00E10D4B" w:rsidRDefault="00E10D4B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</w:p>
          <w:p w:rsidR="00E10D4B" w:rsidRDefault="001E66F6">
            <w:pPr>
              <w:spacing w:after="0" w:line="240" w:lineRule="auto"/>
              <w:jc w:val="center"/>
            </w:pPr>
            <w:r>
              <w:rPr>
                <w:rFonts w:eastAsia="Calibri"/>
              </w:rPr>
              <w:t>Aktualny sposób zagospodarowania nieruchomości: hodowla ryb i cele sportowo rekreacyjne – wędkarstwo.</w:t>
            </w:r>
          </w:p>
        </w:tc>
        <w:tc>
          <w:tcPr>
            <w:tcW w:w="1530" w:type="dxa"/>
          </w:tcPr>
          <w:p w:rsidR="00E10D4B" w:rsidRDefault="00E10D4B">
            <w:pPr>
              <w:spacing w:after="0" w:line="240" w:lineRule="auto"/>
              <w:rPr>
                <w:rFonts w:ascii="Calibri" w:eastAsia="Calibri" w:hAnsi="Calibri"/>
                <w:color w:val="00A933"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rFonts w:eastAsia="Calibri"/>
                <w:b/>
                <w:bCs/>
                <w:color w:val="000000"/>
              </w:rPr>
              <w:t>1 860,00 zł</w:t>
            </w:r>
          </w:p>
          <w:p w:rsidR="00E10D4B" w:rsidRDefault="001E66F6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rFonts w:eastAsia="Calibri"/>
                <w:b/>
                <w:bCs/>
                <w:color w:val="000000"/>
                <w:sz w:val="21"/>
                <w:szCs w:val="21"/>
              </w:rPr>
              <w:t>+ podatek VAT</w:t>
            </w:r>
          </w:p>
          <w:p w:rsidR="00E10D4B" w:rsidRDefault="00E10D4B">
            <w:pPr>
              <w:spacing w:after="0" w:line="240" w:lineRule="auto"/>
              <w:jc w:val="center"/>
              <w:rPr>
                <w:rFonts w:ascii="Calibri" w:eastAsia="Calibri" w:hAnsi="Calibri"/>
                <w:b/>
                <w:bCs/>
                <w:sz w:val="21"/>
                <w:szCs w:val="21"/>
              </w:rPr>
            </w:pPr>
          </w:p>
        </w:tc>
        <w:tc>
          <w:tcPr>
            <w:tcW w:w="1970" w:type="dxa"/>
          </w:tcPr>
          <w:p w:rsidR="00E10D4B" w:rsidRDefault="00E10D4B">
            <w:pPr>
              <w:spacing w:after="0" w:line="240" w:lineRule="auto"/>
              <w:rPr>
                <w:rFonts w:ascii="Calibri" w:eastAsia="Calibri" w:hAnsi="Calibri"/>
                <w:color w:val="000000"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</w:rPr>
              <w:t>Ustalony czynsz z tyt. umowy dzierżawy podlegał będzie corocznej waloryzacji o średnioroczny wzrost cen towarów i usług konsumpcyjnych za rok ubiegły, ogłoszony przez Prezesa Głównego Urzędu Statystycznego w Monitorze Polskim.</w:t>
            </w:r>
          </w:p>
        </w:tc>
        <w:tc>
          <w:tcPr>
            <w:tcW w:w="1458" w:type="dxa"/>
          </w:tcPr>
          <w:p w:rsidR="00E10D4B" w:rsidRDefault="00E10D4B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</w:p>
          <w:p w:rsidR="00E10D4B" w:rsidRDefault="001E66F6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rFonts w:eastAsia="Calibri"/>
                <w:color w:val="000000"/>
              </w:rPr>
              <w:t>Do 31 marca każdego roku.</w:t>
            </w:r>
          </w:p>
        </w:tc>
      </w:tr>
    </w:tbl>
    <w:p w:rsidR="00E10D4B" w:rsidRDefault="00E10D4B">
      <w:pPr>
        <w:spacing w:after="120"/>
        <w:jc w:val="both"/>
      </w:pPr>
    </w:p>
    <w:p w:rsidR="00E10D4B" w:rsidRDefault="001E66F6">
      <w:pPr>
        <w:spacing w:after="120"/>
        <w:jc w:val="both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  <w:lastRenderedPageBreak/>
        <w:t xml:space="preserve">Zgodę na zawarcie umowy dzierżawy nieruchomości stanowiącej własność Skarbu Państwa, w drodze bezprzetargowej na czas oznaczony do lat 3, wyraził Starosta Łęczycki, </w:t>
      </w:r>
      <w:r>
        <w:rPr>
          <w:color w:val="000000"/>
          <w:sz w:val="24"/>
          <w:szCs w:val="24"/>
        </w:rPr>
        <w:t xml:space="preserve">Zarządzeniem nr 26/2024 z dnia 8 sierpnia 2024 r. </w:t>
      </w:r>
    </w:p>
    <w:p w:rsidR="00E10D4B" w:rsidRDefault="001E66F6">
      <w:pPr>
        <w:spacing w:after="120"/>
        <w:jc w:val="both"/>
        <w:rPr>
          <w:rFonts w:ascii="Calibri" w:hAnsi="Calibri"/>
          <w:sz w:val="24"/>
          <w:szCs w:val="24"/>
        </w:rPr>
      </w:pPr>
      <w:r>
        <w:rPr>
          <w:color w:val="000000"/>
          <w:sz w:val="24"/>
          <w:szCs w:val="24"/>
        </w:rPr>
        <w:t>Dzierżawca będzie zobowiązany ponosić koszty opłat z tytułu korzystania i utrzymania nieruchomości,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w tym do uiszczania opłat podatkowych.</w:t>
      </w:r>
    </w:p>
    <w:p w:rsidR="00E10D4B" w:rsidRDefault="001E66F6">
      <w:pPr>
        <w:spacing w:after="120"/>
        <w:jc w:val="both"/>
        <w:rPr>
          <w:rFonts w:ascii="Calibri" w:hAnsi="Calibri"/>
          <w:sz w:val="24"/>
          <w:szCs w:val="24"/>
        </w:rPr>
      </w:pPr>
      <w:r>
        <w:rPr>
          <w:color w:val="000000"/>
          <w:sz w:val="24"/>
          <w:szCs w:val="24"/>
        </w:rPr>
        <w:t>Sposób zagospodarowania nieruchomości przez dzierżawcę –</w:t>
      </w:r>
      <w:r>
        <w:rPr>
          <w:color w:val="000000"/>
          <w:sz w:val="24"/>
          <w:szCs w:val="24"/>
          <w:shd w:val="clear" w:color="auto" w:fill="FFFFFF"/>
        </w:rPr>
        <w:t xml:space="preserve"> staw rybny, stworzenie warunków do rekreacyjnego wędkowania, dbanie o ekologię tych wód oraz przyległego terenu.</w:t>
      </w:r>
    </w:p>
    <w:p w:rsidR="00E10D4B" w:rsidRDefault="001E66F6">
      <w:pPr>
        <w:spacing w:after="29"/>
        <w:jc w:val="both"/>
        <w:rPr>
          <w:color w:val="00A933"/>
        </w:rPr>
      </w:pPr>
      <w:r>
        <w:rPr>
          <w:rFonts w:cs="Calibri"/>
          <w:color w:val="000000"/>
          <w:sz w:val="24"/>
          <w:szCs w:val="24"/>
        </w:rPr>
        <w:t>Niniejszy wykaz zostaje podany do publicznej wiadomości na okres 21 dni, tj. w dniach od 09.08.2024</w:t>
      </w:r>
      <w:r>
        <w:rPr>
          <w:rFonts w:cs="Calibri"/>
          <w:color w:val="FF0000"/>
          <w:sz w:val="24"/>
          <w:szCs w:val="24"/>
        </w:rPr>
        <w:t xml:space="preserve"> </w:t>
      </w:r>
      <w:r>
        <w:rPr>
          <w:rFonts w:cs="Calibri"/>
          <w:color w:val="000000"/>
          <w:sz w:val="24"/>
          <w:szCs w:val="24"/>
        </w:rPr>
        <w:t>r. do 28.08.2024 r.,</w:t>
      </w:r>
      <w:r>
        <w:rPr>
          <w:rFonts w:cs="Calibri"/>
          <w:color w:val="00A933"/>
          <w:sz w:val="24"/>
          <w:szCs w:val="24"/>
        </w:rPr>
        <w:t xml:space="preserve"> </w:t>
      </w:r>
      <w:r>
        <w:rPr>
          <w:rFonts w:cs="Calibri"/>
          <w:color w:val="000000"/>
          <w:sz w:val="24"/>
          <w:szCs w:val="24"/>
        </w:rPr>
        <w:t>przez wywieszenie na tablicy ogłoszeń w Starostwie Powiatowym w Łęczycy, w Wydziale Geodezji, Kartografii, Katastru i Gospodarki Nieruchomościami Starostwa Powiatowego</w:t>
      </w:r>
      <w:r>
        <w:rPr>
          <w:rFonts w:cs="Calibri"/>
          <w:color w:val="00A933"/>
          <w:sz w:val="24"/>
          <w:szCs w:val="24"/>
        </w:rPr>
        <w:t xml:space="preserve"> </w:t>
      </w:r>
      <w:r>
        <w:rPr>
          <w:rFonts w:cs="Calibri"/>
          <w:color w:val="000000"/>
          <w:sz w:val="24"/>
          <w:szCs w:val="24"/>
        </w:rPr>
        <w:t>w Łęczycy, Al. Jana Pawła II 1a oraz zamieszczenie na stronie internetowej Powiatu Łęczyckiego www.leczycki.net i w Biuletynie Informacji Publicznej</w:t>
      </w:r>
      <w:r>
        <w:rPr>
          <w:rFonts w:cs="Calibri"/>
          <w:color w:val="111111"/>
          <w:sz w:val="24"/>
          <w:szCs w:val="24"/>
        </w:rPr>
        <w:t xml:space="preserve"> </w:t>
      </w:r>
      <w:hyperlink r:id="rId4">
        <w:r>
          <w:rPr>
            <w:rStyle w:val="Hipercze"/>
            <w:rFonts w:cs="Calibri"/>
            <w:color w:val="111111"/>
            <w:sz w:val="24"/>
            <w:szCs w:val="24"/>
            <w:u w:val="none"/>
          </w:rPr>
          <w:t>www.leczyca.biuletyn.net</w:t>
        </w:r>
      </w:hyperlink>
      <w:r>
        <w:rPr>
          <w:rFonts w:cs="Calibri"/>
          <w:color w:val="000000"/>
          <w:sz w:val="24"/>
          <w:szCs w:val="24"/>
        </w:rPr>
        <w:t xml:space="preserve">, Starostwa Powiatowego w Łęczycy. </w:t>
      </w:r>
    </w:p>
    <w:p w:rsidR="00E10D4B" w:rsidRDefault="001E66F6">
      <w:pPr>
        <w:jc w:val="both"/>
        <w:rPr>
          <w:color w:val="00A933"/>
        </w:rPr>
      </w:pPr>
      <w:r>
        <w:rPr>
          <w:rFonts w:cs="Calibri"/>
          <w:color w:val="000000"/>
          <w:sz w:val="24"/>
          <w:szCs w:val="24"/>
        </w:rPr>
        <w:t>Wykaz przekazuje się Wojewodzie Łódzkiemu w celu podania do publicznej wiadomości.</w:t>
      </w:r>
    </w:p>
    <w:p w:rsidR="00E10D4B" w:rsidRDefault="001E66F6">
      <w:pPr>
        <w:spacing w:after="120"/>
        <w:jc w:val="both"/>
        <w:rPr>
          <w:color w:val="000000"/>
        </w:rPr>
      </w:pPr>
      <w:r>
        <w:rPr>
          <w:rFonts w:cs="Calibri"/>
          <w:color w:val="000000"/>
          <w:sz w:val="24"/>
          <w:szCs w:val="24"/>
        </w:rPr>
        <w:t>Szczegółowych informacji udziela Referat Gospodarki Nieruchomościami w Wydziale Geodezji, Kartografii, Katastru i Gospodarki Nieruchomościami Starostwa Powiatowego w Łęczycy, ul. Jana Pawła II 1a, pokój nr 1, tel. 24 388 72 04.</w:t>
      </w:r>
    </w:p>
    <w:p w:rsidR="00E10D4B" w:rsidRDefault="001E66F6">
      <w:pPr>
        <w:jc w:val="both"/>
      </w:pPr>
      <w:r>
        <w:rPr>
          <w:rFonts w:cs="Calibri"/>
          <w:color w:val="000000"/>
          <w:sz w:val="24"/>
          <w:szCs w:val="24"/>
        </w:rPr>
        <w:t xml:space="preserve">Łęczyca dnia 9 sierpień 2024 r. </w:t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color w:val="FF0000"/>
          <w:sz w:val="24"/>
          <w:szCs w:val="24"/>
        </w:rPr>
        <w:tab/>
      </w:r>
      <w:r>
        <w:rPr>
          <w:rFonts w:cs="Calibri"/>
          <w:color w:val="FF0000"/>
          <w:sz w:val="24"/>
          <w:szCs w:val="24"/>
        </w:rPr>
        <w:tab/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color w:val="000000"/>
          <w:sz w:val="24"/>
          <w:szCs w:val="24"/>
        </w:rPr>
        <w:tab/>
      </w:r>
      <w:r>
        <w:rPr>
          <w:rFonts w:cs="Calibri"/>
          <w:sz w:val="24"/>
          <w:szCs w:val="24"/>
        </w:rPr>
        <w:tab/>
      </w:r>
      <w:r>
        <w:rPr>
          <w:rFonts w:cs="Calibri"/>
          <w:sz w:val="24"/>
          <w:szCs w:val="24"/>
        </w:rPr>
        <w:tab/>
      </w:r>
      <w:r>
        <w:rPr>
          <w:rFonts w:cs="Calibri"/>
          <w:sz w:val="24"/>
          <w:szCs w:val="24"/>
        </w:rPr>
        <w:tab/>
      </w:r>
    </w:p>
    <w:p w:rsidR="00E10D4B" w:rsidRDefault="00E10D4B">
      <w:pPr>
        <w:jc w:val="both"/>
        <w:rPr>
          <w:rFonts w:cs="Calibri"/>
          <w:sz w:val="24"/>
          <w:szCs w:val="24"/>
        </w:rPr>
      </w:pPr>
    </w:p>
    <w:p w:rsidR="00E10D4B" w:rsidRDefault="00E10D4B">
      <w:pPr>
        <w:jc w:val="both"/>
        <w:rPr>
          <w:rFonts w:cs="Calibri"/>
          <w:sz w:val="24"/>
          <w:szCs w:val="24"/>
        </w:rPr>
      </w:pPr>
    </w:p>
    <w:p w:rsidR="00E10D4B" w:rsidRDefault="00E10D4B">
      <w:pPr>
        <w:jc w:val="both"/>
        <w:rPr>
          <w:rFonts w:cs="Calibri"/>
          <w:sz w:val="24"/>
          <w:szCs w:val="24"/>
        </w:rPr>
      </w:pPr>
    </w:p>
    <w:p w:rsidR="00E10D4B" w:rsidRDefault="00E10D4B">
      <w:pPr>
        <w:jc w:val="right"/>
        <w:rPr>
          <w:rFonts w:cs="Calibri"/>
          <w:sz w:val="24"/>
          <w:szCs w:val="24"/>
        </w:rPr>
      </w:pPr>
    </w:p>
    <w:p w:rsidR="00E10D4B" w:rsidRDefault="001E66F6">
      <w:pPr>
        <w:jc w:val="center"/>
        <w:rPr>
          <w:color w:val="000000"/>
          <w:sz w:val="23"/>
        </w:rPr>
      </w:pPr>
      <w:r>
        <w:rPr>
          <w:i/>
          <w:iCs/>
          <w:color w:val="000000"/>
          <w:sz w:val="24"/>
          <w:szCs w:val="24"/>
        </w:rPr>
        <w:t xml:space="preserve"> </w:t>
      </w:r>
    </w:p>
    <w:p w:rsidR="00E10D4B" w:rsidRDefault="00E10D4B">
      <w:pPr>
        <w:jc w:val="right"/>
        <w:rPr>
          <w:rFonts w:ascii="Calibri" w:hAnsi="Calibri"/>
          <w:i/>
          <w:color w:val="000000"/>
          <w:sz w:val="24"/>
          <w:szCs w:val="24"/>
        </w:rPr>
      </w:pPr>
    </w:p>
    <w:sectPr w:rsidR="00E10D4B">
      <w:pgSz w:w="16838" w:h="11906" w:orient="landscape"/>
      <w:pgMar w:top="1134" w:right="1418" w:bottom="1134" w:left="1418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0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D4B"/>
    <w:rsid w:val="001E66F6"/>
    <w:rsid w:val="0057024B"/>
    <w:rsid w:val="00E10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9A2E3B-A9A2-4A83-A7BC-315448864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263A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qFormat/>
    <w:rPr>
      <w:b/>
      <w:bCs/>
    </w:rPr>
  </w:style>
  <w:style w:type="character" w:styleId="Hipercze">
    <w:name w:val="Hyperlink"/>
    <w:rPr>
      <w:color w:val="000080"/>
      <w:u w:val="single"/>
    </w:rPr>
  </w:style>
  <w:style w:type="paragraph" w:styleId="Nagwek">
    <w:name w:val="header"/>
    <w:basedOn w:val="Gwkaistopka"/>
    <w:next w:val="Tekstpodstawowy"/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7001"/>
        <w:tab w:val="right" w:pos="14002"/>
      </w:tabs>
    </w:pPr>
  </w:style>
  <w:style w:type="table" w:styleId="Tabela-Siatka">
    <w:name w:val="Table Grid"/>
    <w:basedOn w:val="Standardowy"/>
    <w:uiPriority w:val="59"/>
    <w:rsid w:val="00D65B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leczyca.biuletyn.net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Łóddzki Urząd Wojewódzki</Company>
  <LinksUpToDate>false</LinksUpToDate>
  <CharactersWithSpaces>3384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emidrwa</dc:creator>
  <dc:description/>
  <cp:lastModifiedBy>Weronika Wrzosek</cp:lastModifiedBy>
  <cp:revision>2</cp:revision>
  <cp:lastPrinted>2024-08-08T08:22:00Z</cp:lastPrinted>
  <dcterms:created xsi:type="dcterms:W3CDTF">2024-08-20T13:38:00Z</dcterms:created>
  <dcterms:modified xsi:type="dcterms:W3CDTF">2024-08-20T13:38:00Z</dcterms:modified>
  <dc:language>pl-PL</dc:language>
</cp:coreProperties>
</file>