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881" w:rsidRPr="00373881" w:rsidRDefault="00373881" w:rsidP="00373881">
      <w:pPr>
        <w:rPr>
          <w:rFonts w:ascii="Times New Roman" w:hAnsi="Times New Roman"/>
          <w:sz w:val="28"/>
          <w:szCs w:val="28"/>
        </w:rPr>
      </w:pPr>
      <w:r w:rsidRPr="00373881">
        <w:rPr>
          <w:rFonts w:ascii="Times New Roman" w:hAnsi="Times New Roman"/>
          <w:noProof/>
          <w:sz w:val="28"/>
          <w:szCs w:val="28"/>
          <w:lang w:eastAsia="pl-PL"/>
        </w:rPr>
        <w:drawing>
          <wp:inline distT="0" distB="0" distL="0" distR="0" wp14:anchorId="5D66458E" wp14:editId="37874FDF">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rsidR="000F1838" w:rsidRPr="00373881" w:rsidRDefault="00373881" w:rsidP="00373881">
      <w:pPr>
        <w:spacing w:after="0"/>
        <w:rPr>
          <w:rFonts w:ascii="Times New Roman" w:hAnsi="Times New Roman"/>
          <w:sz w:val="28"/>
          <w:szCs w:val="28"/>
        </w:rPr>
      </w:pPr>
      <w:r w:rsidRPr="00373881">
        <w:rPr>
          <w:rFonts w:ascii="Times New Roman" w:hAnsi="Times New Roman"/>
          <w:sz w:val="28"/>
          <w:szCs w:val="28"/>
        </w:rPr>
        <w:t>Generalny Dyrektor Ochrony Środowiska</w:t>
      </w:r>
    </w:p>
    <w:p w:rsidR="00985B8F"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Warszawa, </w:t>
      </w:r>
      <w:bookmarkStart w:id="0" w:name="ezdDataPodpisu"/>
      <w:r w:rsidRPr="00373881">
        <w:rPr>
          <w:rFonts w:ascii="Times New Roman" w:hAnsi="Times New Roman"/>
          <w:sz w:val="28"/>
          <w:szCs w:val="28"/>
        </w:rPr>
        <w:t>05 grudnia 2025</w:t>
      </w:r>
      <w:bookmarkEnd w:id="0"/>
      <w:r w:rsidRPr="00373881">
        <w:rPr>
          <w:rFonts w:ascii="Times New Roman" w:hAnsi="Times New Roman"/>
          <w:sz w:val="28"/>
          <w:szCs w:val="28"/>
        </w:rPr>
        <w:t xml:space="preserve"> r.</w:t>
      </w:r>
    </w:p>
    <w:p w:rsidR="00985B8F" w:rsidRPr="00373881" w:rsidRDefault="001D67AB" w:rsidP="00373881">
      <w:pPr>
        <w:spacing w:after="0" w:line="312" w:lineRule="auto"/>
        <w:rPr>
          <w:rFonts w:ascii="Times New Roman" w:hAnsi="Times New Roman"/>
          <w:sz w:val="28"/>
          <w:szCs w:val="28"/>
        </w:rPr>
      </w:pPr>
      <w:bookmarkStart w:id="1" w:name="ezdSprawaZnak"/>
      <w:r w:rsidRPr="00373881">
        <w:rPr>
          <w:rFonts w:ascii="Times New Roman" w:hAnsi="Times New Roman"/>
          <w:sz w:val="28"/>
          <w:szCs w:val="28"/>
        </w:rPr>
        <w:t>DOOŚ-WDŚIII.420.21.2025</w:t>
      </w:r>
      <w:bookmarkEnd w:id="1"/>
      <w:r w:rsidRPr="00373881">
        <w:rPr>
          <w:rFonts w:ascii="Times New Roman" w:hAnsi="Times New Roman"/>
          <w:sz w:val="28"/>
          <w:szCs w:val="28"/>
        </w:rPr>
        <w:t>.</w:t>
      </w:r>
      <w:bookmarkStart w:id="2" w:name="ezdAutorInicjaly"/>
      <w:bookmarkStart w:id="3" w:name="ezdAtrybut_ezdAutorInicjaly"/>
      <w:r w:rsidRPr="00373881">
        <w:rPr>
          <w:rFonts w:ascii="Times New Roman" w:hAnsi="Times New Roman"/>
          <w:sz w:val="28"/>
          <w:szCs w:val="28"/>
        </w:rPr>
        <w:t>AN</w:t>
      </w:r>
      <w:bookmarkEnd w:id="2"/>
      <w:bookmarkEnd w:id="3"/>
      <w:r w:rsidRPr="00373881">
        <w:rPr>
          <w:rFonts w:ascii="Times New Roman" w:hAnsi="Times New Roman"/>
          <w:sz w:val="28"/>
          <w:szCs w:val="28"/>
        </w:rPr>
        <w:t>.7</w:t>
      </w:r>
    </w:p>
    <w:p w:rsidR="00D43EC2" w:rsidRPr="00373881" w:rsidRDefault="001D67AB" w:rsidP="00373881">
      <w:pPr>
        <w:pStyle w:val="Nagwek3"/>
        <w:spacing w:before="0"/>
        <w:jc w:val="left"/>
        <w:rPr>
          <w:rFonts w:ascii="Times New Roman" w:hAnsi="Times New Roman" w:cs="Times New Roman"/>
          <w:b w:val="0"/>
          <w:color w:val="auto"/>
          <w:sz w:val="28"/>
          <w:szCs w:val="28"/>
        </w:rPr>
      </w:pPr>
      <w:r w:rsidRPr="00373881">
        <w:rPr>
          <w:rFonts w:ascii="Times New Roman" w:hAnsi="Times New Roman" w:cs="Times New Roman"/>
          <w:b w:val="0"/>
          <w:color w:val="auto"/>
          <w:sz w:val="28"/>
          <w:szCs w:val="28"/>
        </w:rPr>
        <w:t>DECYZJA</w:t>
      </w:r>
    </w:p>
    <w:p w:rsidR="00373881" w:rsidRPr="00373881" w:rsidRDefault="001D67AB" w:rsidP="00373881">
      <w:pPr>
        <w:pStyle w:val="Tekstpodstawowy"/>
        <w:jc w:val="left"/>
        <w:rPr>
          <w:sz w:val="28"/>
          <w:szCs w:val="28"/>
        </w:rPr>
      </w:pPr>
      <w:bookmarkStart w:id="4" w:name="_Hlk129945569"/>
      <w:r w:rsidRPr="00373881">
        <w:rPr>
          <w:sz w:val="28"/>
          <w:szCs w:val="28"/>
        </w:rPr>
        <w:t xml:space="preserve">Generalny Dyrektor Ochrony Środowiska, dalej GDOŚ, </w:t>
      </w:r>
      <w:bookmarkEnd w:id="4"/>
      <w:r w:rsidRPr="00373881">
        <w:rPr>
          <w:sz w:val="28"/>
          <w:szCs w:val="28"/>
        </w:rPr>
        <w:t xml:space="preserve">na podstawie art. 138 § 1 pkt 3 w związku z art. 105 § 1 ustawy z dnia 14 czerwca 1960 r. – Kodeks postępowania administracyjnego (Dz. U. z 2024 r. poz. 572 ze zm.), dalej k.p.a., </w:t>
      </w:r>
      <w:r w:rsidRPr="00373881">
        <w:rPr>
          <w:bCs/>
          <w:sz w:val="28"/>
          <w:szCs w:val="28"/>
        </w:rPr>
        <w:t xml:space="preserve">w związku z </w:t>
      </w:r>
      <w:r w:rsidRPr="00373881">
        <w:rPr>
          <w:sz w:val="28"/>
          <w:szCs w:val="28"/>
        </w:rPr>
        <w:t xml:space="preserve">odwołaniem: Fundacji GRAND AGRO z 18 lipca 2025 r. od decyzji Regionalnego Dyrektora Ochrony Środowiska w Krakowie, dalej RDOŚ w Krakowie, z 9 lipca 2025 r., znak: ST-I.420.3.2025.MB, o środowiskowych uwarunkowaniach dla przedsięwzięcia pn.: „Wydobywanie gazu ziemnego ze złoża </w:t>
      </w:r>
      <w:proofErr w:type="spellStart"/>
      <w:r w:rsidRPr="00373881">
        <w:rPr>
          <w:sz w:val="28"/>
          <w:szCs w:val="28"/>
        </w:rPr>
        <w:t>Jaśniny</w:t>
      </w:r>
      <w:proofErr w:type="spellEnd"/>
      <w:r w:rsidRPr="00373881">
        <w:rPr>
          <w:sz w:val="28"/>
          <w:szCs w:val="28"/>
        </w:rPr>
        <w:t xml:space="preserve"> Północ”,</w:t>
      </w:r>
    </w:p>
    <w:p w:rsidR="00373881" w:rsidRPr="00373881" w:rsidRDefault="001D67AB" w:rsidP="00373881">
      <w:pPr>
        <w:pStyle w:val="Tekstpodstawowy"/>
        <w:jc w:val="left"/>
        <w:rPr>
          <w:sz w:val="28"/>
          <w:szCs w:val="28"/>
        </w:rPr>
      </w:pPr>
      <w:r w:rsidRPr="00373881">
        <w:rPr>
          <w:sz w:val="28"/>
          <w:szCs w:val="28"/>
        </w:rPr>
        <w:t>umarza postępowanie odwoławcze.</w:t>
      </w:r>
    </w:p>
    <w:p w:rsidR="00D43EC2" w:rsidRPr="00373881" w:rsidRDefault="001D67AB" w:rsidP="00373881">
      <w:pPr>
        <w:pStyle w:val="Tekstpodstawowy"/>
        <w:jc w:val="left"/>
        <w:rPr>
          <w:sz w:val="28"/>
          <w:szCs w:val="28"/>
        </w:rPr>
      </w:pPr>
      <w:r w:rsidRPr="00373881">
        <w:rPr>
          <w:sz w:val="28"/>
          <w:szCs w:val="28"/>
        </w:rPr>
        <w:t>Uzasadnienie</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Cytowaną w sentencji decyzją RDOŚ w Krakowie, po rozpatrzeniu wniosku ORLEN Spółka Akcyjna Oddział Geologii i Eksploatacji PGNiG w Warszawie z 5 marca 2025 r., w oparciu o przepisy ustawy </w:t>
      </w:r>
      <w:r w:rsidRPr="00373881">
        <w:rPr>
          <w:rFonts w:ascii="Times New Roman" w:hAnsi="Times New Roman"/>
          <w:bCs/>
          <w:sz w:val="28"/>
          <w:szCs w:val="28"/>
        </w:rPr>
        <w:t xml:space="preserve">z dnia 3 października 2008 r. o udostępnianiu informacji o środowisku i jego ochronie, udziale społeczeństwa w ochronie środowiska oraz o ocenach oddziaływania na środowisko (Dz. U. z 2024 r. poz. 1112 ze zm.), dalej </w:t>
      </w:r>
      <w:proofErr w:type="spellStart"/>
      <w:r w:rsidRPr="00373881">
        <w:rPr>
          <w:rFonts w:ascii="Times New Roman" w:hAnsi="Times New Roman"/>
          <w:bCs/>
          <w:sz w:val="28"/>
          <w:szCs w:val="28"/>
        </w:rPr>
        <w:t>u.o.o.ś</w:t>
      </w:r>
      <w:proofErr w:type="spellEnd"/>
      <w:r w:rsidRPr="00373881">
        <w:rPr>
          <w:rFonts w:ascii="Times New Roman" w:hAnsi="Times New Roman"/>
          <w:bCs/>
          <w:sz w:val="28"/>
          <w:szCs w:val="28"/>
        </w:rPr>
        <w:t xml:space="preserve">., </w:t>
      </w:r>
      <w:r w:rsidRPr="00373881">
        <w:rPr>
          <w:rFonts w:ascii="Times New Roman" w:hAnsi="Times New Roman"/>
          <w:sz w:val="28"/>
          <w:szCs w:val="28"/>
        </w:rPr>
        <w:t xml:space="preserve">określił środowiskowe uwarunkowania realizacji ww. przedsięwzięcia. </w:t>
      </w:r>
    </w:p>
    <w:p w:rsidR="00D43EC2" w:rsidRPr="00373881" w:rsidRDefault="001D67AB" w:rsidP="00373881">
      <w:pPr>
        <w:spacing w:after="0" w:line="312" w:lineRule="auto"/>
        <w:ind w:right="-2"/>
        <w:rPr>
          <w:rFonts w:ascii="Times New Roman" w:hAnsi="Times New Roman"/>
          <w:sz w:val="28"/>
          <w:szCs w:val="28"/>
        </w:rPr>
      </w:pPr>
      <w:r w:rsidRPr="00373881">
        <w:rPr>
          <w:rFonts w:ascii="Times New Roman" w:hAnsi="Times New Roman"/>
          <w:sz w:val="28"/>
          <w:szCs w:val="28"/>
        </w:rPr>
        <w:t>W ustawowym terminie odwołanie od powyższej decyzji RDOŚ w Krakowie wniosła Fundacja GRAND AGRO, dalej Fundacja.</w:t>
      </w:r>
    </w:p>
    <w:p w:rsidR="00D43EC2" w:rsidRPr="00373881" w:rsidRDefault="001D67AB" w:rsidP="00373881">
      <w:pPr>
        <w:keepNext/>
        <w:spacing w:before="120" w:after="0" w:line="312" w:lineRule="auto"/>
        <w:rPr>
          <w:rFonts w:ascii="Times New Roman" w:hAnsi="Times New Roman"/>
          <w:bCs/>
          <w:sz w:val="28"/>
          <w:szCs w:val="28"/>
        </w:rPr>
      </w:pPr>
      <w:bookmarkStart w:id="5" w:name="_Hlk126135712"/>
      <w:r w:rsidRPr="00373881">
        <w:rPr>
          <w:rFonts w:ascii="Times New Roman" w:hAnsi="Times New Roman"/>
          <w:bCs/>
          <w:sz w:val="28"/>
          <w:szCs w:val="28"/>
        </w:rPr>
        <w:t>GDOŚ ustalił i zważył, co następuje.</w:t>
      </w:r>
    </w:p>
    <w:p w:rsidR="00D43EC2" w:rsidRPr="00373881" w:rsidRDefault="001D67AB" w:rsidP="00373881">
      <w:pPr>
        <w:spacing w:after="0" w:line="312" w:lineRule="auto"/>
        <w:rPr>
          <w:rFonts w:ascii="Times New Roman" w:hAnsi="Times New Roman"/>
          <w:bCs/>
          <w:sz w:val="28"/>
          <w:szCs w:val="28"/>
        </w:rPr>
      </w:pPr>
      <w:bookmarkStart w:id="6" w:name="_Hlk126659402"/>
      <w:bookmarkStart w:id="7" w:name="_Hlk118803907"/>
      <w:bookmarkEnd w:id="5"/>
      <w:r w:rsidRPr="00373881">
        <w:rPr>
          <w:rFonts w:ascii="Times New Roman" w:hAnsi="Times New Roman"/>
          <w:bCs/>
          <w:sz w:val="28"/>
          <w:szCs w:val="28"/>
        </w:rPr>
        <w:t xml:space="preserve">Jak wynika z art. 127 </w:t>
      </w:r>
      <w:bookmarkStart w:id="8" w:name="_Hlk126659383"/>
      <w:r w:rsidRPr="00373881">
        <w:rPr>
          <w:rFonts w:ascii="Times New Roman" w:hAnsi="Times New Roman"/>
          <w:bCs/>
          <w:sz w:val="28"/>
          <w:szCs w:val="28"/>
        </w:rPr>
        <w:t>§</w:t>
      </w:r>
      <w:bookmarkEnd w:id="8"/>
      <w:r w:rsidRPr="00373881">
        <w:rPr>
          <w:rFonts w:ascii="Times New Roman" w:hAnsi="Times New Roman"/>
          <w:bCs/>
          <w:sz w:val="28"/>
          <w:szCs w:val="28"/>
        </w:rPr>
        <w:t xml:space="preserve"> 2 k.p.a. w związku z art. 127 ust. 3 </w:t>
      </w:r>
      <w:proofErr w:type="spellStart"/>
      <w:r w:rsidRPr="00373881">
        <w:rPr>
          <w:rFonts w:ascii="Times New Roman" w:hAnsi="Times New Roman"/>
          <w:bCs/>
          <w:sz w:val="28"/>
          <w:szCs w:val="28"/>
        </w:rPr>
        <w:t>u.o.o.ś</w:t>
      </w:r>
      <w:proofErr w:type="spellEnd"/>
      <w:r w:rsidRPr="00373881">
        <w:rPr>
          <w:rFonts w:ascii="Times New Roman" w:hAnsi="Times New Roman"/>
          <w:bCs/>
          <w:sz w:val="28"/>
          <w:szCs w:val="28"/>
        </w:rPr>
        <w:t xml:space="preserve">. </w:t>
      </w:r>
      <w:bookmarkEnd w:id="6"/>
      <w:r w:rsidRPr="00373881">
        <w:rPr>
          <w:rFonts w:ascii="Times New Roman" w:hAnsi="Times New Roman"/>
          <w:bCs/>
          <w:sz w:val="28"/>
          <w:szCs w:val="28"/>
        </w:rPr>
        <w:t>GDOŚ pełni funkcję organu wyższego stopnia w rozumieniu k.p.a. w stosunku do regionalnych dyrektorów ochrony środowiska, zatem jest organem właściwym do rozpatrzenia odwołania od decyzji RDOŚ w Krakowie.</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18 lipca 2025 r. Fundacja wniosła odwołanie od decyzji RDOŚ w Krakowie z 9 lipca 2025 r. Odwołanie zostało wniesione w terminie przewidzianym w art. 129 </w:t>
      </w:r>
      <w:r w:rsidRPr="00373881">
        <w:rPr>
          <w:rFonts w:ascii="Times New Roman" w:hAnsi="Times New Roman"/>
          <w:sz w:val="28"/>
          <w:szCs w:val="28"/>
        </w:rPr>
        <w:lastRenderedPageBreak/>
        <w:t xml:space="preserve">§ 2 k.p.a. – w związku z tym, że decyzja została doręczona Fundacji 18 lipca 2025 r. </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Rozpatrując sprawę, organ wyższego stopnia w pierwszej kolejności ma obowiązek zbadać, czy odwołanie pochodzi od uprawnionego podmiotu, któremu w postępowaniu przysługuje status strony bądź podmiotu na prawach strony. Podkreślić należy, że przepisy k.p.a. nie dają organowi odwoławczemu podstaw do merytorycznego rozpatrzenia odwołania, jeżeli nie pochodzi ono od uprawnionej strony czy podmiotu na prawach strony.</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Jak wynika z art. 127 § 1 k.p.a., legitymacja prawna do wniesienia odwołania od decyzji wydanej w pierwszej instancji służy co do zasady wyłącznie stronie. Ponadto prawo do wniesienia odwołania służy również organizacji społecznej, która uczestniczyła w postępowaniu na prawach strony, zgodnie z art. 31 § 3 k.p.a., a także organizacji ekologicznej, jako podmiotowi na prawach strony, zgodnie z art. 44 ust. 1 </w:t>
      </w:r>
      <w:proofErr w:type="spellStart"/>
      <w:r w:rsidRPr="00373881">
        <w:rPr>
          <w:rFonts w:ascii="Times New Roman" w:hAnsi="Times New Roman"/>
          <w:sz w:val="28"/>
          <w:szCs w:val="28"/>
        </w:rPr>
        <w:t>u.o.o.ś</w:t>
      </w:r>
      <w:proofErr w:type="spellEnd"/>
      <w:r w:rsidRPr="00373881">
        <w:rPr>
          <w:rFonts w:ascii="Times New Roman" w:hAnsi="Times New Roman"/>
          <w:sz w:val="28"/>
          <w:szCs w:val="28"/>
        </w:rPr>
        <w:t>.</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W analizowanej sprawie podstawą prawną, w świetle której wniosek Fundacji z 2 maja 2025 r. o dopuszczenie do udziału na prawach strony w postępowaniu dotyczącym wydania decyzji o środowiskowych uwarunkowaniach dla ww. inwestycji, mógł zostać rozpatrzony, jest art. 31 § 1 pkt 2 k.p.a. (dot. organizacji społecznych). Powyższe wynika z faktu, że dla przedmiotowej inwestycji, nie został stwierdzony obowiązek przeprowadzenia oceny oddziaływania na środowisko, przez co nie miał zastosowania art. 44 </w:t>
      </w:r>
      <w:proofErr w:type="spellStart"/>
      <w:r w:rsidRPr="00373881">
        <w:rPr>
          <w:rFonts w:ascii="Times New Roman" w:hAnsi="Times New Roman"/>
          <w:sz w:val="28"/>
          <w:szCs w:val="28"/>
        </w:rPr>
        <w:t>u.o.o.ś</w:t>
      </w:r>
      <w:proofErr w:type="spellEnd"/>
      <w:r w:rsidRPr="00373881">
        <w:rPr>
          <w:rFonts w:ascii="Times New Roman" w:hAnsi="Times New Roman"/>
          <w:sz w:val="28"/>
          <w:szCs w:val="28"/>
        </w:rPr>
        <w:t xml:space="preserve">. (dot. udziału organizacji ekologicznych w postępowaniach z udziałem społeczeństwa). Tym samym Fundacja, żądając dopuszczenia do udziału w omawianym postępowaniu, winna była wykazać, w myśl art. 31 § 1 pkt 2 k.p.a., spełnienie dwóch przesłanek: zgodności celu statutowego z przedmiotem toczącego się postępowania oraz interes społeczny w sprawie. W orzecznictwie sądowo-administracyjnym ugruntowany jest pogląd, zgodnie z którym niespełnienie chociażby jednego z tych warunków powoduje, że organ administracji winien odmówić organizacji społecznej dopuszczenia do udziału w postępowaniu (por. wyrok Naczelnego Sądu Administracyjnego, dalej NSA, z 25 października 2016 r., sygn. akt: </w:t>
      </w:r>
      <w:r w:rsidRPr="00373881">
        <w:rPr>
          <w:rFonts w:ascii="Times New Roman" w:hAnsi="Times New Roman"/>
          <w:bCs/>
          <w:sz w:val="28"/>
          <w:szCs w:val="28"/>
        </w:rPr>
        <w:t xml:space="preserve">II OSK 107/15). </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W okolicznościach niniejszej sprawy poza sporem pozostaje fakt, że zakres działalności Fundacji zawarty w § 7 jej statutu oraz przedmiot postępowania </w:t>
      </w:r>
      <w:r w:rsidRPr="00373881">
        <w:rPr>
          <w:rFonts w:ascii="Times New Roman" w:hAnsi="Times New Roman"/>
          <w:sz w:val="28"/>
          <w:szCs w:val="28"/>
        </w:rPr>
        <w:lastRenderedPageBreak/>
        <w:t>prowadzonego przez RDOŚ w Krakowie są zbieżne. Postępowanie w sprawie wydania decyzji o środowiskowych uwarunkowaniach, w trakcie którego ocenia się możliwość wystąpienia potencjalnie znacząco negatywnych oddziaływań na środowisko oraz jego skalę, wskutek realizacji przedsięwzięcia polegającego na rozszerzeniu dotychczasowego zakresu wykorzystania złoża gazu ziemnego „</w:t>
      </w:r>
      <w:proofErr w:type="spellStart"/>
      <w:r w:rsidRPr="00373881">
        <w:rPr>
          <w:rFonts w:ascii="Times New Roman" w:hAnsi="Times New Roman"/>
          <w:sz w:val="28"/>
          <w:szCs w:val="28"/>
        </w:rPr>
        <w:t>Jaśniny</w:t>
      </w:r>
      <w:proofErr w:type="spellEnd"/>
      <w:r w:rsidRPr="00373881">
        <w:rPr>
          <w:rFonts w:ascii="Times New Roman" w:hAnsi="Times New Roman"/>
          <w:sz w:val="28"/>
          <w:szCs w:val="28"/>
        </w:rPr>
        <w:t xml:space="preserve"> Północ” o możliwość zatłaczania do niego odwiertem Jaśniny-26 wód złożowych pochodzących z ww. złoża, jak również innych eksploatowanych i nowoodkrytych złóż gazu ziemnego oraz złóż ropy naftowej, a także podziemnych magazynów gazu, wpisuje się w kluczowy cel działalności Fundacji wyrażony w § 7 pkt. 1 jej statutu, tj.: </w:t>
      </w:r>
      <w:r w:rsidRPr="00373881">
        <w:rPr>
          <w:rFonts w:ascii="Times New Roman" w:hAnsi="Times New Roman"/>
          <w:i/>
          <w:sz w:val="28"/>
          <w:szCs w:val="28"/>
        </w:rPr>
        <w:t>„ochrona środowiska, a co za tym idzie ochrona przyrody i cennych przyrodniczo obszarów oraz terenów, które mogą ucierpieć na skutek nadmiernej ludzkiej ingerencji”</w:t>
      </w:r>
      <w:r w:rsidRPr="00373881">
        <w:rPr>
          <w:rFonts w:ascii="Times New Roman" w:hAnsi="Times New Roman"/>
          <w:sz w:val="28"/>
          <w:szCs w:val="28"/>
        </w:rPr>
        <w:t xml:space="preserve">. </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Badając okoliczność spełnienia drugiej przesłanki, o której mowa w art. 31 k.p.a., GDOŚ stwierdził, że we wniosku z 2 maja 2025 r. Fundacja nie wykazała interesu społecznego przemawiającego za dopuszczeniem jej do przedmiotowego postepowania. </w:t>
      </w:r>
      <w:r w:rsidRPr="00373881">
        <w:rPr>
          <w:rFonts w:ascii="Times New Roman" w:eastAsia="Times New Roman" w:hAnsi="Times New Roman"/>
          <w:sz w:val="28"/>
          <w:szCs w:val="28"/>
          <w:lang w:eastAsia="pl-PL"/>
        </w:rPr>
        <w:t xml:space="preserve">Samo twierdzenie zawarte w ww. wniosku o </w:t>
      </w:r>
      <w:r w:rsidRPr="00373881">
        <w:rPr>
          <w:rFonts w:ascii="Times New Roman" w:eastAsia="Times New Roman" w:hAnsi="Times New Roman"/>
          <w:i/>
          <w:sz w:val="28"/>
          <w:szCs w:val="28"/>
          <w:lang w:eastAsia="pl-PL"/>
        </w:rPr>
        <w:t>poproszeniu drogą elektroniczną Fundacji przez lokalne społeczeństwo o udział w tym postępowaniu i reprezentowanie społeczeństwa lokalnego</w:t>
      </w:r>
      <w:r w:rsidRPr="00373881">
        <w:rPr>
          <w:rFonts w:ascii="Times New Roman" w:eastAsia="Times New Roman" w:hAnsi="Times New Roman"/>
          <w:sz w:val="28"/>
          <w:szCs w:val="28"/>
          <w:lang w:eastAsia="pl-PL"/>
        </w:rPr>
        <w:t xml:space="preserve">, nie jest wystarczające. </w:t>
      </w:r>
      <w:r w:rsidRPr="00373881">
        <w:rPr>
          <w:rFonts w:ascii="Times New Roman" w:hAnsi="Times New Roman"/>
          <w:sz w:val="28"/>
          <w:szCs w:val="28"/>
        </w:rPr>
        <w:t>Pomimo, że przepisy prawa nie definiują pojęcia „interesu społecznego”, to z doktryny orzeczniczej wynika, że interes ten wymaga konkretyzacji poprzez wskazanie przez wnioskującego o dopuszczenie do udziału w danym postępowaniu administracyjnym, wartości istotnych ze społecznego punktu widzenia i odniesienia ich do przedmiotu tego postępowania. Takich okoliczności Fundacja nie wykazała.</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W tym miejscu należy zaznaczyć, że w toku postępowania </w:t>
      </w:r>
      <w:proofErr w:type="spellStart"/>
      <w:r w:rsidRPr="00373881">
        <w:rPr>
          <w:rFonts w:ascii="Times New Roman" w:hAnsi="Times New Roman"/>
          <w:sz w:val="28"/>
          <w:szCs w:val="28"/>
        </w:rPr>
        <w:t>pierwszoinstancyjnego</w:t>
      </w:r>
      <w:proofErr w:type="spellEnd"/>
      <w:r w:rsidRPr="00373881">
        <w:rPr>
          <w:rFonts w:ascii="Times New Roman" w:hAnsi="Times New Roman"/>
          <w:sz w:val="28"/>
          <w:szCs w:val="28"/>
        </w:rPr>
        <w:t xml:space="preserve"> RDOŚ w Krakowie nie przeprowadził postepowania wyjaśniającego w sprawie ww. braków we wniosku Fundacji z 2 maja 2025 r. Organ pierwszej instancji nie wydał również postanowienia, zgodnie z art. 31 § 2 k.p.a., rozstrzygającego kwestię dopuszczenia Fundacji do toczącego się postępowania. Informacja o dopuszczeniu Fundacji do postepowania została zawarta dopiero w uzasadnieniu decyzji RDOŚ w Krakowie z 9 lipca 2025 r.</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Mając na uwadze, że postępowanie odwoławcze ma charakter postępowania jurysdykcyjnego, w którym organ drugiej instancji jest zobowiązany do </w:t>
      </w:r>
      <w:r w:rsidRPr="00373881">
        <w:rPr>
          <w:rFonts w:ascii="Times New Roman" w:hAnsi="Times New Roman"/>
          <w:sz w:val="28"/>
          <w:szCs w:val="28"/>
        </w:rPr>
        <w:lastRenderedPageBreak/>
        <w:t xml:space="preserve">kompleksowego, ponownego zbadania sprawy i wydania rozstrzygnięcia uwzględniającego całokształt ustalonego stanu faktycznego i prawnego, GDOŚ podjął kroki mające na celu weryfikację prawidłowości dopuszczenia Fundacji do postępowania w sprawie wydania decyzji o środowiskowych uwarunkowaniach dla przedsięwzięcia polegającego na wydobywaniu gazu ziemnego ze złoża </w:t>
      </w:r>
      <w:proofErr w:type="spellStart"/>
      <w:r w:rsidRPr="00373881">
        <w:rPr>
          <w:rFonts w:ascii="Times New Roman" w:hAnsi="Times New Roman"/>
          <w:sz w:val="28"/>
          <w:szCs w:val="28"/>
        </w:rPr>
        <w:t>Jaśniny</w:t>
      </w:r>
      <w:proofErr w:type="spellEnd"/>
      <w:r w:rsidRPr="00373881">
        <w:rPr>
          <w:rFonts w:ascii="Times New Roman" w:hAnsi="Times New Roman"/>
          <w:sz w:val="28"/>
          <w:szCs w:val="28"/>
        </w:rPr>
        <w:t xml:space="preserve"> Północ. Pismem z 29 września 2025 r., znak: DOOŚ-WDŚIII.420.21.2025.AN.2, GDOŚ wezwał Fundację do wykazania konkretnych okoliczności faktycznych i prawnych, uzasadniających jej interes społeczny w uczestnictwie w przywołanym powyżej postępowaniu. W wezwaniu GDOŚ pouczył, że odpowiedź należy przesłać w terminie siedmiu dni od dnia doręczenia wezwania, a niewypełnienie go w wyznaczonym terminie będzie wiązało się z rozpatrzeniem wniosku w oparciu o dotychczas zgromadzony materiał dowodowy.</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 xml:space="preserve">Wezwanie zostało wysłane do Fundacji 29 września 2025 r., jednak przez błędne zaznaczenie Urzędowego Poświadczenia Przedłożenia w systemie </w:t>
      </w:r>
      <w:proofErr w:type="spellStart"/>
      <w:r w:rsidRPr="00373881">
        <w:rPr>
          <w:rFonts w:ascii="Times New Roman" w:hAnsi="Times New Roman"/>
          <w:sz w:val="28"/>
          <w:szCs w:val="28"/>
        </w:rPr>
        <w:t>ePUAP</w:t>
      </w:r>
      <w:proofErr w:type="spellEnd"/>
      <w:r w:rsidRPr="00373881">
        <w:rPr>
          <w:rFonts w:ascii="Times New Roman" w:hAnsi="Times New Roman"/>
          <w:sz w:val="28"/>
          <w:szCs w:val="28"/>
        </w:rPr>
        <w:t xml:space="preserve">, pismo nie dostało doręczone do adresata. GDOŚ ponowił wysyłkę 22 października 2025 r. za pośrednictwem platformy </w:t>
      </w:r>
      <w:proofErr w:type="spellStart"/>
      <w:r w:rsidRPr="00373881">
        <w:rPr>
          <w:rFonts w:ascii="Times New Roman" w:hAnsi="Times New Roman"/>
          <w:sz w:val="28"/>
          <w:szCs w:val="28"/>
        </w:rPr>
        <w:t>ePUAP</w:t>
      </w:r>
      <w:proofErr w:type="spellEnd"/>
      <w:r w:rsidRPr="00373881">
        <w:rPr>
          <w:rFonts w:ascii="Times New Roman" w:hAnsi="Times New Roman"/>
          <w:sz w:val="28"/>
          <w:szCs w:val="28"/>
        </w:rPr>
        <w:t xml:space="preserve">. Jak wynika z Urzędowego Poświadczenia Odbioru, ww. wezwanie zostało doręczone Fundacji 24 października 2025 r. </w:t>
      </w:r>
    </w:p>
    <w:p w:rsidR="00D43EC2" w:rsidRPr="00373881" w:rsidRDefault="001D67AB" w:rsidP="00373881">
      <w:pPr>
        <w:spacing w:after="0" w:line="312" w:lineRule="auto"/>
        <w:rPr>
          <w:rFonts w:ascii="Times New Roman" w:eastAsia="Times New Roman" w:hAnsi="Times New Roman"/>
          <w:sz w:val="28"/>
          <w:szCs w:val="28"/>
          <w:lang w:eastAsia="pl-PL"/>
        </w:rPr>
      </w:pPr>
      <w:r w:rsidRPr="00373881">
        <w:rPr>
          <w:rFonts w:ascii="Times New Roman" w:hAnsi="Times New Roman"/>
          <w:sz w:val="28"/>
          <w:szCs w:val="28"/>
        </w:rPr>
        <w:t xml:space="preserve">Z analizy akt sprawy wynika, że Fundacja nie udzieliła odpowiedzi na wezwanie z 29 września 2025 r. w wyznaczonym przez organ terminie. W konsekwencji GDOŚ ocenił dopuszczalność wniesienia odwołania przez Fundację </w:t>
      </w:r>
      <w:r w:rsidRPr="00373881">
        <w:rPr>
          <w:rFonts w:ascii="Times New Roman" w:eastAsia="Times New Roman" w:hAnsi="Times New Roman"/>
          <w:sz w:val="28"/>
          <w:szCs w:val="28"/>
          <w:lang w:eastAsia="pl-PL"/>
        </w:rPr>
        <w:t xml:space="preserve">w oparciu o posiadany w sprawie materiał dowodowy. </w:t>
      </w:r>
    </w:p>
    <w:p w:rsidR="00D43EC2" w:rsidRPr="00373881" w:rsidRDefault="001D67AB" w:rsidP="00373881">
      <w:pPr>
        <w:spacing w:after="0" w:line="312" w:lineRule="auto"/>
        <w:rPr>
          <w:rFonts w:ascii="Times New Roman" w:eastAsia="Times New Roman" w:hAnsi="Times New Roman"/>
          <w:sz w:val="28"/>
          <w:szCs w:val="28"/>
          <w:lang w:eastAsia="pl-PL"/>
        </w:rPr>
      </w:pPr>
      <w:r w:rsidRPr="00373881">
        <w:rPr>
          <w:rFonts w:ascii="Times New Roman" w:eastAsia="Times New Roman" w:hAnsi="Times New Roman"/>
          <w:sz w:val="28"/>
          <w:szCs w:val="28"/>
          <w:lang w:eastAsia="pl-PL"/>
        </w:rPr>
        <w:t xml:space="preserve">W związku z niewykazaniem przemawiającego za dopuszczeniem Fundacji do przedmiotowego postępowania interesu społecznego, GDOŚ stwierdził, że nie została spełniona jedna z dwóch wymaganych przesłanek, o których mowa w art. 31 k.p.a., które muszą zostać spełnione, aby dopuścić organizację społeczną do postepowania w sprawie wydania decyzji o środowiskowych uwarunkowaniach. </w:t>
      </w:r>
    </w:p>
    <w:p w:rsidR="00D43EC2" w:rsidRPr="00373881" w:rsidRDefault="001D67AB" w:rsidP="00373881">
      <w:pPr>
        <w:spacing w:after="0" w:line="312" w:lineRule="auto"/>
        <w:rPr>
          <w:rFonts w:ascii="Times New Roman" w:hAnsi="Times New Roman"/>
          <w:sz w:val="28"/>
          <w:szCs w:val="28"/>
        </w:rPr>
      </w:pPr>
      <w:r w:rsidRPr="00373881">
        <w:rPr>
          <w:rFonts w:ascii="Times New Roman" w:eastAsia="Times New Roman" w:hAnsi="Times New Roman"/>
          <w:sz w:val="28"/>
          <w:szCs w:val="28"/>
          <w:lang w:eastAsia="pl-PL"/>
        </w:rPr>
        <w:t xml:space="preserve">Tym samym GDOŚ uznał, że Fundacja nie mogła uczestniczyć w postępowaniu jako podmiot na prawach strony i tym samym nie przysługiwało jej prawo do zainicjowania postępowania odwoławczego w tej sprawie. </w:t>
      </w:r>
      <w:bookmarkEnd w:id="7"/>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lastRenderedPageBreak/>
        <w:t xml:space="preserve">Na podstawie art. 138 § 1 pkt 3 w związku z art. 105 § 1 k.p.a. organ odwoławczy wydaje decyzję o umorzeniu postępowania odwoławczego. Przesłanką jej wydania jest m.in. bezprzedmiotowość postępowania odwoławczego, związana ze stwierdzeniem przez organ drugiej instancji, że wnoszący odwołanie nie jest podmiotem na prawach strony w analizowanej sprawie (por. A. </w:t>
      </w:r>
      <w:proofErr w:type="spellStart"/>
      <w:r w:rsidRPr="00373881">
        <w:rPr>
          <w:rFonts w:ascii="Times New Roman" w:hAnsi="Times New Roman"/>
          <w:sz w:val="28"/>
          <w:szCs w:val="28"/>
        </w:rPr>
        <w:t>Golęba</w:t>
      </w:r>
      <w:proofErr w:type="spellEnd"/>
      <w:r w:rsidRPr="00373881">
        <w:rPr>
          <w:rFonts w:ascii="Times New Roman" w:hAnsi="Times New Roman"/>
          <w:sz w:val="28"/>
          <w:szCs w:val="28"/>
        </w:rPr>
        <w:t xml:space="preserve"> [w:] H. </w:t>
      </w:r>
      <w:proofErr w:type="spellStart"/>
      <w:r w:rsidRPr="00373881">
        <w:rPr>
          <w:rFonts w:ascii="Times New Roman" w:hAnsi="Times New Roman"/>
          <w:sz w:val="28"/>
          <w:szCs w:val="28"/>
        </w:rPr>
        <w:t>Knysiak-Sudyka</w:t>
      </w:r>
      <w:proofErr w:type="spellEnd"/>
      <w:r w:rsidRPr="00373881">
        <w:rPr>
          <w:rFonts w:ascii="Times New Roman" w:hAnsi="Times New Roman"/>
          <w:sz w:val="28"/>
          <w:szCs w:val="28"/>
        </w:rPr>
        <w:t xml:space="preserve"> (red.), </w:t>
      </w:r>
      <w:r w:rsidRPr="00373881">
        <w:rPr>
          <w:rFonts w:ascii="Times New Roman" w:hAnsi="Times New Roman"/>
          <w:i/>
          <w:sz w:val="28"/>
          <w:szCs w:val="28"/>
        </w:rPr>
        <w:t>Kodeks postępowania administracyjnego. Komentarz, wyd. II</w:t>
      </w:r>
      <w:r w:rsidRPr="00373881">
        <w:rPr>
          <w:rFonts w:ascii="Times New Roman" w:hAnsi="Times New Roman"/>
          <w:sz w:val="28"/>
          <w:szCs w:val="28"/>
        </w:rPr>
        <w:t>, Warszawa 2019, System Informacji Prawnej Lex, art. 138, teza 6).</w:t>
      </w:r>
    </w:p>
    <w:p w:rsidR="00D43EC2" w:rsidRPr="00373881" w:rsidRDefault="001D67AB" w:rsidP="00373881">
      <w:pPr>
        <w:spacing w:after="0" w:line="312" w:lineRule="auto"/>
        <w:rPr>
          <w:rFonts w:ascii="Times New Roman" w:hAnsi="Times New Roman"/>
          <w:sz w:val="28"/>
          <w:szCs w:val="28"/>
        </w:rPr>
      </w:pPr>
      <w:r w:rsidRPr="00373881">
        <w:rPr>
          <w:rFonts w:ascii="Times New Roman" w:hAnsi="Times New Roman"/>
          <w:sz w:val="28"/>
          <w:szCs w:val="28"/>
        </w:rPr>
        <w:t>Wobec powyższego GDOŚ orzekł, jak w sentencji.</w:t>
      </w:r>
    </w:p>
    <w:p w:rsidR="00D43EC2" w:rsidRPr="00373881" w:rsidRDefault="001D67AB" w:rsidP="00373881">
      <w:pPr>
        <w:tabs>
          <w:tab w:val="left" w:pos="567"/>
        </w:tabs>
        <w:spacing w:after="0"/>
        <w:rPr>
          <w:rFonts w:ascii="Times New Roman" w:hAnsi="Times New Roman"/>
          <w:sz w:val="28"/>
          <w:szCs w:val="28"/>
        </w:rPr>
      </w:pPr>
      <w:r w:rsidRPr="00373881">
        <w:rPr>
          <w:rFonts w:ascii="Times New Roman" w:hAnsi="Times New Roman"/>
          <w:sz w:val="28"/>
          <w:szCs w:val="28"/>
        </w:rPr>
        <w:t>Pouczenie</w:t>
      </w:r>
    </w:p>
    <w:p w:rsidR="00D43EC2" w:rsidRPr="00373881" w:rsidRDefault="001D67AB" w:rsidP="00373881">
      <w:pPr>
        <w:numPr>
          <w:ilvl w:val="0"/>
          <w:numId w:val="1"/>
        </w:numPr>
        <w:suppressAutoHyphens/>
        <w:spacing w:after="0" w:line="312" w:lineRule="auto"/>
        <w:ind w:left="426" w:hanging="426"/>
        <w:contextualSpacing/>
        <w:rPr>
          <w:rFonts w:ascii="Times New Roman" w:hAnsi="Times New Roman"/>
          <w:sz w:val="28"/>
          <w:szCs w:val="28"/>
        </w:rPr>
      </w:pPr>
      <w:r w:rsidRPr="00373881">
        <w:rPr>
          <w:rFonts w:ascii="Times New Roman" w:hAnsi="Times New Roman"/>
          <w:sz w:val="28"/>
          <w:szCs w:val="28"/>
        </w:rPr>
        <w:t xml:space="preserve">niniejsza decyzja jest ostateczna w administracyjnym toku instancji. Na decyzję, zgodnie z art. 50 w związku z art. 3 § 2 pkt 1 ustawy z dnia 30 sierpnia 2002 r. – Prawo o postępowaniu przed sądami administracyjnymi (Dz. U. z 2024 r. poz. 935), dalej </w:t>
      </w:r>
      <w:proofErr w:type="spellStart"/>
      <w:r w:rsidRPr="00373881">
        <w:rPr>
          <w:rFonts w:ascii="Times New Roman" w:hAnsi="Times New Roman"/>
          <w:sz w:val="28"/>
          <w:szCs w:val="28"/>
        </w:rPr>
        <w:t>p.p.s.a</w:t>
      </w:r>
      <w:proofErr w:type="spellEnd"/>
      <w:r w:rsidRPr="00373881">
        <w:rPr>
          <w:rFonts w:ascii="Times New Roman" w:hAnsi="Times New Roman"/>
          <w:sz w:val="28"/>
          <w:szCs w:val="28"/>
        </w:rPr>
        <w:t>., służy skarga do Wojewódzkiego Sądu Administracyjnego w Warszawie;</w:t>
      </w:r>
    </w:p>
    <w:p w:rsidR="00D43EC2" w:rsidRPr="00373881" w:rsidRDefault="001D67AB" w:rsidP="00373881">
      <w:pPr>
        <w:numPr>
          <w:ilvl w:val="0"/>
          <w:numId w:val="1"/>
        </w:numPr>
        <w:suppressAutoHyphens/>
        <w:spacing w:after="0" w:line="312" w:lineRule="auto"/>
        <w:ind w:left="426" w:hanging="426"/>
        <w:contextualSpacing/>
        <w:rPr>
          <w:rFonts w:ascii="Times New Roman" w:hAnsi="Times New Roman"/>
          <w:sz w:val="28"/>
          <w:szCs w:val="28"/>
        </w:rPr>
      </w:pPr>
      <w:r w:rsidRPr="00373881">
        <w:rPr>
          <w:rFonts w:ascii="Times New Roman" w:hAnsi="Times New Roman"/>
          <w:sz w:val="28"/>
          <w:szCs w:val="28"/>
        </w:rPr>
        <w:t xml:space="preserve">zgodnie z art. 54 § 1 oraz art. 53 § 1 </w:t>
      </w:r>
      <w:proofErr w:type="spellStart"/>
      <w:r w:rsidRPr="00373881">
        <w:rPr>
          <w:rFonts w:ascii="Times New Roman" w:hAnsi="Times New Roman"/>
          <w:sz w:val="28"/>
          <w:szCs w:val="28"/>
        </w:rPr>
        <w:t>p.p.s.a</w:t>
      </w:r>
      <w:proofErr w:type="spellEnd"/>
      <w:r w:rsidRPr="00373881">
        <w:rPr>
          <w:rFonts w:ascii="Times New Roman" w:hAnsi="Times New Roman"/>
          <w:sz w:val="28"/>
          <w:szCs w:val="28"/>
        </w:rPr>
        <w:t>. skargę wnosi się za pośrednictwem GDOŚ w terminie trzydziestu dni od dnia doręczenia skarżącemu decyzji;</w:t>
      </w:r>
    </w:p>
    <w:p w:rsidR="00D43EC2" w:rsidRPr="00373881" w:rsidRDefault="001D67AB" w:rsidP="00373881">
      <w:pPr>
        <w:numPr>
          <w:ilvl w:val="0"/>
          <w:numId w:val="1"/>
        </w:numPr>
        <w:suppressAutoHyphens/>
        <w:spacing w:after="0" w:line="312" w:lineRule="auto"/>
        <w:ind w:left="426" w:hanging="426"/>
        <w:contextualSpacing/>
        <w:rPr>
          <w:rFonts w:ascii="Times New Roman" w:hAnsi="Times New Roman"/>
          <w:sz w:val="28"/>
          <w:szCs w:val="28"/>
        </w:rPr>
      </w:pPr>
      <w:r w:rsidRPr="00373881">
        <w:rPr>
          <w:rFonts w:ascii="Times New Roman" w:hAnsi="Times New Roman"/>
          <w:sz w:val="28"/>
          <w:szCs w:val="28"/>
        </w:rPr>
        <w:t xml:space="preserve">skarżący, zgodnie z art. 230 </w:t>
      </w:r>
      <w:proofErr w:type="spellStart"/>
      <w:r w:rsidRPr="00373881">
        <w:rPr>
          <w:rFonts w:ascii="Times New Roman" w:hAnsi="Times New Roman"/>
          <w:iCs/>
          <w:sz w:val="28"/>
          <w:szCs w:val="28"/>
        </w:rPr>
        <w:t>p.p.s.a</w:t>
      </w:r>
      <w:proofErr w:type="spellEnd"/>
      <w:r w:rsidRPr="00373881">
        <w:rPr>
          <w:rFonts w:ascii="Times New Roman" w:hAnsi="Times New Roman"/>
          <w:iCs/>
          <w:sz w:val="28"/>
          <w:szCs w:val="28"/>
        </w:rPr>
        <w:t>. w związku z § 2 ust. 3 pkt 3 rozporządzenia Rady Ministrów z dnia 16 grudnia 2003 r.</w:t>
      </w:r>
      <w:r w:rsidRPr="00373881">
        <w:rPr>
          <w:rFonts w:ascii="Times New Roman" w:hAnsi="Times New Roman"/>
          <w:i/>
          <w:iCs/>
          <w:sz w:val="28"/>
          <w:szCs w:val="28"/>
        </w:rPr>
        <w:t xml:space="preserve"> </w:t>
      </w:r>
      <w:r w:rsidRPr="00373881">
        <w:rPr>
          <w:rFonts w:ascii="Times New Roman" w:hAnsi="Times New Roman"/>
          <w:sz w:val="28"/>
          <w:szCs w:val="28"/>
        </w:rPr>
        <w:t>w sprawie wysokości oraz szczegółowych zasad pobierania wpisu w postępowaniu przed sądami administracyjnymi</w:t>
      </w:r>
      <w:r w:rsidRPr="00373881">
        <w:rPr>
          <w:rFonts w:ascii="Times New Roman" w:hAnsi="Times New Roman"/>
          <w:i/>
          <w:iCs/>
          <w:sz w:val="28"/>
          <w:szCs w:val="28"/>
        </w:rPr>
        <w:t xml:space="preserve"> </w:t>
      </w:r>
      <w:r w:rsidRPr="00373881">
        <w:rPr>
          <w:rFonts w:ascii="Times New Roman" w:hAnsi="Times New Roman"/>
          <w:iCs/>
          <w:sz w:val="28"/>
          <w:szCs w:val="28"/>
        </w:rPr>
        <w:t>(Dz. U. z 2021 r. poz. 535)</w:t>
      </w:r>
      <w:r w:rsidRPr="00373881">
        <w:rPr>
          <w:rFonts w:ascii="Times New Roman" w:hAnsi="Times New Roman"/>
          <w:sz w:val="28"/>
          <w:szCs w:val="28"/>
        </w:rPr>
        <w:t xml:space="preserve">, obowiązany jest do uiszczenia wpisu od skargi w kwocie 200 zł. Skarżący, co wynika z art. 239 </w:t>
      </w:r>
      <w:proofErr w:type="spellStart"/>
      <w:r w:rsidRPr="00373881">
        <w:rPr>
          <w:rFonts w:ascii="Times New Roman" w:hAnsi="Times New Roman"/>
          <w:iCs/>
          <w:sz w:val="28"/>
          <w:szCs w:val="28"/>
        </w:rPr>
        <w:t>p.p.s.a</w:t>
      </w:r>
      <w:proofErr w:type="spellEnd"/>
      <w:r w:rsidRPr="00373881">
        <w:rPr>
          <w:rFonts w:ascii="Times New Roman" w:hAnsi="Times New Roman"/>
          <w:iCs/>
          <w:sz w:val="28"/>
          <w:szCs w:val="28"/>
        </w:rPr>
        <w:t>.</w:t>
      </w:r>
      <w:r w:rsidRPr="00373881">
        <w:rPr>
          <w:rFonts w:ascii="Times New Roman" w:hAnsi="Times New Roman"/>
          <w:sz w:val="28"/>
          <w:szCs w:val="28"/>
        </w:rPr>
        <w:t>, może być zwolniony z obowiązku uiszczenia kosztów sądowych;</w:t>
      </w:r>
    </w:p>
    <w:p w:rsidR="00D43EC2" w:rsidRPr="00373881" w:rsidRDefault="001D67AB" w:rsidP="00373881">
      <w:pPr>
        <w:numPr>
          <w:ilvl w:val="0"/>
          <w:numId w:val="1"/>
        </w:numPr>
        <w:suppressAutoHyphens/>
        <w:spacing w:after="0" w:line="312" w:lineRule="auto"/>
        <w:ind w:left="426" w:hanging="426"/>
        <w:contextualSpacing/>
        <w:rPr>
          <w:rFonts w:ascii="Times New Roman" w:hAnsi="Times New Roman"/>
          <w:sz w:val="28"/>
          <w:szCs w:val="28"/>
        </w:rPr>
      </w:pPr>
      <w:r w:rsidRPr="00373881">
        <w:rPr>
          <w:rFonts w:ascii="Times New Roman" w:hAnsi="Times New Roman"/>
          <w:sz w:val="28"/>
          <w:szCs w:val="28"/>
        </w:rPr>
        <w:t xml:space="preserve">skarżącemu, zgodnie z art. 243 </w:t>
      </w:r>
      <w:proofErr w:type="spellStart"/>
      <w:r w:rsidRPr="00373881">
        <w:rPr>
          <w:rFonts w:ascii="Times New Roman" w:hAnsi="Times New Roman"/>
          <w:iCs/>
          <w:sz w:val="28"/>
          <w:szCs w:val="28"/>
        </w:rPr>
        <w:t>p.p.s.a</w:t>
      </w:r>
      <w:proofErr w:type="spellEnd"/>
      <w:r w:rsidRPr="00373881">
        <w:rPr>
          <w:rFonts w:ascii="Times New Roman" w:hAnsi="Times New Roman"/>
          <w:iCs/>
          <w:sz w:val="28"/>
          <w:szCs w:val="28"/>
        </w:rPr>
        <w:t>.</w:t>
      </w:r>
      <w:r w:rsidRPr="00373881">
        <w:rPr>
          <w:rFonts w:ascii="Times New Roman" w:hAnsi="Times New Roman"/>
          <w:sz w:val="28"/>
          <w:szCs w:val="28"/>
        </w:rPr>
        <w:t>, może być przyznane, na jego wniosek, prawo pomocy. Wniosek ten wolny jest od opłat sądowych;</w:t>
      </w:r>
    </w:p>
    <w:p w:rsidR="00D43EC2" w:rsidRDefault="001D67AB" w:rsidP="00373881">
      <w:pPr>
        <w:numPr>
          <w:ilvl w:val="0"/>
          <w:numId w:val="1"/>
        </w:numPr>
        <w:suppressAutoHyphens/>
        <w:spacing w:after="0" w:line="312" w:lineRule="auto"/>
        <w:ind w:left="425" w:hanging="425"/>
        <w:rPr>
          <w:rFonts w:ascii="Times New Roman" w:eastAsia="Times New Roman" w:hAnsi="Times New Roman"/>
          <w:sz w:val="28"/>
          <w:szCs w:val="28"/>
        </w:rPr>
      </w:pPr>
      <w:bookmarkStart w:id="9" w:name="_Hlk153181224"/>
      <w:r w:rsidRPr="00373881">
        <w:rPr>
          <w:rFonts w:ascii="Times New Roman" w:hAnsi="Times New Roman"/>
          <w:sz w:val="28"/>
          <w:szCs w:val="28"/>
        </w:rPr>
        <w:t>skargę</w:t>
      </w:r>
      <w:r w:rsidRPr="00373881">
        <w:rPr>
          <w:rFonts w:ascii="Times New Roman" w:eastAsia="Times New Roman" w:hAnsi="Times New Roman"/>
          <w:sz w:val="28"/>
          <w:szCs w:val="28"/>
        </w:rPr>
        <w:t xml:space="preserve"> w formie elektronicznej należy wnieść na adres do e-Doręczeń: AE:PL-14966-78422-TRCJH-21 lub adres </w:t>
      </w:r>
      <w:proofErr w:type="spellStart"/>
      <w:r w:rsidRPr="00373881">
        <w:rPr>
          <w:rFonts w:ascii="Times New Roman" w:eastAsia="Times New Roman" w:hAnsi="Times New Roman"/>
          <w:sz w:val="28"/>
          <w:szCs w:val="28"/>
        </w:rPr>
        <w:t>ePUAP</w:t>
      </w:r>
      <w:proofErr w:type="spellEnd"/>
      <w:r w:rsidRPr="00373881">
        <w:rPr>
          <w:rFonts w:ascii="Times New Roman" w:eastAsia="Times New Roman" w:hAnsi="Times New Roman"/>
          <w:sz w:val="28"/>
          <w:szCs w:val="28"/>
        </w:rPr>
        <w:t>: /</w:t>
      </w:r>
      <w:proofErr w:type="spellStart"/>
      <w:r w:rsidRPr="00373881">
        <w:rPr>
          <w:rFonts w:ascii="Times New Roman" w:eastAsia="Times New Roman" w:hAnsi="Times New Roman"/>
          <w:sz w:val="28"/>
          <w:szCs w:val="28"/>
        </w:rPr>
        <w:t>gdosgovpl</w:t>
      </w:r>
      <w:proofErr w:type="spellEnd"/>
      <w:r w:rsidRPr="00373881">
        <w:rPr>
          <w:rFonts w:ascii="Times New Roman" w:eastAsia="Times New Roman" w:hAnsi="Times New Roman"/>
          <w:sz w:val="28"/>
          <w:szCs w:val="28"/>
        </w:rPr>
        <w:t>/</w:t>
      </w:r>
      <w:proofErr w:type="spellStart"/>
      <w:r w:rsidRPr="00373881">
        <w:rPr>
          <w:rFonts w:ascii="Times New Roman" w:eastAsia="Times New Roman" w:hAnsi="Times New Roman"/>
          <w:sz w:val="28"/>
          <w:szCs w:val="28"/>
        </w:rPr>
        <w:t>SkrytkaESP</w:t>
      </w:r>
      <w:proofErr w:type="spellEnd"/>
      <w:r w:rsidRPr="00373881">
        <w:rPr>
          <w:rFonts w:ascii="Times New Roman" w:eastAsia="Times New Roman" w:hAnsi="Times New Roman"/>
          <w:sz w:val="28"/>
          <w:szCs w:val="28"/>
        </w:rPr>
        <w:t>, natomiast w formie papierowej – na adres siedziby Generalnej Dyrekcji Ochrony Środowiska: Al. Jerozolimskie 136, 02-305 Warszawa.</w:t>
      </w:r>
      <w:bookmarkEnd w:id="9"/>
    </w:p>
    <w:p w:rsidR="004C5FBB" w:rsidRPr="00373881" w:rsidRDefault="004C5FBB" w:rsidP="004C5FBB">
      <w:pPr>
        <w:pStyle w:val="menfont"/>
        <w:rPr>
          <w:rFonts w:ascii="Times New Roman" w:hAnsi="Times New Roman" w:cs="Times New Roman"/>
          <w:sz w:val="28"/>
        </w:rPr>
      </w:pPr>
      <w:r w:rsidRPr="00373881">
        <w:rPr>
          <w:rFonts w:ascii="Times New Roman" w:hAnsi="Times New Roman" w:cs="Times New Roman"/>
          <w:sz w:val="28"/>
        </w:rPr>
        <w:t>PIOTR OTAWSKI</w:t>
      </w:r>
    </w:p>
    <w:p w:rsidR="004C5FBB" w:rsidRPr="00373881" w:rsidRDefault="004C5FBB" w:rsidP="004C5FBB">
      <w:pPr>
        <w:pStyle w:val="menfont"/>
        <w:rPr>
          <w:rFonts w:ascii="Times New Roman" w:hAnsi="Times New Roman" w:cs="Times New Roman"/>
          <w:sz w:val="28"/>
        </w:rPr>
      </w:pPr>
      <w:r w:rsidRPr="00373881">
        <w:rPr>
          <w:rFonts w:ascii="Times New Roman" w:hAnsi="Times New Roman" w:cs="Times New Roman"/>
          <w:sz w:val="28"/>
        </w:rPr>
        <w:t>Generalny Dyrektor Ochrony Środowiska</w:t>
      </w:r>
    </w:p>
    <w:p w:rsidR="00552C68" w:rsidRPr="004C5FBB" w:rsidRDefault="004C5FBB" w:rsidP="004C5FBB">
      <w:pPr>
        <w:pStyle w:val="menfont"/>
        <w:spacing w:line="276" w:lineRule="auto"/>
        <w:rPr>
          <w:rFonts w:ascii="Times New Roman" w:hAnsi="Times New Roman" w:cs="Times New Roman"/>
          <w:sz w:val="28"/>
        </w:rPr>
      </w:pPr>
      <w:r w:rsidRPr="00373881">
        <w:rPr>
          <w:rFonts w:ascii="Times New Roman" w:hAnsi="Times New Roman" w:cs="Times New Roman"/>
          <w:sz w:val="28"/>
        </w:rPr>
        <w:t>/ – dokument podpisany elektronicznie – /</w:t>
      </w:r>
    </w:p>
    <w:p w:rsidR="00D43EC2" w:rsidRPr="00373881" w:rsidRDefault="001D67AB" w:rsidP="00373881">
      <w:pPr>
        <w:pStyle w:val="Tekstpodstawowy"/>
        <w:tabs>
          <w:tab w:val="left" w:pos="284"/>
        </w:tabs>
        <w:spacing w:line="300" w:lineRule="auto"/>
        <w:ind w:left="284" w:hanging="284"/>
        <w:jc w:val="left"/>
        <w:rPr>
          <w:sz w:val="28"/>
          <w:szCs w:val="28"/>
        </w:rPr>
      </w:pPr>
      <w:r w:rsidRPr="00373881">
        <w:rPr>
          <w:sz w:val="28"/>
          <w:szCs w:val="28"/>
        </w:rPr>
        <w:lastRenderedPageBreak/>
        <w:t>Otrzymują:</w:t>
      </w:r>
    </w:p>
    <w:p w:rsidR="00D43EC2" w:rsidRPr="00373881" w:rsidRDefault="001D67AB" w:rsidP="00373881">
      <w:pPr>
        <w:pStyle w:val="Tekstpodstawowy"/>
        <w:numPr>
          <w:ilvl w:val="0"/>
          <w:numId w:val="2"/>
        </w:numPr>
        <w:tabs>
          <w:tab w:val="left" w:pos="284"/>
        </w:tabs>
        <w:spacing w:line="300" w:lineRule="auto"/>
        <w:jc w:val="left"/>
        <w:rPr>
          <w:sz w:val="28"/>
          <w:szCs w:val="28"/>
        </w:rPr>
      </w:pPr>
      <w:r w:rsidRPr="00373881">
        <w:rPr>
          <w:sz w:val="28"/>
          <w:szCs w:val="28"/>
        </w:rPr>
        <w:t>GRAND AGRO FUNDACJA OCHRONY ŚRODOWISKA NATURALNEGO, adres e-PUAP: /</w:t>
      </w:r>
      <w:proofErr w:type="spellStart"/>
      <w:r w:rsidRPr="00373881">
        <w:rPr>
          <w:sz w:val="28"/>
          <w:szCs w:val="28"/>
        </w:rPr>
        <w:t>GrandAgro</w:t>
      </w:r>
      <w:proofErr w:type="spellEnd"/>
      <w:r w:rsidRPr="00373881">
        <w:rPr>
          <w:sz w:val="28"/>
          <w:szCs w:val="28"/>
        </w:rPr>
        <w:t>/</w:t>
      </w:r>
      <w:proofErr w:type="spellStart"/>
      <w:r w:rsidRPr="00373881">
        <w:rPr>
          <w:sz w:val="28"/>
          <w:szCs w:val="28"/>
        </w:rPr>
        <w:t>domyslna</w:t>
      </w:r>
      <w:proofErr w:type="spellEnd"/>
      <w:r w:rsidRPr="00373881">
        <w:rPr>
          <w:sz w:val="28"/>
          <w:szCs w:val="28"/>
        </w:rPr>
        <w:t>;</w:t>
      </w:r>
    </w:p>
    <w:p w:rsidR="00D43EC2" w:rsidRPr="00373881" w:rsidRDefault="00843B4D" w:rsidP="00373881">
      <w:pPr>
        <w:pStyle w:val="Tekstpodstawowy"/>
        <w:numPr>
          <w:ilvl w:val="0"/>
          <w:numId w:val="2"/>
        </w:numPr>
        <w:tabs>
          <w:tab w:val="left" w:pos="284"/>
        </w:tabs>
        <w:spacing w:line="300" w:lineRule="auto"/>
        <w:jc w:val="left"/>
        <w:rPr>
          <w:sz w:val="28"/>
          <w:szCs w:val="28"/>
        </w:rPr>
      </w:pPr>
      <w:r>
        <w:rPr>
          <w:sz w:val="28"/>
          <w:szCs w:val="28"/>
        </w:rPr>
        <w:t>(…)</w:t>
      </w:r>
      <w:r w:rsidR="001D67AB" w:rsidRPr="00373881">
        <w:rPr>
          <w:sz w:val="28"/>
          <w:szCs w:val="28"/>
        </w:rPr>
        <w:t xml:space="preserve"> – pełnomocnik ORLEN S.A., Pion Geologii Dział Ochrony Środowiska ul. M. Kasprzaka 25a, 01-224 Warszawa;</w:t>
      </w:r>
    </w:p>
    <w:p w:rsidR="00D43EC2" w:rsidRPr="00373881" w:rsidRDefault="001D67AB" w:rsidP="00373881">
      <w:pPr>
        <w:pStyle w:val="Tekstpodstawowy"/>
        <w:numPr>
          <w:ilvl w:val="0"/>
          <w:numId w:val="2"/>
        </w:numPr>
        <w:tabs>
          <w:tab w:val="left" w:pos="284"/>
        </w:tabs>
        <w:spacing w:line="300" w:lineRule="auto"/>
        <w:jc w:val="left"/>
        <w:rPr>
          <w:sz w:val="28"/>
          <w:szCs w:val="28"/>
        </w:rPr>
      </w:pPr>
      <w:r w:rsidRPr="00373881">
        <w:rPr>
          <w:sz w:val="28"/>
          <w:szCs w:val="28"/>
        </w:rPr>
        <w:t xml:space="preserve">pozostałe strony postępowania zgodnie z art. 49 § 1 k.p.a. w związku z art. 74 ust. 3 </w:t>
      </w:r>
      <w:proofErr w:type="spellStart"/>
      <w:r w:rsidRPr="00373881">
        <w:rPr>
          <w:sz w:val="28"/>
          <w:szCs w:val="28"/>
        </w:rPr>
        <w:t>u.o.o.ś</w:t>
      </w:r>
      <w:proofErr w:type="spellEnd"/>
      <w:r w:rsidRPr="00373881">
        <w:rPr>
          <w:sz w:val="28"/>
          <w:szCs w:val="28"/>
        </w:rPr>
        <w:t>.</w:t>
      </w:r>
    </w:p>
    <w:p w:rsidR="00D43EC2" w:rsidRPr="00373881" w:rsidRDefault="001D67AB" w:rsidP="00373881">
      <w:pPr>
        <w:spacing w:after="0"/>
        <w:rPr>
          <w:rFonts w:ascii="Times New Roman" w:hAnsi="Times New Roman"/>
          <w:sz w:val="28"/>
          <w:szCs w:val="28"/>
        </w:rPr>
      </w:pPr>
      <w:r w:rsidRPr="00373881">
        <w:rPr>
          <w:rFonts w:ascii="Times New Roman" w:hAnsi="Times New Roman"/>
          <w:sz w:val="28"/>
          <w:szCs w:val="28"/>
        </w:rPr>
        <w:t>Do wiadomości:</w:t>
      </w:r>
    </w:p>
    <w:p w:rsidR="00D43EC2" w:rsidRPr="00373881" w:rsidRDefault="001D67AB" w:rsidP="00373881">
      <w:pPr>
        <w:pStyle w:val="Akapitzlist"/>
        <w:numPr>
          <w:ilvl w:val="0"/>
          <w:numId w:val="3"/>
        </w:numPr>
        <w:jc w:val="left"/>
        <w:rPr>
          <w:sz w:val="28"/>
          <w:szCs w:val="28"/>
        </w:rPr>
      </w:pPr>
      <w:r w:rsidRPr="00373881">
        <w:rPr>
          <w:sz w:val="28"/>
          <w:szCs w:val="28"/>
        </w:rPr>
        <w:t>Regionalny Dyrektor Ochrony Środowiska w Krakowie; Wydział Spraw Terenowych w Tarnowie, adres e-PUAP: /RDOS12/skrytka.</w:t>
      </w:r>
    </w:p>
    <w:p w:rsidR="006B6274" w:rsidRPr="00373881" w:rsidRDefault="0055079B" w:rsidP="00373881">
      <w:pPr>
        <w:spacing w:after="0" w:line="312" w:lineRule="auto"/>
        <w:ind w:left="4536"/>
        <w:rPr>
          <w:rFonts w:ascii="Times New Roman" w:hAnsi="Times New Roman"/>
          <w:sz w:val="24"/>
          <w:szCs w:val="24"/>
        </w:rPr>
      </w:pPr>
      <w:bookmarkStart w:id="10" w:name="_GoBack"/>
      <w:bookmarkEnd w:id="10"/>
    </w:p>
    <w:sectPr w:rsidR="006B6274" w:rsidRPr="00373881" w:rsidSect="000F1838">
      <w:headerReference w:type="default" r:id="rId9"/>
      <w:footerReference w:type="default" r:id="rId10"/>
      <w:headerReference w:type="first" r:id="rId11"/>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79B" w:rsidRDefault="0055079B">
      <w:pPr>
        <w:spacing w:after="0" w:line="240" w:lineRule="auto"/>
      </w:pPr>
      <w:r>
        <w:separator/>
      </w:r>
    </w:p>
  </w:endnote>
  <w:endnote w:type="continuationSeparator" w:id="0">
    <w:p w:rsidR="0055079B" w:rsidRDefault="0055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969693"/>
      <w:docPartObj>
        <w:docPartGallery w:val="Page Numbers (Bottom of Page)"/>
        <w:docPartUnique/>
      </w:docPartObj>
    </w:sdtPr>
    <w:sdtEndPr/>
    <w:sdtContent>
      <w:p w:rsidR="00D43EC2" w:rsidRDefault="001D67AB">
        <w:pPr>
          <w:pStyle w:val="Stopka"/>
          <w:jc w:val="right"/>
        </w:pPr>
        <w:r>
          <w:fldChar w:fldCharType="begin"/>
        </w:r>
        <w:r>
          <w:instrText>PAGE   \* MERGEFORMAT</w:instrText>
        </w:r>
        <w:r>
          <w:fldChar w:fldCharType="separate"/>
        </w:r>
        <w:r w:rsidR="00843B4D">
          <w:rPr>
            <w:noProof/>
          </w:rPr>
          <w:t>6</w:t>
        </w:r>
        <w:r>
          <w:fldChar w:fldCharType="end"/>
        </w:r>
      </w:p>
    </w:sdtContent>
  </w:sdt>
  <w:p w:rsidR="001F489F" w:rsidRDefault="0055079B"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79B" w:rsidRDefault="0055079B">
      <w:pPr>
        <w:spacing w:after="0" w:line="240" w:lineRule="auto"/>
      </w:pPr>
      <w:r>
        <w:separator/>
      </w:r>
    </w:p>
  </w:footnote>
  <w:footnote w:type="continuationSeparator" w:id="0">
    <w:p w:rsidR="0055079B" w:rsidRDefault="0055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55079B"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72" w:type="dxa"/>
      <w:tblLook w:val="04A0" w:firstRow="1" w:lastRow="0" w:firstColumn="1" w:lastColumn="0" w:noHBand="0" w:noVBand="1"/>
    </w:tblPr>
    <w:tblGrid>
      <w:gridCol w:w="4641"/>
    </w:tblGrid>
    <w:tr w:rsidR="00F75ECC" w:rsidTr="000F1838">
      <w:trPr>
        <w:trHeight w:val="470"/>
      </w:trPr>
      <w:tc>
        <w:tcPr>
          <w:tcW w:w="4641" w:type="dxa"/>
          <w:vAlign w:val="center"/>
        </w:tcPr>
        <w:p w:rsidR="00A3212B" w:rsidRPr="00373881" w:rsidRDefault="0055079B" w:rsidP="00373881">
          <w:pPr>
            <w:pStyle w:val="Nagwek"/>
            <w:tabs>
              <w:tab w:val="clear" w:pos="4536"/>
              <w:tab w:val="clear" w:pos="9072"/>
              <w:tab w:val="left" w:pos="1698"/>
              <w:tab w:val="left" w:pos="2719"/>
            </w:tabs>
          </w:pPr>
        </w:p>
      </w:tc>
    </w:tr>
  </w:tbl>
  <w:p w:rsidR="00A3212B" w:rsidRDefault="005507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5F7"/>
    <w:multiLevelType w:val="hybridMultilevel"/>
    <w:tmpl w:val="35C421CA"/>
    <w:lvl w:ilvl="0" w:tplc="39D85D86">
      <w:start w:val="1"/>
      <w:numFmt w:val="decimal"/>
      <w:lvlText w:val="%1."/>
      <w:lvlJc w:val="left"/>
      <w:pPr>
        <w:ind w:left="720" w:hanging="360"/>
      </w:pPr>
      <w:rPr>
        <w:rFonts w:hint="default"/>
        <w:b w:val="0"/>
      </w:rPr>
    </w:lvl>
    <w:lvl w:ilvl="1" w:tplc="52C01C7C" w:tentative="1">
      <w:start w:val="1"/>
      <w:numFmt w:val="lowerLetter"/>
      <w:lvlText w:val="%2."/>
      <w:lvlJc w:val="left"/>
      <w:pPr>
        <w:ind w:left="1440" w:hanging="360"/>
      </w:pPr>
    </w:lvl>
    <w:lvl w:ilvl="2" w:tplc="1534B524" w:tentative="1">
      <w:start w:val="1"/>
      <w:numFmt w:val="lowerRoman"/>
      <w:lvlText w:val="%3."/>
      <w:lvlJc w:val="right"/>
      <w:pPr>
        <w:ind w:left="2160" w:hanging="180"/>
      </w:pPr>
    </w:lvl>
    <w:lvl w:ilvl="3" w:tplc="BE381C8E" w:tentative="1">
      <w:start w:val="1"/>
      <w:numFmt w:val="decimal"/>
      <w:lvlText w:val="%4."/>
      <w:lvlJc w:val="left"/>
      <w:pPr>
        <w:ind w:left="2880" w:hanging="360"/>
      </w:pPr>
    </w:lvl>
    <w:lvl w:ilvl="4" w:tplc="FAAC1BA4" w:tentative="1">
      <w:start w:val="1"/>
      <w:numFmt w:val="lowerLetter"/>
      <w:lvlText w:val="%5."/>
      <w:lvlJc w:val="left"/>
      <w:pPr>
        <w:ind w:left="3600" w:hanging="360"/>
      </w:pPr>
    </w:lvl>
    <w:lvl w:ilvl="5" w:tplc="CF4C1ACE" w:tentative="1">
      <w:start w:val="1"/>
      <w:numFmt w:val="lowerRoman"/>
      <w:lvlText w:val="%6."/>
      <w:lvlJc w:val="right"/>
      <w:pPr>
        <w:ind w:left="4320" w:hanging="180"/>
      </w:pPr>
    </w:lvl>
    <w:lvl w:ilvl="6" w:tplc="A75E672E" w:tentative="1">
      <w:start w:val="1"/>
      <w:numFmt w:val="decimal"/>
      <w:lvlText w:val="%7."/>
      <w:lvlJc w:val="left"/>
      <w:pPr>
        <w:ind w:left="5040" w:hanging="360"/>
      </w:pPr>
    </w:lvl>
    <w:lvl w:ilvl="7" w:tplc="E4CE5D3C" w:tentative="1">
      <w:start w:val="1"/>
      <w:numFmt w:val="lowerLetter"/>
      <w:lvlText w:val="%8."/>
      <w:lvlJc w:val="left"/>
      <w:pPr>
        <w:ind w:left="5760" w:hanging="360"/>
      </w:pPr>
    </w:lvl>
    <w:lvl w:ilvl="8" w:tplc="52CA7694" w:tentative="1">
      <w:start w:val="1"/>
      <w:numFmt w:val="lowerRoman"/>
      <w:lvlText w:val="%9."/>
      <w:lvlJc w:val="right"/>
      <w:pPr>
        <w:ind w:left="6480" w:hanging="180"/>
      </w:pPr>
    </w:lvl>
  </w:abstractNum>
  <w:abstractNum w:abstractNumId="1" w15:restartNumberingAfterBreak="0">
    <w:nsid w:val="60114025"/>
    <w:multiLevelType w:val="hybridMultilevel"/>
    <w:tmpl w:val="1B3C4918"/>
    <w:lvl w:ilvl="0" w:tplc="1062E83C">
      <w:start w:val="1"/>
      <w:numFmt w:val="decimal"/>
      <w:lvlText w:val="%1."/>
      <w:lvlJc w:val="left"/>
      <w:pPr>
        <w:ind w:left="720" w:hanging="360"/>
      </w:pPr>
      <w:rPr>
        <w:rFonts w:hint="default"/>
        <w:b w:val="0"/>
      </w:rPr>
    </w:lvl>
    <w:lvl w:ilvl="1" w:tplc="E4CC1076" w:tentative="1">
      <w:start w:val="1"/>
      <w:numFmt w:val="lowerLetter"/>
      <w:lvlText w:val="%2."/>
      <w:lvlJc w:val="left"/>
      <w:pPr>
        <w:ind w:left="1440" w:hanging="360"/>
      </w:pPr>
    </w:lvl>
    <w:lvl w:ilvl="2" w:tplc="E9749352" w:tentative="1">
      <w:start w:val="1"/>
      <w:numFmt w:val="lowerRoman"/>
      <w:lvlText w:val="%3."/>
      <w:lvlJc w:val="right"/>
      <w:pPr>
        <w:ind w:left="2160" w:hanging="180"/>
      </w:pPr>
    </w:lvl>
    <w:lvl w:ilvl="3" w:tplc="555ACC58" w:tentative="1">
      <w:start w:val="1"/>
      <w:numFmt w:val="decimal"/>
      <w:lvlText w:val="%4."/>
      <w:lvlJc w:val="left"/>
      <w:pPr>
        <w:ind w:left="2880" w:hanging="360"/>
      </w:pPr>
    </w:lvl>
    <w:lvl w:ilvl="4" w:tplc="CE3EB810" w:tentative="1">
      <w:start w:val="1"/>
      <w:numFmt w:val="lowerLetter"/>
      <w:lvlText w:val="%5."/>
      <w:lvlJc w:val="left"/>
      <w:pPr>
        <w:ind w:left="3600" w:hanging="360"/>
      </w:pPr>
    </w:lvl>
    <w:lvl w:ilvl="5" w:tplc="D13CA90E" w:tentative="1">
      <w:start w:val="1"/>
      <w:numFmt w:val="lowerRoman"/>
      <w:lvlText w:val="%6."/>
      <w:lvlJc w:val="right"/>
      <w:pPr>
        <w:ind w:left="4320" w:hanging="180"/>
      </w:pPr>
    </w:lvl>
    <w:lvl w:ilvl="6" w:tplc="2A020D04" w:tentative="1">
      <w:start w:val="1"/>
      <w:numFmt w:val="decimal"/>
      <w:lvlText w:val="%7."/>
      <w:lvlJc w:val="left"/>
      <w:pPr>
        <w:ind w:left="5040" w:hanging="360"/>
      </w:pPr>
    </w:lvl>
    <w:lvl w:ilvl="7" w:tplc="D58A967E" w:tentative="1">
      <w:start w:val="1"/>
      <w:numFmt w:val="lowerLetter"/>
      <w:lvlText w:val="%8."/>
      <w:lvlJc w:val="left"/>
      <w:pPr>
        <w:ind w:left="5760" w:hanging="360"/>
      </w:pPr>
    </w:lvl>
    <w:lvl w:ilvl="8" w:tplc="FBAC94C4" w:tentative="1">
      <w:start w:val="1"/>
      <w:numFmt w:val="lowerRoman"/>
      <w:lvlText w:val="%9."/>
      <w:lvlJc w:val="right"/>
      <w:pPr>
        <w:ind w:left="6480" w:hanging="180"/>
      </w:pPr>
    </w:lvl>
  </w:abstractNum>
  <w:abstractNum w:abstractNumId="2" w15:restartNumberingAfterBreak="0">
    <w:nsid w:val="750801CE"/>
    <w:multiLevelType w:val="hybridMultilevel"/>
    <w:tmpl w:val="E5688950"/>
    <w:lvl w:ilvl="0" w:tplc="CDE4282C">
      <w:start w:val="1"/>
      <w:numFmt w:val="bullet"/>
      <w:lvlText w:val=""/>
      <w:lvlJc w:val="left"/>
      <w:pPr>
        <w:ind w:left="720" w:hanging="360"/>
      </w:pPr>
      <w:rPr>
        <w:rFonts w:ascii="Symbol" w:hAnsi="Symbol" w:hint="default"/>
      </w:rPr>
    </w:lvl>
    <w:lvl w:ilvl="1" w:tplc="A65EDA96" w:tentative="1">
      <w:start w:val="1"/>
      <w:numFmt w:val="bullet"/>
      <w:lvlText w:val="o"/>
      <w:lvlJc w:val="left"/>
      <w:pPr>
        <w:ind w:left="1440" w:hanging="360"/>
      </w:pPr>
      <w:rPr>
        <w:rFonts w:ascii="Courier New" w:hAnsi="Courier New" w:cs="Courier New" w:hint="default"/>
      </w:rPr>
    </w:lvl>
    <w:lvl w:ilvl="2" w:tplc="6F92901E" w:tentative="1">
      <w:start w:val="1"/>
      <w:numFmt w:val="bullet"/>
      <w:lvlText w:val=""/>
      <w:lvlJc w:val="left"/>
      <w:pPr>
        <w:ind w:left="2160" w:hanging="360"/>
      </w:pPr>
      <w:rPr>
        <w:rFonts w:ascii="Wingdings" w:hAnsi="Wingdings" w:hint="default"/>
      </w:rPr>
    </w:lvl>
    <w:lvl w:ilvl="3" w:tplc="4BD496A6" w:tentative="1">
      <w:start w:val="1"/>
      <w:numFmt w:val="bullet"/>
      <w:lvlText w:val=""/>
      <w:lvlJc w:val="left"/>
      <w:pPr>
        <w:ind w:left="2880" w:hanging="360"/>
      </w:pPr>
      <w:rPr>
        <w:rFonts w:ascii="Symbol" w:hAnsi="Symbol" w:hint="default"/>
      </w:rPr>
    </w:lvl>
    <w:lvl w:ilvl="4" w:tplc="09FEA0CA" w:tentative="1">
      <w:start w:val="1"/>
      <w:numFmt w:val="bullet"/>
      <w:lvlText w:val="o"/>
      <w:lvlJc w:val="left"/>
      <w:pPr>
        <w:ind w:left="3600" w:hanging="360"/>
      </w:pPr>
      <w:rPr>
        <w:rFonts w:ascii="Courier New" w:hAnsi="Courier New" w:cs="Courier New" w:hint="default"/>
      </w:rPr>
    </w:lvl>
    <w:lvl w:ilvl="5" w:tplc="D8E67486" w:tentative="1">
      <w:start w:val="1"/>
      <w:numFmt w:val="bullet"/>
      <w:lvlText w:val=""/>
      <w:lvlJc w:val="left"/>
      <w:pPr>
        <w:ind w:left="4320" w:hanging="360"/>
      </w:pPr>
      <w:rPr>
        <w:rFonts w:ascii="Wingdings" w:hAnsi="Wingdings" w:hint="default"/>
      </w:rPr>
    </w:lvl>
    <w:lvl w:ilvl="6" w:tplc="C81C6ADE" w:tentative="1">
      <w:start w:val="1"/>
      <w:numFmt w:val="bullet"/>
      <w:lvlText w:val=""/>
      <w:lvlJc w:val="left"/>
      <w:pPr>
        <w:ind w:left="5040" w:hanging="360"/>
      </w:pPr>
      <w:rPr>
        <w:rFonts w:ascii="Symbol" w:hAnsi="Symbol" w:hint="default"/>
      </w:rPr>
    </w:lvl>
    <w:lvl w:ilvl="7" w:tplc="2684FE6C" w:tentative="1">
      <w:start w:val="1"/>
      <w:numFmt w:val="bullet"/>
      <w:lvlText w:val="o"/>
      <w:lvlJc w:val="left"/>
      <w:pPr>
        <w:ind w:left="5760" w:hanging="360"/>
      </w:pPr>
      <w:rPr>
        <w:rFonts w:ascii="Courier New" w:hAnsi="Courier New" w:cs="Courier New" w:hint="default"/>
      </w:rPr>
    </w:lvl>
    <w:lvl w:ilvl="8" w:tplc="FC8E89B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CC"/>
    <w:rsid w:val="001D67AB"/>
    <w:rsid w:val="00373881"/>
    <w:rsid w:val="004C5FBB"/>
    <w:rsid w:val="0055079B"/>
    <w:rsid w:val="0070583A"/>
    <w:rsid w:val="00843B4D"/>
    <w:rsid w:val="00F75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BCEF"/>
  <w15:docId w15:val="{6E1514C1-77B5-40D6-9675-C601D517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3">
    <w:name w:val="heading 3"/>
    <w:basedOn w:val="Normalny"/>
    <w:next w:val="Normalny"/>
    <w:link w:val="Nagwek3Znak"/>
    <w:semiHidden/>
    <w:unhideWhenUsed/>
    <w:qFormat/>
    <w:rsid w:val="00D43EC2"/>
    <w:pPr>
      <w:keepNext/>
      <w:keepLines/>
      <w:spacing w:before="200" w:after="0" w:line="312" w:lineRule="auto"/>
      <w:jc w:val="both"/>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3Znak">
    <w:name w:val="Nagłówek 3 Znak"/>
    <w:basedOn w:val="Domylnaczcionkaakapitu"/>
    <w:link w:val="Nagwek3"/>
    <w:semiHidden/>
    <w:rsid w:val="00D43EC2"/>
    <w:rPr>
      <w:rFonts w:asciiTheme="majorHAnsi" w:eastAsiaTheme="majorEastAsia" w:hAnsiTheme="majorHAnsi" w:cstheme="majorBidi"/>
      <w:b/>
      <w:bCs/>
      <w:color w:val="4F81BD" w:themeColor="accent1"/>
      <w:sz w:val="24"/>
      <w:szCs w:val="24"/>
    </w:rPr>
  </w:style>
  <w:style w:type="paragraph" w:styleId="Tekstpodstawowy">
    <w:name w:val="Body Text"/>
    <w:basedOn w:val="Normalny"/>
    <w:link w:val="TekstpodstawowyZnak"/>
    <w:rsid w:val="00D43EC2"/>
    <w:pPr>
      <w:spacing w:after="0" w:line="312"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D43EC2"/>
    <w:rPr>
      <w:rFonts w:ascii="Times New Roman" w:eastAsia="Times New Roman" w:hAnsi="Times New Roman"/>
      <w:sz w:val="24"/>
    </w:rPr>
  </w:style>
  <w:style w:type="paragraph" w:styleId="Akapitzlist">
    <w:name w:val="List Paragraph"/>
    <w:aliases w:val="Akapit z listą1,Akapit z listą31,BulletC,List Paragraph1,List Paragraph_0,Numerowanie,Obiekt,Wyliczanie"/>
    <w:basedOn w:val="Normalny"/>
    <w:link w:val="AkapitzlistZnak"/>
    <w:qFormat/>
    <w:rsid w:val="00D43EC2"/>
    <w:pPr>
      <w:spacing w:after="0" w:line="312" w:lineRule="auto"/>
      <w:ind w:left="720"/>
      <w:contextualSpacing/>
      <w:jc w:val="both"/>
    </w:pPr>
    <w:rPr>
      <w:rFonts w:ascii="Times New Roman" w:eastAsia="Times New Roman" w:hAnsi="Times New Roman"/>
      <w:sz w:val="24"/>
      <w:szCs w:val="24"/>
      <w:lang w:eastAsia="pl-PL"/>
    </w:rPr>
  </w:style>
  <w:style w:type="character" w:customStyle="1" w:styleId="AkapitzlistZnak">
    <w:name w:val="Akapit z listą Znak"/>
    <w:aliases w:val="Akapit z listą1 Znak,Akapit z listą31 Znak,BulletC Znak,List Paragraph1 Znak,List Paragraph_0 Znak,Numerowanie Znak,Obiekt Znak,Wyliczanie Znak"/>
    <w:link w:val="Akapitzlist"/>
    <w:rsid w:val="00D43EC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EE63B-B5AF-4DB2-A0D7-EBF26838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5</TotalTime>
  <Pages>1</Pages>
  <Words>1552</Words>
  <Characters>9317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6</cp:revision>
  <cp:lastPrinted>2010-12-24T09:23:00Z</cp:lastPrinted>
  <dcterms:created xsi:type="dcterms:W3CDTF">2025-12-11T07:59:00Z</dcterms:created>
  <dcterms:modified xsi:type="dcterms:W3CDTF">2025-12-15T06:01:00Z</dcterms:modified>
</cp:coreProperties>
</file>