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4CCC" w14:textId="5A881D6E" w:rsidR="008C0E92" w:rsidRPr="004D093B" w:rsidRDefault="008C0E92" w:rsidP="008C0E92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7CC758A3" w14:textId="20F7883F" w:rsidR="00AD08C5" w:rsidRPr="004D093B" w:rsidRDefault="00263E48" w:rsidP="008C0E92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PROJEKT </w:t>
      </w:r>
      <w:r w:rsidR="006A7DCE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OBWIESZCZENI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E</w:t>
      </w:r>
      <w:r w:rsidR="006A7DCE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REFUNDACYJNE NR 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83 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(1 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LIPCA</w:t>
      </w:r>
      <w:r w:rsidR="00FB2364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202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6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r.)</w:t>
      </w:r>
    </w:p>
    <w:p w14:paraId="4D5FAB6F" w14:textId="77777777" w:rsidR="00263E48" w:rsidRDefault="00263E48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4C94FB35" w14:textId="77CD0B82" w:rsidR="00263E48" w:rsidRPr="00263E48" w:rsidRDefault="00263E48" w:rsidP="00263E48">
      <w:pPr>
        <w:spacing w:line="360" w:lineRule="auto"/>
        <w:jc w:val="both"/>
        <w:textAlignment w:val="auto"/>
        <w:rPr>
          <w:rFonts w:ascii="Lato" w:hAnsi="Lato"/>
          <w:color w:val="000000" w:themeColor="text1"/>
          <w:sz w:val="24"/>
          <w:szCs w:val="24"/>
        </w:rPr>
      </w:pPr>
      <w:r w:rsidRPr="00263E48">
        <w:rPr>
          <w:rFonts w:ascii="Lato" w:hAnsi="Lato"/>
          <w:color w:val="000000" w:themeColor="text1"/>
          <w:sz w:val="24"/>
          <w:szCs w:val="24"/>
        </w:rPr>
        <w:t>Prezentowane podsumowanie projektu obwieszczenia refundacyjnego nr 8</w:t>
      </w:r>
      <w:r>
        <w:rPr>
          <w:rFonts w:ascii="Lato" w:hAnsi="Lato"/>
          <w:color w:val="000000" w:themeColor="text1"/>
          <w:sz w:val="24"/>
          <w:szCs w:val="24"/>
        </w:rPr>
        <w:t>3</w:t>
      </w:r>
      <w:r w:rsidRPr="00263E48">
        <w:rPr>
          <w:rFonts w:ascii="Lato" w:hAnsi="Lato"/>
          <w:color w:val="000000" w:themeColor="text1"/>
          <w:sz w:val="24"/>
          <w:szCs w:val="24"/>
        </w:rPr>
        <w:t xml:space="preserve"> nie stanowi jego ostatecznej wersji, bowiem nadal trwają prace administracyjne nad ostatecznym wykazem refundowanych leków, środków spożywczych specjalnego przeznaczenia żywieniowego oraz wyrobów medycznych obowiązującym od 1 </w:t>
      </w:r>
      <w:r>
        <w:rPr>
          <w:rFonts w:ascii="Lato" w:hAnsi="Lato"/>
          <w:color w:val="000000" w:themeColor="text1"/>
          <w:sz w:val="24"/>
          <w:szCs w:val="24"/>
        </w:rPr>
        <w:t>lipca</w:t>
      </w:r>
      <w:r w:rsidRPr="00263E48">
        <w:rPr>
          <w:rFonts w:ascii="Lato" w:hAnsi="Lato"/>
          <w:color w:val="000000" w:themeColor="text1"/>
          <w:sz w:val="24"/>
          <w:szCs w:val="24"/>
        </w:rPr>
        <w:t xml:space="preserve"> 2026 r. </w:t>
      </w:r>
    </w:p>
    <w:p w14:paraId="0A75F8E6" w14:textId="1B115046" w:rsidR="00263E48" w:rsidRPr="0051551E" w:rsidRDefault="00263E48" w:rsidP="00263E48">
      <w:pPr>
        <w:spacing w:line="360" w:lineRule="auto"/>
        <w:jc w:val="both"/>
        <w:textAlignment w:val="auto"/>
        <w:rPr>
          <w:rFonts w:ascii="Lato" w:hAnsi="Lato"/>
          <w:color w:val="000000" w:themeColor="text1"/>
          <w:sz w:val="24"/>
          <w:szCs w:val="24"/>
        </w:rPr>
      </w:pPr>
      <w:r w:rsidRPr="00263E48">
        <w:rPr>
          <w:rFonts w:ascii="Lato" w:hAnsi="Lato"/>
          <w:color w:val="000000" w:themeColor="text1"/>
          <w:sz w:val="24"/>
          <w:szCs w:val="24"/>
        </w:rPr>
        <w:t xml:space="preserve">Uwzględniając niniejszy projekt w roku 2026 wykazu, finansowaniem ze środków publicznych </w:t>
      </w:r>
      <w:r w:rsidRPr="00EF7573">
        <w:rPr>
          <w:rFonts w:ascii="Lato" w:hAnsi="Lato"/>
          <w:color w:val="000000" w:themeColor="text1"/>
          <w:sz w:val="24"/>
          <w:szCs w:val="24"/>
        </w:rPr>
        <w:t xml:space="preserve">zostanie objętych </w:t>
      </w:r>
      <w:r w:rsidR="00EF7573" w:rsidRPr="00EF7573">
        <w:rPr>
          <w:rFonts w:ascii="Lato" w:hAnsi="Lato"/>
          <w:color w:val="000000" w:themeColor="text1"/>
          <w:sz w:val="24"/>
          <w:szCs w:val="24"/>
        </w:rPr>
        <w:t>2</w:t>
      </w:r>
      <w:r w:rsidR="0051551E">
        <w:rPr>
          <w:rFonts w:ascii="Lato" w:hAnsi="Lato"/>
          <w:color w:val="000000" w:themeColor="text1"/>
          <w:sz w:val="24"/>
          <w:szCs w:val="24"/>
        </w:rPr>
        <w:t>5</w:t>
      </w:r>
      <w:r w:rsidRPr="00EF7573">
        <w:rPr>
          <w:rFonts w:ascii="Lato" w:hAnsi="Lato"/>
          <w:color w:val="000000" w:themeColor="text1"/>
          <w:sz w:val="24"/>
          <w:szCs w:val="24"/>
        </w:rPr>
        <w:t xml:space="preserve"> nowych cząsteczko – </w:t>
      </w:r>
      <w:r w:rsidRPr="0051551E">
        <w:rPr>
          <w:rFonts w:ascii="Lato" w:hAnsi="Lato"/>
          <w:color w:val="000000" w:themeColor="text1"/>
          <w:sz w:val="24"/>
          <w:szCs w:val="24"/>
        </w:rPr>
        <w:t>wskazań, w tym:</w:t>
      </w:r>
    </w:p>
    <w:p w14:paraId="6ADA3E75" w14:textId="1CE81002" w:rsidR="00263E48" w:rsidRPr="0051551E" w:rsidRDefault="00EF7573" w:rsidP="00263E48">
      <w:pPr>
        <w:numPr>
          <w:ilvl w:val="0"/>
          <w:numId w:val="26"/>
        </w:numPr>
        <w:spacing w:line="360" w:lineRule="auto"/>
        <w:contextualSpacing/>
        <w:jc w:val="both"/>
        <w:textAlignment w:val="auto"/>
        <w:rPr>
          <w:rFonts w:ascii="Lato" w:hAnsi="Lato"/>
          <w:color w:val="000000" w:themeColor="text1"/>
          <w:sz w:val="24"/>
          <w:szCs w:val="24"/>
        </w:rPr>
      </w:pPr>
      <w:r w:rsidRPr="0051551E">
        <w:rPr>
          <w:rFonts w:ascii="Lato" w:hAnsi="Lato"/>
          <w:color w:val="000000" w:themeColor="text1"/>
          <w:sz w:val="24"/>
          <w:szCs w:val="24"/>
        </w:rPr>
        <w:t>1</w:t>
      </w:r>
      <w:r w:rsidR="0051551E" w:rsidRPr="0051551E">
        <w:rPr>
          <w:rFonts w:ascii="Lato" w:hAnsi="Lato"/>
          <w:color w:val="000000" w:themeColor="text1"/>
          <w:sz w:val="24"/>
          <w:szCs w:val="24"/>
        </w:rPr>
        <w:t>0</w:t>
      </w:r>
      <w:r w:rsidR="00263E48" w:rsidRPr="0051551E">
        <w:rPr>
          <w:rFonts w:ascii="Lato" w:hAnsi="Lato"/>
          <w:color w:val="000000" w:themeColor="text1"/>
          <w:sz w:val="24"/>
          <w:szCs w:val="24"/>
        </w:rPr>
        <w:t xml:space="preserve"> cząsteczko – wskaza</w:t>
      </w:r>
      <w:r w:rsidRPr="0051551E">
        <w:rPr>
          <w:rFonts w:ascii="Lato" w:hAnsi="Lato"/>
          <w:color w:val="000000" w:themeColor="text1"/>
          <w:sz w:val="24"/>
          <w:szCs w:val="24"/>
        </w:rPr>
        <w:t>ń</w:t>
      </w:r>
      <w:r w:rsidR="00263E48" w:rsidRPr="0051551E">
        <w:rPr>
          <w:rFonts w:ascii="Lato" w:hAnsi="Lato"/>
          <w:color w:val="000000" w:themeColor="text1"/>
          <w:sz w:val="24"/>
          <w:szCs w:val="24"/>
        </w:rPr>
        <w:t xml:space="preserve"> onkologiczn</w:t>
      </w:r>
      <w:r w:rsidRPr="0051551E">
        <w:rPr>
          <w:rFonts w:ascii="Lato" w:hAnsi="Lato"/>
          <w:color w:val="000000" w:themeColor="text1"/>
          <w:sz w:val="24"/>
          <w:szCs w:val="24"/>
        </w:rPr>
        <w:t>ych</w:t>
      </w:r>
      <w:r w:rsidR="00263E48" w:rsidRPr="0051551E">
        <w:rPr>
          <w:rFonts w:ascii="Lato" w:hAnsi="Lato"/>
          <w:color w:val="000000" w:themeColor="text1"/>
          <w:sz w:val="24"/>
          <w:szCs w:val="24"/>
        </w:rPr>
        <w:t>,</w:t>
      </w:r>
    </w:p>
    <w:p w14:paraId="519B0377" w14:textId="6A7A75E3" w:rsidR="00263E48" w:rsidRPr="0051551E" w:rsidRDefault="00263E48" w:rsidP="00263E48">
      <w:pPr>
        <w:numPr>
          <w:ilvl w:val="0"/>
          <w:numId w:val="26"/>
        </w:numPr>
        <w:spacing w:line="360" w:lineRule="auto"/>
        <w:contextualSpacing/>
        <w:jc w:val="both"/>
        <w:textAlignment w:val="auto"/>
        <w:rPr>
          <w:rFonts w:ascii="Lato" w:hAnsi="Lato"/>
          <w:color w:val="000000" w:themeColor="text1"/>
          <w:sz w:val="24"/>
          <w:szCs w:val="24"/>
        </w:rPr>
      </w:pPr>
      <w:r w:rsidRPr="0051551E">
        <w:rPr>
          <w:rFonts w:ascii="Lato" w:hAnsi="Lato"/>
          <w:color w:val="000000" w:themeColor="text1"/>
          <w:sz w:val="24"/>
          <w:szCs w:val="24"/>
        </w:rPr>
        <w:t>1</w:t>
      </w:r>
      <w:r w:rsidR="00EF7573" w:rsidRPr="0051551E">
        <w:rPr>
          <w:rFonts w:ascii="Lato" w:hAnsi="Lato"/>
          <w:color w:val="000000" w:themeColor="text1"/>
          <w:sz w:val="24"/>
          <w:szCs w:val="24"/>
        </w:rPr>
        <w:t>5</w:t>
      </w:r>
      <w:r w:rsidRPr="0051551E">
        <w:rPr>
          <w:rFonts w:ascii="Lato" w:hAnsi="Lato"/>
          <w:color w:val="000000" w:themeColor="text1"/>
          <w:sz w:val="24"/>
          <w:szCs w:val="24"/>
        </w:rPr>
        <w:t xml:space="preserve"> cząsteczko - wskazań nieonkologicznych,</w:t>
      </w:r>
    </w:p>
    <w:p w14:paraId="42E0DAE6" w14:textId="709D4100" w:rsidR="00263E48" w:rsidRPr="0051551E" w:rsidRDefault="00124DD2" w:rsidP="00263E48">
      <w:pPr>
        <w:numPr>
          <w:ilvl w:val="0"/>
          <w:numId w:val="26"/>
        </w:numPr>
        <w:spacing w:line="360" w:lineRule="auto"/>
        <w:contextualSpacing/>
        <w:jc w:val="both"/>
        <w:textAlignment w:val="auto"/>
        <w:rPr>
          <w:rFonts w:ascii="Lato" w:hAnsi="Lato"/>
          <w:color w:val="000000" w:themeColor="text1"/>
          <w:sz w:val="24"/>
          <w:szCs w:val="24"/>
        </w:rPr>
      </w:pPr>
      <w:r w:rsidRPr="0051551E">
        <w:rPr>
          <w:rFonts w:ascii="Lato" w:hAnsi="Lato"/>
          <w:color w:val="000000" w:themeColor="text1"/>
          <w:sz w:val="24"/>
          <w:szCs w:val="24"/>
        </w:rPr>
        <w:t>8</w:t>
      </w:r>
      <w:r w:rsidR="00263E48" w:rsidRPr="0051551E">
        <w:rPr>
          <w:rFonts w:ascii="Lato" w:hAnsi="Lato"/>
          <w:color w:val="000000" w:themeColor="text1"/>
          <w:sz w:val="24"/>
          <w:szCs w:val="24"/>
        </w:rPr>
        <w:t xml:space="preserve"> cząsteczko - wskazań dedykowanych chorobom rzadkim.</w:t>
      </w:r>
    </w:p>
    <w:p w14:paraId="473A8E42" w14:textId="49851103" w:rsidR="00263E48" w:rsidRPr="00263E48" w:rsidRDefault="00263E48" w:rsidP="00263E48">
      <w:pPr>
        <w:spacing w:line="360" w:lineRule="auto"/>
        <w:jc w:val="both"/>
        <w:textAlignment w:val="auto"/>
        <w:rPr>
          <w:rFonts w:ascii="Lato" w:hAnsi="Lato"/>
          <w:color w:val="000000" w:themeColor="text1"/>
          <w:sz w:val="24"/>
          <w:szCs w:val="24"/>
        </w:rPr>
      </w:pPr>
      <w:r w:rsidRPr="00263E48">
        <w:rPr>
          <w:rFonts w:ascii="Lato" w:hAnsi="Lato"/>
          <w:color w:val="000000" w:themeColor="text1"/>
          <w:sz w:val="24"/>
          <w:szCs w:val="24"/>
        </w:rPr>
        <w:t>Z uwagi na trwające prace formalno-prawne oraz merytoryczne w zakresie opracowania ostatecznych treści programów lekowych, projekt obwieszczenia refundacyjnego nr 8</w:t>
      </w:r>
      <w:r>
        <w:rPr>
          <w:rFonts w:ascii="Lato" w:hAnsi="Lato"/>
          <w:color w:val="000000" w:themeColor="text1"/>
          <w:sz w:val="24"/>
          <w:szCs w:val="24"/>
        </w:rPr>
        <w:t>3</w:t>
      </w:r>
      <w:r w:rsidRPr="00263E48">
        <w:rPr>
          <w:rFonts w:ascii="Lato" w:hAnsi="Lato"/>
          <w:color w:val="000000" w:themeColor="text1"/>
          <w:sz w:val="24"/>
          <w:szCs w:val="24"/>
        </w:rPr>
        <w:t xml:space="preserve"> nie uwzględnia wszystkich nowych terapii, które ujęto w poniższym zestawieniu.</w:t>
      </w:r>
    </w:p>
    <w:p w14:paraId="6B466A0C" w14:textId="23CEBE1A" w:rsidR="004D093B" w:rsidRDefault="004D093B">
      <w:pPr>
        <w:suppressAutoHyphens w:val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p w14:paraId="06A06678" w14:textId="7D136BFD" w:rsidR="00AD08C5" w:rsidRPr="004D093B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1577"/>
        <w:gridCol w:w="1799"/>
        <w:gridCol w:w="1909"/>
        <w:gridCol w:w="3329"/>
        <w:gridCol w:w="4776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E3164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91283B" w:rsidRPr="004D093B" w14:paraId="5E42C69F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5D1F" w14:textId="5B7E917D" w:rsidR="00912E37" w:rsidRPr="00912E37" w:rsidRDefault="00912E37" w:rsidP="00912E3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5CC8" w14:textId="384133B1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  <w:proofErr w:type="spellEnd"/>
            <w:r w:rsidRPr="00912E37"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 + </w:t>
            </w:r>
            <w:proofErr w:type="spellStart"/>
            <w:r w:rsidRPr="00912E37">
              <w:rPr>
                <w:rFonts w:ascii="Lato" w:hAnsi="Lato" w:cstheme="majorHAnsi"/>
                <w:b/>
                <w:bCs/>
                <w:sz w:val="18"/>
                <w:szCs w:val="18"/>
              </w:rPr>
              <w:t>Yervoy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83B80" w14:textId="3868DB9A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  <w:proofErr w:type="spellEnd"/>
            <w:r w:rsidRPr="00912E37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+ </w:t>
            </w:r>
            <w:proofErr w:type="spellStart"/>
            <w:r w:rsidRPr="00912E37">
              <w:rPr>
                <w:rFonts w:ascii="Lato" w:hAnsi="Lato" w:cstheme="majorHAnsi"/>
                <w:i/>
                <w:iCs/>
                <w:sz w:val="18"/>
                <w:szCs w:val="18"/>
              </w:rPr>
              <w:t>ipilimumab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64FC" w14:textId="29BD75AB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B.4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D5F7" w14:textId="6457E8FA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LECZENIE CHORYCH NA RAKA JELITA GRUBEGO (ICD-10: C18 – C20)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A23F8" w14:textId="1B91A014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 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ipilimumabem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pacjentów z zaawansowanym rakiem jelita grubego z potwierdzoną niestabilnością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mikrosatelitarną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wysokiego stopnia (ang. MSI-H) lub zaburzeniami mechanizmów naprawy uszkodzeń DNA o typie niedopasowania (ang.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dMMR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) (1 linia leczenia).</w:t>
            </w:r>
          </w:p>
        </w:tc>
      </w:tr>
      <w:tr w:rsidR="0091283B" w:rsidRPr="004D093B" w14:paraId="3574F8FB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0661" w14:textId="1C25E268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5CD9" w14:textId="3DE7900B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Imfinzi</w:t>
            </w:r>
            <w:proofErr w:type="spellEnd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Imjudo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F814" w14:textId="778DB9A7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durwalumab</w:t>
            </w:r>
            <w:proofErr w:type="spellEnd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tremelimumab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02CA" w14:textId="13183CB3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B.5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CBF6" w14:textId="23DD4A6A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WĄTROBOWOKOMÓRKOWEGO (ICD-10: C22.0) LUB RAKA DRÓG ŻÓŁCIOWYCH (ICD-10: C22.1, C23, C24.0, C24.1, C24.8, C24.9)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86844" w14:textId="7B7C7E80" w:rsidR="0091283B" w:rsidRPr="00EF7573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>durwalumabem</w:t>
            </w:r>
            <w:proofErr w:type="spellEnd"/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 </w:t>
            </w:r>
            <w:proofErr w:type="spellStart"/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>tremelimumabem</w:t>
            </w:r>
            <w:proofErr w:type="spellEnd"/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pacjentów z rakiem </w:t>
            </w:r>
            <w:proofErr w:type="spellStart"/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>wątrobowokomórkowym</w:t>
            </w:r>
            <w:proofErr w:type="spellEnd"/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(1 linia leczenia).</w:t>
            </w:r>
          </w:p>
        </w:tc>
      </w:tr>
      <w:tr w:rsidR="0091283B" w:rsidRPr="004D093B" w14:paraId="2F304C7B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5A01C7A9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7D1C875D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E7F" w14:textId="7ACC0FA3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6247F147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4243C91A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53E89739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Leczenie okołooperacyjne pacjentów z NDRP</w:t>
            </w:r>
            <w:r w:rsidRPr="00912E37">
              <w:rPr>
                <w:sz w:val="18"/>
                <w:szCs w:val="18"/>
              </w:rPr>
              <w:t xml:space="preserve"> </w:t>
            </w: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ekspresją PD-L1 na komórkach nowotworowych ≥1%. Leczenie obejmuje zastosowanie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niwolumabu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neoadjuwantową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chemioterapią opartą na związkach platyny przed zabiegiem chirurgicznym, a następnie kontynuację leczenia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zabiegu chirurgicznym.</w:t>
            </w:r>
          </w:p>
        </w:tc>
      </w:tr>
      <w:tr w:rsidR="0091283B" w:rsidRPr="004D093B" w14:paraId="41B567AC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187955E2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0321DEBB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Imfinzi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14F45473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durwalumab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495A06C2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1BFC27A1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114380E7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okołooperacyjne pacjentów z NDRP, niezależnie od statusu PD-L1. Leczenie obejmuje zastosowanie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durwalumabu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neoadjuwantową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chemioterapią opartą na związkach platyny przed zabiegiem chirurgicznym, a następnie kontynuację leczenia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zabiegu chirurgicznym.</w:t>
            </w:r>
          </w:p>
        </w:tc>
      </w:tr>
      <w:tr w:rsidR="0091283B" w:rsidRPr="004D093B" w14:paraId="4193F70D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1CC6105A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0CD45082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Imfinzi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14639257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durwalumab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090D507D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2A180E9A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55F48B27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konsolidujące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durwalumabem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u pacjentów z ograniczoną postacią drobnokomórkowego raka płuca (stopień I-III), u których nie doszło do progresji choroby po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chemioradioterapii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jednoczesnej opartej na pochodnych platyny.</w:t>
            </w:r>
          </w:p>
        </w:tc>
      </w:tr>
      <w:tr w:rsidR="0091283B" w:rsidRPr="004D093B" w14:paraId="34137848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18E3F6D5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3BF750E8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Krazati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4CE8CF26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adagrasib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618058FB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753C57A3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4C9F" w14:textId="33BD317D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NDRP z mutacją G12C w genie KRAS po niepowodzeniu co najmniej jednej wcześniejszej linii leczenia systemowego (raka gruczołowego lub wielkokomórkowego). Kolejna opcja terapeutyczna.</w:t>
            </w:r>
          </w:p>
        </w:tc>
      </w:tr>
      <w:tr w:rsidR="0091283B" w:rsidRPr="004D093B" w14:paraId="28A7C6A5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406D" w14:textId="7ED5482C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04F72" w14:textId="5A3BAA8D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Loqtorzi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8495" w14:textId="3E0AC3F5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toripalimab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F1C7F" w14:textId="36B7334B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B.52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2235" w14:textId="7A15DC60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PŁASKONABŁONKOWYM RAKIEM NARZĄDÓW GŁOWY I SZYI (ICD-10 C01, C02, C03, C04, C05, C06, C09, C10, C12, C13, C14, C32) LUB NOWOTWOREM ZŁOŚLIWYM CZĘŚCI NOSOWEJ GARDŁA (ICD-10 C11)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F2F6" w14:textId="77777777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Pierwsza opcja terapeutyczna refundowana w przypadku pacjentów z lokalizacją nowotworu w części nosowej gardła. Leczenie ma charakter immunoterapii i będzie finansowane jako I linia leczenia systemowego ze środków Funduszu Medycznego </w:t>
            </w:r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(TLI).</w:t>
            </w: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</w:p>
          <w:p w14:paraId="50BE1E93" w14:textId="28289658" w:rsidR="00571688" w:rsidRPr="00912E37" w:rsidRDefault="00571688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91283B" w:rsidRPr="004D093B" w14:paraId="189EA4B0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1AC4E131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40F433D1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Blenrep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7374BFA6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belantamab</w:t>
            </w:r>
            <w:proofErr w:type="spellEnd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mafodotin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60E944A1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6FFAC21B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735E" w14:textId="77777777" w:rsidR="00571688" w:rsidRDefault="0091283B" w:rsidP="004679A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belantamabem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mafodotin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od 2. linii leczenia dorosłych chorych na opornego lub nawrotowego szpiczaka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plazmocytowego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pomalidomidem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deksametazonem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BPd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po uprzednim leczeniu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lenalidomidem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w skojarzeniu z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bortezomibem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deksametazonem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BVd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  <w:p w14:paraId="0B1AA7A9" w14:textId="6446C23A" w:rsidR="00124DD2" w:rsidRPr="004679A1" w:rsidRDefault="00124DD2" w:rsidP="004679A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91283B" w:rsidRPr="004D093B" w14:paraId="17538A01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3FA42" w14:textId="293A3763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47B37" w14:textId="0A02432B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Nubeqa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9A29" w14:textId="13D78265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darolutamid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2050A" w14:textId="4DB211E4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2B13" w14:textId="43653052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3499" w14:textId="3AF96BA8" w:rsidR="00571688" w:rsidRPr="00912E37" w:rsidRDefault="0091283B" w:rsidP="004679A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Leczenie wrażliwego na kastrację raka gruczołu krokowego z przerzutami (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mHSPC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w skojarzeniu z terapią deprywacji androgenów (ADT) u dorosłych mężczyzn, u których zakończono leczenie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docetakselem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decyzją lekarza odstąpiono od jego stosowania (aktualnie refundacja możliwa jest wyłącznie w skojarzeniu z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docetakselem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ADT).</w:t>
            </w:r>
          </w:p>
        </w:tc>
      </w:tr>
      <w:tr w:rsidR="0091283B" w:rsidRPr="004D093B" w14:paraId="3FFF6698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F585" w14:textId="03A2EC02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BD64" w14:textId="01AD6168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sz w:val="18"/>
                <w:szCs w:val="18"/>
              </w:rPr>
              <w:t>Jemperli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8982" w14:textId="737E82A9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sz w:val="18"/>
                <w:szCs w:val="18"/>
              </w:rPr>
              <w:t>dostarlimab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21471" w14:textId="576780DA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B.148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398D" w14:textId="38C7204F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LECZENIE CHORYCH NA RAKA ENDOMETRIUM (ICD-10: C54)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8B7F" w14:textId="4A2F4CDE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refundacji o I linię leczenia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dostarlimabem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karboplatyną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paklitakselem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chorych na pierwotnie zaawansowanego lub nawrotowego raka endometrium z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pMMR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/MSS.</w:t>
            </w:r>
          </w:p>
        </w:tc>
      </w:tr>
    </w:tbl>
    <w:p w14:paraId="7F9CCF36" w14:textId="51B74B46" w:rsidR="004D093B" w:rsidRDefault="004D093B"/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1577"/>
        <w:gridCol w:w="1799"/>
        <w:gridCol w:w="1909"/>
        <w:gridCol w:w="3329"/>
        <w:gridCol w:w="4776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4D093B" w14:paraId="1394CD71" w14:textId="77777777" w:rsidTr="00E31647">
        <w:trPr>
          <w:cantSplit/>
          <w:trHeight w:val="628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91283B" w:rsidRPr="004D093B" w14:paraId="64712DC3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1DF0" w14:textId="621B6189" w:rsidR="0091283B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766E" w14:textId="32E50C88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Tremfya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FF5A" w14:textId="181E9DD7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guselkumab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BEBAD" w14:textId="699A122D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B.32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065D" w14:textId="56B836B7" w:rsidR="0091283B" w:rsidRPr="00C93D1C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LEŚNIOWSKIEGO – CROHNA (ICD-10: K50)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18AB" w14:textId="7417F9AC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bCs/>
                <w:iCs/>
                <w:color w:val="000000"/>
                <w:sz w:val="18"/>
                <w:szCs w:val="18"/>
              </w:rPr>
              <w:t>guselkumabem</w:t>
            </w:r>
            <w:proofErr w:type="spellEnd"/>
            <w:r>
              <w:rPr>
                <w:rFonts w:ascii="Lato" w:hAnsi="Lato" w:cstheme="majorHAnsi"/>
                <w:bCs/>
                <w:iCs/>
                <w:color w:val="000000"/>
                <w:sz w:val="18"/>
                <w:szCs w:val="18"/>
              </w:rPr>
              <w:t xml:space="preserve"> pacjentów z ciężką lub umiarkowaną, czynną postacią </w:t>
            </w:r>
            <w:proofErr w:type="spellStart"/>
            <w:r>
              <w:rPr>
                <w:rFonts w:ascii="Lato" w:hAnsi="Lato" w:cstheme="majorHAnsi"/>
                <w:bCs/>
                <w:iCs/>
                <w:color w:val="000000"/>
                <w:sz w:val="18"/>
                <w:szCs w:val="18"/>
              </w:rPr>
              <w:t>ChL</w:t>
            </w:r>
            <w:proofErr w:type="spellEnd"/>
            <w:r>
              <w:rPr>
                <w:rFonts w:ascii="Lato" w:hAnsi="Lato" w:cstheme="majorHAnsi"/>
                <w:bCs/>
                <w:iCs/>
                <w:color w:val="000000"/>
                <w:sz w:val="18"/>
                <w:szCs w:val="18"/>
              </w:rPr>
              <w:t>-C (wynik w skali CDAI &gt;220 punktów), w wieku od 18 lat.</w:t>
            </w:r>
          </w:p>
        </w:tc>
      </w:tr>
      <w:tr w:rsidR="0091283B" w:rsidRPr="004D093B" w14:paraId="01D70F39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CD65" w14:textId="0D32F9E2" w:rsidR="0091283B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D8304" w14:textId="2E6C680C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Spevigo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1CCD" w14:textId="0FE0606A" w:rsidR="0091283B" w:rsidRPr="00F169F8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C8606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pesolimab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B11F" w14:textId="2DDF83FF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EB7F" w14:textId="72D79E08" w:rsidR="0091283B" w:rsidRPr="00F169F8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8606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ŁUSZCZYCĄ (ICD-10: L40.0, L40.1)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9549" w14:textId="0282001A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</w:t>
            </w:r>
            <w:r w:rsidRPr="00C8606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eczenie zaostrzeń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 zapobieganie zaostrzeniom </w:t>
            </w:r>
            <w:r w:rsidRPr="00C8606D">
              <w:rPr>
                <w:rFonts w:ascii="Lato" w:hAnsi="Lato" w:cstheme="majorHAnsi"/>
                <w:color w:val="000000"/>
                <w:sz w:val="18"/>
                <w:szCs w:val="18"/>
              </w:rPr>
              <w:t>uogólnionej łuszczycy krostkowej (GPP)</w:t>
            </w:r>
            <w:r>
              <w:t xml:space="preserve"> </w:t>
            </w:r>
            <w:r w:rsidRPr="00C8606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 pacjentów w wieku od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12</w:t>
            </w:r>
            <w:r w:rsidRPr="00C8606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lat</w:t>
            </w:r>
            <w:r w:rsidR="00912E37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53FF3D14" w14:textId="4729FF70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91283B" w:rsidRPr="004D093B" w14:paraId="03EBCAEE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FA0D9" w14:textId="2B068696" w:rsidR="0091283B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85F0" w14:textId="5E98C4FF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Tremfya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1489E" w14:textId="25CA44ED" w:rsidR="0091283B" w:rsidRPr="00F169F8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guselkumab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95C4" w14:textId="5BC30D37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34CD" w14:textId="64DEDE01" w:rsidR="0091283B" w:rsidRPr="00F169F8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89F2" w14:textId="54F7C333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bCs/>
                <w:iCs/>
                <w:color w:val="000000"/>
                <w:sz w:val="18"/>
                <w:szCs w:val="18"/>
              </w:rPr>
              <w:t>guselkumabem</w:t>
            </w:r>
            <w:proofErr w:type="spellEnd"/>
            <w:r>
              <w:rPr>
                <w:rFonts w:ascii="Lato" w:hAnsi="Lato" w:cstheme="majorHAnsi"/>
                <w:bCs/>
                <w:iCs/>
                <w:color w:val="000000"/>
                <w:sz w:val="18"/>
                <w:szCs w:val="18"/>
              </w:rPr>
              <w:t xml:space="preserve"> pacjentów z ciężką lub umiarkowaną postacią WZJG (wynik w skali Mayo ≥6 punktów), w wieku od 18 lat.</w:t>
            </w:r>
          </w:p>
        </w:tc>
      </w:tr>
      <w:tr w:rsidR="0091283B" w:rsidRPr="004D093B" w14:paraId="5ED86F3E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4469771C" w:rsidR="0091283B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3FBFF46E" w:rsidR="0091283B" w:rsidRPr="004D09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Lecigon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0CF51D0B" w:rsidR="0091283B" w:rsidRPr="004D093B" w:rsidRDefault="0095459E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</w:t>
            </w:r>
            <w:r w:rsidR="0091283B" w:rsidRPr="00F169F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</w:t>
            </w:r>
            <w:r w:rsidR="009128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</w:t>
            </w:r>
            <w:r w:rsidR="0091283B" w:rsidRPr="00F169F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odop</w:t>
            </w:r>
            <w:r w:rsidR="009128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  <w:r w:rsidR="0091283B" w:rsidRPr="00F169F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="0091283B" w:rsidRPr="00F169F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arbidop</w:t>
            </w:r>
            <w:r w:rsidR="009128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  <w:r w:rsidR="0091283B" w:rsidRPr="00F169F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</w:t>
            </w:r>
            <w:r w:rsidR="0091283B" w:rsidRPr="00F169F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nta</w:t>
            </w:r>
            <w:r w:rsidR="009128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="0091283B" w:rsidRPr="00F169F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apon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3B948640" w:rsidR="0091283B" w:rsidRPr="004D09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B.90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2642B532" w:rsidR="0091283B" w:rsidRPr="004D09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LECZENIE ZABURZEŃ MOTORYCZNYCH W PRZEBIEGU ZAAWANSOWANEJ CHOROBY PARKINSONA (ICD-10: G.20)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1040" w14:textId="682E049F" w:rsidR="0091283B" w:rsidRPr="004D09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Nowa opcja terapeutyczna </w:t>
            </w: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postaci żelu dojelitowego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 podawania przez PEG. </w:t>
            </w: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Produkt leczniczy </w:t>
            </w:r>
            <w:proofErr w:type="spellStart"/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Lecigon</w:t>
            </w:r>
            <w:proofErr w:type="spellEnd"/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zawiera </w:t>
            </w:r>
            <w:proofErr w:type="spellStart"/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entakapon</w:t>
            </w:r>
            <w:proofErr w:type="spellEnd"/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który wzmacnia działanie </w:t>
            </w:r>
            <w:proofErr w:type="spellStart"/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lewodopy</w:t>
            </w:r>
            <w:proofErr w:type="spellEnd"/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912E37" w:rsidRPr="004D093B" w14:paraId="14BCCB5D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04DC" w14:textId="52BBE643" w:rsidR="00912E37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52DF" w14:textId="3D1A78AE" w:rsid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Crysvita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F24E2" w14:textId="54000D3E" w:rsidR="00912E37" w:rsidRPr="00F169F8" w:rsidRDefault="0095459E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burosumabum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ACEC" w14:textId="7FC7C638" w:rsidR="00912E37" w:rsidRDefault="0095459E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B.151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A3C3" w14:textId="3A7E0029" w:rsidR="00912E37" w:rsidRPr="00F169F8" w:rsidRDefault="0095459E" w:rsidP="0095459E">
            <w:pPr>
              <w:autoSpaceDE w:val="0"/>
              <w:adjustRightInd w:val="0"/>
              <w:spacing w:after="24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C71BE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HIPOFOSFATEMIĘ SPRZĘŻONĄ Z CHROMOSOMEM X (XLH) (ICD-10: E.83.3)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BB613" w14:textId="77777777" w:rsidR="00912E37" w:rsidRDefault="0095459E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D71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6D7125">
              <w:rPr>
                <w:rFonts w:ascii="Lato" w:hAnsi="Lato" w:cstheme="majorHAnsi"/>
                <w:color w:val="000000"/>
                <w:sz w:val="18"/>
                <w:szCs w:val="18"/>
              </w:rPr>
              <w:t>hipofosfatemii</w:t>
            </w:r>
            <w:proofErr w:type="spellEnd"/>
            <w:r w:rsidRPr="006D71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sprzężonej z chromosomem X (XLH) u dorosłych pacjentów z potwierdzoną obecnością mutacji w genie PHEX, u których stwierdza się cechy znacznej osteomalacji z obecnymi </w:t>
            </w:r>
            <w:proofErr w:type="spellStart"/>
            <w:r w:rsidRPr="006D7125">
              <w:rPr>
                <w:rFonts w:ascii="Lato" w:hAnsi="Lato" w:cstheme="majorHAnsi"/>
                <w:color w:val="000000"/>
                <w:sz w:val="18"/>
                <w:szCs w:val="18"/>
              </w:rPr>
              <w:t>pseudozłamaniami</w:t>
            </w:r>
            <w:proofErr w:type="spellEnd"/>
            <w:r w:rsidRPr="006D71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u których leczenie doustnymi fosforanami oraz aktywną postacią witaminy D nie może zostać zastosowane.</w:t>
            </w:r>
          </w:p>
          <w:p w14:paraId="7E0B5B5C" w14:textId="3C34B29F" w:rsidR="00571688" w:rsidRDefault="00571688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91283B" w:rsidRPr="004D093B" w14:paraId="5CE97390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247A7361" w:rsidR="0091283B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48743036" w:rsidR="0091283B" w:rsidRPr="004D09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Rystiggo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2C6A6966" w:rsidR="0091283B" w:rsidRPr="004D09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169F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Rozanolixizumabum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4BEF1353" w:rsidR="0091283B" w:rsidRPr="004D09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B.157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67C14B25" w:rsidR="0091283B" w:rsidRPr="004D09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UOGÓLNIONĄ POSTACIĄ MIASTENII (G.70.0)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CC060" w14:textId="77777777" w:rsidR="0091283B" w:rsidRPr="00F169F8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</w:t>
            </w: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zwarta opcja terapeutyczna w programie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dla</w:t>
            </w: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tów z dodatnim wynikiem na </w:t>
            </w: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obecność przeciwciał przeciwko receptorowi acetylocholiny (</w:t>
            </w:r>
            <w:proofErr w:type="spellStart"/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AChR</w:t>
            </w:r>
            <w:proofErr w:type="spellEnd"/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– postać ciężka.</w:t>
            </w:r>
          </w:p>
          <w:p w14:paraId="62987001" w14:textId="77777777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Druga</w:t>
            </w: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opcja terapeutyczna w programie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dla</w:t>
            </w: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tów z dodatnim wynikiem na </w:t>
            </w: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obecność </w:t>
            </w:r>
            <w:r w:rsidRPr="00AD2B79">
              <w:rPr>
                <w:rFonts w:ascii="Lato" w:hAnsi="Lato" w:cstheme="majorHAnsi"/>
                <w:color w:val="000000"/>
                <w:sz w:val="18"/>
                <w:szCs w:val="18"/>
              </w:rPr>
              <w:t>przeciwciał przeciwko swoistej dla mięśni kinazie tyrozynowej (</w:t>
            </w:r>
            <w:proofErr w:type="spellStart"/>
            <w:r w:rsidRPr="00AD2B79">
              <w:rPr>
                <w:rFonts w:ascii="Lato" w:hAnsi="Lato" w:cstheme="majorHAnsi"/>
                <w:color w:val="000000"/>
                <w:sz w:val="18"/>
                <w:szCs w:val="18"/>
              </w:rPr>
              <w:t>MuSK</w:t>
            </w:r>
            <w:proofErr w:type="spellEnd"/>
            <w:r w:rsidRPr="00AD2B79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– postać ciężka.</w:t>
            </w:r>
          </w:p>
          <w:p w14:paraId="0AFE6806" w14:textId="0D0DCDCD" w:rsidR="00571688" w:rsidRPr="004D093B" w:rsidRDefault="00571688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91283B" w:rsidRPr="004D093B" w14:paraId="6D899FDB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5A7B6D0F" w:rsidR="0091283B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F3F" w14:textId="1DE55827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31647"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  <w:t>Beyonttra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0273849F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E31647"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  <w:t>acoramidis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24B38C6F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B.162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171F5728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PACJENTÓW Z KARDIOMIOPATIĄ (ICD-10: E85, I42.1)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BAC83" w14:textId="77777777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Kolejna opcja terapeutyczna dla pacjentów z </w:t>
            </w:r>
            <w:proofErr w:type="spellStart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kardiomiopatią</w:t>
            </w:r>
            <w:proofErr w:type="spellEnd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w przebiegu </w:t>
            </w:r>
            <w:proofErr w:type="spellStart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amyloidozy</w:t>
            </w:r>
            <w:proofErr w:type="spellEnd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transtyretynowej</w:t>
            </w:r>
            <w:proofErr w:type="spellEnd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(ATTR-CM). </w:t>
            </w:r>
            <w:proofErr w:type="spellStart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Acoramidis</w:t>
            </w:r>
            <w:proofErr w:type="spellEnd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jest selektywnym stabilizatorem białka </w:t>
            </w:r>
            <w:proofErr w:type="spellStart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transtyretyny</w:t>
            </w:r>
            <w:proofErr w:type="spellEnd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(TTR).</w:t>
            </w:r>
          </w:p>
          <w:p w14:paraId="7A6E1E34" w14:textId="0AB60CB6" w:rsidR="00571688" w:rsidRPr="00E31647" w:rsidRDefault="00571688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91283B" w:rsidRPr="004D093B" w14:paraId="3C42A3A9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6ED6" w14:textId="2E9F6509" w:rsidR="0091283B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DF69" w14:textId="0E7D0643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Kayfanda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868D" w14:textId="6D65E96A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odewiksybat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AD08" w14:textId="79B886BC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B.175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F5A1" w14:textId="3715C49F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ZESPOŁEM ALAGILLE’A (ICD-10 Q44.7)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D802" w14:textId="77777777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odewiksybatem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trudnego w opanowaniu świądu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 </w:t>
            </w: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przebiegu </w:t>
            </w:r>
            <w:proofErr w:type="spellStart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cholestazy</w:t>
            </w:r>
            <w:proofErr w:type="spellEnd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 </w:t>
            </w: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zespołem </w:t>
            </w:r>
            <w:proofErr w:type="spellStart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Alagille'a</w:t>
            </w:r>
            <w:proofErr w:type="spellEnd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(ALGS)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powyżej 6 </w:t>
            </w:r>
            <w:proofErr w:type="spellStart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m.ż</w:t>
            </w:r>
            <w:proofErr w:type="spellEnd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., 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 </w:t>
            </w: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udokumentowanym brakiem skuteczności innych metod leczenia, w tym kwasu </w:t>
            </w:r>
            <w:proofErr w:type="spellStart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ursodeoksycholowego</w:t>
            </w:r>
            <w:proofErr w:type="spellEnd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(UDCA) oraz </w:t>
            </w:r>
            <w:proofErr w:type="spellStart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ryfampicyny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FA306A4" w14:textId="757FB32B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91283B" w:rsidRPr="004D093B" w14:paraId="1AF8AB98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29C5CE6C" w:rsidR="0091283B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5C18" w14:textId="4EC7093B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Akantior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44BA0136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polihexanid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2DC53B55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170AFBE0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Pr="0039657C">
              <w:rPr>
                <w:rFonts w:ascii="Lato" w:hAnsi="Lato" w:cstheme="majorHAnsi"/>
                <w:color w:val="000000"/>
                <w:sz w:val="18"/>
                <w:szCs w:val="18"/>
              </w:rPr>
              <w:t>PACJENTÓW CHORYCH NA ZAPALENIE ROGÓWKI WYWOŁANE PRZEZ ACANTHAMOEBA (ICD-10: H19.2)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F8131" w14:textId="77777777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polihexanidem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zapalenia rogówki wywołanego przez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Acanthamoeba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 pacjentów w wieku od 12 lat.</w:t>
            </w:r>
          </w:p>
          <w:p w14:paraId="64E75D71" w14:textId="755BFA55" w:rsidR="00571688" w:rsidRPr="00E31647" w:rsidRDefault="00571688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59376BF6" w:rsidR="004D093B" w:rsidRDefault="004D093B">
      <w:pPr>
        <w:suppressAutoHyphens w:val="0"/>
        <w:rPr>
          <w:rFonts w:ascii="Lato" w:hAnsi="Lato"/>
        </w:rPr>
      </w:pP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95459E" w:rsidRPr="004D093B" w14:paraId="6D9A404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74E9" w14:textId="5D41B82E" w:rsidR="0095459E" w:rsidRPr="004D093B" w:rsidRDefault="0051551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F0CE" w14:textId="4BD7F90A" w:rsidR="0095459E" w:rsidRDefault="0095459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7239C3">
              <w:rPr>
                <w:rFonts w:ascii="Lato" w:hAnsi="Lato" w:cstheme="majorHAnsi"/>
                <w:color w:val="000000"/>
                <w:sz w:val="18"/>
                <w:szCs w:val="18"/>
              </w:rPr>
              <w:t>B.19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C083" w14:textId="3779D883" w:rsidR="0095459E" w:rsidRPr="00B2564B" w:rsidRDefault="0095459E" w:rsidP="0095459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7239C3">
              <w:rPr>
                <w:rFonts w:ascii="Lato" w:hAnsi="Lato"/>
                <w:sz w:val="18"/>
                <w:szCs w:val="18"/>
              </w:rPr>
              <w:t>LECZENIE NISKOROSŁYCH OSÓB Z SOMATOTROPINOWĄ NIEDOCZYNNOŚCIĄ PRZYSADKI W OKRESIE WZRASTANIA (ICD-10 E23)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4BD7" w14:textId="5873F84C" w:rsidR="0095459E" w:rsidRDefault="0095459E" w:rsidP="0095459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239C3">
              <w:rPr>
                <w:rFonts w:ascii="Lato" w:hAnsi="Lato" w:cstheme="majorHAnsi"/>
                <w:sz w:val="18"/>
                <w:szCs w:val="18"/>
              </w:rPr>
              <w:t>Zmiana nazwy programu lekowego, która ma umożliwić kwalifikację do programu osób powyżej 18. roku życia z bardzo znacznym opóźnieniem wieku kostnego.</w:t>
            </w:r>
          </w:p>
        </w:tc>
      </w:tr>
      <w:tr w:rsidR="0095459E" w:rsidRPr="004D093B" w14:paraId="31B6182B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F6E6" w14:textId="7D78BA82" w:rsidR="0095459E" w:rsidRPr="004D093B" w:rsidRDefault="0051551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CB828" w14:textId="371DC3E0" w:rsidR="0095459E" w:rsidRPr="00EF7573" w:rsidRDefault="0095459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>B.38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D83C" w14:textId="0BF03900" w:rsidR="0095459E" w:rsidRPr="00EF7573" w:rsidRDefault="0095459E" w:rsidP="0095459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F7573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NISKOROSŁYCH DZIECI Z PRZEWLEKŁĄ CHOROBĄ NEREK (</w:t>
            </w:r>
            <w:proofErr w:type="spellStart"/>
            <w:r w:rsidRPr="00EF7573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PChN</w:t>
            </w:r>
            <w:proofErr w:type="spellEnd"/>
            <w:r w:rsidRPr="00EF7573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) (ICD-10 N 18)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3975" w14:textId="19C77990" w:rsidR="0095459E" w:rsidRDefault="0095459E" w:rsidP="0095459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239C3">
              <w:rPr>
                <w:rFonts w:ascii="Lato" w:hAnsi="Lato" w:cstheme="majorHAnsi"/>
                <w:color w:val="000000"/>
                <w:sz w:val="18"/>
                <w:szCs w:val="18"/>
              </w:rPr>
              <w:t>Zmiany o charakterze redakcyjnym, porządkującym i standaryzującym, które ujednolicają zapisy programu względem wytycznych klinicznych i aktualnej praktyki.</w:t>
            </w:r>
          </w:p>
        </w:tc>
      </w:tr>
      <w:tr w:rsidR="0095459E" w:rsidRPr="004D093B" w14:paraId="5697AD6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210A" w14:textId="7F7FCBA9" w:rsidR="0095459E" w:rsidRPr="004D093B" w:rsidRDefault="0051551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5367A" w14:textId="5A8498E5" w:rsidR="0095459E" w:rsidRPr="00EF7573" w:rsidRDefault="0095459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>B.154.FM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C8DB" w14:textId="2BEA674E" w:rsidR="0095459E" w:rsidRPr="00EF7573" w:rsidRDefault="0095459E" w:rsidP="0095459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7573">
              <w:rPr>
                <w:rFonts w:ascii="Lato" w:hAnsi="Lato"/>
                <w:sz w:val="18"/>
                <w:szCs w:val="18"/>
              </w:rPr>
              <w:t>LECZENIE PACJENTÓW Z ZESPOŁEM LENNOXA-GASTAUTA LUB Z ZESPOŁEM DRAVET (ICD-10: G40.4)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12790" w14:textId="5A89D435" w:rsidR="0095459E" w:rsidRDefault="0095459E" w:rsidP="0095459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Możliwość zmiany leczenia w ramach programu lekowego z powodu braku skuteczności terapii.</w:t>
            </w:r>
          </w:p>
        </w:tc>
      </w:tr>
      <w:tr w:rsidR="00E91A86" w:rsidRPr="004D093B" w14:paraId="4C9FEFF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E456" w14:textId="15B7BE82" w:rsidR="00E91A86" w:rsidRDefault="0051551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7031" w14:textId="3EEF4B05" w:rsidR="00E91A86" w:rsidRPr="00EF7573" w:rsidRDefault="00E91A86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B.162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BD13" w14:textId="615E71B3" w:rsidR="00E91A86" w:rsidRPr="00EF7573" w:rsidRDefault="00E91A86" w:rsidP="0095459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91A86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KARDIOMIOPATIĄ (ICD-10: E85, I42.1)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615D" w14:textId="25503FCF" w:rsidR="00E91A86" w:rsidRDefault="00E91A86" w:rsidP="0095459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E91A86">
              <w:rPr>
                <w:rFonts w:ascii="Lato" w:hAnsi="Lato" w:cstheme="majorHAnsi"/>
                <w:sz w:val="18"/>
                <w:szCs w:val="18"/>
              </w:rPr>
              <w:t xml:space="preserve">Zmiany porządkowe w programie lekowym. Wprowadzono m.in. zmiany wnioskowane przez Zespół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Koordynacyjny ds. Leczenia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Kardiomiopatii</w:t>
            </w:r>
            <w:proofErr w:type="spellEnd"/>
            <w:r w:rsidRPr="00E91A86">
              <w:rPr>
                <w:rFonts w:ascii="Lato" w:hAnsi="Lato" w:cstheme="majorHAnsi"/>
                <w:sz w:val="18"/>
                <w:szCs w:val="18"/>
              </w:rPr>
              <w:t xml:space="preserve"> w zakresie badań diagnostycznych wymaganych w ramach programu, umożliwiono leczenie </w:t>
            </w:r>
            <w:proofErr w:type="spellStart"/>
            <w:r w:rsidRPr="00E91A86">
              <w:rPr>
                <w:rFonts w:ascii="Lato" w:hAnsi="Lato" w:cstheme="majorHAnsi"/>
                <w:sz w:val="18"/>
                <w:szCs w:val="18"/>
              </w:rPr>
              <w:t>kardiomiopatii</w:t>
            </w:r>
            <w:proofErr w:type="spellEnd"/>
            <w:r w:rsidRPr="00E91A86">
              <w:rPr>
                <w:rFonts w:ascii="Lato" w:hAnsi="Lato" w:cstheme="majorHAnsi"/>
                <w:sz w:val="18"/>
                <w:szCs w:val="18"/>
              </w:rPr>
              <w:t xml:space="preserve"> w przebiegu </w:t>
            </w:r>
            <w:proofErr w:type="spellStart"/>
            <w:r w:rsidRPr="00E91A86">
              <w:rPr>
                <w:rFonts w:ascii="Lato" w:hAnsi="Lato" w:cstheme="majorHAnsi"/>
                <w:sz w:val="18"/>
                <w:szCs w:val="18"/>
              </w:rPr>
              <w:t>amyloidozy</w:t>
            </w:r>
            <w:proofErr w:type="spellEnd"/>
            <w:r w:rsidRPr="00E91A86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E91A86">
              <w:rPr>
                <w:rFonts w:ascii="Lato" w:hAnsi="Lato" w:cstheme="majorHAnsi"/>
                <w:sz w:val="18"/>
                <w:szCs w:val="18"/>
              </w:rPr>
              <w:t>transtyretynowej</w:t>
            </w:r>
            <w:proofErr w:type="spellEnd"/>
            <w:r w:rsidRPr="00E91A86">
              <w:rPr>
                <w:rFonts w:ascii="Lato" w:hAnsi="Lato" w:cstheme="majorHAnsi"/>
                <w:sz w:val="18"/>
                <w:szCs w:val="18"/>
              </w:rPr>
              <w:t xml:space="preserve"> pacjentom po przeszczepieniu serca lub wątroby oraz podkreślono brak możliwości stosowania kilku kapsułek </w:t>
            </w:r>
            <w:proofErr w:type="spellStart"/>
            <w:r w:rsidRPr="00E91A86">
              <w:rPr>
                <w:rFonts w:ascii="Lato" w:hAnsi="Lato" w:cstheme="majorHAnsi"/>
                <w:sz w:val="18"/>
                <w:szCs w:val="18"/>
              </w:rPr>
              <w:t>mawakamtenu</w:t>
            </w:r>
            <w:proofErr w:type="spellEnd"/>
            <w:r w:rsidRPr="00E91A86">
              <w:rPr>
                <w:rFonts w:ascii="Lato" w:hAnsi="Lato" w:cstheme="majorHAnsi"/>
                <w:sz w:val="18"/>
                <w:szCs w:val="18"/>
              </w:rPr>
              <w:t xml:space="preserve"> w celu osiągnięcia przepisanej dawki leku.</w:t>
            </w:r>
          </w:p>
        </w:tc>
      </w:tr>
      <w:tr w:rsidR="0095459E" w:rsidRPr="004D093B" w14:paraId="67293BB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5EE812F3" w:rsidR="0095459E" w:rsidRPr="004D093B" w:rsidRDefault="0051551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78864B30" w:rsidR="0095459E" w:rsidRPr="00EF7573" w:rsidRDefault="0095459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>B.175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52FF67A6" w:rsidR="0095459E" w:rsidRPr="00EF7573" w:rsidRDefault="0095459E" w:rsidP="0095459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 ZESPOŁEM ALAGILLE’A (ICD-10 Q44.7)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84DF" w14:textId="2B3824D8" w:rsidR="0095459E" w:rsidRPr="004D093B" w:rsidRDefault="0095459E" w:rsidP="0095459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U</w:t>
            </w:r>
            <w:r w:rsidRPr="00745609">
              <w:rPr>
                <w:rFonts w:ascii="Lato" w:hAnsi="Lato" w:cstheme="majorHAnsi"/>
                <w:sz w:val="18"/>
                <w:szCs w:val="18"/>
              </w:rPr>
              <w:t xml:space="preserve">sunięcie z kryteriów kwalifikacji </w:t>
            </w:r>
            <w:r w:rsidRPr="004208AA">
              <w:rPr>
                <w:rFonts w:ascii="Lato" w:hAnsi="Lato" w:cstheme="majorHAnsi"/>
                <w:sz w:val="18"/>
                <w:szCs w:val="18"/>
              </w:rPr>
              <w:t>zapis</w:t>
            </w:r>
            <w:r>
              <w:rPr>
                <w:rFonts w:ascii="Lato" w:hAnsi="Lato" w:cstheme="majorHAnsi"/>
                <w:sz w:val="18"/>
                <w:szCs w:val="18"/>
              </w:rPr>
              <w:t>u</w:t>
            </w:r>
            <w:r w:rsidRPr="004208AA">
              <w:rPr>
                <w:rFonts w:ascii="Lato" w:hAnsi="Lato" w:cstheme="majorHAnsi"/>
                <w:sz w:val="18"/>
                <w:szCs w:val="18"/>
              </w:rPr>
              <w:t xml:space="preserve"> wymagając</w:t>
            </w:r>
            <w:r>
              <w:rPr>
                <w:rFonts w:ascii="Lato" w:hAnsi="Lato" w:cstheme="majorHAnsi"/>
                <w:sz w:val="18"/>
                <w:szCs w:val="18"/>
              </w:rPr>
              <w:t>ego</w:t>
            </w:r>
            <w:r w:rsidRPr="004208AA">
              <w:rPr>
                <w:rFonts w:ascii="Lato" w:hAnsi="Lato" w:cstheme="majorHAnsi"/>
                <w:sz w:val="18"/>
                <w:szCs w:val="18"/>
              </w:rPr>
              <w:t xml:space="preserve"> w momencie kwalifikacji do programu potwierdzenia stężenia bilirubiny bezpośredniej przekraczającego 1 mg/dl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</w:tbl>
    <w:p w14:paraId="052EAE3A" w14:textId="47BFFFF3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51551E" w:rsidRPr="004D093B" w14:paraId="1EAFB7DE" w14:textId="77777777" w:rsidTr="00D34BDC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C02D" w14:textId="0F7DD6F7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21C9" w14:textId="7E0F1535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36FC6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Flutixon</w:t>
            </w:r>
            <w:proofErr w:type="spellEnd"/>
            <w:r w:rsidRPr="00436FC6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FC6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Nasal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18FF" w14:textId="23AD88CB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36FC6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Azelastini</w:t>
            </w:r>
            <w:proofErr w:type="spellEnd"/>
            <w:r w:rsidRPr="00436FC6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FC6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hydrochloridum</w:t>
            </w:r>
            <w:proofErr w:type="spellEnd"/>
            <w:r w:rsidRPr="00436FC6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436FC6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Fluticasoni</w:t>
            </w:r>
            <w:proofErr w:type="spellEnd"/>
            <w:r w:rsidRPr="00436FC6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FC6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propionas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EDF0" w14:textId="53659502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>We wszystkich zarejestrowanych wskazaniach na dzień wydania decyzji: Łagodzenie objawów sezonowego i całorocznego alergicznego zapalenia błony śluzowej nosa o nasileniu</w:t>
            </w:r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br/>
              <w:t xml:space="preserve">umiarkowanym do ciężkiego, jeśli stosowanie innych podawanych donosowo produktów zawierających tylko lek przeciwhistaminowy lub </w:t>
            </w:r>
            <w:proofErr w:type="spellStart"/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>glikokortykosteroid</w:t>
            </w:r>
            <w:proofErr w:type="spellEnd"/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 xml:space="preserve"> uważa się za niewystarczające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10167" w14:textId="7B124F94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 xml:space="preserve">Wg </w:t>
            </w:r>
            <w:proofErr w:type="spellStart"/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>ChPL</w:t>
            </w:r>
            <w:proofErr w:type="spellEnd"/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 xml:space="preserve"> populacja od 12 lat, poniżej 12 lat nie jest zalecany (brak badań bezpieczeństwa i skuteczności)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 w:rsidRPr="00436FC6">
              <w:rPr>
                <w:rFonts w:ascii="Lato" w:hAnsi="Lato"/>
                <w:sz w:val="18"/>
                <w:szCs w:val="18"/>
              </w:rPr>
              <w:t>Substancja lecznicza</w:t>
            </w:r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>azelastyna</w:t>
            </w:r>
            <w:proofErr w:type="spellEnd"/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 xml:space="preserve"> (lek p/histaminowy, w lekach OTC) aktualnie nie 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jest </w:t>
            </w:r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>refundowan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>a.</w:t>
            </w:r>
          </w:p>
        </w:tc>
      </w:tr>
      <w:tr w:rsidR="0051551E" w:rsidRPr="004D093B" w14:paraId="6BE474F4" w14:textId="77777777" w:rsidTr="00D34BDC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323C5" w14:textId="21CAAB89" w:rsidR="0051551E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319B" w14:textId="66518C90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4BD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Bupropion</w:t>
            </w:r>
            <w:proofErr w:type="spellEnd"/>
            <w:r w:rsidRPr="00D34BD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Neuraxpharm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D6A9" w14:textId="618A60B4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34BD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buproipion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D296" w14:textId="14ACC4EA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34BDC">
              <w:rPr>
                <w:rFonts w:ascii="Lato" w:hAnsi="Lato" w:cstheme="majorHAnsi"/>
                <w:color w:val="000000"/>
                <w:sz w:val="18"/>
                <w:szCs w:val="18"/>
              </w:rPr>
              <w:t>Leczenie epizodu depresyjnego lub zaburzeń depresyjnych nawracających u dorosłych (ICD-10 F32, F33)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7904" w14:textId="430B1196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34BDC">
              <w:rPr>
                <w:rFonts w:ascii="Lato" w:hAnsi="Lato" w:cstheme="majorHAnsi"/>
                <w:color w:val="000000"/>
                <w:sz w:val="18"/>
                <w:szCs w:val="18"/>
              </w:rPr>
              <w:t>Nowa substancja czynna stosowana w leczeniu epizodów depresji.</w:t>
            </w:r>
          </w:p>
        </w:tc>
      </w:tr>
      <w:tr w:rsidR="0051551E" w:rsidRPr="004D093B" w14:paraId="3E62A70D" w14:textId="77777777" w:rsidTr="00D34BDC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25A84DC3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3D502D90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4BD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Hygroton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47F0C2F5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34BD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chlortalidon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7A73FC14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34BDC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8B9E" w14:textId="77777777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34BDC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nie ujętej na wykazie substancji czynnej.</w:t>
            </w:r>
          </w:p>
          <w:p w14:paraId="45CC0182" w14:textId="19EB0C16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34BDC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51551E" w:rsidRPr="004D093B" w14:paraId="6E8A1919" w14:textId="77777777" w:rsidTr="00D34BDC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7BBFF366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1752999B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E91A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3E415AA3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ramipril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indapamid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6C3EE63F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64BC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Nadciśnienie tętnicze u osób dorosłych, w przypadkach innych niż określono w </w:t>
            </w:r>
            <w:proofErr w:type="spellStart"/>
            <w:r w:rsidRPr="00D64BC7">
              <w:rPr>
                <w:rFonts w:ascii="Lato" w:hAnsi="Lato" w:cstheme="majorHAnsi"/>
                <w:color w:val="000000"/>
                <w:sz w:val="18"/>
                <w:szCs w:val="18"/>
              </w:rPr>
              <w:t>ChPL</w:t>
            </w:r>
            <w:proofErr w:type="spellEnd"/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E038" w14:textId="77777777" w:rsidR="0051551E" w:rsidRPr="00D64BC7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64BC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Dodanie wskazania </w:t>
            </w:r>
            <w:proofErr w:type="spellStart"/>
            <w:r w:rsidRPr="00D64BC7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Pr="00D64BC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r w:rsidRPr="00D64B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off-</w:t>
            </w:r>
            <w:proofErr w:type="spellStart"/>
            <w:r w:rsidRPr="00D64B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label</w:t>
            </w:r>
            <w:proofErr w:type="spellEnd"/>
            <w:r w:rsidRPr="00D64BC7">
              <w:rPr>
                <w:rFonts w:ascii="Lato" w:hAnsi="Lato" w:cstheme="majorHAnsi"/>
                <w:color w:val="000000"/>
                <w:sz w:val="18"/>
                <w:szCs w:val="18"/>
              </w:rPr>
              <w:t>) dla preparatu złożonego, którego zastosowanie wg zarejestrowanych wskazań jest ograniczone do wskazań substytucyjnych lub addycyjnych. Rozszerzenie zakresu wskazań refundacyjnych umożliwi rozpoczęcie leczenia nadciśnienia tętniczego od terapii skojarzonej.</w:t>
            </w:r>
          </w:p>
          <w:p w14:paraId="10823724" w14:textId="498D9C62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64BC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D64BC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D64BC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1551E" w:rsidRPr="004D093B" w14:paraId="0C276518" w14:textId="77777777" w:rsidTr="00D34BDC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539DCDBE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4789" w14:textId="77777777" w:rsidR="0051551E" w:rsidRPr="007C358D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C358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Ramizek</w:t>
            </w:r>
            <w:proofErr w:type="spellEnd"/>
            <w:r w:rsidRPr="007C358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Plus</w:t>
            </w:r>
          </w:p>
          <w:p w14:paraId="65AF24A9" w14:textId="238F49DD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7C358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Ladinorm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3F7F6E14" w:rsidR="0051551E" w:rsidRPr="009659C5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659C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ramipril</w:t>
            </w:r>
            <w:proofErr w:type="spellEnd"/>
            <w:r w:rsidRPr="009659C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9659C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bisoprolol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1201D821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59C5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64AF" w14:textId="735E4926" w:rsidR="0051551E" w:rsidRPr="007C358D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Kolejny produkt dwulekowy (lek złożony, single </w:t>
            </w:r>
            <w:proofErr w:type="spellStart"/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>pill</w:t>
            </w:r>
            <w:proofErr w:type="spellEnd"/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>combination</w:t>
            </w:r>
            <w:proofErr w:type="spellEnd"/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SPC) możliwy do zastosowania w leczeniu nadciśnienia tętniczego u dorosłych pacjentów.</w:t>
            </w:r>
          </w:p>
        </w:tc>
      </w:tr>
      <w:tr w:rsidR="0051551E" w:rsidRPr="004D093B" w14:paraId="069ADE3E" w14:textId="77777777" w:rsidTr="00D34BDC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8AD1" w14:textId="34A19A36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69B6" w14:textId="28246962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7C358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Ramizek</w:t>
            </w:r>
            <w:proofErr w:type="spellEnd"/>
            <w:r w:rsidRPr="007C358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Plus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59A3" w14:textId="24979763" w:rsidR="0051551E" w:rsidRPr="009659C5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659C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ramipril</w:t>
            </w:r>
            <w:proofErr w:type="spellEnd"/>
            <w:r w:rsidRPr="009659C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9659C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bisoprolol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990F" w14:textId="70F1B48A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59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substytucyjne przewlekłego zespołu wieńcowego (po przebytym zawale mięśnia sercowego lub rewaskularyzacji) lub przewlekłej niewydolności serca ze zmniejszoną czynnością skurczową lewej komory u dorosłych pacjentów odpowiednio kontrolowanych za pomocą </w:t>
            </w:r>
            <w:proofErr w:type="spellStart"/>
            <w:r w:rsidRPr="009659C5">
              <w:rPr>
                <w:rFonts w:ascii="Lato" w:hAnsi="Lato" w:cstheme="majorHAnsi"/>
                <w:color w:val="000000"/>
                <w:sz w:val="18"/>
                <w:szCs w:val="18"/>
              </w:rPr>
              <w:t>ramiprylu</w:t>
            </w:r>
            <w:proofErr w:type="spellEnd"/>
            <w:r w:rsidRPr="009659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9659C5">
              <w:rPr>
                <w:rFonts w:ascii="Lato" w:hAnsi="Lato" w:cstheme="majorHAnsi"/>
                <w:color w:val="000000"/>
                <w:sz w:val="18"/>
                <w:szCs w:val="18"/>
              </w:rPr>
              <w:t>bisoprololu</w:t>
            </w:r>
            <w:proofErr w:type="spellEnd"/>
            <w:r w:rsidRPr="009659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podawanych jednocześnie w tej samej dawce, jak w skojarzeniu, ale w postaci oddzielnych tabletek.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9BEF" w14:textId="3B040310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</w:t>
            </w:r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rodukt dwulekowy (lek złożony, single </w:t>
            </w:r>
            <w:proofErr w:type="spellStart"/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>pill</w:t>
            </w:r>
            <w:proofErr w:type="spellEnd"/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>combination</w:t>
            </w:r>
            <w:proofErr w:type="spellEnd"/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SPC) możliwy do zastosowania w leczeniu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zespołu wieńcowego lub przewlekłej niewydolności serca</w:t>
            </w:r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sectPr w:rsidR="009D10B8" w:rsidSect="005058F2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F877" w14:textId="77777777" w:rsidR="00593363" w:rsidRDefault="00593363">
      <w:pPr>
        <w:spacing w:after="0" w:line="240" w:lineRule="auto"/>
      </w:pPr>
      <w:r>
        <w:separator/>
      </w:r>
    </w:p>
  </w:endnote>
  <w:endnote w:type="continuationSeparator" w:id="0">
    <w:p w14:paraId="6FAB6EEF" w14:textId="77777777" w:rsidR="00593363" w:rsidRDefault="0059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EDAB" w14:textId="77777777" w:rsidR="00593363" w:rsidRDefault="005933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8D5780" w14:textId="77777777" w:rsidR="00593363" w:rsidRDefault="00593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6CF" w14:textId="4633511D" w:rsidR="005058F2" w:rsidRDefault="00143D0B">
    <w:pPr>
      <w:pStyle w:val="Nagwek"/>
    </w:pPr>
    <w:bookmarkStart w:id="2" w:name="_Hlk74147372"/>
    <w:bookmarkEnd w:id="2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0D60DA8"/>
    <w:multiLevelType w:val="hybridMultilevel"/>
    <w:tmpl w:val="17848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550F8"/>
    <w:multiLevelType w:val="hybridMultilevel"/>
    <w:tmpl w:val="06123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7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6"/>
  </w:num>
  <w:num w:numId="2" w16cid:durableId="983047750">
    <w:abstractNumId w:val="4"/>
  </w:num>
  <w:num w:numId="3" w16cid:durableId="912206815">
    <w:abstractNumId w:val="7"/>
  </w:num>
  <w:num w:numId="4" w16cid:durableId="19192415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2"/>
  </w:num>
  <w:num w:numId="6" w16cid:durableId="1164782895">
    <w:abstractNumId w:val="5"/>
  </w:num>
  <w:num w:numId="7" w16cid:durableId="1764568987">
    <w:abstractNumId w:val="9"/>
  </w:num>
  <w:num w:numId="8" w16cid:durableId="1605840971">
    <w:abstractNumId w:val="10"/>
  </w:num>
  <w:num w:numId="9" w16cid:durableId="969629549">
    <w:abstractNumId w:val="20"/>
  </w:num>
  <w:num w:numId="10" w16cid:durableId="1576276737">
    <w:abstractNumId w:val="1"/>
  </w:num>
  <w:num w:numId="11" w16cid:durableId="409036424">
    <w:abstractNumId w:val="23"/>
  </w:num>
  <w:num w:numId="12" w16cid:durableId="1526747669">
    <w:abstractNumId w:val="3"/>
  </w:num>
  <w:num w:numId="13" w16cid:durableId="1746950255">
    <w:abstractNumId w:val="11"/>
  </w:num>
  <w:num w:numId="14" w16cid:durableId="329715522">
    <w:abstractNumId w:val="13"/>
  </w:num>
  <w:num w:numId="15" w16cid:durableId="1837842867">
    <w:abstractNumId w:val="12"/>
  </w:num>
  <w:num w:numId="16" w16cid:durableId="1970238000">
    <w:abstractNumId w:val="21"/>
  </w:num>
  <w:num w:numId="17" w16cid:durableId="485172914">
    <w:abstractNumId w:val="16"/>
  </w:num>
  <w:num w:numId="18" w16cid:durableId="338780148">
    <w:abstractNumId w:val="8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8"/>
  </w:num>
  <w:num w:numId="22" w16cid:durableId="1157845039">
    <w:abstractNumId w:val="17"/>
  </w:num>
  <w:num w:numId="23" w16cid:durableId="1318220489">
    <w:abstractNumId w:val="14"/>
  </w:num>
  <w:num w:numId="24" w16cid:durableId="791442922">
    <w:abstractNumId w:val="19"/>
  </w:num>
  <w:num w:numId="25" w16cid:durableId="1776055627">
    <w:abstractNumId w:val="2"/>
  </w:num>
  <w:num w:numId="26" w16cid:durableId="5832728">
    <w:abstractNumId w:val="15"/>
  </w:num>
  <w:num w:numId="27" w16cid:durableId="2077774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31E9F"/>
    <w:rsid w:val="00033ED5"/>
    <w:rsid w:val="0004009C"/>
    <w:rsid w:val="0005011B"/>
    <w:rsid w:val="00052E44"/>
    <w:rsid w:val="000702E4"/>
    <w:rsid w:val="00070A13"/>
    <w:rsid w:val="00070A89"/>
    <w:rsid w:val="0008118E"/>
    <w:rsid w:val="00086074"/>
    <w:rsid w:val="0009112E"/>
    <w:rsid w:val="00097B17"/>
    <w:rsid w:val="000A4576"/>
    <w:rsid w:val="000A688D"/>
    <w:rsid w:val="000A6B96"/>
    <w:rsid w:val="000B21F0"/>
    <w:rsid w:val="000B32C4"/>
    <w:rsid w:val="000B7075"/>
    <w:rsid w:val="000D02C0"/>
    <w:rsid w:val="000D2FED"/>
    <w:rsid w:val="000E3BBE"/>
    <w:rsid w:val="000E649C"/>
    <w:rsid w:val="000F077F"/>
    <w:rsid w:val="000F3ED2"/>
    <w:rsid w:val="000F5E24"/>
    <w:rsid w:val="001030B2"/>
    <w:rsid w:val="001204EA"/>
    <w:rsid w:val="00124DD2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6C86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47D4"/>
    <w:rsid w:val="001B7475"/>
    <w:rsid w:val="001D6485"/>
    <w:rsid w:val="001E2320"/>
    <w:rsid w:val="001E610A"/>
    <w:rsid w:val="001E721F"/>
    <w:rsid w:val="00205C55"/>
    <w:rsid w:val="00206C0B"/>
    <w:rsid w:val="002128E3"/>
    <w:rsid w:val="00221A2A"/>
    <w:rsid w:val="002270E2"/>
    <w:rsid w:val="00230BB7"/>
    <w:rsid w:val="0024697E"/>
    <w:rsid w:val="00255E53"/>
    <w:rsid w:val="00263E48"/>
    <w:rsid w:val="00275115"/>
    <w:rsid w:val="00280311"/>
    <w:rsid w:val="00281BE7"/>
    <w:rsid w:val="00286651"/>
    <w:rsid w:val="00287196"/>
    <w:rsid w:val="0029287B"/>
    <w:rsid w:val="00292DE3"/>
    <w:rsid w:val="0029403F"/>
    <w:rsid w:val="002C0340"/>
    <w:rsid w:val="002C19DE"/>
    <w:rsid w:val="002D55B8"/>
    <w:rsid w:val="002D6ED9"/>
    <w:rsid w:val="002E46AC"/>
    <w:rsid w:val="002F0FB2"/>
    <w:rsid w:val="002F61E3"/>
    <w:rsid w:val="003051DF"/>
    <w:rsid w:val="0031104C"/>
    <w:rsid w:val="003130CA"/>
    <w:rsid w:val="00326537"/>
    <w:rsid w:val="003357D9"/>
    <w:rsid w:val="00337B00"/>
    <w:rsid w:val="00346D8D"/>
    <w:rsid w:val="00355899"/>
    <w:rsid w:val="00356E75"/>
    <w:rsid w:val="0035733E"/>
    <w:rsid w:val="00361455"/>
    <w:rsid w:val="00374DBE"/>
    <w:rsid w:val="0037704D"/>
    <w:rsid w:val="0037714E"/>
    <w:rsid w:val="003841AB"/>
    <w:rsid w:val="003935E8"/>
    <w:rsid w:val="003975D4"/>
    <w:rsid w:val="003A0F16"/>
    <w:rsid w:val="003A4C74"/>
    <w:rsid w:val="003A5B7D"/>
    <w:rsid w:val="003A6433"/>
    <w:rsid w:val="003A69CD"/>
    <w:rsid w:val="003B46BF"/>
    <w:rsid w:val="003D2AE2"/>
    <w:rsid w:val="003D71C6"/>
    <w:rsid w:val="003F072E"/>
    <w:rsid w:val="0040122A"/>
    <w:rsid w:val="00404F9B"/>
    <w:rsid w:val="00411C64"/>
    <w:rsid w:val="004156E6"/>
    <w:rsid w:val="00415707"/>
    <w:rsid w:val="004161B6"/>
    <w:rsid w:val="00416F70"/>
    <w:rsid w:val="0041703B"/>
    <w:rsid w:val="004403B4"/>
    <w:rsid w:val="00446466"/>
    <w:rsid w:val="00447CE9"/>
    <w:rsid w:val="00453B55"/>
    <w:rsid w:val="0045427C"/>
    <w:rsid w:val="00457779"/>
    <w:rsid w:val="00466FE8"/>
    <w:rsid w:val="004679A1"/>
    <w:rsid w:val="004744CD"/>
    <w:rsid w:val="0048011A"/>
    <w:rsid w:val="00483DF0"/>
    <w:rsid w:val="004850DC"/>
    <w:rsid w:val="00490715"/>
    <w:rsid w:val="00491267"/>
    <w:rsid w:val="00491300"/>
    <w:rsid w:val="00492285"/>
    <w:rsid w:val="004A2F20"/>
    <w:rsid w:val="004A2F45"/>
    <w:rsid w:val="004A5135"/>
    <w:rsid w:val="004B2F38"/>
    <w:rsid w:val="004C35E7"/>
    <w:rsid w:val="004D093B"/>
    <w:rsid w:val="004D2191"/>
    <w:rsid w:val="004D7DDC"/>
    <w:rsid w:val="004E33CD"/>
    <w:rsid w:val="004E4723"/>
    <w:rsid w:val="004F3FEF"/>
    <w:rsid w:val="005058F2"/>
    <w:rsid w:val="00512C38"/>
    <w:rsid w:val="00512C7C"/>
    <w:rsid w:val="005130EF"/>
    <w:rsid w:val="005143E4"/>
    <w:rsid w:val="0051551E"/>
    <w:rsid w:val="00543AEC"/>
    <w:rsid w:val="0055182D"/>
    <w:rsid w:val="00553AE5"/>
    <w:rsid w:val="0056748F"/>
    <w:rsid w:val="00571688"/>
    <w:rsid w:val="00574D83"/>
    <w:rsid w:val="0058645B"/>
    <w:rsid w:val="005871C9"/>
    <w:rsid w:val="00590380"/>
    <w:rsid w:val="00593363"/>
    <w:rsid w:val="005935D1"/>
    <w:rsid w:val="005B06B3"/>
    <w:rsid w:val="005B598A"/>
    <w:rsid w:val="005C1959"/>
    <w:rsid w:val="005C499F"/>
    <w:rsid w:val="005C608D"/>
    <w:rsid w:val="005C6551"/>
    <w:rsid w:val="005D269A"/>
    <w:rsid w:val="005D3140"/>
    <w:rsid w:val="005D5D31"/>
    <w:rsid w:val="005E4CF5"/>
    <w:rsid w:val="005E7898"/>
    <w:rsid w:val="005F70FE"/>
    <w:rsid w:val="006008CD"/>
    <w:rsid w:val="00633806"/>
    <w:rsid w:val="00633883"/>
    <w:rsid w:val="00634434"/>
    <w:rsid w:val="0064109C"/>
    <w:rsid w:val="0064487F"/>
    <w:rsid w:val="006648F3"/>
    <w:rsid w:val="00670C14"/>
    <w:rsid w:val="0068046C"/>
    <w:rsid w:val="00680B0E"/>
    <w:rsid w:val="00687B5F"/>
    <w:rsid w:val="00687E5A"/>
    <w:rsid w:val="006905E7"/>
    <w:rsid w:val="006967BC"/>
    <w:rsid w:val="006A03EB"/>
    <w:rsid w:val="006A533F"/>
    <w:rsid w:val="006A7541"/>
    <w:rsid w:val="006A7DCE"/>
    <w:rsid w:val="006B1374"/>
    <w:rsid w:val="006C1B62"/>
    <w:rsid w:val="006C452F"/>
    <w:rsid w:val="006C4ED5"/>
    <w:rsid w:val="006D079B"/>
    <w:rsid w:val="006D183E"/>
    <w:rsid w:val="006D336E"/>
    <w:rsid w:val="006D7964"/>
    <w:rsid w:val="006E42A6"/>
    <w:rsid w:val="006F498A"/>
    <w:rsid w:val="006F5BEB"/>
    <w:rsid w:val="007135A8"/>
    <w:rsid w:val="007156F6"/>
    <w:rsid w:val="00715B91"/>
    <w:rsid w:val="007321D8"/>
    <w:rsid w:val="00733AF9"/>
    <w:rsid w:val="00734732"/>
    <w:rsid w:val="00740ABA"/>
    <w:rsid w:val="0074295D"/>
    <w:rsid w:val="00755E27"/>
    <w:rsid w:val="0078723A"/>
    <w:rsid w:val="007A4FB5"/>
    <w:rsid w:val="007B043E"/>
    <w:rsid w:val="007C277D"/>
    <w:rsid w:val="007C358D"/>
    <w:rsid w:val="007C4332"/>
    <w:rsid w:val="007C4C95"/>
    <w:rsid w:val="007D0493"/>
    <w:rsid w:val="007D1551"/>
    <w:rsid w:val="007D273D"/>
    <w:rsid w:val="007D6A3A"/>
    <w:rsid w:val="007D6B6F"/>
    <w:rsid w:val="007D74E2"/>
    <w:rsid w:val="007F016E"/>
    <w:rsid w:val="008008F6"/>
    <w:rsid w:val="00800BEC"/>
    <w:rsid w:val="008017A7"/>
    <w:rsid w:val="00823875"/>
    <w:rsid w:val="00827817"/>
    <w:rsid w:val="00827986"/>
    <w:rsid w:val="008279BD"/>
    <w:rsid w:val="0084154E"/>
    <w:rsid w:val="00843352"/>
    <w:rsid w:val="00844624"/>
    <w:rsid w:val="008462C0"/>
    <w:rsid w:val="008579E3"/>
    <w:rsid w:val="0087118E"/>
    <w:rsid w:val="008771C8"/>
    <w:rsid w:val="00882DCA"/>
    <w:rsid w:val="0088727A"/>
    <w:rsid w:val="00896D35"/>
    <w:rsid w:val="008B00C4"/>
    <w:rsid w:val="008B43B0"/>
    <w:rsid w:val="008C0493"/>
    <w:rsid w:val="008C0E92"/>
    <w:rsid w:val="008D45C3"/>
    <w:rsid w:val="008E18D7"/>
    <w:rsid w:val="008E33C7"/>
    <w:rsid w:val="008F1D35"/>
    <w:rsid w:val="009066C7"/>
    <w:rsid w:val="00907D25"/>
    <w:rsid w:val="0091283B"/>
    <w:rsid w:val="00912E37"/>
    <w:rsid w:val="0092216D"/>
    <w:rsid w:val="00933339"/>
    <w:rsid w:val="00943EDB"/>
    <w:rsid w:val="00953B84"/>
    <w:rsid w:val="0095459E"/>
    <w:rsid w:val="009659C5"/>
    <w:rsid w:val="00982754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F413F"/>
    <w:rsid w:val="009F550A"/>
    <w:rsid w:val="009F7497"/>
    <w:rsid w:val="00A01F60"/>
    <w:rsid w:val="00A118F0"/>
    <w:rsid w:val="00A159DA"/>
    <w:rsid w:val="00A22494"/>
    <w:rsid w:val="00A22A7B"/>
    <w:rsid w:val="00A23765"/>
    <w:rsid w:val="00A242D8"/>
    <w:rsid w:val="00A434EB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90397"/>
    <w:rsid w:val="00A90CB0"/>
    <w:rsid w:val="00A9374D"/>
    <w:rsid w:val="00A94461"/>
    <w:rsid w:val="00A960EA"/>
    <w:rsid w:val="00A974C2"/>
    <w:rsid w:val="00AA4608"/>
    <w:rsid w:val="00AA490E"/>
    <w:rsid w:val="00AA6179"/>
    <w:rsid w:val="00AB1235"/>
    <w:rsid w:val="00AB2D5E"/>
    <w:rsid w:val="00AC0511"/>
    <w:rsid w:val="00AC2182"/>
    <w:rsid w:val="00AD08C5"/>
    <w:rsid w:val="00AE069A"/>
    <w:rsid w:val="00AF1DC7"/>
    <w:rsid w:val="00AF1EBC"/>
    <w:rsid w:val="00B02F02"/>
    <w:rsid w:val="00B1467F"/>
    <w:rsid w:val="00B26E9E"/>
    <w:rsid w:val="00B31928"/>
    <w:rsid w:val="00B326A9"/>
    <w:rsid w:val="00B40A48"/>
    <w:rsid w:val="00B45ED3"/>
    <w:rsid w:val="00B543E9"/>
    <w:rsid w:val="00B57127"/>
    <w:rsid w:val="00B76B2B"/>
    <w:rsid w:val="00B8251D"/>
    <w:rsid w:val="00B94288"/>
    <w:rsid w:val="00B9538B"/>
    <w:rsid w:val="00BA15A9"/>
    <w:rsid w:val="00BB30C0"/>
    <w:rsid w:val="00BC376D"/>
    <w:rsid w:val="00BD18E8"/>
    <w:rsid w:val="00BD20BC"/>
    <w:rsid w:val="00C15673"/>
    <w:rsid w:val="00C15E6F"/>
    <w:rsid w:val="00C210A9"/>
    <w:rsid w:val="00C22821"/>
    <w:rsid w:val="00C243BF"/>
    <w:rsid w:val="00C25F63"/>
    <w:rsid w:val="00C276AE"/>
    <w:rsid w:val="00C34F0F"/>
    <w:rsid w:val="00C4237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8646F"/>
    <w:rsid w:val="00C93D1C"/>
    <w:rsid w:val="00C97315"/>
    <w:rsid w:val="00CA04B6"/>
    <w:rsid w:val="00CA1AD2"/>
    <w:rsid w:val="00CA2878"/>
    <w:rsid w:val="00CA7D06"/>
    <w:rsid w:val="00CB2E2B"/>
    <w:rsid w:val="00CB3D33"/>
    <w:rsid w:val="00CC0463"/>
    <w:rsid w:val="00CC7F58"/>
    <w:rsid w:val="00CD47C3"/>
    <w:rsid w:val="00CE099F"/>
    <w:rsid w:val="00CE73E2"/>
    <w:rsid w:val="00CF402D"/>
    <w:rsid w:val="00CF5E4F"/>
    <w:rsid w:val="00CF7674"/>
    <w:rsid w:val="00CF7C5C"/>
    <w:rsid w:val="00D17D3E"/>
    <w:rsid w:val="00D34BDC"/>
    <w:rsid w:val="00D44A5D"/>
    <w:rsid w:val="00D510E8"/>
    <w:rsid w:val="00D554A2"/>
    <w:rsid w:val="00D5628B"/>
    <w:rsid w:val="00D63F4F"/>
    <w:rsid w:val="00D6426A"/>
    <w:rsid w:val="00D66456"/>
    <w:rsid w:val="00D77CD0"/>
    <w:rsid w:val="00D9306F"/>
    <w:rsid w:val="00DB0B88"/>
    <w:rsid w:val="00DD18C6"/>
    <w:rsid w:val="00DD6D00"/>
    <w:rsid w:val="00DE00F0"/>
    <w:rsid w:val="00DE1894"/>
    <w:rsid w:val="00DE5079"/>
    <w:rsid w:val="00DF6B3A"/>
    <w:rsid w:val="00E0058F"/>
    <w:rsid w:val="00E10271"/>
    <w:rsid w:val="00E31647"/>
    <w:rsid w:val="00E34DF7"/>
    <w:rsid w:val="00E35DF6"/>
    <w:rsid w:val="00E50D44"/>
    <w:rsid w:val="00E51F3B"/>
    <w:rsid w:val="00E52765"/>
    <w:rsid w:val="00E64133"/>
    <w:rsid w:val="00E66456"/>
    <w:rsid w:val="00E738D5"/>
    <w:rsid w:val="00E8288D"/>
    <w:rsid w:val="00E8348C"/>
    <w:rsid w:val="00E900DE"/>
    <w:rsid w:val="00E91A86"/>
    <w:rsid w:val="00E91E64"/>
    <w:rsid w:val="00EA326D"/>
    <w:rsid w:val="00EB1B3E"/>
    <w:rsid w:val="00EB5A68"/>
    <w:rsid w:val="00EB77EA"/>
    <w:rsid w:val="00EC0C4F"/>
    <w:rsid w:val="00EC2B8F"/>
    <w:rsid w:val="00EC74BA"/>
    <w:rsid w:val="00ED15F0"/>
    <w:rsid w:val="00EE4384"/>
    <w:rsid w:val="00EE4BD7"/>
    <w:rsid w:val="00EF3551"/>
    <w:rsid w:val="00EF7573"/>
    <w:rsid w:val="00F017D6"/>
    <w:rsid w:val="00F12CF6"/>
    <w:rsid w:val="00F147FC"/>
    <w:rsid w:val="00F15BD4"/>
    <w:rsid w:val="00F31A79"/>
    <w:rsid w:val="00F42214"/>
    <w:rsid w:val="00F5061B"/>
    <w:rsid w:val="00F61A7D"/>
    <w:rsid w:val="00F63AA8"/>
    <w:rsid w:val="00F67CA2"/>
    <w:rsid w:val="00F748A1"/>
    <w:rsid w:val="00F859A8"/>
    <w:rsid w:val="00F909F1"/>
    <w:rsid w:val="00F9203E"/>
    <w:rsid w:val="00F957B7"/>
    <w:rsid w:val="00FA53DF"/>
    <w:rsid w:val="00FB2364"/>
    <w:rsid w:val="00FB30AC"/>
    <w:rsid w:val="00FB3B6F"/>
    <w:rsid w:val="00FB7A48"/>
    <w:rsid w:val="00FC712D"/>
    <w:rsid w:val="00FD39E3"/>
    <w:rsid w:val="00FD48BC"/>
    <w:rsid w:val="00FD607C"/>
    <w:rsid w:val="00FE1242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99"/>
    <w:qFormat/>
    <w:rsid w:val="001933DE"/>
  </w:style>
  <w:style w:type="paragraph" w:customStyle="1" w:styleId="pismamz">
    <w:name w:val="pisma_mz"/>
    <w:basedOn w:val="Normalny"/>
    <w:link w:val="pismamzZnak"/>
    <w:qFormat/>
    <w:rsid w:val="0091283B"/>
    <w:pPr>
      <w:suppressAutoHyphens w:val="0"/>
      <w:autoSpaceDN/>
      <w:spacing w:after="0" w:line="360" w:lineRule="auto"/>
      <w:contextualSpacing/>
      <w:jc w:val="both"/>
      <w:textAlignment w:val="auto"/>
    </w:pPr>
    <w:rPr>
      <w:rFonts w:ascii="Arial" w:hAnsi="Arial"/>
    </w:rPr>
  </w:style>
  <w:style w:type="character" w:customStyle="1" w:styleId="pismamzZnak">
    <w:name w:val="pisma_mz Znak"/>
    <w:link w:val="pismamz"/>
    <w:rsid w:val="0091283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1742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Tobiaszewski Paweł</cp:lastModifiedBy>
  <cp:revision>2</cp:revision>
  <dcterms:created xsi:type="dcterms:W3CDTF">2026-06-11T11:35:00Z</dcterms:created>
  <dcterms:modified xsi:type="dcterms:W3CDTF">2026-06-11T11:35:00Z</dcterms:modified>
</cp:coreProperties>
</file>