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70E83" w14:textId="0C133EDA" w:rsidR="00B03C62" w:rsidRDefault="00483B61" w:rsidP="00483B61">
      <w:pPr>
        <w:widowControl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Załącznik</w:t>
      </w:r>
      <w:r w:rsidR="00FC2C5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B.65</w:t>
      </w:r>
      <w:r w:rsidRPr="00483B61">
        <w:rPr>
          <w:rFonts w:ascii="Times New Roman" w:hAnsi="Times New Roman"/>
          <w:sz w:val="22"/>
          <w:szCs w:val="22"/>
        </w:rPr>
        <w:t>.</w:t>
      </w:r>
    </w:p>
    <w:p w14:paraId="4B6BC431" w14:textId="77777777" w:rsidR="00024D0B" w:rsidRDefault="00024D0B" w:rsidP="00483B61">
      <w:pPr>
        <w:widowControl/>
        <w:rPr>
          <w:rFonts w:ascii="Times New Roman" w:hAnsi="Times New Roman"/>
          <w:sz w:val="22"/>
          <w:szCs w:val="22"/>
        </w:rPr>
      </w:pPr>
    </w:p>
    <w:p w14:paraId="589A3689" w14:textId="7EB20406" w:rsidR="00AB01BB" w:rsidRPr="00AB01BB" w:rsidRDefault="00605C33" w:rsidP="00483B61">
      <w:pPr>
        <w:spacing w:after="240"/>
        <w:rPr>
          <w:rFonts w:ascii="Times New Roman" w:hAnsi="Times New Roman"/>
          <w:sz w:val="28"/>
          <w:szCs w:val="28"/>
        </w:rPr>
      </w:pPr>
      <w:r w:rsidRPr="00605C33">
        <w:rPr>
          <w:rFonts w:ascii="Times New Roman" w:hAnsi="Times New Roman"/>
          <w:b/>
          <w:sz w:val="28"/>
          <w:szCs w:val="28"/>
        </w:rPr>
        <w:t>LECZENIE</w:t>
      </w:r>
      <w:r w:rsidR="00FC2C59">
        <w:rPr>
          <w:rFonts w:ascii="Times New Roman" w:hAnsi="Times New Roman"/>
          <w:b/>
          <w:sz w:val="28"/>
          <w:szCs w:val="28"/>
        </w:rPr>
        <w:t xml:space="preserve"> </w:t>
      </w:r>
      <w:r w:rsidR="00C92CD0">
        <w:rPr>
          <w:rFonts w:ascii="Times New Roman" w:hAnsi="Times New Roman"/>
          <w:b/>
          <w:sz w:val="28"/>
          <w:szCs w:val="28"/>
        </w:rPr>
        <w:t>CHORYCH</w:t>
      </w:r>
      <w:r w:rsidR="00FC2C59">
        <w:rPr>
          <w:rFonts w:ascii="Times New Roman" w:hAnsi="Times New Roman"/>
          <w:b/>
          <w:sz w:val="28"/>
          <w:szCs w:val="28"/>
        </w:rPr>
        <w:t xml:space="preserve"> </w:t>
      </w:r>
      <w:r w:rsidR="00C92CD0">
        <w:rPr>
          <w:rFonts w:ascii="Times New Roman" w:hAnsi="Times New Roman"/>
          <w:b/>
          <w:sz w:val="28"/>
          <w:szCs w:val="28"/>
        </w:rPr>
        <w:t>NA</w:t>
      </w:r>
      <w:r w:rsidR="00FC2C59">
        <w:rPr>
          <w:rFonts w:ascii="Times New Roman" w:hAnsi="Times New Roman"/>
          <w:b/>
          <w:sz w:val="28"/>
          <w:szCs w:val="28"/>
        </w:rPr>
        <w:t xml:space="preserve"> </w:t>
      </w:r>
      <w:r w:rsidRPr="00605C33">
        <w:rPr>
          <w:rFonts w:ascii="Times New Roman" w:hAnsi="Times New Roman"/>
          <w:b/>
          <w:sz w:val="28"/>
          <w:szCs w:val="28"/>
        </w:rPr>
        <w:t>OSTR</w:t>
      </w:r>
      <w:r w:rsidR="00C92CD0">
        <w:rPr>
          <w:rFonts w:ascii="Times New Roman" w:hAnsi="Times New Roman"/>
          <w:b/>
          <w:sz w:val="28"/>
          <w:szCs w:val="28"/>
        </w:rPr>
        <w:t>Ą</w:t>
      </w:r>
      <w:r w:rsidR="00FC2C59">
        <w:rPr>
          <w:rFonts w:ascii="Times New Roman" w:hAnsi="Times New Roman"/>
          <w:b/>
          <w:sz w:val="28"/>
          <w:szCs w:val="28"/>
        </w:rPr>
        <w:t xml:space="preserve"> </w:t>
      </w:r>
      <w:r w:rsidRPr="00605C33">
        <w:rPr>
          <w:rFonts w:ascii="Times New Roman" w:hAnsi="Times New Roman"/>
          <w:b/>
          <w:sz w:val="28"/>
          <w:szCs w:val="28"/>
        </w:rPr>
        <w:t>BIAŁACZK</w:t>
      </w:r>
      <w:r w:rsidR="00C92CD0">
        <w:rPr>
          <w:rFonts w:ascii="Times New Roman" w:hAnsi="Times New Roman"/>
          <w:b/>
          <w:sz w:val="28"/>
          <w:szCs w:val="28"/>
        </w:rPr>
        <w:t>Ę</w:t>
      </w:r>
      <w:r w:rsidR="00FC2C59">
        <w:rPr>
          <w:rFonts w:ascii="Times New Roman" w:hAnsi="Times New Roman"/>
          <w:b/>
          <w:sz w:val="28"/>
          <w:szCs w:val="28"/>
        </w:rPr>
        <w:t xml:space="preserve"> </w:t>
      </w:r>
      <w:r w:rsidRPr="00605C33">
        <w:rPr>
          <w:rFonts w:ascii="Times New Roman" w:hAnsi="Times New Roman"/>
          <w:b/>
          <w:sz w:val="28"/>
          <w:szCs w:val="28"/>
        </w:rPr>
        <w:t>LIMFOBLASTYCZN</w:t>
      </w:r>
      <w:r w:rsidR="00C92CD0">
        <w:rPr>
          <w:rFonts w:ascii="Times New Roman" w:hAnsi="Times New Roman"/>
          <w:b/>
          <w:sz w:val="28"/>
          <w:szCs w:val="28"/>
        </w:rPr>
        <w:t>Ą</w:t>
      </w:r>
      <w:r w:rsidR="00FC2C59">
        <w:rPr>
          <w:rFonts w:ascii="Times New Roman" w:hAnsi="Times New Roman"/>
          <w:b/>
          <w:sz w:val="28"/>
          <w:szCs w:val="28"/>
        </w:rPr>
        <w:t xml:space="preserve"> </w:t>
      </w:r>
      <w:r w:rsidRPr="00605C33">
        <w:rPr>
          <w:rFonts w:ascii="Times New Roman" w:hAnsi="Times New Roman"/>
          <w:b/>
          <w:sz w:val="28"/>
          <w:szCs w:val="28"/>
        </w:rPr>
        <w:t>(ICD-10</w:t>
      </w:r>
      <w:r w:rsidR="00FC2C59">
        <w:rPr>
          <w:rFonts w:ascii="Times New Roman" w:hAnsi="Times New Roman"/>
          <w:b/>
          <w:sz w:val="28"/>
          <w:szCs w:val="28"/>
        </w:rPr>
        <w:t xml:space="preserve"> </w:t>
      </w:r>
      <w:r w:rsidRPr="00605C33">
        <w:rPr>
          <w:rFonts w:ascii="Times New Roman" w:hAnsi="Times New Roman"/>
          <w:b/>
          <w:sz w:val="28"/>
          <w:szCs w:val="28"/>
        </w:rPr>
        <w:t>C91.0)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6799"/>
        <w:gridCol w:w="4294"/>
        <w:gridCol w:w="4297"/>
      </w:tblGrid>
      <w:tr w:rsidR="00AB01BB" w:rsidRPr="00DE1B23" w14:paraId="20C20828" w14:textId="77777777" w:rsidTr="00826720">
        <w:trPr>
          <w:trHeight w:val="567"/>
        </w:trPr>
        <w:tc>
          <w:tcPr>
            <w:tcW w:w="5000" w:type="pct"/>
            <w:gridSpan w:val="3"/>
            <w:vAlign w:val="center"/>
          </w:tcPr>
          <w:p w14:paraId="2F2B0741" w14:textId="4D665C2B" w:rsidR="00E2666D" w:rsidRPr="00DE1B23" w:rsidRDefault="00E2666D" w:rsidP="00175C8D">
            <w:pPr>
              <w:jc w:val="center"/>
              <w:rPr>
                <w:rFonts w:ascii="Times New Roman" w:hAnsi="Times New Roman"/>
                <w:b/>
              </w:rPr>
            </w:pPr>
            <w:r w:rsidRPr="00DE1B23">
              <w:rPr>
                <w:rFonts w:ascii="Times New Roman" w:hAnsi="Times New Roman"/>
                <w:b/>
              </w:rPr>
              <w:t>ZAKRES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DE1B23">
              <w:rPr>
                <w:rFonts w:ascii="Times New Roman" w:hAnsi="Times New Roman"/>
                <w:b/>
              </w:rPr>
              <w:t>ŚWIADCZENIA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DE1B23">
              <w:rPr>
                <w:rFonts w:ascii="Times New Roman" w:hAnsi="Times New Roman"/>
                <w:b/>
              </w:rPr>
              <w:t>GWARANTOWANEGO</w:t>
            </w:r>
          </w:p>
        </w:tc>
      </w:tr>
      <w:tr w:rsidR="00C64042" w:rsidRPr="00DE1B23" w14:paraId="4CA7D0E2" w14:textId="77777777" w:rsidTr="00C64042">
        <w:trPr>
          <w:trHeight w:val="567"/>
        </w:trPr>
        <w:tc>
          <w:tcPr>
            <w:tcW w:w="2209" w:type="pct"/>
            <w:vAlign w:val="center"/>
          </w:tcPr>
          <w:p w14:paraId="4EBF9B35" w14:textId="77777777" w:rsidR="00E2666D" w:rsidRPr="00DE1B23" w:rsidRDefault="00E2666D" w:rsidP="00175C8D">
            <w:pPr>
              <w:jc w:val="center"/>
              <w:rPr>
                <w:rFonts w:ascii="Times New Roman" w:hAnsi="Times New Roman"/>
                <w:b/>
              </w:rPr>
            </w:pPr>
            <w:r w:rsidRPr="00DE1B23">
              <w:rPr>
                <w:rFonts w:ascii="Times New Roman" w:hAnsi="Times New Roman"/>
                <w:b/>
              </w:rPr>
              <w:t>ŚWIADCZENIOBIORCY</w:t>
            </w:r>
          </w:p>
        </w:tc>
        <w:tc>
          <w:tcPr>
            <w:tcW w:w="1395" w:type="pct"/>
            <w:vAlign w:val="center"/>
          </w:tcPr>
          <w:p w14:paraId="27B20E55" w14:textId="39EEA181" w:rsidR="00E2666D" w:rsidRPr="00DE1B23" w:rsidRDefault="00E2666D" w:rsidP="00175C8D">
            <w:pPr>
              <w:jc w:val="center"/>
              <w:rPr>
                <w:rFonts w:ascii="Times New Roman" w:hAnsi="Times New Roman"/>
                <w:b/>
              </w:rPr>
            </w:pPr>
            <w:r w:rsidRPr="00DE1B23">
              <w:rPr>
                <w:rFonts w:ascii="Times New Roman" w:hAnsi="Times New Roman"/>
                <w:b/>
              </w:rPr>
              <w:t>SCHEMAT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DE1B23">
              <w:rPr>
                <w:rFonts w:ascii="Times New Roman" w:hAnsi="Times New Roman"/>
                <w:b/>
              </w:rPr>
              <w:t>DAWKOWANIA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DE1B23">
              <w:rPr>
                <w:rFonts w:ascii="Times New Roman" w:hAnsi="Times New Roman"/>
                <w:b/>
              </w:rPr>
              <w:t>LEKÓW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DE1B23">
              <w:rPr>
                <w:rFonts w:ascii="Times New Roman" w:hAnsi="Times New Roman"/>
                <w:b/>
              </w:rPr>
              <w:t>W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DE1B23">
              <w:rPr>
                <w:rFonts w:ascii="Times New Roman" w:hAnsi="Times New Roman"/>
                <w:b/>
              </w:rPr>
              <w:t>PROGRAMIE</w:t>
            </w:r>
          </w:p>
        </w:tc>
        <w:tc>
          <w:tcPr>
            <w:tcW w:w="1396" w:type="pct"/>
            <w:vAlign w:val="center"/>
          </w:tcPr>
          <w:p w14:paraId="74DC90B1" w14:textId="38F4A994" w:rsidR="00E2666D" w:rsidRPr="00DE1B23" w:rsidRDefault="00E2666D" w:rsidP="00175C8D">
            <w:pPr>
              <w:jc w:val="center"/>
              <w:rPr>
                <w:rFonts w:ascii="Times New Roman" w:hAnsi="Times New Roman"/>
                <w:b/>
              </w:rPr>
            </w:pPr>
            <w:r w:rsidRPr="00DE1B23">
              <w:rPr>
                <w:rFonts w:ascii="Times New Roman" w:hAnsi="Times New Roman"/>
                <w:b/>
              </w:rPr>
              <w:t>BAD</w:t>
            </w:r>
            <w:r w:rsidR="002A765A" w:rsidRPr="00DE1B23">
              <w:rPr>
                <w:rFonts w:ascii="Times New Roman" w:hAnsi="Times New Roman"/>
                <w:b/>
              </w:rPr>
              <w:t>ANIA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="002A765A" w:rsidRPr="00DE1B23">
              <w:rPr>
                <w:rFonts w:ascii="Times New Roman" w:hAnsi="Times New Roman"/>
                <w:b/>
              </w:rPr>
              <w:t>DIAGNOSTYCZNE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="002A765A" w:rsidRPr="00DE1B23">
              <w:rPr>
                <w:rFonts w:ascii="Times New Roman" w:hAnsi="Times New Roman"/>
                <w:b/>
              </w:rPr>
              <w:t>WYKONYWANE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="002A765A" w:rsidRPr="00DE1B23">
              <w:rPr>
                <w:rFonts w:ascii="Times New Roman" w:hAnsi="Times New Roman"/>
                <w:b/>
              </w:rPr>
              <w:t>W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DE1B23">
              <w:rPr>
                <w:rFonts w:ascii="Times New Roman" w:hAnsi="Times New Roman"/>
                <w:b/>
              </w:rPr>
              <w:t>RAMACH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DE1B23">
              <w:rPr>
                <w:rFonts w:ascii="Times New Roman" w:hAnsi="Times New Roman"/>
                <w:b/>
              </w:rPr>
              <w:t>PROGRAMU</w:t>
            </w:r>
          </w:p>
        </w:tc>
      </w:tr>
      <w:tr w:rsidR="00FF640B" w:rsidRPr="00DE1B23" w14:paraId="76621A28" w14:textId="77777777" w:rsidTr="00826720">
        <w:trPr>
          <w:trHeight w:val="567"/>
        </w:trPr>
        <w:tc>
          <w:tcPr>
            <w:tcW w:w="5000" w:type="pct"/>
            <w:gridSpan w:val="3"/>
            <w:vAlign w:val="center"/>
          </w:tcPr>
          <w:p w14:paraId="497DB3A8" w14:textId="15F11415" w:rsidR="00FF640B" w:rsidRPr="00175C8D" w:rsidRDefault="00175C8D" w:rsidP="00175C8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I.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="00FF640B" w:rsidRPr="00175C8D">
              <w:rPr>
                <w:rFonts w:ascii="Times New Roman" w:hAnsi="Times New Roman"/>
                <w:b/>
              </w:rPr>
              <w:t>DAZATYNIB</w:t>
            </w:r>
          </w:p>
        </w:tc>
      </w:tr>
      <w:tr w:rsidR="00C64042" w:rsidRPr="00F15804" w14:paraId="692FE380" w14:textId="77777777" w:rsidTr="00C64042">
        <w:trPr>
          <w:trHeight w:val="20"/>
        </w:trPr>
        <w:tc>
          <w:tcPr>
            <w:tcW w:w="2209" w:type="pct"/>
          </w:tcPr>
          <w:p w14:paraId="0486573D" w14:textId="0C239E00" w:rsidR="00B03C62" w:rsidRPr="00F15804" w:rsidRDefault="00B03C62" w:rsidP="008D1FB2">
            <w:pPr>
              <w:pStyle w:val="Akapitzlist"/>
              <w:numPr>
                <w:ilvl w:val="0"/>
                <w:numId w:val="1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  <w:b/>
                <w:bCs/>
              </w:rPr>
              <w:t>Kryteria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kwalifikacji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do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leczenia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dazatynibem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ostrej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białaczki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limfoblastycznej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z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obecnością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chromosomu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Filadelfia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(Ph+)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u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dorosłych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30CD60CE" w14:textId="1C563144" w:rsidR="00B03C62" w:rsidRPr="006C0149" w:rsidRDefault="00B03C62" w:rsidP="00826720">
            <w:pPr>
              <w:pStyle w:val="Akapitzlist"/>
              <w:numPr>
                <w:ilvl w:val="1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6C0149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kwalifikowani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są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pacjenci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ze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zdiagnozowaną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ostrą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białaczką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limfoblastyczną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udokumentowaną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obecnością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genu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BCR-ABL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chromosomu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Filadelfia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(Ph+)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wieku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18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lat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powyżej,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6C0149">
              <w:rPr>
                <w:rFonts w:ascii="Times New Roman" w:hAnsi="Times New Roman"/>
              </w:rPr>
              <w:t>których: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520787AA" w14:textId="18B656F6" w:rsidR="00B03C62" w:rsidRPr="00F15804" w:rsidRDefault="00B03C62" w:rsidP="00826720">
            <w:pPr>
              <w:pStyle w:val="Akapitzlist"/>
              <w:numPr>
                <w:ilvl w:val="2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uzyskano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całkowitej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remisji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hematologicznej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indukującym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remisję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większej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odpowiedzi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molekularnej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konsolidującym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remisję,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jeżeli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protokół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obejmował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dazatynibu</w:t>
            </w:r>
          </w:p>
          <w:p w14:paraId="05EC73E1" w14:textId="77777777" w:rsidR="00B03C62" w:rsidRPr="00F15804" w:rsidRDefault="00B03C62" w:rsidP="00826720">
            <w:pPr>
              <w:spacing w:after="60" w:line="276" w:lineRule="auto"/>
              <w:ind w:left="17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lub</w:t>
            </w:r>
          </w:p>
          <w:p w14:paraId="5B264086" w14:textId="1C9295A2" w:rsidR="00B03C62" w:rsidRPr="00F15804" w:rsidRDefault="00B03C62" w:rsidP="00826720">
            <w:pPr>
              <w:pStyle w:val="Akapitzlist"/>
              <w:numPr>
                <w:ilvl w:val="2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uzyskano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remisję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całkowitą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odpowiedź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molekularną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wyniku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obejmującego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stosowanie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dazatynibu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prowadzone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jest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podtrzymujące</w:t>
            </w:r>
          </w:p>
          <w:p w14:paraId="658640F3" w14:textId="77777777" w:rsidR="00B03C62" w:rsidRPr="00F15804" w:rsidRDefault="00B03C62" w:rsidP="00826720">
            <w:pPr>
              <w:spacing w:after="60" w:line="276" w:lineRule="auto"/>
              <w:ind w:left="17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lub</w:t>
            </w:r>
          </w:p>
          <w:p w14:paraId="6A76962C" w14:textId="7CDFD063" w:rsidR="00B03C62" w:rsidRPr="00F15804" w:rsidRDefault="00B03C62" w:rsidP="00826720">
            <w:pPr>
              <w:pStyle w:val="Akapitzlist"/>
              <w:numPr>
                <w:ilvl w:val="2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wystąpiła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hematologiczna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remisja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całkowita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badaniu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molekularnym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immunofenotypowym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stwierdzono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nawrót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narastanie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minimalnej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choroby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resztkowej,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jeżeli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protokół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obejmował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dazatynibu</w:t>
            </w:r>
          </w:p>
          <w:p w14:paraId="626C0567" w14:textId="77777777" w:rsidR="00B03C62" w:rsidRPr="00F15804" w:rsidRDefault="00B03C62" w:rsidP="00826720">
            <w:pPr>
              <w:spacing w:after="60" w:line="276" w:lineRule="auto"/>
              <w:ind w:left="17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lub</w:t>
            </w:r>
          </w:p>
          <w:p w14:paraId="65181E14" w14:textId="0B6FDB6B" w:rsidR="00B03C62" w:rsidRPr="00F15804" w:rsidRDefault="00B03C62" w:rsidP="00826720">
            <w:pPr>
              <w:pStyle w:val="Akapitzlist"/>
              <w:numPr>
                <w:ilvl w:val="2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wykonano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przeszczepienie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krwiotwórczych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przed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przeszczepieniem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uzyskano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całkowitej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odpowiedzi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molekularnej</w:t>
            </w:r>
          </w:p>
          <w:p w14:paraId="6946C10D" w14:textId="77777777" w:rsidR="00B03C62" w:rsidRPr="00F15804" w:rsidRDefault="00B03C62" w:rsidP="00826720">
            <w:pPr>
              <w:spacing w:after="60" w:line="276" w:lineRule="auto"/>
              <w:ind w:left="17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lub</w:t>
            </w:r>
          </w:p>
          <w:p w14:paraId="5A68FD1E" w14:textId="646FBC49" w:rsidR="00B03C62" w:rsidRPr="00F15804" w:rsidRDefault="00B03C62" w:rsidP="00826720">
            <w:pPr>
              <w:pStyle w:val="Akapitzlist"/>
              <w:numPr>
                <w:ilvl w:val="2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lastRenderedPageBreak/>
              <w:t>wystąpiła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wznowa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hematologiczna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choroby,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jeżeli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protokół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obejmował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dazatynibu</w:t>
            </w:r>
          </w:p>
          <w:p w14:paraId="5D054E3C" w14:textId="6BA28B95" w:rsidR="00A32C7C" w:rsidRPr="00F15804" w:rsidRDefault="00B03C62" w:rsidP="00826720">
            <w:pPr>
              <w:spacing w:after="60" w:line="276" w:lineRule="auto"/>
              <w:ind w:left="17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lub</w:t>
            </w:r>
          </w:p>
          <w:p w14:paraId="6D437A05" w14:textId="29704F45" w:rsidR="00B03C62" w:rsidRPr="00F15804" w:rsidRDefault="00B03C62" w:rsidP="00826720">
            <w:pPr>
              <w:pStyle w:val="Akapitzlist"/>
              <w:numPr>
                <w:ilvl w:val="2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wystąpiły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objawy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nietolerancji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imatynibu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trakcie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wcześniejszej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terapii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stopniu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uniemożliwiającym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dalsze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jego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stosowanie</w:t>
            </w:r>
          </w:p>
          <w:p w14:paraId="50AD0B33" w14:textId="5DB8B154" w:rsidR="00B03C62" w:rsidRPr="00F15804" w:rsidRDefault="00B03C62" w:rsidP="00826720">
            <w:pPr>
              <w:spacing w:after="60" w:line="276" w:lineRule="auto"/>
              <w:ind w:left="17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lub</w:t>
            </w:r>
          </w:p>
          <w:p w14:paraId="19938742" w14:textId="2B5AC3BC" w:rsidR="00B03C62" w:rsidRPr="00F15804" w:rsidRDefault="00B03C62" w:rsidP="00826720">
            <w:pPr>
              <w:pStyle w:val="Akapitzlist"/>
              <w:numPr>
                <w:ilvl w:val="2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stwierdzono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pierwotne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zajęcie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ośrodkowego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układu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nerwowego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(OUN).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4BB8BFC0" w14:textId="1F2B9612" w:rsidR="00B03C62" w:rsidRPr="00F15804" w:rsidRDefault="00B03C62" w:rsidP="00826720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programu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włączani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są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również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pacjenci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ze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zdiagnozowaną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ostrą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białaczką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limfoblastyczną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udokumentowaną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obecnością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genu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BCR-ABL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chromosomu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Filadelfia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(Ph+),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którzy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uprzednio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byli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dazatynibem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ramach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chemioterapii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niestandardowej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oraz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nowo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zdiagnozowani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pacjenci,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którzy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rozpoczęli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terapię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okresie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od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1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stycznia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2015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r.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31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marca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2015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r.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rozpoczynając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spełniali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kryteria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kwalifikacji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programu.</w:t>
            </w:r>
          </w:p>
          <w:p w14:paraId="09A0FB40" w14:textId="10340E0B" w:rsidR="00B03C62" w:rsidRPr="00F15804" w:rsidRDefault="00B03C62" w:rsidP="00826720">
            <w:pPr>
              <w:spacing w:after="60" w:line="276" w:lineRule="auto"/>
              <w:ind w:firstLine="48"/>
              <w:jc w:val="both"/>
              <w:rPr>
                <w:rFonts w:ascii="Times New Roman" w:hAnsi="Times New Roman"/>
              </w:rPr>
            </w:pPr>
          </w:p>
          <w:p w14:paraId="7FD37933" w14:textId="254602C9" w:rsidR="00B03C62" w:rsidRPr="00F15804" w:rsidRDefault="00B03C62" w:rsidP="00826720">
            <w:pPr>
              <w:pStyle w:val="Akapitzlist"/>
              <w:numPr>
                <w:ilvl w:val="1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</w:rPr>
            </w:pPr>
            <w:r w:rsidRPr="00F15804">
              <w:rPr>
                <w:rFonts w:ascii="Times New Roman" w:hAnsi="Times New Roman"/>
                <w:b/>
                <w:bCs/>
              </w:rPr>
              <w:t>Określenie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czasu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leczenia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w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programie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6EDD8725" w14:textId="68C57E2C" w:rsidR="00B03C62" w:rsidRPr="00F15804" w:rsidRDefault="00B03C62" w:rsidP="00826720">
            <w:pPr>
              <w:pStyle w:val="Akapitzlist"/>
              <w:numPr>
                <w:ilvl w:val="2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chorych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niepoddanych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transplantacji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krwiotwórczych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dazatynibem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należy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kontynuować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czasu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progresji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choroby;</w:t>
            </w:r>
          </w:p>
          <w:p w14:paraId="3AF36580" w14:textId="6AF43122" w:rsidR="00B03C62" w:rsidRDefault="00B03C62" w:rsidP="00826720">
            <w:pPr>
              <w:pStyle w:val="Akapitzlist"/>
              <w:numPr>
                <w:ilvl w:val="2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chorych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poddanych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transplantacji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krwiotwórczych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dazatynibem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należy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kontynuować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czasu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uzyskania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całkowitej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odpowiedzi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molekularnej,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następnie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rozważyć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kontynuowanie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przez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kolejne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dwa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lata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czasu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progresji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choroby.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4802E120" w14:textId="77777777" w:rsidR="00F15804" w:rsidRPr="00F15804" w:rsidRDefault="00F15804" w:rsidP="00826720">
            <w:pPr>
              <w:pStyle w:val="Akapitzlist"/>
              <w:spacing w:after="60" w:line="276" w:lineRule="auto"/>
              <w:ind w:left="397"/>
              <w:contextualSpacing w:val="0"/>
              <w:jc w:val="both"/>
              <w:rPr>
                <w:rFonts w:ascii="Times New Roman" w:hAnsi="Times New Roman"/>
              </w:rPr>
            </w:pPr>
          </w:p>
          <w:p w14:paraId="5617EBBA" w14:textId="38B05081" w:rsidR="00B03C62" w:rsidRPr="00F15804" w:rsidRDefault="00B03C62" w:rsidP="00826720">
            <w:pPr>
              <w:pStyle w:val="Akapitzlist"/>
              <w:numPr>
                <w:ilvl w:val="1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  <w:b/>
                <w:bCs/>
              </w:rPr>
              <w:t>Kryteria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wyłączenia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z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programu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6EBB23F2" w14:textId="487D5A12" w:rsidR="00B03C62" w:rsidRPr="00F15804" w:rsidRDefault="00B03C62" w:rsidP="00826720">
            <w:pPr>
              <w:pStyle w:val="Akapitzlist"/>
              <w:numPr>
                <w:ilvl w:val="2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wystąpienie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objawów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nietolerancji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dazatynibu;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5F47BC4C" w14:textId="28C75D3A" w:rsidR="00B03C62" w:rsidRDefault="00B03C62" w:rsidP="00826720">
            <w:pPr>
              <w:pStyle w:val="Akapitzlist"/>
              <w:numPr>
                <w:ilvl w:val="2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progresja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choroby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trakcie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dazatynibem.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6C133C18" w14:textId="77777777" w:rsidR="00C64042" w:rsidRDefault="00C64042" w:rsidP="00826720">
            <w:pPr>
              <w:widowControl/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</w:p>
          <w:p w14:paraId="35874D97" w14:textId="77777777" w:rsidR="00FC2C59" w:rsidRDefault="00FC2C59" w:rsidP="00826720">
            <w:pPr>
              <w:widowControl/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</w:p>
          <w:p w14:paraId="49BB560E" w14:textId="38F54C92" w:rsidR="00FC2C59" w:rsidRPr="00F15804" w:rsidRDefault="00FC2C59" w:rsidP="00826720">
            <w:pPr>
              <w:widowControl/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pct"/>
          </w:tcPr>
          <w:p w14:paraId="06D0A6BC" w14:textId="374ED5C1" w:rsidR="00605C33" w:rsidRPr="00F15804" w:rsidRDefault="00605C33" w:rsidP="008D1FB2">
            <w:pPr>
              <w:pStyle w:val="Akapitzlist"/>
              <w:numPr>
                <w:ilvl w:val="0"/>
                <w:numId w:val="2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F15804">
              <w:rPr>
                <w:rFonts w:ascii="Times New Roman" w:hAnsi="Times New Roman"/>
                <w:b/>
              </w:rPr>
              <w:lastRenderedPageBreak/>
              <w:t>Dawkowanie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</w:p>
          <w:p w14:paraId="53916504" w14:textId="73359023" w:rsidR="00B03C62" w:rsidRDefault="00605C33" w:rsidP="00826720">
            <w:pPr>
              <w:spacing w:after="60" w:line="276" w:lineRule="auto"/>
              <w:jc w:val="both"/>
              <w:rPr>
                <w:rFonts w:ascii="Times New Roman" w:hAnsi="Times New Roman"/>
                <w:b/>
              </w:rPr>
            </w:pPr>
            <w:r w:rsidRPr="00E83905">
              <w:rPr>
                <w:rFonts w:ascii="Times New Roman" w:hAnsi="Times New Roman"/>
              </w:rPr>
              <w:t>Dazatynib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należy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podawać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dawce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140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mg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dobę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doustnie,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indywidualnej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decyzji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pozostawia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się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możliwość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modyfikowania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dawkowania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leku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oparciu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Charakterystykę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Produktu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Leczniczego</w:t>
            </w:r>
            <w:r w:rsidRPr="00E83905">
              <w:rPr>
                <w:rFonts w:ascii="Times New Roman" w:hAnsi="Times New Roman"/>
                <w:b/>
              </w:rPr>
              <w:t>.</w:t>
            </w:r>
          </w:p>
          <w:p w14:paraId="6D6A0DF6" w14:textId="0EB5245E" w:rsidR="00457B24" w:rsidRPr="00F15804" w:rsidRDefault="00457B24" w:rsidP="00826720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6" w:type="pct"/>
          </w:tcPr>
          <w:p w14:paraId="48F6DBDA" w14:textId="00C48148" w:rsidR="001A764E" w:rsidRPr="00F15804" w:rsidRDefault="00AA5364" w:rsidP="008D1FB2">
            <w:pPr>
              <w:pStyle w:val="Akapitzlist"/>
              <w:numPr>
                <w:ilvl w:val="0"/>
                <w:numId w:val="3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Badania</w:t>
            </w:r>
          </w:p>
          <w:p w14:paraId="415D268B" w14:textId="6616763C" w:rsidR="00605C33" w:rsidRPr="00F15804" w:rsidRDefault="00605C33" w:rsidP="00826720">
            <w:pPr>
              <w:pStyle w:val="Akapitzlist"/>
              <w:numPr>
                <w:ilvl w:val="1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F15804">
              <w:rPr>
                <w:rFonts w:ascii="Times New Roman" w:hAnsi="Times New Roman"/>
                <w:b/>
              </w:rPr>
              <w:t>Badania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F15804">
              <w:rPr>
                <w:rFonts w:ascii="Times New Roman" w:hAnsi="Times New Roman"/>
                <w:b/>
              </w:rPr>
              <w:t>przy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F15804">
              <w:rPr>
                <w:rFonts w:ascii="Times New Roman" w:hAnsi="Times New Roman"/>
                <w:b/>
              </w:rPr>
              <w:t>kwalifikacji</w:t>
            </w:r>
          </w:p>
          <w:p w14:paraId="655B17EF" w14:textId="06E1CE0E" w:rsidR="00605C33" w:rsidRPr="00F15804" w:rsidRDefault="00F36D28" w:rsidP="00826720">
            <w:pPr>
              <w:pStyle w:val="Akapitzlist"/>
              <w:numPr>
                <w:ilvl w:val="2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m</w:t>
            </w:r>
            <w:r w:rsidR="00605C33" w:rsidRPr="00F15804">
              <w:rPr>
                <w:rFonts w:ascii="Times New Roman" w:hAnsi="Times New Roman"/>
              </w:rPr>
              <w:t>orfologia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krwi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rozmazem</w:t>
            </w:r>
            <w:r w:rsidR="00F54972" w:rsidRPr="00F15804">
              <w:rPr>
                <w:rFonts w:ascii="Times New Roman" w:hAnsi="Times New Roman"/>
              </w:rPr>
              <w:t>;</w:t>
            </w:r>
          </w:p>
          <w:p w14:paraId="72B209DB" w14:textId="710B75E5" w:rsidR="00605C33" w:rsidRPr="00F15804" w:rsidRDefault="00605C33" w:rsidP="00826720">
            <w:pPr>
              <w:pStyle w:val="Akapitzlist"/>
              <w:numPr>
                <w:ilvl w:val="2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AspAT,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AlAT,</w:t>
            </w:r>
            <w:r w:rsidR="00F54972" w:rsidRPr="00F15804">
              <w:rPr>
                <w:rFonts w:ascii="Times New Roman" w:hAnsi="Times New Roman"/>
              </w:rPr>
              <w:t>;</w:t>
            </w:r>
          </w:p>
          <w:p w14:paraId="33311530" w14:textId="77777777" w:rsidR="00605C33" w:rsidRPr="00F15804" w:rsidRDefault="00F36D28" w:rsidP="00826720">
            <w:pPr>
              <w:pStyle w:val="Akapitzlist"/>
              <w:numPr>
                <w:ilvl w:val="2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b</w:t>
            </w:r>
            <w:r w:rsidR="00605C33" w:rsidRPr="00F15804">
              <w:rPr>
                <w:rFonts w:ascii="Times New Roman" w:hAnsi="Times New Roman"/>
              </w:rPr>
              <w:t>ilirubina</w:t>
            </w:r>
            <w:r w:rsidR="00F54972" w:rsidRPr="00F15804">
              <w:rPr>
                <w:rFonts w:ascii="Times New Roman" w:hAnsi="Times New Roman"/>
              </w:rPr>
              <w:t>;</w:t>
            </w:r>
          </w:p>
          <w:p w14:paraId="2DEE4515" w14:textId="090500EA" w:rsidR="00605C33" w:rsidRPr="00F15804" w:rsidRDefault="00F36D28" w:rsidP="00826720">
            <w:pPr>
              <w:pStyle w:val="Akapitzlist"/>
              <w:numPr>
                <w:ilvl w:val="2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b</w:t>
            </w:r>
            <w:r w:rsidR="00605C33" w:rsidRPr="00F15804">
              <w:rPr>
                <w:rFonts w:ascii="Times New Roman" w:hAnsi="Times New Roman"/>
              </w:rPr>
              <w:t>adanie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cytologiczne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szpiku</w:t>
            </w:r>
            <w:r w:rsidR="00F54972" w:rsidRPr="00F15804">
              <w:rPr>
                <w:rFonts w:ascii="Times New Roman" w:hAnsi="Times New Roman"/>
              </w:rPr>
              <w:t>;</w:t>
            </w:r>
          </w:p>
          <w:p w14:paraId="4C259DEF" w14:textId="02354D9F" w:rsidR="00B03C62" w:rsidRDefault="00F36D28" w:rsidP="00826720">
            <w:pPr>
              <w:pStyle w:val="Akapitzlist"/>
              <w:numPr>
                <w:ilvl w:val="2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b</w:t>
            </w:r>
            <w:r w:rsidR="00605C33" w:rsidRPr="00F15804">
              <w:rPr>
                <w:rFonts w:ascii="Times New Roman" w:hAnsi="Times New Roman"/>
              </w:rPr>
              <w:t>adanie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molekularne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PCR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metodą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783F6A" w:rsidRPr="00F15804">
              <w:rPr>
                <w:rFonts w:ascii="Times New Roman" w:hAnsi="Times New Roman"/>
              </w:rPr>
              <w:t>jakościową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783F6A" w:rsidRPr="00F15804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ilościową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obecność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BCR-ABL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w</w:t>
            </w:r>
            <w:r w:rsidR="00783F6A" w:rsidRPr="00F15804">
              <w:rPr>
                <w:rFonts w:ascii="Times New Roman" w:hAnsi="Times New Roman"/>
              </w:rPr>
              <w:t>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krwi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szpiku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badanie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cytogenetyczne</w:t>
            </w:r>
            <w:r w:rsidR="008D1FB2">
              <w:rPr>
                <w:rFonts w:ascii="Times New Roman" w:hAnsi="Times New Roman"/>
              </w:rPr>
              <w:t>.</w:t>
            </w:r>
          </w:p>
          <w:p w14:paraId="3DE70B7D" w14:textId="77777777" w:rsidR="00E83905" w:rsidRPr="00F15804" w:rsidRDefault="00E83905" w:rsidP="00826720">
            <w:pPr>
              <w:pStyle w:val="Akapitzlist"/>
              <w:spacing w:after="60" w:line="276" w:lineRule="auto"/>
              <w:ind w:left="397"/>
              <w:contextualSpacing w:val="0"/>
              <w:jc w:val="both"/>
              <w:rPr>
                <w:rFonts w:ascii="Times New Roman" w:hAnsi="Times New Roman"/>
              </w:rPr>
            </w:pPr>
          </w:p>
          <w:p w14:paraId="3936A2F7" w14:textId="69C8C069" w:rsidR="00605C33" w:rsidRPr="00F15804" w:rsidRDefault="00605C33" w:rsidP="00826720">
            <w:pPr>
              <w:pStyle w:val="Akapitzlist"/>
              <w:numPr>
                <w:ilvl w:val="1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F15804">
              <w:rPr>
                <w:rFonts w:ascii="Times New Roman" w:hAnsi="Times New Roman"/>
                <w:b/>
              </w:rPr>
              <w:t>Monitorowanie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F15804">
              <w:rPr>
                <w:rFonts w:ascii="Times New Roman" w:hAnsi="Times New Roman"/>
                <w:b/>
              </w:rPr>
              <w:t>leczenia</w:t>
            </w:r>
          </w:p>
          <w:p w14:paraId="0016BFD1" w14:textId="5E15B643" w:rsidR="00605C33" w:rsidRPr="00E83905" w:rsidRDefault="00605C33" w:rsidP="00826720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E83905">
              <w:rPr>
                <w:rFonts w:ascii="Times New Roman" w:hAnsi="Times New Roman"/>
              </w:rPr>
              <w:t>Co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2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tygodnie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przez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783F6A" w:rsidRPr="00E83905">
              <w:rPr>
                <w:rFonts w:ascii="Times New Roman" w:hAnsi="Times New Roman"/>
              </w:rPr>
              <w:t>pierwszy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783F6A" w:rsidRPr="00E83905">
              <w:rPr>
                <w:rFonts w:ascii="Times New Roman" w:hAnsi="Times New Roman"/>
              </w:rPr>
              <w:t>miesiąc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783F6A" w:rsidRPr="00E83905">
              <w:rPr>
                <w:rFonts w:ascii="Times New Roman" w:hAnsi="Times New Roman"/>
              </w:rPr>
              <w:t>leczenia</w:t>
            </w:r>
            <w:r w:rsidRPr="00E83905">
              <w:rPr>
                <w:rFonts w:ascii="Times New Roman" w:hAnsi="Times New Roman"/>
              </w:rPr>
              <w:t>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następnie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co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4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tygodnie:</w:t>
            </w:r>
          </w:p>
          <w:p w14:paraId="5F60F87B" w14:textId="0AEB1643" w:rsidR="00605C33" w:rsidRPr="00F15804" w:rsidRDefault="00F36D28" w:rsidP="00826720">
            <w:pPr>
              <w:pStyle w:val="Akapitzlist"/>
              <w:numPr>
                <w:ilvl w:val="2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m</w:t>
            </w:r>
            <w:r w:rsidR="00605C33" w:rsidRPr="00F15804">
              <w:rPr>
                <w:rFonts w:ascii="Times New Roman" w:hAnsi="Times New Roman"/>
              </w:rPr>
              <w:t>orfologia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krwi</w:t>
            </w:r>
            <w:r w:rsidR="00F54972" w:rsidRPr="00F15804">
              <w:rPr>
                <w:rFonts w:ascii="Times New Roman" w:hAnsi="Times New Roman"/>
              </w:rPr>
              <w:t>;</w:t>
            </w:r>
          </w:p>
          <w:p w14:paraId="2629656A" w14:textId="5FF89673" w:rsidR="00605C33" w:rsidRPr="00F15804" w:rsidRDefault="00605C33" w:rsidP="00826720">
            <w:pPr>
              <w:pStyle w:val="Akapitzlist"/>
              <w:numPr>
                <w:ilvl w:val="2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AspAT,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AlAT,</w:t>
            </w:r>
            <w:r w:rsidR="00F54972" w:rsidRPr="00F15804">
              <w:rPr>
                <w:rFonts w:ascii="Times New Roman" w:hAnsi="Times New Roman"/>
              </w:rPr>
              <w:t>;</w:t>
            </w:r>
          </w:p>
          <w:p w14:paraId="74D7C8FE" w14:textId="537C2187" w:rsidR="00F873D5" w:rsidRPr="00F15804" w:rsidRDefault="00F36D28" w:rsidP="00826720">
            <w:pPr>
              <w:pStyle w:val="Akapitzlist"/>
              <w:numPr>
                <w:ilvl w:val="2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b</w:t>
            </w:r>
            <w:r w:rsidR="00605C33" w:rsidRPr="00F15804">
              <w:rPr>
                <w:rFonts w:ascii="Times New Roman" w:hAnsi="Times New Roman"/>
              </w:rPr>
              <w:t>ilirubina</w:t>
            </w:r>
            <w:r w:rsidR="00F54972" w:rsidRPr="00F15804">
              <w:rPr>
                <w:rFonts w:ascii="Times New Roman" w:hAnsi="Times New Roman"/>
              </w:rPr>
              <w:t>;</w:t>
            </w:r>
          </w:p>
          <w:p w14:paraId="280910DD" w14:textId="3B91A03B" w:rsidR="00B96AC3" w:rsidRPr="00F15804" w:rsidRDefault="00605C33" w:rsidP="00826720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E83905">
              <w:rPr>
                <w:rFonts w:ascii="Times New Roman" w:hAnsi="Times New Roman"/>
              </w:rPr>
              <w:t>Co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4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tygodnie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przez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pierwsze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dwa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miesiące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E83905">
              <w:rPr>
                <w:rFonts w:ascii="Times New Roman" w:hAnsi="Times New Roman"/>
              </w:rPr>
              <w:t>leczenia,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następnie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783F6A" w:rsidRPr="00F15804">
              <w:rPr>
                <w:rFonts w:ascii="Times New Roman" w:hAnsi="Times New Roman"/>
              </w:rPr>
              <w:t>8-12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tygodni:</w:t>
            </w:r>
          </w:p>
          <w:p w14:paraId="7ED8BEAE" w14:textId="33F0CE22" w:rsidR="00605C33" w:rsidRPr="00F15804" w:rsidRDefault="00F36D28" w:rsidP="00826720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b</w:t>
            </w:r>
            <w:r w:rsidR="00605C33" w:rsidRPr="00F15804">
              <w:rPr>
                <w:rFonts w:ascii="Times New Roman" w:hAnsi="Times New Roman"/>
              </w:rPr>
              <w:t>adanie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cytologiczne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szpiku</w:t>
            </w:r>
            <w:r w:rsidR="00F54972" w:rsidRPr="00F15804">
              <w:rPr>
                <w:rFonts w:ascii="Times New Roman" w:hAnsi="Times New Roman"/>
              </w:rPr>
              <w:t>;</w:t>
            </w:r>
          </w:p>
          <w:p w14:paraId="59C6E2BA" w14:textId="71F6043B" w:rsidR="00B03C62" w:rsidRDefault="00F36D28" w:rsidP="00826720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lastRenderedPageBreak/>
              <w:t>b</w:t>
            </w:r>
            <w:r w:rsidR="00605C33" w:rsidRPr="00F15804">
              <w:rPr>
                <w:rFonts w:ascii="Times New Roman" w:hAnsi="Times New Roman"/>
              </w:rPr>
              <w:t>adanie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molekularne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PCR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metodą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ilościową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obecność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BCR-ABL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w</w:t>
            </w:r>
            <w:r w:rsidR="00783F6A" w:rsidRPr="00F15804">
              <w:rPr>
                <w:rFonts w:ascii="Times New Roman" w:hAnsi="Times New Roman"/>
              </w:rPr>
              <w:t>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krwi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szpiku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badanie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C33" w:rsidRPr="00F15804">
              <w:rPr>
                <w:rFonts w:ascii="Times New Roman" w:hAnsi="Times New Roman"/>
              </w:rPr>
              <w:t>cytogenetyczne.</w:t>
            </w:r>
          </w:p>
          <w:p w14:paraId="2BEB97F9" w14:textId="77777777" w:rsidR="00E83905" w:rsidRPr="00F15804" w:rsidRDefault="00E83905" w:rsidP="00826720">
            <w:pPr>
              <w:pStyle w:val="Akapitzlist"/>
              <w:spacing w:after="60" w:line="276" w:lineRule="auto"/>
              <w:ind w:left="397"/>
              <w:contextualSpacing w:val="0"/>
              <w:jc w:val="both"/>
              <w:rPr>
                <w:rFonts w:ascii="Times New Roman" w:hAnsi="Times New Roman"/>
              </w:rPr>
            </w:pPr>
          </w:p>
          <w:p w14:paraId="3A339D8C" w14:textId="240A22D0" w:rsidR="00B55D29" w:rsidRPr="00E87C2A" w:rsidRDefault="00B55D29" w:rsidP="00826720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FF640B" w:rsidRPr="00F15804" w14:paraId="465B1D0B" w14:textId="77777777" w:rsidTr="008D1FB2">
        <w:trPr>
          <w:trHeight w:val="567"/>
        </w:trPr>
        <w:tc>
          <w:tcPr>
            <w:tcW w:w="5000" w:type="pct"/>
            <w:gridSpan w:val="3"/>
            <w:vAlign w:val="center"/>
          </w:tcPr>
          <w:p w14:paraId="7CB85328" w14:textId="465806C1" w:rsidR="00FF640B" w:rsidRPr="00175C8D" w:rsidRDefault="00175C8D" w:rsidP="00175C8D">
            <w:pPr>
              <w:ind w:left="3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II.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="00FF640B" w:rsidRPr="00175C8D">
              <w:rPr>
                <w:rFonts w:ascii="Times New Roman" w:hAnsi="Times New Roman"/>
                <w:b/>
              </w:rPr>
              <w:t>PONATYNIB</w:t>
            </w:r>
          </w:p>
        </w:tc>
      </w:tr>
      <w:tr w:rsidR="00E87C2A" w:rsidRPr="00F15804" w14:paraId="5364EFBB" w14:textId="77777777" w:rsidTr="00C64042">
        <w:trPr>
          <w:trHeight w:val="20"/>
        </w:trPr>
        <w:tc>
          <w:tcPr>
            <w:tcW w:w="2209" w:type="pct"/>
          </w:tcPr>
          <w:p w14:paraId="7B243ED1" w14:textId="5C8193D9" w:rsidR="00E87C2A" w:rsidRPr="00F15804" w:rsidRDefault="00E87C2A" w:rsidP="008D1FB2">
            <w:pPr>
              <w:pStyle w:val="Akapitzlist"/>
              <w:numPr>
                <w:ilvl w:val="0"/>
                <w:numId w:val="4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F15804">
              <w:rPr>
                <w:rFonts w:ascii="Times New Roman" w:hAnsi="Times New Roman"/>
                <w:b/>
              </w:rPr>
              <w:t>Leczenie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F15804">
              <w:rPr>
                <w:rFonts w:ascii="Times New Roman" w:hAnsi="Times New Roman"/>
                <w:b/>
              </w:rPr>
              <w:t>ponatynibem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F15804">
              <w:rPr>
                <w:rFonts w:ascii="Times New Roman" w:hAnsi="Times New Roman"/>
                <w:b/>
              </w:rPr>
              <w:t>chorych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F15804">
              <w:rPr>
                <w:rFonts w:ascii="Times New Roman" w:hAnsi="Times New Roman"/>
                <w:b/>
              </w:rPr>
              <w:t>na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F15804">
              <w:rPr>
                <w:rFonts w:ascii="Times New Roman" w:hAnsi="Times New Roman"/>
                <w:b/>
              </w:rPr>
              <w:t>ostrą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F15804">
              <w:rPr>
                <w:rFonts w:ascii="Times New Roman" w:hAnsi="Times New Roman"/>
                <w:b/>
              </w:rPr>
              <w:t>białaczkę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F15804">
              <w:rPr>
                <w:rFonts w:ascii="Times New Roman" w:hAnsi="Times New Roman"/>
                <w:b/>
              </w:rPr>
              <w:t>limfoblastyczną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F15804">
              <w:rPr>
                <w:rFonts w:ascii="Times New Roman" w:hAnsi="Times New Roman"/>
                <w:b/>
              </w:rPr>
              <w:t>z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F15804">
              <w:rPr>
                <w:rFonts w:ascii="Times New Roman" w:hAnsi="Times New Roman"/>
                <w:b/>
              </w:rPr>
              <w:t>chromosomem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F15804">
              <w:rPr>
                <w:rFonts w:ascii="Times New Roman" w:hAnsi="Times New Roman"/>
                <w:b/>
              </w:rPr>
              <w:t>Philadelphia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F15804">
              <w:rPr>
                <w:rFonts w:ascii="Times New Roman" w:hAnsi="Times New Roman"/>
                <w:b/>
              </w:rPr>
              <w:t>(Ph+)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F15804">
              <w:rPr>
                <w:rFonts w:ascii="Times New Roman" w:hAnsi="Times New Roman"/>
                <w:b/>
              </w:rPr>
              <w:t>(ICD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F15804">
              <w:rPr>
                <w:rFonts w:ascii="Times New Roman" w:hAnsi="Times New Roman"/>
                <w:b/>
              </w:rPr>
              <w:t>-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F15804">
              <w:rPr>
                <w:rFonts w:ascii="Times New Roman" w:hAnsi="Times New Roman"/>
                <w:b/>
              </w:rPr>
              <w:t>10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F15804">
              <w:rPr>
                <w:rFonts w:ascii="Times New Roman" w:hAnsi="Times New Roman"/>
                <w:b/>
              </w:rPr>
              <w:t>91.0)</w:t>
            </w:r>
          </w:p>
          <w:p w14:paraId="388ADC8D" w14:textId="362D847D" w:rsidR="00E87C2A" w:rsidRPr="00F15804" w:rsidRDefault="00E87C2A" w:rsidP="008D1FB2">
            <w:pPr>
              <w:pStyle w:val="Akapitzlist"/>
              <w:numPr>
                <w:ilvl w:val="1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  <w:b/>
                <w:bCs/>
              </w:rPr>
              <w:t>Kryteria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kwalifikacji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do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leczenia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ponatynibem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ostrej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białaczki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limfoblastycznej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z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obecnością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chromosomu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Filadelfia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(Ph+)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u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dorosłych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423BD42E" w14:textId="163BB389" w:rsidR="00E87C2A" w:rsidRPr="008D1FB2" w:rsidRDefault="00E87C2A" w:rsidP="008D1FB2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D1FB2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kwalifikowani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są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pacjenci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rozpoznaniem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ostrej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białaczki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limfoblastycznej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udokumentowaną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obecnością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genu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BCR-ABL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chromosomu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Filadelfia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(Ph+)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wieku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18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lat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powyżej,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których: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0C47C314" w14:textId="39BE8FFC" w:rsidR="00E87C2A" w:rsidRPr="00F15804" w:rsidRDefault="00E87C2A" w:rsidP="008D1FB2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uzyskano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całkowitej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remisji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hematologicznej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indukującym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remisję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remisji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cytogenetycznej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konsolidującym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remisję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stwierdzono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utrzymywanie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się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dodatniej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minimalnej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choroby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resztkowej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badaniu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molekularnym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konsolidującym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remisję,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pomimo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stosowania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dazatynibu</w:t>
            </w:r>
          </w:p>
          <w:p w14:paraId="38138BFD" w14:textId="77777777" w:rsidR="00E87C2A" w:rsidRPr="008D1FB2" w:rsidRDefault="00E87C2A" w:rsidP="008D1FB2">
            <w:pPr>
              <w:spacing w:after="60" w:line="276" w:lineRule="auto"/>
              <w:ind w:left="170"/>
              <w:jc w:val="both"/>
              <w:rPr>
                <w:rFonts w:ascii="Times New Roman" w:hAnsi="Times New Roman"/>
              </w:rPr>
            </w:pPr>
            <w:r w:rsidRPr="008D1FB2">
              <w:rPr>
                <w:rFonts w:ascii="Times New Roman" w:hAnsi="Times New Roman"/>
              </w:rPr>
              <w:t>lub</w:t>
            </w:r>
          </w:p>
          <w:p w14:paraId="60EE4BD0" w14:textId="56D985C9" w:rsidR="00E87C2A" w:rsidRPr="00F15804" w:rsidRDefault="00E87C2A" w:rsidP="008D1FB2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wystąpiła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wznowa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hematologiczna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progresja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molekularna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pomimo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stosowania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dazatynibu</w:t>
            </w:r>
          </w:p>
          <w:p w14:paraId="30DF61C6" w14:textId="77777777" w:rsidR="00E87C2A" w:rsidRPr="008D1FB2" w:rsidRDefault="00E87C2A" w:rsidP="008D1FB2">
            <w:pPr>
              <w:spacing w:after="60" w:line="276" w:lineRule="auto"/>
              <w:ind w:left="170"/>
              <w:jc w:val="both"/>
              <w:rPr>
                <w:rFonts w:ascii="Times New Roman" w:hAnsi="Times New Roman"/>
              </w:rPr>
            </w:pPr>
            <w:r w:rsidRPr="008D1FB2">
              <w:rPr>
                <w:rFonts w:ascii="Times New Roman" w:hAnsi="Times New Roman"/>
              </w:rPr>
              <w:t>lub</w:t>
            </w:r>
          </w:p>
          <w:p w14:paraId="04B6C266" w14:textId="2C04D1B7" w:rsidR="00E87C2A" w:rsidRPr="00F15804" w:rsidRDefault="00E87C2A" w:rsidP="008D1FB2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dowolnym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etapie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stwierdzono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nietolerancję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dazatynibu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uniemożliwiającą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jego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dalsze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stosowanie</w:t>
            </w:r>
          </w:p>
          <w:p w14:paraId="724C71E2" w14:textId="45AF91DC" w:rsidR="00E87C2A" w:rsidRPr="008D1FB2" w:rsidRDefault="00E87C2A" w:rsidP="008D1FB2">
            <w:pPr>
              <w:spacing w:after="60" w:line="276" w:lineRule="auto"/>
              <w:ind w:left="170"/>
              <w:jc w:val="both"/>
              <w:rPr>
                <w:rFonts w:ascii="Times New Roman" w:hAnsi="Times New Roman"/>
              </w:rPr>
            </w:pPr>
            <w:r w:rsidRPr="008D1FB2">
              <w:rPr>
                <w:rFonts w:ascii="Times New Roman" w:hAnsi="Times New Roman"/>
              </w:rPr>
              <w:t>lub</w:t>
            </w:r>
          </w:p>
          <w:p w14:paraId="79B9D918" w14:textId="5E61DE63" w:rsidR="00E87C2A" w:rsidRPr="00F15804" w:rsidRDefault="00E87C2A" w:rsidP="008D1FB2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dowolnym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etapie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stwierdzono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wystąpienie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mutacji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T315I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genu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BCR-ABL</w:t>
            </w:r>
          </w:p>
          <w:p w14:paraId="69CA606F" w14:textId="0CACFCBC" w:rsidR="00E87C2A" w:rsidRPr="008D1FB2" w:rsidRDefault="00E87C2A" w:rsidP="008D1FB2">
            <w:pPr>
              <w:suppressAutoHyphens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D1FB2">
              <w:rPr>
                <w:rFonts w:ascii="Times New Roman" w:hAnsi="Times New Roman"/>
              </w:rPr>
              <w:t>Ponadto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programu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lekowego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kwalifikowani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są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również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pacjenci,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którzy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byli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leczeni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ponatynibem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ramach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innego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sposobu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finansowania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terapii,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pod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warunkiem,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że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chwili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rozpoczęcia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spełniali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kryteria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kwalifikacji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programu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lekowego.</w:t>
            </w:r>
          </w:p>
          <w:p w14:paraId="13E25FC3" w14:textId="77777777" w:rsidR="00E87C2A" w:rsidRPr="00F15804" w:rsidRDefault="00E87C2A" w:rsidP="008D1FB2">
            <w:pPr>
              <w:suppressAutoHyphens/>
              <w:spacing w:after="60" w:line="276" w:lineRule="auto"/>
              <w:jc w:val="both"/>
              <w:rPr>
                <w:rFonts w:ascii="Times New Roman" w:hAnsi="Times New Roman"/>
              </w:rPr>
            </w:pPr>
          </w:p>
          <w:p w14:paraId="6E8082B8" w14:textId="5C1F9FF2" w:rsidR="00E87C2A" w:rsidRPr="00F15804" w:rsidRDefault="00E87C2A" w:rsidP="008D1FB2">
            <w:pPr>
              <w:pStyle w:val="Akapitzlist"/>
              <w:numPr>
                <w:ilvl w:val="1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  <w:b/>
                <w:bCs/>
              </w:rPr>
              <w:t>Określenie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czasu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leczenia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w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programie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5323C69A" w14:textId="04B4E4D1" w:rsidR="00E87C2A" w:rsidRPr="00F15804" w:rsidRDefault="00E87C2A" w:rsidP="008D1FB2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lastRenderedPageBreak/>
              <w:t>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wszystkich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chorych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leczonych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ponatynibem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należy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dążyć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wykonania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możliwie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szybko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transplantacji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allogenicznych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macierzystych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krwiotwórczych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od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dawcy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rodzinnego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niespokrewnionego;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ponatynibem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należy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zakończyć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przed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transplantacją,</w:t>
            </w:r>
          </w:p>
          <w:p w14:paraId="1E86E23B" w14:textId="77433B7B" w:rsidR="00E87C2A" w:rsidRDefault="00E87C2A" w:rsidP="008D1FB2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przypadku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braku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dawcy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przeciwwskazań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transplantacji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allogenicznych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macierzystych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krwiotwórczych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należy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kontynuować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czasu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progresji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choroby.</w:t>
            </w:r>
          </w:p>
          <w:p w14:paraId="0D2A66EB" w14:textId="77777777" w:rsidR="008D1FB2" w:rsidRPr="00F15804" w:rsidRDefault="008D1FB2" w:rsidP="008D1FB2">
            <w:pPr>
              <w:pStyle w:val="Akapitzlist"/>
              <w:spacing w:after="60" w:line="276" w:lineRule="auto"/>
              <w:ind w:left="397"/>
              <w:contextualSpacing w:val="0"/>
              <w:jc w:val="both"/>
              <w:rPr>
                <w:rFonts w:ascii="Times New Roman" w:hAnsi="Times New Roman"/>
              </w:rPr>
            </w:pPr>
          </w:p>
          <w:p w14:paraId="37A1B492" w14:textId="517E0625" w:rsidR="00E87C2A" w:rsidRPr="00F15804" w:rsidRDefault="00E87C2A" w:rsidP="008D1FB2">
            <w:pPr>
              <w:pStyle w:val="Akapitzlist"/>
              <w:numPr>
                <w:ilvl w:val="1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  <w:b/>
                <w:bCs/>
              </w:rPr>
              <w:t>Kryteria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wyłączenia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z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F15804">
              <w:rPr>
                <w:rFonts w:ascii="Times New Roman" w:hAnsi="Times New Roman"/>
                <w:b/>
                <w:bCs/>
              </w:rPr>
              <w:t>programu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51991549" w14:textId="72CB0422" w:rsidR="00E87C2A" w:rsidRPr="00F15804" w:rsidRDefault="00E87C2A" w:rsidP="008D1FB2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chorych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włączonych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powodu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oporności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dazatynib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nawrotu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hematologicznego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–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brak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całkowitej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remisji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3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miesiącach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ponatynibem,</w:t>
            </w:r>
          </w:p>
          <w:p w14:paraId="78D27FF6" w14:textId="0E655BE3" w:rsidR="00E87C2A" w:rsidRPr="00F15804" w:rsidRDefault="00E87C2A" w:rsidP="008D1FB2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wystąpienie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objawów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nietolerancji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ponatynibu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zgodnie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Charakterystyką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Produktu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Leczniczego,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3E83F688" w14:textId="324D0A44" w:rsidR="00E87C2A" w:rsidRDefault="00E87C2A" w:rsidP="008D1FB2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progresja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choroby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trakcie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ponatynibem.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2EB4BD84" w14:textId="22C03E55" w:rsidR="006C0149" w:rsidRPr="00F15804" w:rsidRDefault="006C0149" w:rsidP="008D1FB2">
            <w:pPr>
              <w:widowControl/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95" w:type="pct"/>
          </w:tcPr>
          <w:p w14:paraId="76C2E5B9" w14:textId="2F71497C" w:rsidR="00E87C2A" w:rsidRPr="00F15804" w:rsidRDefault="00E87C2A" w:rsidP="00B01680">
            <w:pPr>
              <w:pStyle w:val="Akapitzlist"/>
              <w:numPr>
                <w:ilvl w:val="0"/>
                <w:numId w:val="6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F15804">
              <w:rPr>
                <w:rFonts w:ascii="Times New Roman" w:hAnsi="Times New Roman"/>
                <w:b/>
              </w:rPr>
              <w:lastRenderedPageBreak/>
              <w:t>Dawkowanie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</w:p>
          <w:p w14:paraId="2DF3D13C" w14:textId="321CDD67" w:rsidR="00E87C2A" w:rsidRPr="008D1FB2" w:rsidRDefault="00E87C2A" w:rsidP="008D1FB2">
            <w:pPr>
              <w:widowControl/>
              <w:tabs>
                <w:tab w:val="left" w:pos="176"/>
              </w:tabs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  <w:b/>
              </w:rPr>
            </w:pPr>
            <w:r w:rsidRPr="008D1FB2">
              <w:rPr>
                <w:rFonts w:ascii="Times New Roman" w:hAnsi="Times New Roman"/>
              </w:rPr>
              <w:t>Ponatynib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należy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stosować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dawce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45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mg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dobę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doustnie.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indywidualnej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decyzji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pozostawia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się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możliwość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redukcji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dawkowania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leku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oparciu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Charakterystykę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Produktu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Leczniczego</w:t>
            </w:r>
            <w:r w:rsidRPr="008D1FB2">
              <w:rPr>
                <w:rFonts w:ascii="Times New Roman" w:hAnsi="Times New Roman"/>
                <w:b/>
              </w:rPr>
              <w:t>.</w:t>
            </w:r>
          </w:p>
          <w:p w14:paraId="7DAEBB57" w14:textId="77777777" w:rsidR="00E87C2A" w:rsidRPr="00E83905" w:rsidRDefault="00E87C2A" w:rsidP="008D1FB2">
            <w:pPr>
              <w:widowControl/>
              <w:tabs>
                <w:tab w:val="left" w:pos="176"/>
              </w:tabs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  <w:b/>
              </w:rPr>
            </w:pPr>
          </w:p>
          <w:p w14:paraId="66D74BD7" w14:textId="77777777" w:rsidR="00E87C2A" w:rsidRPr="00F15804" w:rsidRDefault="00E87C2A" w:rsidP="008D1FB2">
            <w:pPr>
              <w:spacing w:after="60" w:line="276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96" w:type="pct"/>
          </w:tcPr>
          <w:p w14:paraId="3B4D7B5B" w14:textId="7A945252" w:rsidR="00E87C2A" w:rsidRPr="00F15804" w:rsidRDefault="00AA5364" w:rsidP="00B01680">
            <w:pPr>
              <w:pStyle w:val="Akapitzlist"/>
              <w:numPr>
                <w:ilvl w:val="0"/>
                <w:numId w:val="7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Badania</w:t>
            </w:r>
          </w:p>
          <w:p w14:paraId="268215B9" w14:textId="1EB0B71D" w:rsidR="00E87C2A" w:rsidRPr="00F15804" w:rsidRDefault="00E87C2A" w:rsidP="00B01680">
            <w:pPr>
              <w:pStyle w:val="Akapitzlist"/>
              <w:numPr>
                <w:ilvl w:val="1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F15804">
              <w:rPr>
                <w:rFonts w:ascii="Times New Roman" w:hAnsi="Times New Roman"/>
                <w:b/>
              </w:rPr>
              <w:t>Badania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F15804">
              <w:rPr>
                <w:rFonts w:ascii="Times New Roman" w:hAnsi="Times New Roman"/>
                <w:b/>
              </w:rPr>
              <w:t>przy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F15804">
              <w:rPr>
                <w:rFonts w:ascii="Times New Roman" w:hAnsi="Times New Roman"/>
                <w:b/>
              </w:rPr>
              <w:t>kwalifikacji</w:t>
            </w:r>
          </w:p>
          <w:p w14:paraId="67880E81" w14:textId="66AF3514" w:rsidR="00E87C2A" w:rsidRPr="00F15804" w:rsidRDefault="00E87C2A" w:rsidP="00B01680">
            <w:pPr>
              <w:pStyle w:val="Akapitzlist"/>
              <w:numPr>
                <w:ilvl w:val="2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morfologia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krwi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rozmazem,</w:t>
            </w:r>
          </w:p>
          <w:p w14:paraId="69A162D2" w14:textId="14221F2A" w:rsidR="00E87C2A" w:rsidRPr="00F15804" w:rsidRDefault="00E87C2A" w:rsidP="00B01680">
            <w:pPr>
              <w:pStyle w:val="Akapitzlist"/>
              <w:numPr>
                <w:ilvl w:val="2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AspAT,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AlAT,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6F590B12" w14:textId="77777777" w:rsidR="00E87C2A" w:rsidRPr="00F15804" w:rsidRDefault="00E87C2A" w:rsidP="00B01680">
            <w:pPr>
              <w:pStyle w:val="Akapitzlist"/>
              <w:numPr>
                <w:ilvl w:val="2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bilirubina,</w:t>
            </w:r>
          </w:p>
          <w:p w14:paraId="460AAA40" w14:textId="77777777" w:rsidR="00E87C2A" w:rsidRPr="00F15804" w:rsidRDefault="00E87C2A" w:rsidP="00B01680">
            <w:pPr>
              <w:pStyle w:val="Akapitzlist"/>
              <w:numPr>
                <w:ilvl w:val="2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lipaza,</w:t>
            </w:r>
          </w:p>
          <w:p w14:paraId="223224B4" w14:textId="560A8C3C" w:rsidR="00E87C2A" w:rsidRPr="00F15804" w:rsidRDefault="00E87C2A" w:rsidP="00B01680">
            <w:pPr>
              <w:pStyle w:val="Akapitzlist"/>
              <w:numPr>
                <w:ilvl w:val="2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lipidogram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(cholesterol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całkowity,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trójglicerydy,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HDL,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LDL)</w:t>
            </w:r>
          </w:p>
          <w:p w14:paraId="78B6E3DB" w14:textId="1E8A19BB" w:rsidR="00E87C2A" w:rsidRPr="00F15804" w:rsidRDefault="00E87C2A" w:rsidP="00B01680">
            <w:pPr>
              <w:pStyle w:val="Akapitzlist"/>
              <w:numPr>
                <w:ilvl w:val="2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badanie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cytologiczne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szpiku,</w:t>
            </w:r>
          </w:p>
          <w:p w14:paraId="1B5039ED" w14:textId="5C06228B" w:rsidR="00E87C2A" w:rsidRDefault="00E87C2A" w:rsidP="00B01680">
            <w:pPr>
              <w:pStyle w:val="Akapitzlist"/>
              <w:numPr>
                <w:ilvl w:val="2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badanie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molekularne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PCR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metodą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jakościową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ilościową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obecność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BCR-ABL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krwi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szpiku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badanie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cytogenetyczne;</w:t>
            </w:r>
          </w:p>
          <w:p w14:paraId="6FCB0C31" w14:textId="77777777" w:rsidR="00E87C2A" w:rsidRPr="00F15804" w:rsidRDefault="00E87C2A" w:rsidP="008D1FB2">
            <w:pPr>
              <w:pStyle w:val="Akapitzlist"/>
              <w:spacing w:after="60" w:line="276" w:lineRule="auto"/>
              <w:ind w:left="397"/>
              <w:contextualSpacing w:val="0"/>
              <w:jc w:val="both"/>
              <w:rPr>
                <w:rFonts w:ascii="Times New Roman" w:hAnsi="Times New Roman"/>
              </w:rPr>
            </w:pPr>
          </w:p>
          <w:p w14:paraId="5B9F9E7F" w14:textId="1BCCC026" w:rsidR="00E87C2A" w:rsidRPr="00F15804" w:rsidRDefault="00E87C2A" w:rsidP="00B01680">
            <w:pPr>
              <w:pStyle w:val="Akapitzlist"/>
              <w:numPr>
                <w:ilvl w:val="1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F15804">
              <w:rPr>
                <w:rFonts w:ascii="Times New Roman" w:hAnsi="Times New Roman"/>
                <w:b/>
              </w:rPr>
              <w:t>Monitorowanie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F15804">
              <w:rPr>
                <w:rFonts w:ascii="Times New Roman" w:hAnsi="Times New Roman"/>
                <w:b/>
              </w:rPr>
              <w:t>leczenia</w:t>
            </w:r>
          </w:p>
          <w:p w14:paraId="15906128" w14:textId="7A336F12" w:rsidR="00E87C2A" w:rsidRPr="008D1FB2" w:rsidRDefault="00E87C2A" w:rsidP="008D1FB2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D1FB2">
              <w:rPr>
                <w:rFonts w:ascii="Times New Roman" w:hAnsi="Times New Roman"/>
              </w:rPr>
              <w:t>Co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2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tygodnie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przez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pierwszy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miesiąc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leczenia,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następnie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co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4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tygodnie:</w:t>
            </w:r>
          </w:p>
          <w:p w14:paraId="5EEBE809" w14:textId="7D0924F2" w:rsidR="00E87C2A" w:rsidRPr="00F15804" w:rsidRDefault="00E87C2A" w:rsidP="00B01680">
            <w:pPr>
              <w:pStyle w:val="Akapitzlist"/>
              <w:numPr>
                <w:ilvl w:val="2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morfologia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krwi,</w:t>
            </w:r>
          </w:p>
          <w:p w14:paraId="1B319D6E" w14:textId="36A14288" w:rsidR="00E87C2A" w:rsidRPr="00F15804" w:rsidRDefault="00E87C2A" w:rsidP="00B01680">
            <w:pPr>
              <w:pStyle w:val="Akapitzlist"/>
              <w:numPr>
                <w:ilvl w:val="2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AspAT,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AlAT,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5971379C" w14:textId="77777777" w:rsidR="00E87C2A" w:rsidRPr="00F15804" w:rsidRDefault="00E87C2A" w:rsidP="00B01680">
            <w:pPr>
              <w:pStyle w:val="Akapitzlist"/>
              <w:numPr>
                <w:ilvl w:val="2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bilirubina,</w:t>
            </w:r>
          </w:p>
          <w:p w14:paraId="676F53C8" w14:textId="77777777" w:rsidR="00E87C2A" w:rsidRPr="00F15804" w:rsidRDefault="00E87C2A" w:rsidP="00B01680">
            <w:pPr>
              <w:pStyle w:val="Akapitzlist"/>
              <w:numPr>
                <w:ilvl w:val="2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lipaza,</w:t>
            </w:r>
          </w:p>
          <w:p w14:paraId="34EE0004" w14:textId="18C3B1EB" w:rsidR="00E87C2A" w:rsidRPr="00F15804" w:rsidRDefault="00E87C2A" w:rsidP="00B01680">
            <w:pPr>
              <w:widowControl/>
              <w:numPr>
                <w:ilvl w:val="2"/>
                <w:numId w:val="7"/>
              </w:num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trójglicerydy,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cholesterol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całkowity,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cholesterol-HDL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–LDL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-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tylko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chorych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wyjściowo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nieprawidłowym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wynikiem</w:t>
            </w:r>
          </w:p>
          <w:p w14:paraId="2983638F" w14:textId="00913AC7" w:rsidR="00E87C2A" w:rsidRPr="008D1FB2" w:rsidRDefault="00E87C2A" w:rsidP="008D1FB2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D1FB2">
              <w:rPr>
                <w:rFonts w:ascii="Times New Roman" w:hAnsi="Times New Roman"/>
              </w:rPr>
              <w:t>Co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4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tygodnie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przez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pierwsze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dwa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miesiące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leczenia,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następnie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co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8-12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tygodni:</w:t>
            </w:r>
          </w:p>
          <w:p w14:paraId="308F3114" w14:textId="61493885" w:rsidR="00E87C2A" w:rsidRPr="00F15804" w:rsidRDefault="00E87C2A" w:rsidP="00B01680">
            <w:pPr>
              <w:pStyle w:val="Akapitzlist"/>
              <w:numPr>
                <w:ilvl w:val="2"/>
                <w:numId w:val="8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t>badanie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cytologiczne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szpiku,</w:t>
            </w:r>
          </w:p>
          <w:p w14:paraId="005A94BA" w14:textId="044133A0" w:rsidR="00E87C2A" w:rsidRDefault="00E87C2A" w:rsidP="00B01680">
            <w:pPr>
              <w:pStyle w:val="Akapitzlist"/>
              <w:numPr>
                <w:ilvl w:val="2"/>
                <w:numId w:val="8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F15804">
              <w:rPr>
                <w:rFonts w:ascii="Times New Roman" w:hAnsi="Times New Roman"/>
              </w:rPr>
              <w:lastRenderedPageBreak/>
              <w:t>badanie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molekularne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PCR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metodą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ilościową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obecność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BCR-ABL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we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krwi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szpiku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badanie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F15804">
              <w:rPr>
                <w:rFonts w:ascii="Times New Roman" w:hAnsi="Times New Roman"/>
              </w:rPr>
              <w:t>cytogenetyczne.</w:t>
            </w:r>
          </w:p>
          <w:p w14:paraId="2E08497C" w14:textId="77777777" w:rsidR="00E87C2A" w:rsidRDefault="00E87C2A" w:rsidP="008D1FB2">
            <w:pPr>
              <w:pStyle w:val="Akapitzlist"/>
              <w:spacing w:after="60" w:line="276" w:lineRule="auto"/>
              <w:ind w:left="397"/>
              <w:contextualSpacing w:val="0"/>
              <w:jc w:val="both"/>
              <w:rPr>
                <w:rFonts w:ascii="Times New Roman" w:hAnsi="Times New Roman"/>
              </w:rPr>
            </w:pPr>
          </w:p>
          <w:p w14:paraId="0EF7F072" w14:textId="77777777" w:rsidR="00E87C2A" w:rsidRPr="00E83905" w:rsidRDefault="00E87C2A" w:rsidP="00B01680">
            <w:pPr>
              <w:pStyle w:val="Akapitzlist"/>
              <w:numPr>
                <w:ilvl w:val="0"/>
                <w:numId w:val="8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vanish/>
              </w:rPr>
            </w:pPr>
          </w:p>
          <w:p w14:paraId="6C855D9B" w14:textId="77777777" w:rsidR="00E87C2A" w:rsidRPr="00F15804" w:rsidRDefault="00E87C2A" w:rsidP="008D1FB2">
            <w:pPr>
              <w:pStyle w:val="Akapitzlist"/>
              <w:widowControl/>
              <w:tabs>
                <w:tab w:val="left" w:pos="0"/>
              </w:tabs>
              <w:autoSpaceDE/>
              <w:autoSpaceDN/>
              <w:adjustRightInd/>
              <w:spacing w:after="60" w:line="276" w:lineRule="auto"/>
              <w:ind w:left="397"/>
              <w:contextualSpacing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D20F53" w:rsidRPr="00F15804" w14:paraId="0F58E701" w14:textId="77777777" w:rsidTr="008D1FB2">
        <w:trPr>
          <w:trHeight w:val="567"/>
        </w:trPr>
        <w:tc>
          <w:tcPr>
            <w:tcW w:w="5000" w:type="pct"/>
            <w:gridSpan w:val="3"/>
            <w:vAlign w:val="center"/>
          </w:tcPr>
          <w:p w14:paraId="7909FDC2" w14:textId="7A53C51D" w:rsidR="00D20F53" w:rsidRPr="00175C8D" w:rsidRDefault="00175C8D" w:rsidP="00175C8D">
            <w:pPr>
              <w:spacing w:after="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III.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="00D20F53" w:rsidRPr="00175C8D">
              <w:rPr>
                <w:rFonts w:ascii="Times New Roman" w:hAnsi="Times New Roman"/>
                <w:b/>
              </w:rPr>
              <w:t>BLINATUMOMAB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="00C52AFB" w:rsidRPr="00175C8D">
              <w:rPr>
                <w:rFonts w:ascii="Times New Roman" w:hAnsi="Times New Roman"/>
                <w:b/>
              </w:rPr>
              <w:t>–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="00C52AFB" w:rsidRPr="00175C8D">
              <w:rPr>
                <w:rFonts w:ascii="Times New Roman" w:hAnsi="Times New Roman"/>
                <w:b/>
              </w:rPr>
              <w:t>MINIMALNA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="00C52AFB" w:rsidRPr="00175C8D">
              <w:rPr>
                <w:rFonts w:ascii="Times New Roman" w:hAnsi="Times New Roman"/>
                <w:b/>
              </w:rPr>
              <w:t>CHOROBA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="00C52AFB" w:rsidRPr="00175C8D">
              <w:rPr>
                <w:rFonts w:ascii="Times New Roman" w:hAnsi="Times New Roman"/>
                <w:b/>
              </w:rPr>
              <w:t>RESZTKOWA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="000E44E9" w:rsidRPr="00175C8D">
              <w:rPr>
                <w:rFonts w:ascii="Times New Roman" w:hAnsi="Times New Roman"/>
                <w:b/>
              </w:rPr>
              <w:t>(MRD)</w:t>
            </w:r>
          </w:p>
        </w:tc>
      </w:tr>
      <w:tr w:rsidR="006C0149" w:rsidRPr="00F15804" w14:paraId="17FD8705" w14:textId="77777777" w:rsidTr="00C64042">
        <w:trPr>
          <w:trHeight w:val="20"/>
        </w:trPr>
        <w:tc>
          <w:tcPr>
            <w:tcW w:w="2209" w:type="pct"/>
          </w:tcPr>
          <w:p w14:paraId="13762995" w14:textId="600C7AD5" w:rsidR="006C0149" w:rsidRPr="008D1FB2" w:rsidRDefault="006C0149" w:rsidP="00B01680">
            <w:pPr>
              <w:pStyle w:val="Akapitzlist"/>
              <w:numPr>
                <w:ilvl w:val="0"/>
                <w:numId w:val="9"/>
              </w:numPr>
              <w:spacing w:before="120" w:after="60" w:line="276" w:lineRule="auto"/>
              <w:ind w:right="45"/>
              <w:contextualSpacing w:val="0"/>
              <w:jc w:val="both"/>
              <w:rPr>
                <w:rFonts w:ascii="Times New Roman" w:hAnsi="Times New Roman"/>
              </w:rPr>
            </w:pPr>
            <w:r w:rsidRPr="008D1FB2">
              <w:rPr>
                <w:rFonts w:ascii="Times New Roman" w:hAnsi="Times New Roman"/>
                <w:b/>
              </w:rPr>
              <w:t>Kryteria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kwalifikacji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do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leczenia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blinatumomabem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="005E6BA6" w:rsidRPr="008D1FB2">
              <w:rPr>
                <w:rFonts w:ascii="Times New Roman" w:hAnsi="Times New Roman"/>
                <w:b/>
              </w:rPr>
              <w:t>pacjentów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="005E6BA6" w:rsidRPr="008D1FB2">
              <w:rPr>
                <w:rFonts w:ascii="Times New Roman" w:hAnsi="Times New Roman"/>
                <w:b/>
              </w:rPr>
              <w:t>z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="005E6BA6" w:rsidRPr="008D1FB2">
              <w:rPr>
                <w:rFonts w:ascii="Times New Roman" w:hAnsi="Times New Roman"/>
                <w:b/>
              </w:rPr>
              <w:t>chorobą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="005E6BA6" w:rsidRPr="008D1FB2">
              <w:rPr>
                <w:rFonts w:ascii="Times New Roman" w:hAnsi="Times New Roman"/>
                <w:b/>
              </w:rPr>
              <w:t>resztkową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="005E6BA6" w:rsidRPr="008D1FB2">
              <w:rPr>
                <w:rFonts w:ascii="Times New Roman" w:hAnsi="Times New Roman"/>
                <w:b/>
              </w:rPr>
              <w:t>w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="005E6BA6" w:rsidRPr="008D1FB2">
              <w:rPr>
                <w:rFonts w:ascii="Times New Roman" w:hAnsi="Times New Roman"/>
                <w:b/>
              </w:rPr>
              <w:t>ostrej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="005E6BA6" w:rsidRPr="008D1FB2">
              <w:rPr>
                <w:rFonts w:ascii="Times New Roman" w:hAnsi="Times New Roman"/>
                <w:b/>
              </w:rPr>
              <w:t>białaczce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limfoblastycznej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z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komórek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prekursorowych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limfocytów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B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bez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chromosomu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Philadelphia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</w:p>
          <w:p w14:paraId="48C41C02" w14:textId="0C2ADFFD" w:rsidR="006C0149" w:rsidRPr="008D1FB2" w:rsidRDefault="006C0149" w:rsidP="00B01680">
            <w:pPr>
              <w:pStyle w:val="Akapitzlist"/>
              <w:numPr>
                <w:ilvl w:val="1"/>
                <w:numId w:val="9"/>
              </w:numPr>
              <w:spacing w:after="60" w:line="276" w:lineRule="auto"/>
              <w:ind w:right="85"/>
              <w:contextualSpacing w:val="0"/>
              <w:jc w:val="both"/>
              <w:rPr>
                <w:rFonts w:ascii="Times New Roman" w:hAnsi="Times New Roman"/>
              </w:rPr>
            </w:pPr>
            <w:r w:rsidRPr="008D1FB2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kwalifikowani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są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dorośli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chorzy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ostrą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białaczkę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limfoblastyczną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prekursorowych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limfocytów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bez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obecności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genu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  <w:i/>
              </w:rPr>
              <w:t>BCR-ABL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chromosomu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Philadelphia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ekspresją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antygenu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CD19,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pierwszej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drugiej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całkowitej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remisji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ze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stwierdzoną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minimalną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chorobą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resztkową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większą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równą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0,1%,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badaniu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próbki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biopsji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szpiku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kostnego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metodą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cytometrii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przepływowej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reakcji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łańcuchowej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polimerazy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czułości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co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najmniej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10</w:t>
            </w:r>
            <w:r w:rsidRPr="008D1FB2">
              <w:rPr>
                <w:rFonts w:ascii="Times New Roman" w:hAnsi="Times New Roman"/>
                <w:vertAlign w:val="superscript"/>
              </w:rPr>
              <w:t>-4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26736467" w14:textId="6F8B01FB" w:rsidR="006C0149" w:rsidRPr="007C0CAA" w:rsidRDefault="006C0149" w:rsidP="007C0CAA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7C0CAA">
              <w:rPr>
                <w:rFonts w:ascii="Times New Roman" w:hAnsi="Times New Roman"/>
              </w:rPr>
              <w:t>Kryteria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kwalifikacji,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które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muszą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być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spełnione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łącznie: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33DF7792" w14:textId="15A7F36A" w:rsidR="006C0149" w:rsidRPr="008D1FB2" w:rsidRDefault="007C0CAA" w:rsidP="00B01680">
            <w:pPr>
              <w:widowControl/>
              <w:numPr>
                <w:ilvl w:val="2"/>
                <w:numId w:val="9"/>
              </w:numPr>
              <w:autoSpaceDE/>
              <w:autoSpaceDN/>
              <w:adjustRightInd/>
              <w:spacing w:after="60" w:line="276" w:lineRule="auto"/>
              <w:ind w:right="2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="006C0149" w:rsidRPr="008D1FB2">
              <w:rPr>
                <w:rFonts w:ascii="Times New Roman" w:hAnsi="Times New Roman"/>
              </w:rPr>
              <w:t>kończony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18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rok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życia</w:t>
            </w:r>
            <w:r>
              <w:rPr>
                <w:rFonts w:ascii="Times New Roman" w:hAnsi="Times New Roman"/>
              </w:rPr>
              <w:t>;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1EFADFB4" w14:textId="347A194C" w:rsidR="006C0149" w:rsidRPr="008D1FB2" w:rsidRDefault="006C0149" w:rsidP="00B01680">
            <w:pPr>
              <w:widowControl/>
              <w:numPr>
                <w:ilvl w:val="2"/>
                <w:numId w:val="9"/>
              </w:numPr>
              <w:autoSpaceDE/>
              <w:autoSpaceDN/>
              <w:adjustRightInd/>
              <w:spacing w:after="60" w:line="276" w:lineRule="auto"/>
              <w:ind w:right="24"/>
              <w:jc w:val="both"/>
              <w:rPr>
                <w:rFonts w:ascii="Times New Roman" w:hAnsi="Times New Roman"/>
              </w:rPr>
            </w:pPr>
            <w:r w:rsidRPr="008D1FB2">
              <w:rPr>
                <w:rFonts w:ascii="Times New Roman" w:hAnsi="Times New Roman"/>
              </w:rPr>
              <w:lastRenderedPageBreak/>
              <w:t>obecność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limfoblastów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ekspresją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CD19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przy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rozpoznaniu</w:t>
            </w:r>
            <w:r w:rsidR="007C0CAA">
              <w:rPr>
                <w:rFonts w:ascii="Times New Roman" w:hAnsi="Times New Roman"/>
              </w:rPr>
              <w:t>;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46DB47E6" w14:textId="25E25DE1" w:rsidR="006C0149" w:rsidRPr="007C0CAA" w:rsidRDefault="009F2B15" w:rsidP="00B01680">
            <w:pPr>
              <w:widowControl/>
              <w:numPr>
                <w:ilvl w:val="2"/>
                <w:numId w:val="9"/>
              </w:numPr>
              <w:autoSpaceDE/>
              <w:autoSpaceDN/>
              <w:adjustRightInd/>
              <w:spacing w:after="60" w:line="276" w:lineRule="auto"/>
              <w:ind w:right="24"/>
              <w:jc w:val="both"/>
              <w:rPr>
                <w:rFonts w:ascii="Times New Roman" w:hAnsi="Times New Roman"/>
              </w:rPr>
            </w:pPr>
            <w:r w:rsidRPr="007C0CAA">
              <w:rPr>
                <w:rFonts w:ascii="Times New Roman" w:hAnsi="Times New Roman"/>
              </w:rPr>
              <w:t>brak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7C0CAA">
              <w:rPr>
                <w:rFonts w:ascii="Times New Roman" w:hAnsi="Times New Roman"/>
              </w:rPr>
              <w:t>uprzedniej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7C0CAA">
              <w:rPr>
                <w:rFonts w:ascii="Times New Roman" w:hAnsi="Times New Roman"/>
              </w:rPr>
              <w:t>transplantacji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7C0CAA">
              <w:rPr>
                <w:rFonts w:ascii="Times New Roman" w:hAnsi="Times New Roman"/>
              </w:rPr>
              <w:t>allogenicznych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7C0CAA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7C0CAA">
              <w:rPr>
                <w:rFonts w:ascii="Times New Roman" w:hAnsi="Times New Roman"/>
              </w:rPr>
              <w:t>krwiotwórczych</w:t>
            </w:r>
            <w:r w:rsidR="007C0CAA">
              <w:rPr>
                <w:rFonts w:ascii="Times New Roman" w:hAnsi="Times New Roman"/>
              </w:rPr>
              <w:t>;</w:t>
            </w:r>
          </w:p>
          <w:p w14:paraId="656214F9" w14:textId="60E5C721" w:rsidR="006C0149" w:rsidRPr="008D1FB2" w:rsidRDefault="000E44E9" w:rsidP="00B01680">
            <w:pPr>
              <w:widowControl/>
              <w:numPr>
                <w:ilvl w:val="2"/>
                <w:numId w:val="9"/>
              </w:numPr>
              <w:autoSpaceDE/>
              <w:autoSpaceDN/>
              <w:adjustRightInd/>
              <w:spacing w:after="60" w:line="276" w:lineRule="auto"/>
              <w:ind w:right="24"/>
              <w:jc w:val="both"/>
              <w:rPr>
                <w:rFonts w:ascii="Times New Roman" w:hAnsi="Times New Roman"/>
              </w:rPr>
            </w:pPr>
            <w:r w:rsidRPr="008D1FB2">
              <w:rPr>
                <w:rFonts w:ascii="Times New Roman" w:hAnsi="Times New Roman"/>
              </w:rPr>
              <w:t>zastosowan</w:t>
            </w:r>
            <w:r w:rsidR="007C0CAA">
              <w:rPr>
                <w:rFonts w:ascii="Times New Roman" w:hAnsi="Times New Roman"/>
              </w:rPr>
              <w:t>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co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najmniej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3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schematy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standardowego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ostrej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białaczki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limfoblastycznej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(przez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schemat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rozumie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się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1-szy,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2-gi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cykl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indukującego,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1-szy,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2-gi,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3-ci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cykl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konsolidującego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oraz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cykle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reindukujące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według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obowiązującego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protokołu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C0149" w:rsidRPr="008D1FB2">
              <w:rPr>
                <w:rFonts w:ascii="Times New Roman" w:hAnsi="Times New Roman"/>
              </w:rPr>
              <w:t>PALG)</w:t>
            </w:r>
            <w:r w:rsidR="007C0CAA">
              <w:rPr>
                <w:rFonts w:ascii="Times New Roman" w:hAnsi="Times New Roman"/>
              </w:rPr>
              <w:t>;</w:t>
            </w:r>
          </w:p>
          <w:p w14:paraId="7ECB8D2A" w14:textId="468455D9" w:rsidR="006C0149" w:rsidRPr="008D1FB2" w:rsidRDefault="006C0149" w:rsidP="00B01680">
            <w:pPr>
              <w:pStyle w:val="Akapitzlist"/>
              <w:widowControl/>
              <w:numPr>
                <w:ilvl w:val="2"/>
                <w:numId w:val="9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D1FB2">
              <w:rPr>
                <w:rFonts w:ascii="Times New Roman" w:hAnsi="Times New Roman"/>
              </w:rPr>
              <w:t>całkowita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remisja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(zdefiniowana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jako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obecność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&lt;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5%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blastycznych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szpiku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kostnym,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bezwzględna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liczba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granulocytów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obojętnochłonnych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≥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1000/mikrolitr,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płytki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krwi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≥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50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000/mikrolitr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stężenie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hemoglobiny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≥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9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g/dl)</w:t>
            </w:r>
            <w:r w:rsidR="007C0CAA">
              <w:rPr>
                <w:rFonts w:ascii="Times New Roman" w:hAnsi="Times New Roman"/>
              </w:rPr>
              <w:t>;</w:t>
            </w:r>
          </w:p>
          <w:p w14:paraId="61F375FF" w14:textId="0636FAD4" w:rsidR="006C0149" w:rsidRPr="008D1FB2" w:rsidRDefault="006C0149" w:rsidP="00B01680">
            <w:pPr>
              <w:pStyle w:val="Akapitzlist"/>
              <w:numPr>
                <w:ilvl w:val="2"/>
                <w:numId w:val="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D1FB2">
              <w:rPr>
                <w:rFonts w:ascii="Times New Roman" w:hAnsi="Times New Roman"/>
              </w:rPr>
              <w:t>obecność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minimalnej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choroby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resztkowej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jej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nawrót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(definiowane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jako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MRD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≥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D1FB2">
              <w:rPr>
                <w:rFonts w:ascii="Times New Roman" w:hAnsi="Times New Roman"/>
              </w:rPr>
              <w:t>10</w:t>
            </w:r>
            <w:r w:rsidRPr="008D1FB2">
              <w:rPr>
                <w:rFonts w:ascii="Times New Roman" w:hAnsi="Times New Roman"/>
                <w:vertAlign w:val="superscript"/>
              </w:rPr>
              <w:t>-3</w:t>
            </w:r>
            <w:r w:rsidRPr="008D1FB2">
              <w:rPr>
                <w:rFonts w:ascii="Times New Roman" w:hAnsi="Times New Roman"/>
              </w:rPr>
              <w:t>)</w:t>
            </w:r>
            <w:r w:rsidR="007C0CAA">
              <w:rPr>
                <w:rFonts w:ascii="Times New Roman" w:hAnsi="Times New Roman"/>
              </w:rPr>
              <w:t>.</w:t>
            </w:r>
          </w:p>
          <w:p w14:paraId="5402ADA6" w14:textId="629B97EA" w:rsidR="006C0149" w:rsidRPr="007C0CAA" w:rsidRDefault="006C0149" w:rsidP="007C0CAA">
            <w:pPr>
              <w:spacing w:after="60" w:line="276" w:lineRule="auto"/>
              <w:ind w:right="46"/>
              <w:jc w:val="both"/>
              <w:rPr>
                <w:rFonts w:ascii="Times New Roman" w:hAnsi="Times New Roman"/>
              </w:rPr>
            </w:pPr>
            <w:r w:rsidRPr="007C0CAA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programu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są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kwalifikowani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wyłącznie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chorzy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bez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cech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aktywnej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choroby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ośrodkowego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układu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nerwowego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(OUN)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momencie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kwalifikacji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program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których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ma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przeciwwskazań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wykonania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transplantacji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allogenicznych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krwiotwórczych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przypadku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identyfikacji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dawcy.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14B15E8E" w14:textId="411EE1F4" w:rsidR="006C0149" w:rsidRPr="008D1FB2" w:rsidRDefault="006C0149" w:rsidP="007C0CAA">
            <w:pPr>
              <w:spacing w:after="60" w:line="276" w:lineRule="auto"/>
              <w:ind w:left="375" w:firstLine="48"/>
              <w:jc w:val="both"/>
              <w:rPr>
                <w:rFonts w:ascii="Times New Roman" w:hAnsi="Times New Roman"/>
              </w:rPr>
            </w:pPr>
          </w:p>
          <w:p w14:paraId="73852F38" w14:textId="204A8183" w:rsidR="006C0149" w:rsidRPr="008D1FB2" w:rsidRDefault="006C0149" w:rsidP="00B01680">
            <w:pPr>
              <w:pStyle w:val="Akapitzlist"/>
              <w:numPr>
                <w:ilvl w:val="1"/>
                <w:numId w:val="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D1FB2">
              <w:rPr>
                <w:rFonts w:ascii="Times New Roman" w:hAnsi="Times New Roman"/>
                <w:b/>
              </w:rPr>
              <w:t>Określenie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czasu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leczenia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w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programie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</w:p>
          <w:p w14:paraId="57717C0A" w14:textId="402360DB" w:rsidR="006C0149" w:rsidRPr="007C0CAA" w:rsidRDefault="006C0149" w:rsidP="007C0CAA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7C0CAA">
              <w:rPr>
                <w:rFonts w:ascii="Times New Roman" w:hAnsi="Times New Roman"/>
              </w:rPr>
              <w:t>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chorych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stosuje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się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jeden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cykl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0925771C" w14:textId="06A03583" w:rsidR="006C0149" w:rsidRPr="007C0CAA" w:rsidRDefault="006C0149" w:rsidP="007C0CAA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7C0CAA">
              <w:rPr>
                <w:rFonts w:ascii="Times New Roman" w:hAnsi="Times New Roman"/>
              </w:rPr>
              <w:t>Czasowe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przerwanie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następuje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przypadkach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określonych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Charakterystyce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Produktu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Leczniczego.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7D572763" w14:textId="47275C5E" w:rsidR="006C0149" w:rsidRPr="007C0CAA" w:rsidRDefault="006C0149" w:rsidP="007C0CAA">
            <w:pPr>
              <w:spacing w:after="60" w:line="276" w:lineRule="auto"/>
              <w:ind w:right="55"/>
              <w:jc w:val="both"/>
              <w:rPr>
                <w:rFonts w:ascii="Times New Roman" w:hAnsi="Times New Roman"/>
              </w:rPr>
            </w:pPr>
            <w:r w:rsidRPr="007C0CAA">
              <w:rPr>
                <w:rFonts w:ascii="Times New Roman" w:hAnsi="Times New Roman"/>
              </w:rPr>
              <w:t>Jeśli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wystąpieniu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zdarzenia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niepożądanego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leczenie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przerwano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czas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nieprzekraczający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7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dni,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należy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wznowić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ten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sam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cykl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tak,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aby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ukończyć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podawanie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infuzji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ciągu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28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dni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łącznie,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wliczając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to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dni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przed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przerwaniem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przerwaniu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cyklu.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Jeśli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przerwa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spowodowana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zdarzeniem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niepożądanym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trwała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dłużej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niż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7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dni,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należy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rozpocząć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nowy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cykl.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Jeśli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objawy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toksyczności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ustąpią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ciągu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14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dni,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należy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definitywnie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zakończyć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podawanie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produktu.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138F0657" w14:textId="641DBEE7" w:rsidR="006C0149" w:rsidRPr="008D1FB2" w:rsidRDefault="006C0149" w:rsidP="007C0CAA">
            <w:pPr>
              <w:spacing w:after="60" w:line="276" w:lineRule="auto"/>
              <w:ind w:left="15" w:firstLine="48"/>
              <w:jc w:val="both"/>
              <w:rPr>
                <w:rFonts w:ascii="Times New Roman" w:hAnsi="Times New Roman"/>
              </w:rPr>
            </w:pPr>
          </w:p>
          <w:p w14:paraId="3408C118" w14:textId="51A3C9F7" w:rsidR="006C0149" w:rsidRPr="008D1FB2" w:rsidRDefault="006C0149" w:rsidP="00B01680">
            <w:pPr>
              <w:pStyle w:val="Akapitzlist"/>
              <w:numPr>
                <w:ilvl w:val="1"/>
                <w:numId w:val="9"/>
              </w:numPr>
              <w:spacing w:after="60" w:line="276" w:lineRule="auto"/>
              <w:ind w:right="61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8D1FB2">
              <w:rPr>
                <w:rFonts w:ascii="Times New Roman" w:hAnsi="Times New Roman"/>
                <w:b/>
              </w:rPr>
              <w:t>Kryteria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wyłączenia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z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programu</w:t>
            </w:r>
          </w:p>
          <w:p w14:paraId="4EE47795" w14:textId="05F91600" w:rsidR="006C0149" w:rsidRPr="007C0CAA" w:rsidRDefault="006C0149" w:rsidP="007C0CAA">
            <w:pPr>
              <w:spacing w:after="60" w:line="276" w:lineRule="auto"/>
              <w:ind w:right="61"/>
              <w:jc w:val="both"/>
              <w:rPr>
                <w:rFonts w:ascii="Times New Roman" w:hAnsi="Times New Roman"/>
              </w:rPr>
            </w:pPr>
            <w:r w:rsidRPr="007C0CAA">
              <w:rPr>
                <w:rFonts w:ascii="Times New Roman" w:hAnsi="Times New Roman"/>
              </w:rPr>
              <w:t>Wystąpienie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objawów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nietolerancji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blinatumomabu,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wskazanych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lastRenderedPageBreak/>
              <w:t>Charakterystyce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Produktu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Leczniczego,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wiążących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się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przerwą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leczeniu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dłuższą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niż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14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dni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723B994A" w14:textId="69EE0170" w:rsidR="006C0149" w:rsidRPr="007C0CAA" w:rsidRDefault="006C0149" w:rsidP="007C0CAA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95" w:type="pct"/>
          </w:tcPr>
          <w:p w14:paraId="29BEDB3E" w14:textId="502A11FC" w:rsidR="006C0149" w:rsidRPr="008D1FB2" w:rsidRDefault="006C0149" w:rsidP="00B01680">
            <w:pPr>
              <w:pStyle w:val="Akapitzlist"/>
              <w:widowControl/>
              <w:numPr>
                <w:ilvl w:val="0"/>
                <w:numId w:val="10"/>
              </w:numPr>
              <w:tabs>
                <w:tab w:val="left" w:pos="176"/>
              </w:tabs>
              <w:autoSpaceDE/>
              <w:autoSpaceDN/>
              <w:adjustRightInd/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8D1FB2">
              <w:rPr>
                <w:rFonts w:ascii="Times New Roman" w:hAnsi="Times New Roman"/>
                <w:b/>
              </w:rPr>
              <w:lastRenderedPageBreak/>
              <w:t>Dawkowanie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</w:p>
          <w:p w14:paraId="73749168" w14:textId="70F529E4" w:rsidR="006C0149" w:rsidRPr="007C0CAA" w:rsidRDefault="006C0149" w:rsidP="007C0CAA">
            <w:pPr>
              <w:widowControl/>
              <w:tabs>
                <w:tab w:val="left" w:pos="176"/>
              </w:tabs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  <w:b/>
              </w:rPr>
            </w:pPr>
            <w:r w:rsidRPr="007C0CAA">
              <w:rPr>
                <w:rFonts w:ascii="Times New Roman" w:hAnsi="Times New Roman"/>
              </w:rPr>
              <w:t>Dawkowanie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podawanie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leku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należy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prowadzić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zgodnie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Charakterystyką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Produktu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Leczniczego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425709" w:rsidRPr="007C0CAA">
              <w:rPr>
                <w:rFonts w:ascii="Times New Roman" w:hAnsi="Times New Roman"/>
              </w:rPr>
              <w:t>aktualną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425709" w:rsidRPr="007C0CAA">
              <w:rPr>
                <w:rFonts w:ascii="Times New Roman" w:hAnsi="Times New Roman"/>
              </w:rPr>
              <w:t>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425709" w:rsidRPr="007C0CAA">
              <w:rPr>
                <w:rFonts w:ascii="Times New Roman" w:hAnsi="Times New Roman"/>
              </w:rPr>
              <w:t>dzień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425709" w:rsidRPr="007C0CAA">
              <w:rPr>
                <w:rFonts w:ascii="Times New Roman" w:hAnsi="Times New Roman"/>
              </w:rPr>
              <w:t>wydania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425709" w:rsidRPr="007C0CAA">
              <w:rPr>
                <w:rFonts w:ascii="Times New Roman" w:hAnsi="Times New Roman"/>
              </w:rPr>
              <w:t>decyzji.</w:t>
            </w:r>
          </w:p>
        </w:tc>
        <w:tc>
          <w:tcPr>
            <w:tcW w:w="1396" w:type="pct"/>
          </w:tcPr>
          <w:p w14:paraId="2EFC6A75" w14:textId="727004B3" w:rsidR="006C0149" w:rsidRPr="008D1FB2" w:rsidRDefault="00FF640B" w:rsidP="00B01680">
            <w:pPr>
              <w:pStyle w:val="Akapitzlist"/>
              <w:numPr>
                <w:ilvl w:val="0"/>
                <w:numId w:val="11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8D1FB2">
              <w:rPr>
                <w:rFonts w:ascii="Times New Roman" w:hAnsi="Times New Roman"/>
                <w:b/>
              </w:rPr>
              <w:t>Badania</w:t>
            </w:r>
          </w:p>
          <w:p w14:paraId="6B694F5C" w14:textId="4E806367" w:rsidR="00FF640B" w:rsidRPr="008D1FB2" w:rsidRDefault="00FF640B" w:rsidP="00B01680">
            <w:pPr>
              <w:pStyle w:val="Akapitzlist"/>
              <w:widowControl/>
              <w:numPr>
                <w:ilvl w:val="1"/>
                <w:numId w:val="11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D1FB2">
              <w:rPr>
                <w:rFonts w:ascii="Times New Roman" w:hAnsi="Times New Roman"/>
                <w:b/>
              </w:rPr>
              <w:t>Badania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przy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kwalifikacji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</w:p>
          <w:p w14:paraId="737B7AA9" w14:textId="0A363082" w:rsidR="00FF640B" w:rsidRPr="008D1FB2" w:rsidRDefault="00FC2C59" w:rsidP="00B01680">
            <w:pPr>
              <w:widowControl/>
              <w:numPr>
                <w:ilvl w:val="2"/>
                <w:numId w:val="11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="00FF640B" w:rsidRPr="008D1FB2">
              <w:rPr>
                <w:rFonts w:ascii="Times New Roman" w:hAnsi="Times New Roman"/>
              </w:rPr>
              <w:t>cena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minimalnej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choroby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resztkowej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w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badaniu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próbki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z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biopsji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szpiku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kostnego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metodą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cytometrii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przepływowej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lub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reakcji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łańcuchowej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polimerazy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czułości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co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najmniej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10</w:t>
            </w:r>
            <w:r w:rsidR="00FF640B" w:rsidRPr="008D1FB2">
              <w:rPr>
                <w:rFonts w:ascii="Times New Roman" w:hAnsi="Times New Roman"/>
                <w:vertAlign w:val="superscript"/>
              </w:rPr>
              <w:t>-4</w:t>
            </w:r>
            <w:r w:rsidR="007C0CAA"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631D9689" w14:textId="14BED903" w:rsidR="00FF640B" w:rsidRPr="008D1FB2" w:rsidRDefault="00FC2C59" w:rsidP="00B01680">
            <w:pPr>
              <w:widowControl/>
              <w:numPr>
                <w:ilvl w:val="2"/>
                <w:numId w:val="11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FF640B" w:rsidRPr="008D1FB2">
              <w:rPr>
                <w:rFonts w:ascii="Times New Roman" w:hAnsi="Times New Roman"/>
              </w:rPr>
              <w:t>ykluczenie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zajęcia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OUN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podstawie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badania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ogólnego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mikroskopowego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płynu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mózgowo-rdzeniowego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lub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badań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obrazowych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OUN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w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momencie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kwalifikacji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do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programu</w:t>
            </w:r>
            <w:r w:rsidR="007C0CAA">
              <w:rPr>
                <w:rFonts w:ascii="Times New Roman" w:hAnsi="Times New Roman"/>
              </w:rPr>
              <w:t>.</w:t>
            </w:r>
          </w:p>
          <w:p w14:paraId="004122BA" w14:textId="76154636" w:rsidR="00FF640B" w:rsidRPr="008D1FB2" w:rsidRDefault="00FF640B" w:rsidP="00B01680">
            <w:pPr>
              <w:pStyle w:val="Akapitzlist"/>
              <w:widowControl/>
              <w:numPr>
                <w:ilvl w:val="1"/>
                <w:numId w:val="11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D1FB2">
              <w:rPr>
                <w:rFonts w:ascii="Times New Roman" w:hAnsi="Times New Roman"/>
                <w:b/>
              </w:rPr>
              <w:lastRenderedPageBreak/>
              <w:t>Monitorowanie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leczenia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D1FB2">
              <w:rPr>
                <w:rFonts w:ascii="Times New Roman" w:hAnsi="Times New Roman"/>
                <w:b/>
              </w:rPr>
              <w:t>blinatumomabem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</w:p>
          <w:p w14:paraId="5DDDDA9D" w14:textId="0D1B1AF4" w:rsidR="00FF640B" w:rsidRPr="007C0CAA" w:rsidRDefault="00FF640B" w:rsidP="007C0CAA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7C0CAA">
              <w:rPr>
                <w:rFonts w:ascii="Times New Roman" w:hAnsi="Times New Roman"/>
              </w:rPr>
              <w:t>Leczenie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będzie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prowadzone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warunkach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szpitalnych.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0318EE3A" w14:textId="19201837" w:rsidR="00FF640B" w:rsidRPr="007C0CAA" w:rsidRDefault="00FF640B" w:rsidP="007C0CAA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7C0CAA">
              <w:rPr>
                <w:rFonts w:ascii="Times New Roman" w:hAnsi="Times New Roman"/>
              </w:rPr>
              <w:t>Po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cyklu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7C0CAA">
              <w:rPr>
                <w:rFonts w:ascii="Times New Roman" w:hAnsi="Times New Roman"/>
              </w:rPr>
              <w:t>leczenia: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073BBC36" w14:textId="79A63AD4" w:rsidR="00FF640B" w:rsidRPr="008D1FB2" w:rsidRDefault="00FC2C59" w:rsidP="00B01680">
            <w:pPr>
              <w:pStyle w:val="Akapitzlist"/>
              <w:widowControl/>
              <w:numPr>
                <w:ilvl w:val="2"/>
                <w:numId w:val="11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FF640B" w:rsidRPr="008D1FB2">
              <w:rPr>
                <w:rFonts w:ascii="Times New Roman" w:hAnsi="Times New Roman"/>
              </w:rPr>
              <w:t>orfologia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krwi</w:t>
            </w:r>
            <w:r w:rsidR="007C0CAA">
              <w:rPr>
                <w:rFonts w:ascii="Times New Roman" w:hAnsi="Times New Roman"/>
              </w:rPr>
              <w:t>;</w:t>
            </w:r>
          </w:p>
          <w:p w14:paraId="59FB47C7" w14:textId="1F686E10" w:rsidR="00FF640B" w:rsidRPr="008D1FB2" w:rsidRDefault="00FC2C59" w:rsidP="00B01680">
            <w:pPr>
              <w:pStyle w:val="Akapitzlist"/>
              <w:numPr>
                <w:ilvl w:val="2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o</w:t>
            </w:r>
            <w:r w:rsidR="00FF640B" w:rsidRPr="008D1FB2">
              <w:rPr>
                <w:rFonts w:ascii="Times New Roman" w:hAnsi="Times New Roman"/>
              </w:rPr>
              <w:t>cena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minimalnej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choroby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resztkowej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w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badaniu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próbki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z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biopsji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szpiku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kostnego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metodą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cytometrii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przepływowej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lub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reakcji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łańcuchowej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polimerazy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czułości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co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najmniej</w:t>
            </w:r>
            <w:r>
              <w:rPr>
                <w:rFonts w:ascii="Times New Roman" w:hAnsi="Times New Roman"/>
              </w:rPr>
              <w:t xml:space="preserve"> </w:t>
            </w:r>
            <w:r w:rsidR="00FF640B" w:rsidRPr="008D1FB2">
              <w:rPr>
                <w:rFonts w:ascii="Times New Roman" w:hAnsi="Times New Roman"/>
              </w:rPr>
              <w:t>10</w:t>
            </w:r>
            <w:r w:rsidR="00FF640B" w:rsidRPr="008D1FB2">
              <w:rPr>
                <w:rFonts w:ascii="Times New Roman" w:hAnsi="Times New Roman"/>
                <w:vertAlign w:val="superscript"/>
              </w:rPr>
              <w:t>-4</w:t>
            </w:r>
            <w:r w:rsidR="007C0CA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D20F53" w:rsidRPr="00F15804" w14:paraId="5E82284F" w14:textId="77777777" w:rsidTr="007C0CAA">
        <w:trPr>
          <w:trHeight w:val="567"/>
        </w:trPr>
        <w:tc>
          <w:tcPr>
            <w:tcW w:w="5000" w:type="pct"/>
            <w:gridSpan w:val="3"/>
            <w:vAlign w:val="center"/>
          </w:tcPr>
          <w:p w14:paraId="5EC59F6E" w14:textId="0ECC346A" w:rsidR="00D20F53" w:rsidRPr="00175C8D" w:rsidRDefault="00175C8D" w:rsidP="00175C8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IV.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="00D20F53" w:rsidRPr="00175C8D">
              <w:rPr>
                <w:rFonts w:ascii="Times New Roman" w:hAnsi="Times New Roman"/>
                <w:b/>
              </w:rPr>
              <w:t>BLINATUMOMAB</w:t>
            </w:r>
          </w:p>
        </w:tc>
      </w:tr>
      <w:tr w:rsidR="00E87C2A" w:rsidRPr="00F15804" w14:paraId="2CB95C13" w14:textId="77777777" w:rsidTr="00C64042">
        <w:trPr>
          <w:trHeight w:val="20"/>
        </w:trPr>
        <w:tc>
          <w:tcPr>
            <w:tcW w:w="2209" w:type="pct"/>
          </w:tcPr>
          <w:p w14:paraId="7CD3C26E" w14:textId="0621E152" w:rsidR="00E87C2A" w:rsidRPr="00175C8D" w:rsidRDefault="00E87C2A" w:rsidP="00175C8D">
            <w:pPr>
              <w:pStyle w:val="Akapitzlist"/>
              <w:widowControl/>
              <w:numPr>
                <w:ilvl w:val="0"/>
                <w:numId w:val="12"/>
              </w:numPr>
              <w:tabs>
                <w:tab w:val="left" w:pos="0"/>
              </w:tabs>
              <w:autoSpaceDE/>
              <w:autoSpaceDN/>
              <w:adjustRightInd/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175C8D">
              <w:rPr>
                <w:rFonts w:ascii="Times New Roman" w:hAnsi="Times New Roman"/>
                <w:b/>
              </w:rPr>
              <w:t>Leczenie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blinatumomabem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ostrej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białaczki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limfoblastycznej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z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komórek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prekursorowych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limfocytów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B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bez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chromosomu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Filadelfia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u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dorosłych</w:t>
            </w:r>
          </w:p>
          <w:p w14:paraId="62D6E514" w14:textId="08260233" w:rsidR="00E87C2A" w:rsidRPr="00175C8D" w:rsidRDefault="00E87C2A" w:rsidP="00175C8D">
            <w:pPr>
              <w:pStyle w:val="Akapitzlist"/>
              <w:widowControl/>
              <w:numPr>
                <w:ilvl w:val="1"/>
                <w:numId w:val="12"/>
              </w:numPr>
              <w:tabs>
                <w:tab w:val="left" w:pos="0"/>
              </w:tabs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175C8D">
              <w:rPr>
                <w:rFonts w:ascii="Times New Roman" w:hAnsi="Times New Roman"/>
                <w:b/>
              </w:rPr>
              <w:t>Kryteria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kwalifikacji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do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leczenia</w:t>
            </w:r>
          </w:p>
          <w:p w14:paraId="691F187D" w14:textId="593C71A5" w:rsidR="00E87C2A" w:rsidRPr="00175C8D" w:rsidRDefault="00E87C2A" w:rsidP="00175C8D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kwalifikowani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są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dorośli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(≥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18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lat)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chorzy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ostrą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białaczkę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limfoblastyczną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prekursorowych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limfocytów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bez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obecności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genu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  <w:i/>
              </w:rPr>
              <w:t>BCR-ABL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chromosomu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Philadelphia,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których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spełniony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jest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przynajmniej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jeden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warunków:</w:t>
            </w:r>
          </w:p>
          <w:p w14:paraId="68FB66A6" w14:textId="094B9181" w:rsidR="00E87C2A" w:rsidRPr="00175C8D" w:rsidRDefault="009F2B15" w:rsidP="00175C8D">
            <w:pPr>
              <w:widowControl/>
              <w:numPr>
                <w:ilvl w:val="2"/>
                <w:numId w:val="12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Brak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remisji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hematologicznej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po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leczeniu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indukującym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remisję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0F9DD615" w14:textId="5CB80060" w:rsidR="00E87C2A" w:rsidRPr="00175C8D" w:rsidRDefault="00E87C2A" w:rsidP="00175C8D">
            <w:pPr>
              <w:pStyle w:val="Akapitzlist"/>
              <w:spacing w:after="60" w:line="276" w:lineRule="auto"/>
              <w:ind w:left="397"/>
              <w:contextualSpacing w:val="0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Brak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remisji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hematologicznej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jest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definiowany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jako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spełnienie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najmniej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jednego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poniższych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warunków: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352AAD0F" w14:textId="6834003E" w:rsidR="00E87C2A" w:rsidRPr="00175C8D" w:rsidRDefault="00E87C2A" w:rsidP="00175C8D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odsetek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blastycznych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szpiku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≥5%,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413DF297" w14:textId="1EF7A536" w:rsidR="00E87C2A" w:rsidRPr="00175C8D" w:rsidRDefault="00E87C2A" w:rsidP="00175C8D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obecność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blastycznych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krwi,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wykrywanych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metodą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cytologiczną,</w:t>
            </w:r>
          </w:p>
          <w:p w14:paraId="0090520B" w14:textId="0D22C8C8" w:rsidR="00E87C2A" w:rsidRPr="00175C8D" w:rsidRDefault="00E87C2A" w:rsidP="00175C8D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obecność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pozaszpikowych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ognisk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choroby.</w:t>
            </w:r>
          </w:p>
          <w:p w14:paraId="39DC07DC" w14:textId="396B9CFE" w:rsidR="00E87C2A" w:rsidRPr="00175C8D" w:rsidRDefault="009F2B15" w:rsidP="00175C8D">
            <w:pPr>
              <w:widowControl/>
              <w:numPr>
                <w:ilvl w:val="2"/>
                <w:numId w:val="12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Wznowa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hematologiczna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choroby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definiowana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jest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jako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wystąpienie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co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najmniej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jednego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poniższych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warunków: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49264C0D" w14:textId="7EAD5951" w:rsidR="00E87C2A" w:rsidRPr="00175C8D" w:rsidRDefault="00E87C2A" w:rsidP="00175C8D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odsetek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blastycznych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szpiku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≥5%,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5D40735A" w14:textId="67886AD2" w:rsidR="00E87C2A" w:rsidRPr="00175C8D" w:rsidRDefault="00E87C2A" w:rsidP="00175C8D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obecność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blastycznych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krwi,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wykrywanych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metodą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cytologiczną,</w:t>
            </w:r>
          </w:p>
          <w:p w14:paraId="0C961B5D" w14:textId="7525E048" w:rsidR="00E87C2A" w:rsidRPr="00175C8D" w:rsidRDefault="00E87C2A" w:rsidP="00175C8D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obecność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pozaszpikowych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ognisk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choroby,</w:t>
            </w:r>
          </w:p>
          <w:p w14:paraId="75A48630" w14:textId="125BA628" w:rsidR="00E87C2A" w:rsidRPr="00175C8D" w:rsidRDefault="00E87C2A" w:rsidP="00175C8D">
            <w:pPr>
              <w:spacing w:after="60" w:line="276" w:lineRule="auto"/>
              <w:ind w:left="340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po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okresie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remisji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tj.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stanu,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którym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żaden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powyższych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warunków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był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spełniony,</w:t>
            </w:r>
          </w:p>
          <w:p w14:paraId="43BCE39C" w14:textId="76160D52" w:rsidR="00E87C2A" w:rsidRPr="00175C8D" w:rsidRDefault="009F2B15" w:rsidP="00175C8D">
            <w:pPr>
              <w:pStyle w:val="Akapitzlist"/>
              <w:widowControl/>
              <w:numPr>
                <w:ilvl w:val="2"/>
                <w:numId w:val="12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Z</w:t>
            </w:r>
            <w:r w:rsidR="00E87C2A" w:rsidRPr="00175C8D">
              <w:rPr>
                <w:rFonts w:ascii="Times New Roman" w:hAnsi="Times New Roman"/>
              </w:rPr>
              <w:t>akwalifikowani</w:t>
            </w:r>
            <w:r w:rsidRPr="00175C8D">
              <w:rPr>
                <w:rFonts w:ascii="Times New Roman" w:hAnsi="Times New Roman"/>
              </w:rPr>
              <w:t>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wcześniej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ramach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niniejszego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programu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lekowego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wyłączeni</w:t>
            </w:r>
            <w:r w:rsidRPr="00175C8D">
              <w:rPr>
                <w:rFonts w:ascii="Times New Roman" w:hAnsi="Times New Roman"/>
              </w:rPr>
              <w:t>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czasowo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ze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względu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wystąpienie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lastRenderedPageBreak/>
              <w:t>objawów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nietolerancji,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zgodnie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zapisami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Charakterystyki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Produktu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Leczniczego,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(przerwa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leczeniu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trwająca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więcej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niż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7,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ale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dłuższa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niż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14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dni).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przypadku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tych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pacjentów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badania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kwalifikacji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powinny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zostać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wykonane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zgodnie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decyzją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lekarza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prowadzącego.</w:t>
            </w:r>
          </w:p>
          <w:p w14:paraId="4074C165" w14:textId="46648789" w:rsidR="00E87C2A" w:rsidRPr="00175C8D" w:rsidRDefault="00E87C2A" w:rsidP="00175C8D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programu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są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kwalifikowani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wyłącznie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chorzy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bez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cech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zajęcia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ośrodkowego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układu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nerwowego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(OUN)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których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ma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przeciwwskazań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wykonania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transplantacji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0E44E9" w:rsidRPr="00175C8D">
              <w:rPr>
                <w:rFonts w:ascii="Times New Roman" w:hAnsi="Times New Roman"/>
              </w:rPr>
              <w:t>allogenicznych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krwiotwórczych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przypadku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identyfikacji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dawcy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uzyskania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całkowitej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remisji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hematologicznej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leczeniu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blinatumomabem.</w:t>
            </w:r>
          </w:p>
          <w:p w14:paraId="5A2C24D8" w14:textId="77777777" w:rsidR="00E87C2A" w:rsidRPr="00175C8D" w:rsidRDefault="00E87C2A" w:rsidP="00175C8D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</w:p>
          <w:p w14:paraId="6A8E548C" w14:textId="7F92DB95" w:rsidR="00E87C2A" w:rsidRPr="00175C8D" w:rsidRDefault="00E87C2A" w:rsidP="00175C8D">
            <w:pPr>
              <w:pStyle w:val="Akapitzlist"/>
              <w:widowControl/>
              <w:numPr>
                <w:ilvl w:val="1"/>
                <w:numId w:val="12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175C8D">
              <w:rPr>
                <w:rFonts w:ascii="Times New Roman" w:hAnsi="Times New Roman"/>
                <w:b/>
              </w:rPr>
              <w:t>Określenie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czasu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leczenia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w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programie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</w:p>
          <w:p w14:paraId="714E7624" w14:textId="6AF20E3A" w:rsidR="00E87C2A" w:rsidRPr="00175C8D" w:rsidRDefault="00E87C2A" w:rsidP="00175C8D">
            <w:pPr>
              <w:pStyle w:val="Akapitzlist"/>
              <w:widowControl/>
              <w:numPr>
                <w:ilvl w:val="2"/>
                <w:numId w:val="12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chorych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można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zastosować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maksymalnie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dwa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cykle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leczenia</w:t>
            </w:r>
          </w:p>
          <w:p w14:paraId="6A1749DF" w14:textId="26A33376" w:rsidR="00E87C2A" w:rsidRPr="00175C8D" w:rsidRDefault="00E87C2A" w:rsidP="00175C8D">
            <w:pPr>
              <w:pStyle w:val="Akapitzlist"/>
              <w:widowControl/>
              <w:numPr>
                <w:ilvl w:val="2"/>
                <w:numId w:val="12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momencie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kwalifikacji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blinatumomabem,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ile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było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to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wykonane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wcześniej,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należy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zlecić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badania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zmierzające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identyfikacji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potencjalnego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dawcy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krwiotwórczych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(zgodnego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zakresie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HLA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rodzeństwa,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dawcy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niespokrewnionego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dawcy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haploidentycznego).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Celem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jest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wykonanie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allogenicznej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transplantacji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krwiotwórczych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jednym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dwóch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cyklach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blinatumomabem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chorych,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którzy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uzyskają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całkowitą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remisję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hematologiczną.</w:t>
            </w:r>
          </w:p>
          <w:p w14:paraId="1A79E786" w14:textId="082E22FC" w:rsidR="00E87C2A" w:rsidRPr="00175C8D" w:rsidRDefault="00E87C2A" w:rsidP="00175C8D">
            <w:pPr>
              <w:pStyle w:val="Akapitzlist"/>
              <w:spacing w:after="60" w:line="276" w:lineRule="auto"/>
              <w:ind w:left="397"/>
              <w:contextualSpacing w:val="0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Całkowita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remisja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hematologiczna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jest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definiowana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jako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spełnienie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wszystkich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poniższych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warunków:</w:t>
            </w:r>
          </w:p>
          <w:p w14:paraId="51B3CEA7" w14:textId="29CD56BE" w:rsidR="00E87C2A" w:rsidRPr="00175C8D" w:rsidRDefault="00E87C2A" w:rsidP="00175C8D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odsetek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blastycznych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szpiku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&lt;5%,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7A0BC7BD" w14:textId="74B79EBF" w:rsidR="00E87C2A" w:rsidRPr="00175C8D" w:rsidRDefault="00E87C2A" w:rsidP="00175C8D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brak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blastycznych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krwi,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wykrywanych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metodą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cytologiczną,</w:t>
            </w:r>
          </w:p>
          <w:p w14:paraId="30FA8D28" w14:textId="5D1DADE9" w:rsidR="00E87C2A" w:rsidRPr="00175C8D" w:rsidRDefault="00E87C2A" w:rsidP="00175C8D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brak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pozaszpikowych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ognisk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choroby.</w:t>
            </w:r>
          </w:p>
          <w:p w14:paraId="1705F5CD" w14:textId="2186E5A1" w:rsidR="00E87C2A" w:rsidRPr="00175C8D" w:rsidRDefault="00E87C2A" w:rsidP="00175C8D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(UWAGA: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przy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definiowaniu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całkowitej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remisji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programie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bierze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się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pod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uwagę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normalizacji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parametrów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morfologii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krwi,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wpływa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to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bowiem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kwalifikację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chorego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allogenicznej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transplantacji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krwiotwórczych)</w:t>
            </w:r>
            <w:r w:rsidR="008B0E73" w:rsidRPr="00175C8D">
              <w:rPr>
                <w:rFonts w:ascii="Times New Roman" w:hAnsi="Times New Roman"/>
              </w:rPr>
              <w:t>.</w:t>
            </w:r>
          </w:p>
          <w:p w14:paraId="5AB36AC6" w14:textId="734A0057" w:rsidR="00E87C2A" w:rsidRPr="00175C8D" w:rsidRDefault="00E87C2A" w:rsidP="00175C8D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Czasowe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przerwanie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następuje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przypadkach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określonych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Charakterystyce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Produktu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Leczniczego.</w:t>
            </w:r>
          </w:p>
          <w:p w14:paraId="30141BB3" w14:textId="77777777" w:rsidR="00E87C2A" w:rsidRPr="00175C8D" w:rsidRDefault="00E87C2A" w:rsidP="00175C8D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</w:p>
          <w:p w14:paraId="0E777FD7" w14:textId="3492FC1C" w:rsidR="00E87C2A" w:rsidRPr="00175C8D" w:rsidRDefault="00E87C2A" w:rsidP="00175C8D">
            <w:pPr>
              <w:pStyle w:val="Akapitzlist"/>
              <w:widowControl/>
              <w:numPr>
                <w:ilvl w:val="1"/>
                <w:numId w:val="12"/>
              </w:numPr>
              <w:tabs>
                <w:tab w:val="left" w:pos="663"/>
              </w:tabs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175C8D">
              <w:rPr>
                <w:rFonts w:ascii="Times New Roman" w:hAnsi="Times New Roman"/>
                <w:b/>
              </w:rPr>
              <w:lastRenderedPageBreak/>
              <w:t>Kryteria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wyłączenia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z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programu</w:t>
            </w:r>
          </w:p>
          <w:p w14:paraId="19701E78" w14:textId="13C6C3AB" w:rsidR="00E87C2A" w:rsidRPr="00175C8D" w:rsidRDefault="00E87C2A" w:rsidP="00175C8D">
            <w:pPr>
              <w:widowControl/>
              <w:numPr>
                <w:ilvl w:val="2"/>
                <w:numId w:val="12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Wystąpienie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objawów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nietolerancji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blinatumomabu,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wskazanych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Charakterystyce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Produktu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Leczniczego,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wiążących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się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przerwą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leczeniu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dłuższą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niż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7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dni;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7D4DA061" w14:textId="57D595AC" w:rsidR="00E87C2A" w:rsidRPr="00175C8D" w:rsidRDefault="00E87C2A" w:rsidP="00175C8D">
            <w:pPr>
              <w:widowControl/>
              <w:numPr>
                <w:ilvl w:val="2"/>
                <w:numId w:val="12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Brak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remisji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hematologicznej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pierwszym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cyklu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blinatumomabem.</w:t>
            </w:r>
          </w:p>
          <w:p w14:paraId="260EB1AF" w14:textId="72080C17" w:rsidR="00E87C2A" w:rsidRPr="00175C8D" w:rsidRDefault="00E87C2A" w:rsidP="00175C8D">
            <w:pPr>
              <w:pStyle w:val="Akapitzlist"/>
              <w:spacing w:after="60" w:line="276" w:lineRule="auto"/>
              <w:ind w:left="397"/>
              <w:contextualSpacing w:val="0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Brak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remisji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hematologicznej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jest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definiowany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jako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spełnienie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najmniej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jednego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poniższych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warunków: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1CC35793" w14:textId="32C17AAA" w:rsidR="00E87C2A" w:rsidRPr="00175C8D" w:rsidRDefault="00E87C2A" w:rsidP="00175C8D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odsetek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blastycznych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szpiku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≥5%,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0D036372" w14:textId="70114692" w:rsidR="00E87C2A" w:rsidRPr="00175C8D" w:rsidRDefault="00E87C2A" w:rsidP="00175C8D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obecność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blastycznych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krwi,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wykrywanych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metodą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cytologiczną,</w:t>
            </w:r>
          </w:p>
          <w:p w14:paraId="560AB300" w14:textId="69594BA8" w:rsidR="00E87C2A" w:rsidRPr="00175C8D" w:rsidRDefault="00E87C2A" w:rsidP="00175C8D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obecność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pozaszpikowych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ognisk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choroby.</w:t>
            </w:r>
          </w:p>
          <w:p w14:paraId="2E00C410" w14:textId="38D585B9" w:rsidR="00E87C2A" w:rsidRPr="00175C8D" w:rsidRDefault="00E87C2A" w:rsidP="00175C8D">
            <w:pPr>
              <w:widowControl/>
              <w:numPr>
                <w:ilvl w:val="2"/>
                <w:numId w:val="12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Karmienie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piersią.</w:t>
            </w:r>
          </w:p>
          <w:p w14:paraId="01841870" w14:textId="362113C9" w:rsidR="008B0E73" w:rsidRPr="00175C8D" w:rsidRDefault="008B0E73" w:rsidP="00175C8D">
            <w:pPr>
              <w:widowControl/>
              <w:autoSpaceDE/>
              <w:autoSpaceDN/>
              <w:adjustRightInd/>
              <w:spacing w:after="60" w:line="276" w:lineRule="auto"/>
              <w:ind w:left="397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pct"/>
          </w:tcPr>
          <w:p w14:paraId="6D8F279E" w14:textId="7B469F9B" w:rsidR="00E87C2A" w:rsidRPr="00175C8D" w:rsidRDefault="00E87C2A" w:rsidP="00175C8D">
            <w:pPr>
              <w:pStyle w:val="Akapitzlist"/>
              <w:widowControl/>
              <w:numPr>
                <w:ilvl w:val="0"/>
                <w:numId w:val="13"/>
              </w:numPr>
              <w:tabs>
                <w:tab w:val="left" w:pos="176"/>
              </w:tabs>
              <w:autoSpaceDE/>
              <w:autoSpaceDN/>
              <w:adjustRightInd/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175C8D">
              <w:rPr>
                <w:rFonts w:ascii="Times New Roman" w:hAnsi="Times New Roman"/>
                <w:b/>
              </w:rPr>
              <w:lastRenderedPageBreak/>
              <w:t>Dawkowanie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</w:p>
          <w:p w14:paraId="27EFC904" w14:textId="480031F3" w:rsidR="00E87C2A" w:rsidRPr="00175C8D" w:rsidRDefault="00E87C2A" w:rsidP="00175C8D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Dawkowanie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podawanie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leku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należy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prowadzić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zgodnie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Chara</w:t>
            </w:r>
            <w:r w:rsidR="00425709" w:rsidRPr="00175C8D">
              <w:rPr>
                <w:rFonts w:ascii="Times New Roman" w:hAnsi="Times New Roman"/>
              </w:rPr>
              <w:t>kterystyką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425709" w:rsidRPr="00175C8D">
              <w:rPr>
                <w:rFonts w:ascii="Times New Roman" w:hAnsi="Times New Roman"/>
              </w:rPr>
              <w:t>Produktu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425709" w:rsidRPr="00175C8D">
              <w:rPr>
                <w:rFonts w:ascii="Times New Roman" w:hAnsi="Times New Roman"/>
              </w:rPr>
              <w:t>Leczniczego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425709" w:rsidRPr="00175C8D">
              <w:rPr>
                <w:rFonts w:ascii="Times New Roman" w:hAnsi="Times New Roman"/>
              </w:rPr>
              <w:t>aktualną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425709" w:rsidRPr="00175C8D">
              <w:rPr>
                <w:rFonts w:ascii="Times New Roman" w:hAnsi="Times New Roman"/>
              </w:rPr>
              <w:t>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425709" w:rsidRPr="00175C8D">
              <w:rPr>
                <w:rFonts w:ascii="Times New Roman" w:hAnsi="Times New Roman"/>
              </w:rPr>
              <w:t>dzień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425709" w:rsidRPr="00175C8D">
              <w:rPr>
                <w:rFonts w:ascii="Times New Roman" w:hAnsi="Times New Roman"/>
              </w:rPr>
              <w:t>wydania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425709" w:rsidRPr="00175C8D">
              <w:rPr>
                <w:rFonts w:ascii="Times New Roman" w:hAnsi="Times New Roman"/>
              </w:rPr>
              <w:t>decyzji.</w:t>
            </w:r>
          </w:p>
          <w:p w14:paraId="43AA415A" w14:textId="77777777" w:rsidR="00E87C2A" w:rsidRPr="00175C8D" w:rsidRDefault="00E87C2A" w:rsidP="00175C8D">
            <w:pPr>
              <w:pStyle w:val="Akapitzlist"/>
              <w:spacing w:after="60" w:line="276" w:lineRule="auto"/>
              <w:ind w:left="227"/>
              <w:contextualSpacing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96" w:type="pct"/>
          </w:tcPr>
          <w:p w14:paraId="1305FA82" w14:textId="4EB027E9" w:rsidR="00E87C2A" w:rsidRPr="00175C8D" w:rsidRDefault="00AA5364" w:rsidP="00175C8D">
            <w:pPr>
              <w:pStyle w:val="Akapitzlist"/>
              <w:numPr>
                <w:ilvl w:val="0"/>
                <w:numId w:val="14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  <w:b/>
              </w:rPr>
              <w:t>Badania</w:t>
            </w:r>
          </w:p>
          <w:p w14:paraId="6767F696" w14:textId="4AD1EF61" w:rsidR="00E87C2A" w:rsidRPr="00175C8D" w:rsidRDefault="00E87C2A" w:rsidP="00175C8D">
            <w:pPr>
              <w:pStyle w:val="Akapitzlist"/>
              <w:widowControl/>
              <w:numPr>
                <w:ilvl w:val="1"/>
                <w:numId w:val="14"/>
              </w:numPr>
              <w:tabs>
                <w:tab w:val="left" w:pos="0"/>
              </w:tabs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175C8D">
              <w:rPr>
                <w:rFonts w:ascii="Times New Roman" w:hAnsi="Times New Roman"/>
                <w:b/>
              </w:rPr>
              <w:t>Badania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przy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kwalifikacji</w:t>
            </w:r>
          </w:p>
          <w:p w14:paraId="1A6BBC86" w14:textId="2CEF9B65" w:rsidR="00E87C2A" w:rsidRPr="00175C8D" w:rsidRDefault="00FC2C59" w:rsidP="00175C8D">
            <w:pPr>
              <w:pStyle w:val="Akapitzlist"/>
              <w:widowControl/>
              <w:numPr>
                <w:ilvl w:val="2"/>
                <w:numId w:val="14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="00E87C2A" w:rsidRPr="00175C8D">
              <w:rPr>
                <w:rFonts w:ascii="Times New Roman" w:hAnsi="Times New Roman"/>
              </w:rPr>
              <w:t>dsetek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limfoblastów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z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ekspresją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CD19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w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szpiku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i/albo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we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krwi,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oceniany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badaniem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immunofenotypowym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metodą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cytometrii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przepływowej</w:t>
            </w:r>
            <w:r>
              <w:rPr>
                <w:rFonts w:ascii="Times New Roman" w:hAnsi="Times New Roman"/>
              </w:rPr>
              <w:t>;</w:t>
            </w:r>
          </w:p>
          <w:p w14:paraId="322C26F7" w14:textId="66F43034" w:rsidR="00E87C2A" w:rsidRPr="00175C8D" w:rsidRDefault="00FC2C59" w:rsidP="00175C8D">
            <w:pPr>
              <w:widowControl/>
              <w:numPr>
                <w:ilvl w:val="2"/>
                <w:numId w:val="14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E87C2A" w:rsidRPr="00175C8D">
              <w:rPr>
                <w:rFonts w:ascii="Times New Roman" w:hAnsi="Times New Roman"/>
              </w:rPr>
              <w:t>otwierdzenie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obecności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komórek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białaczkowych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w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materiale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tkankowym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innym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niż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szpik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lub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krew,</w:t>
            </w:r>
            <w:r>
              <w:rPr>
                <w:rFonts w:ascii="Times New Roman" w:hAnsi="Times New Roman"/>
              </w:rPr>
              <w:t xml:space="preserve"> </w:t>
            </w:r>
            <w:r w:rsidR="00425709" w:rsidRPr="00175C8D">
              <w:rPr>
                <w:rFonts w:ascii="Times New Roman" w:hAnsi="Times New Roman"/>
              </w:rPr>
              <w:t>w</w:t>
            </w:r>
            <w:r>
              <w:rPr>
                <w:rFonts w:ascii="Times New Roman" w:hAnsi="Times New Roman"/>
              </w:rPr>
              <w:t xml:space="preserve"> </w:t>
            </w:r>
            <w:r w:rsidR="00425709" w:rsidRPr="00175C8D">
              <w:rPr>
                <w:rFonts w:ascii="Times New Roman" w:hAnsi="Times New Roman"/>
              </w:rPr>
              <w:t>badaniu</w:t>
            </w:r>
            <w:r>
              <w:rPr>
                <w:rFonts w:ascii="Times New Roman" w:hAnsi="Times New Roman"/>
              </w:rPr>
              <w:t xml:space="preserve"> </w:t>
            </w:r>
            <w:r w:rsidR="00425709" w:rsidRPr="00175C8D">
              <w:rPr>
                <w:rFonts w:ascii="Times New Roman" w:hAnsi="Times New Roman"/>
              </w:rPr>
              <w:t>histopatologicznym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lub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cytomorfologicznym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lub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immunofenotypowym,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jeżeli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nie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stwierdza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się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zajęcia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szpiku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ani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obecności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komórek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białaczkowych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we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krwi</w:t>
            </w:r>
            <w:r>
              <w:rPr>
                <w:rFonts w:ascii="Times New Roman" w:hAnsi="Times New Roman"/>
              </w:rPr>
              <w:t>;</w:t>
            </w:r>
          </w:p>
          <w:p w14:paraId="62DF93BE" w14:textId="20977E97" w:rsidR="00E87C2A" w:rsidRPr="00175C8D" w:rsidRDefault="00FC2C59" w:rsidP="00175C8D">
            <w:pPr>
              <w:widowControl/>
              <w:numPr>
                <w:ilvl w:val="2"/>
                <w:numId w:val="14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E87C2A" w:rsidRPr="00175C8D">
              <w:rPr>
                <w:rFonts w:ascii="Times New Roman" w:hAnsi="Times New Roman"/>
              </w:rPr>
              <w:t>otwierdzenie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pozaszpikowych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ognisk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choroby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w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badaniach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obrazowych,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jeżeli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nie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stwierdza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się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zajęcia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szpiku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ani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obecności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komórek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białaczkowych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we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krwi</w:t>
            </w:r>
            <w:r>
              <w:rPr>
                <w:rFonts w:ascii="Times New Roman" w:hAnsi="Times New Roman"/>
              </w:rPr>
              <w:t>;</w:t>
            </w:r>
          </w:p>
          <w:p w14:paraId="3633BAD6" w14:textId="2B91E4AD" w:rsidR="00E87C2A" w:rsidRPr="00175C8D" w:rsidRDefault="00FC2C59" w:rsidP="00175C8D">
            <w:pPr>
              <w:widowControl/>
              <w:numPr>
                <w:ilvl w:val="2"/>
                <w:numId w:val="14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E87C2A" w:rsidRPr="00175C8D">
              <w:rPr>
                <w:rFonts w:ascii="Times New Roman" w:hAnsi="Times New Roman"/>
              </w:rPr>
              <w:t>ykluczenie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zajęcia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OUN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podstawie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badania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ogólnego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płynu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mózgowo-rdzeniowego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lub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badań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obrazowych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OUN.</w:t>
            </w:r>
          </w:p>
          <w:p w14:paraId="79938346" w14:textId="77777777" w:rsidR="00E87C2A" w:rsidRPr="00175C8D" w:rsidRDefault="00E87C2A" w:rsidP="00175C8D">
            <w:pPr>
              <w:widowControl/>
              <w:autoSpaceDE/>
              <w:autoSpaceDN/>
              <w:adjustRightInd/>
              <w:spacing w:after="60" w:line="276" w:lineRule="auto"/>
              <w:ind w:left="397"/>
              <w:jc w:val="both"/>
              <w:rPr>
                <w:rFonts w:ascii="Times New Roman" w:hAnsi="Times New Roman"/>
              </w:rPr>
            </w:pPr>
          </w:p>
          <w:p w14:paraId="2B2004F9" w14:textId="7E33EA73" w:rsidR="00E87C2A" w:rsidRPr="00175C8D" w:rsidRDefault="00E87C2A" w:rsidP="00175C8D">
            <w:pPr>
              <w:pStyle w:val="Akapitzlist"/>
              <w:numPr>
                <w:ilvl w:val="1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175C8D">
              <w:rPr>
                <w:rFonts w:ascii="Times New Roman" w:hAnsi="Times New Roman"/>
                <w:b/>
              </w:rPr>
              <w:t>Monitorowanie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leczenia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blinatumomabem</w:t>
            </w:r>
          </w:p>
          <w:p w14:paraId="066B97B5" w14:textId="1E890785" w:rsidR="00E87C2A" w:rsidRPr="00175C8D" w:rsidRDefault="00E87C2A" w:rsidP="00175C8D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Leczenie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będzie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prowadzone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warunkach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szpitalnych.</w:t>
            </w:r>
          </w:p>
          <w:p w14:paraId="68A7A6A9" w14:textId="7002DD62" w:rsidR="00E87C2A" w:rsidRPr="00175C8D" w:rsidRDefault="00E87C2A" w:rsidP="00175C8D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Po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pierwszym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drugim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cyklu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leczenia: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02B18C2C" w14:textId="6BB293AE" w:rsidR="00E87C2A" w:rsidRPr="00175C8D" w:rsidRDefault="00FC2C59" w:rsidP="00175C8D">
            <w:pPr>
              <w:widowControl/>
              <w:numPr>
                <w:ilvl w:val="2"/>
                <w:numId w:val="14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m</w:t>
            </w:r>
            <w:r w:rsidR="00E87C2A" w:rsidRPr="00175C8D">
              <w:rPr>
                <w:rFonts w:ascii="Times New Roman" w:hAnsi="Times New Roman"/>
              </w:rPr>
              <w:t>orfologia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krwi</w:t>
            </w:r>
            <w:r>
              <w:rPr>
                <w:rFonts w:ascii="Times New Roman" w:hAnsi="Times New Roman"/>
              </w:rPr>
              <w:t>;</w:t>
            </w:r>
          </w:p>
          <w:p w14:paraId="705B213D" w14:textId="5A23A8E5" w:rsidR="00E87C2A" w:rsidRPr="00175C8D" w:rsidRDefault="00FC2C59" w:rsidP="00175C8D">
            <w:pPr>
              <w:widowControl/>
              <w:numPr>
                <w:ilvl w:val="2"/>
                <w:numId w:val="14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="00E87C2A" w:rsidRPr="00175C8D">
              <w:rPr>
                <w:rFonts w:ascii="Times New Roman" w:hAnsi="Times New Roman"/>
              </w:rPr>
              <w:t>dsetek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limfoblastów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z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ekspresją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CD19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w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szpiku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i/albo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we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krwi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oceniany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badaniem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immunofenotypowym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metodą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cytometrii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przepływowej</w:t>
            </w:r>
            <w:r>
              <w:rPr>
                <w:rFonts w:ascii="Times New Roman" w:hAnsi="Times New Roman"/>
              </w:rPr>
              <w:t>;</w:t>
            </w:r>
          </w:p>
          <w:p w14:paraId="73171646" w14:textId="24AF496A" w:rsidR="00E87C2A" w:rsidRPr="00175C8D" w:rsidRDefault="00FC2C59" w:rsidP="00175C8D">
            <w:pPr>
              <w:widowControl/>
              <w:numPr>
                <w:ilvl w:val="2"/>
                <w:numId w:val="14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="00E87C2A" w:rsidRPr="00175C8D">
              <w:rPr>
                <w:rFonts w:ascii="Times New Roman" w:hAnsi="Times New Roman"/>
              </w:rPr>
              <w:t>cena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obecności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komórek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białaczkowych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w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materiale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tkankowym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innym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niż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szpik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lub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krew,</w:t>
            </w:r>
            <w:r>
              <w:rPr>
                <w:rFonts w:ascii="Times New Roman" w:hAnsi="Times New Roman"/>
              </w:rPr>
              <w:t xml:space="preserve"> </w:t>
            </w:r>
            <w:r w:rsidR="00425709" w:rsidRPr="00175C8D">
              <w:rPr>
                <w:rFonts w:ascii="Times New Roman" w:hAnsi="Times New Roman"/>
              </w:rPr>
              <w:t>w</w:t>
            </w:r>
            <w:r>
              <w:rPr>
                <w:rFonts w:ascii="Times New Roman" w:hAnsi="Times New Roman"/>
              </w:rPr>
              <w:t xml:space="preserve"> </w:t>
            </w:r>
            <w:r w:rsidR="00425709" w:rsidRPr="00175C8D">
              <w:rPr>
                <w:rFonts w:ascii="Times New Roman" w:hAnsi="Times New Roman"/>
              </w:rPr>
              <w:t>badaniu</w:t>
            </w:r>
            <w:r>
              <w:rPr>
                <w:rFonts w:ascii="Times New Roman" w:hAnsi="Times New Roman"/>
              </w:rPr>
              <w:t xml:space="preserve"> </w:t>
            </w:r>
            <w:r w:rsidR="00425709" w:rsidRPr="00175C8D">
              <w:rPr>
                <w:rFonts w:ascii="Times New Roman" w:hAnsi="Times New Roman"/>
              </w:rPr>
              <w:t>histopatologicznym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lub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c</w:t>
            </w:r>
            <w:r w:rsidR="00425709" w:rsidRPr="00175C8D">
              <w:rPr>
                <w:rFonts w:ascii="Times New Roman" w:hAnsi="Times New Roman"/>
              </w:rPr>
              <w:t>ytomorfologicznym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lub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immuno</w:t>
            </w:r>
            <w:r>
              <w:rPr>
                <w:rFonts w:ascii="Times New Roman" w:hAnsi="Times New Roman"/>
              </w:rPr>
              <w:t>-</w:t>
            </w:r>
            <w:r w:rsidR="00E87C2A" w:rsidRPr="00175C8D">
              <w:rPr>
                <w:rFonts w:ascii="Times New Roman" w:hAnsi="Times New Roman"/>
              </w:rPr>
              <w:t>fenotypowym,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jeżeli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nie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stwierdza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się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zajęcia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szpiku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ani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obecności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komórek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białaczkowych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we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krwi</w:t>
            </w:r>
            <w:r>
              <w:rPr>
                <w:rFonts w:ascii="Times New Roman" w:hAnsi="Times New Roman"/>
              </w:rPr>
              <w:t>;</w:t>
            </w:r>
          </w:p>
          <w:p w14:paraId="57BE6899" w14:textId="4988EB14" w:rsidR="00E87C2A" w:rsidRPr="00175C8D" w:rsidRDefault="00FC2C59" w:rsidP="00175C8D">
            <w:pPr>
              <w:widowControl/>
              <w:numPr>
                <w:ilvl w:val="2"/>
                <w:numId w:val="14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="00E87C2A" w:rsidRPr="00175C8D">
              <w:rPr>
                <w:rFonts w:ascii="Times New Roman" w:hAnsi="Times New Roman"/>
              </w:rPr>
              <w:t>cena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pozaszpikowych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ognisk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choroby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w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badaniach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obrazowych,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jeżeli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nie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stwierdza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się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zajęcia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szpiku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ani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obecności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komórek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białaczkowych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we</w:t>
            </w:r>
            <w:r>
              <w:rPr>
                <w:rFonts w:ascii="Times New Roman" w:hAnsi="Times New Roman"/>
              </w:rPr>
              <w:t xml:space="preserve"> </w:t>
            </w:r>
            <w:r w:rsidR="00E87C2A" w:rsidRPr="00175C8D">
              <w:rPr>
                <w:rFonts w:ascii="Times New Roman" w:hAnsi="Times New Roman"/>
              </w:rPr>
              <w:t>krwi.</w:t>
            </w:r>
          </w:p>
          <w:p w14:paraId="3EBFA873" w14:textId="2B33CA1C" w:rsidR="00E87C2A" w:rsidRPr="00175C8D" w:rsidRDefault="00E87C2A" w:rsidP="00175C8D">
            <w:pPr>
              <w:widowControl/>
              <w:autoSpaceDE/>
              <w:autoSpaceDN/>
              <w:adjustRightInd/>
              <w:spacing w:after="60" w:line="276" w:lineRule="auto"/>
              <w:ind w:left="397"/>
              <w:jc w:val="both"/>
              <w:rPr>
                <w:rFonts w:ascii="Times New Roman" w:hAnsi="Times New Roman"/>
              </w:rPr>
            </w:pPr>
          </w:p>
          <w:p w14:paraId="7599EA2B" w14:textId="77777777" w:rsidR="00E87C2A" w:rsidRPr="00175C8D" w:rsidRDefault="00E87C2A" w:rsidP="00175C8D">
            <w:pPr>
              <w:widowControl/>
              <w:autoSpaceDE/>
              <w:autoSpaceDN/>
              <w:adjustRightInd/>
              <w:spacing w:after="60" w:line="276" w:lineRule="auto"/>
              <w:ind w:left="397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D20F53" w:rsidRPr="00F15804" w14:paraId="79A6FA4C" w14:textId="77777777" w:rsidTr="008B0E73">
        <w:trPr>
          <w:trHeight w:val="567"/>
        </w:trPr>
        <w:tc>
          <w:tcPr>
            <w:tcW w:w="5000" w:type="pct"/>
            <w:gridSpan w:val="3"/>
            <w:vAlign w:val="center"/>
          </w:tcPr>
          <w:p w14:paraId="6C89B30D" w14:textId="4769873F" w:rsidR="00D20F53" w:rsidRPr="00175C8D" w:rsidRDefault="00175C8D" w:rsidP="00175C8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V.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="00C52AFB" w:rsidRPr="00175C8D">
              <w:rPr>
                <w:rFonts w:ascii="Times New Roman" w:hAnsi="Times New Roman"/>
                <w:b/>
              </w:rPr>
              <w:t>INOTUZUMAB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="00C52AFB" w:rsidRPr="00175C8D">
              <w:rPr>
                <w:rFonts w:ascii="Times New Roman" w:hAnsi="Times New Roman"/>
                <w:b/>
              </w:rPr>
              <w:t>OZOGAMYCYNY</w:t>
            </w:r>
          </w:p>
        </w:tc>
      </w:tr>
      <w:tr w:rsidR="00D20F53" w:rsidRPr="00F15804" w14:paraId="6E186982" w14:textId="77777777" w:rsidTr="00C64042">
        <w:trPr>
          <w:trHeight w:val="20"/>
        </w:trPr>
        <w:tc>
          <w:tcPr>
            <w:tcW w:w="2209" w:type="pct"/>
          </w:tcPr>
          <w:p w14:paraId="499D9413" w14:textId="552D2A60" w:rsidR="00D20F53" w:rsidRPr="008B0E73" w:rsidRDefault="00D20F53" w:rsidP="00B01680">
            <w:pPr>
              <w:pStyle w:val="Akapitzlist"/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8B0E73">
              <w:rPr>
                <w:rFonts w:ascii="Times New Roman" w:hAnsi="Times New Roman"/>
                <w:b/>
              </w:rPr>
              <w:t>Kryteria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kwalifikacji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do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leczenia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inotuzumabem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ozogamycyny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ostrej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białaczki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limfoblastycznej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z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komórek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prekursorowych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limfocytów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B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z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lub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bez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chromosomu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Filadelfia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="000E44E9" w:rsidRPr="008B0E73">
              <w:rPr>
                <w:rFonts w:ascii="Times New Roman" w:hAnsi="Times New Roman"/>
                <w:b/>
              </w:rPr>
              <w:t>(Ph)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u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8B0E73">
              <w:rPr>
                <w:rFonts w:ascii="Times New Roman" w:hAnsi="Times New Roman"/>
                <w:b/>
              </w:rPr>
              <w:t>dorosłych</w:t>
            </w:r>
          </w:p>
          <w:p w14:paraId="54CD171B" w14:textId="5C3305AA" w:rsidR="00D20F53" w:rsidRPr="008B0E73" w:rsidRDefault="00D20F53" w:rsidP="00B01680">
            <w:pPr>
              <w:pStyle w:val="Akapitzlist"/>
              <w:numPr>
                <w:ilvl w:val="1"/>
                <w:numId w:val="15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kwalifikowani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dorośli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(≥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18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lat)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chorzy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ostrą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białaczkę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limfoblastyczną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prekursorowych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limfocytów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B,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ekspresją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antygenu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CD22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&gt;1%,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stanie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sprawności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0-2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wg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ECOG:</w:t>
            </w:r>
          </w:p>
          <w:p w14:paraId="5AFC4F2F" w14:textId="484C918B" w:rsidR="00D20F53" w:rsidRPr="008B0E73" w:rsidRDefault="00D20F53" w:rsidP="00B01680">
            <w:pPr>
              <w:pStyle w:val="Akapitzlist"/>
              <w:widowControl/>
              <w:numPr>
                <w:ilvl w:val="2"/>
                <w:numId w:val="15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bez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chromosomu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Filadelfia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(Ph-),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których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spełniony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jest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przynajmniej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jeden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warunków:</w:t>
            </w:r>
          </w:p>
          <w:p w14:paraId="1C7698E4" w14:textId="44DEA452" w:rsidR="00D20F53" w:rsidRPr="008B0E73" w:rsidRDefault="00802837" w:rsidP="00B01680">
            <w:pPr>
              <w:widowControl/>
              <w:numPr>
                <w:ilvl w:val="3"/>
                <w:numId w:val="15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brak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całkowitej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remisji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hematologicznej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po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leczeniu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indukującym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remisję</w:t>
            </w:r>
            <w:r>
              <w:rPr>
                <w:rFonts w:ascii="Times New Roman" w:hAnsi="Times New Roman"/>
              </w:rPr>
              <w:t>,</w:t>
            </w:r>
          </w:p>
          <w:p w14:paraId="0CD41C00" w14:textId="7868FE3E" w:rsidR="00D20F53" w:rsidRPr="008B0E73" w:rsidRDefault="00802837" w:rsidP="00B01680">
            <w:pPr>
              <w:widowControl/>
              <w:numPr>
                <w:ilvl w:val="3"/>
                <w:numId w:val="15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wznowa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hematologiczn</w:t>
            </w:r>
            <w:r>
              <w:rPr>
                <w:rFonts w:ascii="Times New Roman" w:hAnsi="Times New Roman"/>
              </w:rPr>
              <w:t>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choroby</w:t>
            </w:r>
            <w:r>
              <w:rPr>
                <w:rFonts w:ascii="Times New Roman" w:hAnsi="Times New Roman"/>
              </w:rPr>
              <w:t>;</w:t>
            </w:r>
          </w:p>
          <w:p w14:paraId="4042F62E" w14:textId="16D0BD43" w:rsidR="00D20F53" w:rsidRPr="008B0E73" w:rsidRDefault="00D20F53" w:rsidP="00B01680">
            <w:pPr>
              <w:pStyle w:val="Akapitzlist"/>
              <w:widowControl/>
              <w:numPr>
                <w:ilvl w:val="2"/>
                <w:numId w:val="15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chromosomem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Filadelfia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(Ph+),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których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spełniony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jest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przynajmniej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jeden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warunków:</w:t>
            </w:r>
          </w:p>
          <w:p w14:paraId="63EB15CE" w14:textId="46F7C0CE" w:rsidR="00D20F53" w:rsidRPr="008B0E73" w:rsidRDefault="00802837" w:rsidP="00B01680">
            <w:pPr>
              <w:widowControl/>
              <w:numPr>
                <w:ilvl w:val="3"/>
                <w:numId w:val="15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brak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całkowitej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remisji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hematologicznej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po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leczeniu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przynajmniej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dwoma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inhibitorami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kinazy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tyrozynowej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BCR/ABL,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tym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przynajmniej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jednym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inhibitorem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II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III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D20F53" w:rsidRPr="008B0E73">
              <w:rPr>
                <w:rFonts w:ascii="Times New Roman" w:hAnsi="Times New Roman"/>
              </w:rPr>
              <w:t>generacji</w:t>
            </w:r>
            <w:r>
              <w:rPr>
                <w:rFonts w:ascii="Times New Roman" w:hAnsi="Times New Roman"/>
              </w:rPr>
              <w:t>,</w:t>
            </w:r>
          </w:p>
          <w:p w14:paraId="4CB06A89" w14:textId="31BAA618" w:rsidR="00D20F53" w:rsidRPr="008B0E73" w:rsidRDefault="00D20F53" w:rsidP="00B01680">
            <w:pPr>
              <w:widowControl/>
              <w:numPr>
                <w:ilvl w:val="3"/>
                <w:numId w:val="15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wznow</w:t>
            </w:r>
            <w:r w:rsidR="00802837">
              <w:rPr>
                <w:rFonts w:ascii="Times New Roman" w:hAnsi="Times New Roman"/>
              </w:rPr>
              <w:t>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hematologiczn</w:t>
            </w:r>
            <w:r w:rsidR="00802837">
              <w:rPr>
                <w:rFonts w:ascii="Times New Roman" w:hAnsi="Times New Roman"/>
              </w:rPr>
              <w:t>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choroby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802837">
              <w:rPr>
                <w:rFonts w:ascii="Times New Roman" w:hAnsi="Times New Roman"/>
              </w:rPr>
              <w:t>po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802837">
              <w:rPr>
                <w:rFonts w:ascii="Times New Roman" w:hAnsi="Times New Roman"/>
              </w:rPr>
              <w:t>leczeniu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przynajmniej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dwoma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inhibitorami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kinazy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tyrozynowej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BCR/ABL,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tym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przynajmniej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jednym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inhibitorem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II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III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generacji</w:t>
            </w:r>
            <w:r w:rsidR="00802837">
              <w:rPr>
                <w:rFonts w:ascii="Times New Roman" w:hAnsi="Times New Roman"/>
              </w:rPr>
              <w:t>.</w:t>
            </w:r>
          </w:p>
          <w:p w14:paraId="26F3D66C" w14:textId="77777777" w:rsidR="00D20F53" w:rsidRPr="008B0E73" w:rsidRDefault="00D20F53" w:rsidP="008B0E73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</w:p>
          <w:p w14:paraId="7375C01A" w14:textId="11FB07AF" w:rsidR="00D20F53" w:rsidRPr="008B0E73" w:rsidRDefault="00D20F53" w:rsidP="00B01680">
            <w:pPr>
              <w:pStyle w:val="Akapitzlist"/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Określenie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czasu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programie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47DF6A09" w14:textId="7001D24D" w:rsidR="00D20F53" w:rsidRPr="008B0E73" w:rsidRDefault="00D20F53" w:rsidP="00B01680">
            <w:pPr>
              <w:pStyle w:val="Akapitzlist"/>
              <w:widowControl/>
              <w:numPr>
                <w:ilvl w:val="2"/>
                <w:numId w:val="15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chorych,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których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planowane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jest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leczenie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za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pomocą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transplantacji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allogenicznych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krwiotwórczych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można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zastosować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maksymalnie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trzy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cykle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leczenia</w:t>
            </w:r>
            <w:r w:rsidR="00802837">
              <w:rPr>
                <w:rFonts w:ascii="Times New Roman" w:hAnsi="Times New Roman"/>
              </w:rPr>
              <w:t>.</w:t>
            </w:r>
          </w:p>
          <w:p w14:paraId="60F3B3FC" w14:textId="68D5B138" w:rsidR="00D20F53" w:rsidRPr="008B0E73" w:rsidRDefault="00D20F53" w:rsidP="00B01680">
            <w:pPr>
              <w:pStyle w:val="Akapitzlist"/>
              <w:widowControl/>
              <w:numPr>
                <w:ilvl w:val="2"/>
                <w:numId w:val="15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chorych,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których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jest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planowane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leczenie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za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pomocą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transplantacji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allogenicznych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krwiotwórczych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można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zastosować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maksymalnie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sześć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cykli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leczenia</w:t>
            </w:r>
            <w:r w:rsidR="00802837">
              <w:rPr>
                <w:rFonts w:ascii="Times New Roman" w:hAnsi="Times New Roman"/>
              </w:rPr>
              <w:t>.</w:t>
            </w:r>
          </w:p>
          <w:p w14:paraId="004CA6CA" w14:textId="77777777" w:rsidR="00D20F53" w:rsidRPr="008B0E73" w:rsidRDefault="00D20F53" w:rsidP="008B0E73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</w:p>
          <w:p w14:paraId="17A73780" w14:textId="3FCEA46E" w:rsidR="00D20F53" w:rsidRPr="008B0E73" w:rsidRDefault="00D20F53" w:rsidP="00B01680">
            <w:pPr>
              <w:pStyle w:val="Akapitzlist"/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Kryteria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wyłączenia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programu</w:t>
            </w:r>
          </w:p>
          <w:p w14:paraId="433CDE64" w14:textId="0E2F9A89" w:rsidR="00D20F53" w:rsidRPr="008B0E73" w:rsidRDefault="00D20F53" w:rsidP="00B01680">
            <w:pPr>
              <w:widowControl/>
              <w:numPr>
                <w:ilvl w:val="2"/>
                <w:numId w:val="15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Wystąpienie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objawów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nietolerancji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inotuzumabu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ozogamycyny</w:t>
            </w:r>
          </w:p>
          <w:p w14:paraId="112C7389" w14:textId="13E850F5" w:rsidR="00D20F53" w:rsidRPr="008B0E73" w:rsidRDefault="00D20F53" w:rsidP="00B01680">
            <w:pPr>
              <w:widowControl/>
              <w:numPr>
                <w:ilvl w:val="2"/>
                <w:numId w:val="15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Karmienie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piersią</w:t>
            </w:r>
          </w:p>
          <w:p w14:paraId="71590637" w14:textId="3037A679" w:rsidR="00D20F53" w:rsidRPr="008B0E73" w:rsidRDefault="00D20F53" w:rsidP="00B01680">
            <w:pPr>
              <w:widowControl/>
              <w:numPr>
                <w:ilvl w:val="2"/>
                <w:numId w:val="15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Progresja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trakcie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inotuzumabem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ozogamycyny</w:t>
            </w:r>
          </w:p>
          <w:p w14:paraId="262E2234" w14:textId="346C8370" w:rsidR="00D20F53" w:rsidRDefault="00D20F53" w:rsidP="00B01680">
            <w:pPr>
              <w:widowControl/>
              <w:numPr>
                <w:ilvl w:val="2"/>
                <w:numId w:val="15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Brak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remisji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całkowitej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(CR)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remisji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całkowitej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niepełną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regeneracją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hematopoezy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(CRi)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3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cyklach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leczenia</w:t>
            </w:r>
          </w:p>
          <w:p w14:paraId="2BF3DAF3" w14:textId="1DD241AC" w:rsidR="00802837" w:rsidRPr="008B0E73" w:rsidRDefault="00802837" w:rsidP="00802837">
            <w:pPr>
              <w:widowControl/>
              <w:autoSpaceDE/>
              <w:autoSpaceDN/>
              <w:adjustRightInd/>
              <w:spacing w:after="60" w:line="276" w:lineRule="auto"/>
              <w:ind w:left="397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pct"/>
          </w:tcPr>
          <w:p w14:paraId="061CD3F0" w14:textId="657B13CE" w:rsidR="0067027B" w:rsidRPr="008B0E73" w:rsidRDefault="0067027B" w:rsidP="00B01680">
            <w:pPr>
              <w:pStyle w:val="Akapitzlist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8B0E73">
              <w:rPr>
                <w:rFonts w:ascii="Times New Roman" w:hAnsi="Times New Roman"/>
                <w:b/>
              </w:rPr>
              <w:lastRenderedPageBreak/>
              <w:t>Dawkowanie</w:t>
            </w:r>
          </w:p>
          <w:p w14:paraId="4523622F" w14:textId="63756538" w:rsidR="00D20F53" w:rsidRPr="00802837" w:rsidRDefault="0067027B" w:rsidP="00802837">
            <w:pPr>
              <w:widowControl/>
              <w:tabs>
                <w:tab w:val="left" w:pos="176"/>
              </w:tabs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  <w:b/>
              </w:rPr>
            </w:pPr>
            <w:r w:rsidRPr="00802837">
              <w:rPr>
                <w:rFonts w:ascii="Times New Roman" w:hAnsi="Times New Roman"/>
              </w:rPr>
              <w:t>Zgodnie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02837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02837">
              <w:rPr>
                <w:rFonts w:ascii="Times New Roman" w:hAnsi="Times New Roman"/>
              </w:rPr>
              <w:t>Charakterysty</w:t>
            </w:r>
            <w:r w:rsidR="00425709" w:rsidRPr="00802837">
              <w:rPr>
                <w:rFonts w:ascii="Times New Roman" w:hAnsi="Times New Roman"/>
              </w:rPr>
              <w:t>ką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425709" w:rsidRPr="00802837">
              <w:rPr>
                <w:rFonts w:ascii="Times New Roman" w:hAnsi="Times New Roman"/>
              </w:rPr>
              <w:t>Produktu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425709" w:rsidRPr="00802837">
              <w:rPr>
                <w:rFonts w:ascii="Times New Roman" w:hAnsi="Times New Roman"/>
              </w:rPr>
              <w:t>Leczniczego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425709" w:rsidRPr="00802837">
              <w:rPr>
                <w:rFonts w:ascii="Times New Roman" w:hAnsi="Times New Roman"/>
              </w:rPr>
              <w:t>aktualną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425709" w:rsidRPr="00802837">
              <w:rPr>
                <w:rFonts w:ascii="Times New Roman" w:hAnsi="Times New Roman"/>
              </w:rPr>
              <w:t>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425709" w:rsidRPr="00802837">
              <w:rPr>
                <w:rFonts w:ascii="Times New Roman" w:hAnsi="Times New Roman"/>
              </w:rPr>
              <w:t>dzień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425709" w:rsidRPr="00802837">
              <w:rPr>
                <w:rFonts w:ascii="Times New Roman" w:hAnsi="Times New Roman"/>
              </w:rPr>
              <w:t>wydania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425709" w:rsidRPr="00802837">
              <w:rPr>
                <w:rFonts w:ascii="Times New Roman" w:hAnsi="Times New Roman"/>
              </w:rPr>
              <w:t>decyzji.</w:t>
            </w:r>
          </w:p>
        </w:tc>
        <w:tc>
          <w:tcPr>
            <w:tcW w:w="1396" w:type="pct"/>
          </w:tcPr>
          <w:p w14:paraId="1AF2795B" w14:textId="74E174C3" w:rsidR="0067027B" w:rsidRPr="008B0E73" w:rsidRDefault="0067027B" w:rsidP="00B01680">
            <w:pPr>
              <w:pStyle w:val="Akapitzlist"/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8B0E73">
              <w:rPr>
                <w:rFonts w:ascii="Times New Roman" w:hAnsi="Times New Roman"/>
                <w:b/>
              </w:rPr>
              <w:t>Badania</w:t>
            </w:r>
          </w:p>
          <w:p w14:paraId="1C86DA8C" w14:textId="115BFEC5" w:rsidR="0067027B" w:rsidRPr="008B0E73" w:rsidRDefault="0067027B" w:rsidP="00B01680">
            <w:pPr>
              <w:pStyle w:val="Akapitzlist"/>
              <w:widowControl/>
              <w:numPr>
                <w:ilvl w:val="1"/>
                <w:numId w:val="17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Badania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przy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kwalifikacji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11E02AB3" w14:textId="219D7CAF" w:rsidR="0067027B" w:rsidRPr="008B0E73" w:rsidRDefault="0067027B" w:rsidP="00B01680">
            <w:pPr>
              <w:pStyle w:val="Akapitzlist"/>
              <w:widowControl/>
              <w:numPr>
                <w:ilvl w:val="2"/>
                <w:numId w:val="17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Morfologia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krwi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rozmazem</w:t>
            </w:r>
            <w:r w:rsidR="00802837">
              <w:rPr>
                <w:rFonts w:ascii="Times New Roman" w:hAnsi="Times New Roman"/>
              </w:rPr>
              <w:t>;</w:t>
            </w:r>
          </w:p>
          <w:p w14:paraId="5FD2DBD5" w14:textId="6FAC95B3" w:rsidR="0067027B" w:rsidRPr="008B0E73" w:rsidRDefault="0067027B" w:rsidP="00B01680">
            <w:pPr>
              <w:widowControl/>
              <w:numPr>
                <w:ilvl w:val="2"/>
                <w:numId w:val="17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AspAT,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AlAT</w:t>
            </w:r>
            <w:r w:rsidR="00802837">
              <w:rPr>
                <w:rFonts w:ascii="Times New Roman" w:hAnsi="Times New Roman"/>
              </w:rPr>
              <w:t>;</w:t>
            </w:r>
          </w:p>
          <w:p w14:paraId="37486D2B" w14:textId="40A623C9" w:rsidR="0067027B" w:rsidRPr="008B0E73" w:rsidRDefault="0067027B" w:rsidP="00B01680">
            <w:pPr>
              <w:widowControl/>
              <w:numPr>
                <w:ilvl w:val="2"/>
                <w:numId w:val="17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Bilirubina</w:t>
            </w:r>
            <w:r w:rsidR="00802837">
              <w:rPr>
                <w:rFonts w:ascii="Times New Roman" w:hAnsi="Times New Roman"/>
              </w:rPr>
              <w:t>;</w:t>
            </w:r>
          </w:p>
          <w:p w14:paraId="7090EEF3" w14:textId="2CB7E76A" w:rsidR="0067027B" w:rsidRPr="008B0E73" w:rsidRDefault="0067027B" w:rsidP="00B01680">
            <w:pPr>
              <w:widowControl/>
              <w:numPr>
                <w:ilvl w:val="2"/>
                <w:numId w:val="17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Kreatynina</w:t>
            </w:r>
            <w:r w:rsidR="00802837">
              <w:rPr>
                <w:rFonts w:ascii="Times New Roman" w:hAnsi="Times New Roman"/>
              </w:rPr>
              <w:t>;</w:t>
            </w:r>
          </w:p>
          <w:p w14:paraId="032BC270" w14:textId="27F89E1C" w:rsidR="0067027B" w:rsidRPr="008B0E73" w:rsidRDefault="0067027B" w:rsidP="00B01680">
            <w:pPr>
              <w:widowControl/>
              <w:numPr>
                <w:ilvl w:val="2"/>
                <w:numId w:val="17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APTT,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PT,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fibrynogen</w:t>
            </w:r>
            <w:r w:rsidR="00802837">
              <w:rPr>
                <w:rFonts w:ascii="Times New Roman" w:hAnsi="Times New Roman"/>
              </w:rPr>
              <w:t>;</w:t>
            </w:r>
          </w:p>
          <w:p w14:paraId="40CEF45E" w14:textId="10258ABF" w:rsidR="0067027B" w:rsidRPr="008B0E73" w:rsidRDefault="0067027B" w:rsidP="00B01680">
            <w:pPr>
              <w:widowControl/>
              <w:numPr>
                <w:ilvl w:val="2"/>
                <w:numId w:val="17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Badanie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cytologiczne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szpiku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115186" w:rsidRPr="008B0E73">
              <w:rPr>
                <w:rFonts w:ascii="Times New Roman" w:hAnsi="Times New Roman"/>
              </w:rPr>
              <w:t>kostnego</w:t>
            </w:r>
            <w:r w:rsidR="00802837">
              <w:rPr>
                <w:rFonts w:ascii="Times New Roman" w:hAnsi="Times New Roman"/>
              </w:rPr>
              <w:t>;</w:t>
            </w:r>
          </w:p>
          <w:p w14:paraId="5E817E09" w14:textId="76C389CB" w:rsidR="0067027B" w:rsidRPr="008B0E73" w:rsidRDefault="0067027B" w:rsidP="00B01680">
            <w:pPr>
              <w:widowControl/>
              <w:numPr>
                <w:ilvl w:val="2"/>
                <w:numId w:val="17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Badanie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425709" w:rsidRPr="008B0E73">
              <w:rPr>
                <w:rFonts w:ascii="Times New Roman" w:hAnsi="Times New Roman"/>
              </w:rPr>
              <w:t>immunofenotypowe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425709" w:rsidRPr="008B0E73">
              <w:rPr>
                <w:rFonts w:ascii="Times New Roman" w:hAnsi="Times New Roman"/>
              </w:rPr>
              <w:t>szpiku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krwi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metodą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cytometrii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przepływowej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tym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ocena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ekspresji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CD22</w:t>
            </w:r>
            <w:r w:rsidR="00802837">
              <w:rPr>
                <w:rFonts w:ascii="Times New Roman" w:hAnsi="Times New Roman"/>
              </w:rPr>
              <w:t>;</w:t>
            </w:r>
          </w:p>
          <w:p w14:paraId="28CCFF7B" w14:textId="0CAF562E" w:rsidR="0067027B" w:rsidRPr="008B0E73" w:rsidRDefault="00425709" w:rsidP="00B01680">
            <w:pPr>
              <w:widowControl/>
              <w:numPr>
                <w:ilvl w:val="2"/>
                <w:numId w:val="17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Badanie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histopatologiczne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cytomorfologiczne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t>immunofenotypowe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lastRenderedPageBreak/>
              <w:t>materiału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t>tkankowego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t>innego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t>niż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t>szpik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t>krew,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t>jeżeli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t>stwierdza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t>się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t>pozaszpikowe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t>nacieki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t>białaczkowe,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t>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t>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stwierdza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się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zajęcia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szpiku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t>obecności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t>białaczkowych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8B0E73">
              <w:rPr>
                <w:rFonts w:ascii="Times New Roman" w:hAnsi="Times New Roman"/>
              </w:rPr>
              <w:t>krwi</w:t>
            </w:r>
            <w:r w:rsidR="00802837">
              <w:rPr>
                <w:rFonts w:ascii="Times New Roman" w:hAnsi="Times New Roman"/>
              </w:rPr>
              <w:t>.</w:t>
            </w:r>
          </w:p>
          <w:p w14:paraId="5B71CDDA" w14:textId="77777777" w:rsidR="0067027B" w:rsidRPr="008B0E73" w:rsidRDefault="0067027B" w:rsidP="008B0E73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</w:p>
          <w:p w14:paraId="37F2F891" w14:textId="3AC8C590" w:rsidR="0067027B" w:rsidRPr="008B0E73" w:rsidRDefault="0067027B" w:rsidP="00B01680">
            <w:pPr>
              <w:pStyle w:val="Akapitzlist"/>
              <w:widowControl/>
              <w:numPr>
                <w:ilvl w:val="1"/>
                <w:numId w:val="17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Monitorowanie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inotuzumabem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ozogamycyny</w:t>
            </w:r>
          </w:p>
          <w:p w14:paraId="6CCD74EB" w14:textId="22BE4498" w:rsidR="0067027B" w:rsidRPr="00CF560A" w:rsidRDefault="00CF560A" w:rsidP="00CF560A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CF560A">
              <w:rPr>
                <w:rFonts w:ascii="Times New Roman" w:hAnsi="Times New Roman"/>
                <w:b/>
                <w:bCs/>
              </w:rPr>
              <w:t>A.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czasie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pierwszego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cyklu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co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najmniej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raz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tygodniu: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210B5AFA" w14:textId="37B28958" w:rsidR="0067027B" w:rsidRPr="008B0E73" w:rsidRDefault="0067027B" w:rsidP="00B01680">
            <w:pPr>
              <w:pStyle w:val="Akapitzlist"/>
              <w:widowControl/>
              <w:numPr>
                <w:ilvl w:val="2"/>
                <w:numId w:val="17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Morfologia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krwi</w:t>
            </w:r>
          </w:p>
          <w:p w14:paraId="4BADE92F" w14:textId="117AB630" w:rsidR="0067027B" w:rsidRPr="008B0E73" w:rsidRDefault="0067027B" w:rsidP="00B01680">
            <w:pPr>
              <w:widowControl/>
              <w:numPr>
                <w:ilvl w:val="2"/>
                <w:numId w:val="17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AspAT,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AlAT</w:t>
            </w:r>
          </w:p>
          <w:p w14:paraId="69D78B09" w14:textId="1DCCA943" w:rsidR="0067027B" w:rsidRPr="008B0E73" w:rsidRDefault="0067027B" w:rsidP="00B01680">
            <w:pPr>
              <w:widowControl/>
              <w:numPr>
                <w:ilvl w:val="2"/>
                <w:numId w:val="17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Bilirubina</w:t>
            </w:r>
          </w:p>
          <w:p w14:paraId="20787037" w14:textId="473CE477" w:rsidR="0067027B" w:rsidRPr="00CF560A" w:rsidRDefault="00CF560A" w:rsidP="00CF560A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B.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Przed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rozpoczęciem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drugiego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kolejnych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cykli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leczenia,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następnie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co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najmniej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raz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tygodniu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czasie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drugiego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kolejnych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cykli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leczenia: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4775AB59" w14:textId="7FC8786F" w:rsidR="0067027B" w:rsidRPr="008B0E73" w:rsidRDefault="0067027B" w:rsidP="00B01680">
            <w:pPr>
              <w:pStyle w:val="Akapitzlist"/>
              <w:widowControl/>
              <w:numPr>
                <w:ilvl w:val="2"/>
                <w:numId w:val="18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Morfologia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krwi</w:t>
            </w:r>
          </w:p>
          <w:p w14:paraId="083B461C" w14:textId="39760D34" w:rsidR="0067027B" w:rsidRPr="008B0E73" w:rsidRDefault="0067027B" w:rsidP="00B01680">
            <w:pPr>
              <w:pStyle w:val="Akapitzlist"/>
              <w:widowControl/>
              <w:numPr>
                <w:ilvl w:val="2"/>
                <w:numId w:val="18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AspAT,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AlAT</w:t>
            </w:r>
          </w:p>
          <w:p w14:paraId="64FD4C4D" w14:textId="77777777" w:rsidR="0067027B" w:rsidRPr="008B0E73" w:rsidRDefault="0067027B" w:rsidP="00B01680">
            <w:pPr>
              <w:pStyle w:val="Akapitzlist"/>
              <w:widowControl/>
              <w:numPr>
                <w:ilvl w:val="2"/>
                <w:numId w:val="18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Bilirubina</w:t>
            </w:r>
          </w:p>
          <w:p w14:paraId="17623EED" w14:textId="4DA65201" w:rsidR="0067027B" w:rsidRPr="00CF560A" w:rsidRDefault="00CF560A" w:rsidP="00CF560A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C.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Po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każdym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cyklu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7027B" w:rsidRPr="00CF560A">
              <w:rPr>
                <w:rFonts w:ascii="Times New Roman" w:hAnsi="Times New Roman"/>
              </w:rPr>
              <w:t>leczenia: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2F14D9F9" w14:textId="5DAD0859" w:rsidR="0067027B" w:rsidRPr="008B0E73" w:rsidRDefault="0067027B" w:rsidP="00B01680">
            <w:pPr>
              <w:pStyle w:val="Akapitzlist"/>
              <w:widowControl/>
              <w:numPr>
                <w:ilvl w:val="2"/>
                <w:numId w:val="19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Badanie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cytologiczne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szpiku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115186" w:rsidRPr="008B0E73">
              <w:rPr>
                <w:rFonts w:ascii="Times New Roman" w:hAnsi="Times New Roman"/>
              </w:rPr>
              <w:t>kostnego</w:t>
            </w:r>
          </w:p>
          <w:p w14:paraId="4DFAF10F" w14:textId="174F4031" w:rsidR="0067027B" w:rsidRPr="008B0E73" w:rsidRDefault="0067027B" w:rsidP="00B01680">
            <w:pPr>
              <w:widowControl/>
              <w:numPr>
                <w:ilvl w:val="2"/>
                <w:numId w:val="19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B0E73">
              <w:rPr>
                <w:rFonts w:ascii="Times New Roman" w:hAnsi="Times New Roman"/>
              </w:rPr>
              <w:t>Badania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obrazowe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pozaszpikowych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lokalizacji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nacieków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białaczkowych,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jeżeli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przy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kwalifikacji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inotuzumabem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ozogamycyny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stwierdzono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pozaszpikowe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nacieki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były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one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widoczne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badaniach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B0E73">
              <w:rPr>
                <w:rFonts w:ascii="Times New Roman" w:hAnsi="Times New Roman"/>
              </w:rPr>
              <w:t>obrazowych</w:t>
            </w:r>
            <w:r w:rsidR="00CF560A">
              <w:rPr>
                <w:rFonts w:ascii="Times New Roman" w:hAnsi="Times New Roman"/>
              </w:rPr>
              <w:t>.</w:t>
            </w:r>
          </w:p>
          <w:p w14:paraId="797A90F8" w14:textId="69D75278" w:rsidR="00D20F53" w:rsidRPr="008B0E73" w:rsidRDefault="00D20F53" w:rsidP="008B0E73">
            <w:pPr>
              <w:pStyle w:val="Akapitzlist"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</w:p>
        </w:tc>
      </w:tr>
      <w:tr w:rsidR="006050C6" w:rsidRPr="00F15804" w14:paraId="628A3A3E" w14:textId="77777777" w:rsidTr="00CF560A">
        <w:trPr>
          <w:trHeight w:val="567"/>
        </w:trPr>
        <w:tc>
          <w:tcPr>
            <w:tcW w:w="5000" w:type="pct"/>
            <w:gridSpan w:val="3"/>
            <w:vAlign w:val="center"/>
          </w:tcPr>
          <w:p w14:paraId="4363B101" w14:textId="78A2C2BB" w:rsidR="006050C6" w:rsidRPr="00175C8D" w:rsidRDefault="00175C8D" w:rsidP="00175C8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VI.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="00BA32E9" w:rsidRPr="00175C8D">
              <w:rPr>
                <w:rFonts w:ascii="Times New Roman" w:hAnsi="Times New Roman"/>
                <w:b/>
              </w:rPr>
              <w:t>BLINATUMOMAB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="00BA32E9" w:rsidRPr="00175C8D">
              <w:rPr>
                <w:rFonts w:ascii="Times New Roman" w:hAnsi="Times New Roman"/>
                <w:b/>
              </w:rPr>
              <w:t>(</w:t>
            </w:r>
            <w:r w:rsidR="006050C6" w:rsidRPr="00175C8D">
              <w:rPr>
                <w:rFonts w:ascii="Times New Roman" w:hAnsi="Times New Roman"/>
                <w:b/>
              </w:rPr>
              <w:t>DZIECI</w:t>
            </w:r>
            <w:r w:rsidR="00BA32E9" w:rsidRPr="00175C8D">
              <w:rPr>
                <w:rFonts w:ascii="Times New Roman" w:hAnsi="Times New Roman"/>
                <w:b/>
              </w:rPr>
              <w:t>)</w:t>
            </w:r>
          </w:p>
        </w:tc>
      </w:tr>
      <w:tr w:rsidR="006050C6" w:rsidRPr="00F15804" w14:paraId="566A060D" w14:textId="77777777" w:rsidTr="00C64042">
        <w:trPr>
          <w:trHeight w:val="20"/>
        </w:trPr>
        <w:tc>
          <w:tcPr>
            <w:tcW w:w="2209" w:type="pct"/>
          </w:tcPr>
          <w:p w14:paraId="0DF5E8EC" w14:textId="18E35763" w:rsidR="006050C6" w:rsidRPr="00175C8D" w:rsidRDefault="006050C6" w:rsidP="00175C8D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before="120" w:after="60" w:line="276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75C8D">
              <w:rPr>
                <w:rFonts w:ascii="Times New Roman" w:hAnsi="Times New Roman"/>
                <w:b/>
                <w:color w:val="000000"/>
              </w:rPr>
              <w:t>Kryteria</w:t>
            </w:r>
            <w:r w:rsidR="00FC2C59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b/>
                <w:color w:val="000000"/>
              </w:rPr>
              <w:t>kwalifikacji</w:t>
            </w:r>
            <w:r w:rsidR="00FC2C59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b/>
                <w:color w:val="000000"/>
              </w:rPr>
              <w:t>do</w:t>
            </w:r>
            <w:r w:rsidR="00FC2C59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b/>
                <w:color w:val="000000"/>
              </w:rPr>
              <w:t>leczenia</w:t>
            </w:r>
            <w:r w:rsidR="00FC2C59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b/>
                <w:color w:val="000000"/>
              </w:rPr>
              <w:t>blinatumomabem</w:t>
            </w:r>
            <w:r w:rsidR="00FC2C59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b/>
                <w:color w:val="000000"/>
              </w:rPr>
              <w:t>ostrej</w:t>
            </w:r>
            <w:r w:rsidR="00FC2C59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b/>
                <w:color w:val="000000"/>
              </w:rPr>
              <w:t>białaczki</w:t>
            </w:r>
            <w:r w:rsidR="00FC2C59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b/>
                <w:color w:val="000000"/>
              </w:rPr>
              <w:t>limfoblastycznej</w:t>
            </w:r>
            <w:r w:rsidR="00FC2C59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b/>
                <w:color w:val="000000"/>
              </w:rPr>
              <w:t>z</w:t>
            </w:r>
            <w:r w:rsidR="00FC2C59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b/>
                <w:color w:val="000000"/>
              </w:rPr>
              <w:t>komórek</w:t>
            </w:r>
            <w:r w:rsidR="00FC2C59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b/>
                <w:color w:val="000000"/>
              </w:rPr>
              <w:t>prekursorowych</w:t>
            </w:r>
            <w:r w:rsidR="00FC2C59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b/>
                <w:color w:val="000000"/>
              </w:rPr>
              <w:t>limfocytów</w:t>
            </w:r>
            <w:r w:rsidR="00FC2C59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b/>
                <w:color w:val="000000"/>
              </w:rPr>
              <w:t>B</w:t>
            </w:r>
            <w:r w:rsidR="00FC2C59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b/>
                <w:color w:val="000000"/>
              </w:rPr>
              <w:t>bez</w:t>
            </w:r>
            <w:r w:rsidR="00FC2C59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b/>
                <w:color w:val="000000"/>
              </w:rPr>
              <w:t>chromosomu</w:t>
            </w:r>
            <w:r w:rsidR="00FC2C59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b/>
                <w:color w:val="000000"/>
              </w:rPr>
              <w:t>Philadelphia</w:t>
            </w:r>
            <w:r w:rsidR="00FC2C59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b/>
                <w:color w:val="000000"/>
              </w:rPr>
              <w:t>u</w:t>
            </w:r>
            <w:r w:rsidR="00FC2C59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b/>
                <w:color w:val="000000"/>
              </w:rPr>
              <w:t>dzieci</w:t>
            </w:r>
          </w:p>
          <w:p w14:paraId="7DD2C9CB" w14:textId="367931F6" w:rsidR="003E5DF2" w:rsidRPr="00175C8D" w:rsidRDefault="003E5DF2" w:rsidP="00175C8D">
            <w:pPr>
              <w:pStyle w:val="Akapitzlist"/>
              <w:numPr>
                <w:ilvl w:val="1"/>
                <w:numId w:val="2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/>
              </w:rPr>
            </w:pPr>
            <w:r w:rsidRPr="00175C8D">
              <w:rPr>
                <w:rFonts w:ascii="Times New Roman" w:hAnsi="Times New Roman"/>
                <w:color w:val="000000"/>
              </w:rPr>
              <w:t>Do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leczenia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kwalifikowane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są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dzieci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(≥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1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r.ż.)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z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ostrą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białaczką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limfoblastyczną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z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komórek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prekursorowych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limfocytów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B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bez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obecności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genu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i/>
                <w:color w:val="000000"/>
              </w:rPr>
              <w:t>BCR-ABL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lub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chromosomu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Philadelphia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i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z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ekspresją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antygenu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CD19,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u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których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spełniony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jest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przynajmniej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jeden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z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warunków:</w:t>
            </w:r>
          </w:p>
          <w:p w14:paraId="10DC1F5D" w14:textId="6CF62F71" w:rsidR="006050C6" w:rsidRPr="00175C8D" w:rsidRDefault="00CF560A" w:rsidP="00175C8D">
            <w:pPr>
              <w:widowControl/>
              <w:numPr>
                <w:ilvl w:val="2"/>
                <w:numId w:val="20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175C8D">
              <w:rPr>
                <w:rFonts w:ascii="Times New Roman" w:hAnsi="Times New Roman"/>
                <w:color w:val="000000"/>
              </w:rPr>
              <w:t>b</w:t>
            </w:r>
            <w:r w:rsidR="009F2B15" w:rsidRPr="00175C8D">
              <w:rPr>
                <w:rFonts w:ascii="Times New Roman" w:hAnsi="Times New Roman"/>
                <w:color w:val="000000"/>
              </w:rPr>
              <w:t>rak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remisji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hematologicznej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po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leczeniu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indukującym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remisję,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niezależnie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od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linii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leczenia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definiowany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jako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spełnienie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co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najmniej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jednego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z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poniższych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warunków: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67ABEE6D" w14:textId="434BCC15" w:rsidR="006050C6" w:rsidRPr="00175C8D" w:rsidRDefault="006050C6" w:rsidP="00175C8D">
            <w:pPr>
              <w:pStyle w:val="Akapitzlist"/>
              <w:numPr>
                <w:ilvl w:val="3"/>
                <w:numId w:val="2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/>
              </w:rPr>
            </w:pPr>
            <w:r w:rsidRPr="00175C8D">
              <w:rPr>
                <w:rFonts w:ascii="Times New Roman" w:hAnsi="Times New Roman"/>
                <w:color w:val="000000"/>
              </w:rPr>
              <w:t>odsetek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komórek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blastycznych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w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szpiku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≥5%,</w:t>
            </w:r>
          </w:p>
          <w:p w14:paraId="49E6BBEA" w14:textId="4741545D" w:rsidR="006050C6" w:rsidRPr="00175C8D" w:rsidRDefault="006050C6" w:rsidP="00175C8D">
            <w:pPr>
              <w:pStyle w:val="Akapitzlist"/>
              <w:numPr>
                <w:ilvl w:val="3"/>
                <w:numId w:val="2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/>
              </w:rPr>
            </w:pPr>
            <w:r w:rsidRPr="00175C8D">
              <w:rPr>
                <w:rFonts w:ascii="Times New Roman" w:hAnsi="Times New Roman"/>
                <w:color w:val="000000"/>
              </w:rPr>
              <w:t>obecność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pozaszpikowych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ognisk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choroby</w:t>
            </w:r>
            <w:r w:rsidR="00CF560A" w:rsidRPr="00175C8D">
              <w:rPr>
                <w:rFonts w:ascii="Times New Roman" w:hAnsi="Times New Roman"/>
                <w:color w:val="000000"/>
              </w:rPr>
              <w:t>;</w:t>
            </w:r>
          </w:p>
          <w:p w14:paraId="7D243902" w14:textId="277C07F2" w:rsidR="006050C6" w:rsidRPr="00175C8D" w:rsidRDefault="009F2B15" w:rsidP="00175C8D">
            <w:pPr>
              <w:widowControl/>
              <w:numPr>
                <w:ilvl w:val="2"/>
                <w:numId w:val="20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175C8D">
              <w:rPr>
                <w:rFonts w:ascii="Times New Roman" w:hAnsi="Times New Roman"/>
                <w:color w:val="000000"/>
              </w:rPr>
              <w:t>Wystąpienie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wznowy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hematologicznej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choroby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bCs/>
                <w:color w:val="000000"/>
              </w:rPr>
              <w:t>po</w:t>
            </w:r>
            <w:r w:rsidR="00FC2C59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bCs/>
                <w:color w:val="000000"/>
              </w:rPr>
              <w:t>wcześniejszym</w:t>
            </w:r>
            <w:r w:rsidR="00FC2C59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bCs/>
                <w:color w:val="000000"/>
              </w:rPr>
              <w:t>zastosowaniu</w:t>
            </w:r>
            <w:r w:rsidR="00FC2C59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bCs/>
                <w:color w:val="000000"/>
              </w:rPr>
              <w:t>co</w:t>
            </w:r>
            <w:r w:rsidR="00FC2C59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bCs/>
                <w:color w:val="000000"/>
              </w:rPr>
              <w:t>najmniej</w:t>
            </w:r>
            <w:r w:rsidR="00FC2C59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bCs/>
                <w:color w:val="000000"/>
              </w:rPr>
              <w:t>dwóch</w:t>
            </w:r>
            <w:r w:rsidR="00FC2C59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bCs/>
                <w:color w:val="000000"/>
              </w:rPr>
              <w:t>schematów</w:t>
            </w:r>
            <w:r w:rsidR="00FC2C59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bCs/>
                <w:color w:val="000000"/>
              </w:rPr>
              <w:t>leczenia</w:t>
            </w:r>
          </w:p>
          <w:p w14:paraId="39483E77" w14:textId="6D98F3B2" w:rsidR="006050C6" w:rsidRPr="00175C8D" w:rsidRDefault="00C24F60" w:rsidP="00175C8D">
            <w:pPr>
              <w:widowControl/>
              <w:numPr>
                <w:ilvl w:val="2"/>
                <w:numId w:val="20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175C8D">
              <w:rPr>
                <w:rFonts w:ascii="Times New Roman" w:hAnsi="Times New Roman"/>
                <w:color w:val="000000"/>
              </w:rPr>
              <w:t>Wystąpienie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wznowy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hematologicznej</w:t>
            </w:r>
            <w:r w:rsidR="00FC2C59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bCs/>
                <w:color w:val="000000"/>
              </w:rPr>
              <w:t>po</w:t>
            </w:r>
            <w:r w:rsidR="00FC2C59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bCs/>
                <w:color w:val="000000"/>
              </w:rPr>
              <w:t>wcześniejszej</w:t>
            </w:r>
            <w:r w:rsidR="00FC2C59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bCs/>
                <w:color w:val="000000"/>
              </w:rPr>
              <w:t>allogenicznej</w:t>
            </w:r>
            <w:r w:rsidR="00FC2C59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bCs/>
                <w:color w:val="000000"/>
              </w:rPr>
              <w:t>transplantacji</w:t>
            </w:r>
            <w:r w:rsidR="00FC2C59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bCs/>
                <w:color w:val="000000"/>
              </w:rPr>
              <w:t>komórek</w:t>
            </w:r>
            <w:r w:rsidR="00FC2C59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bCs/>
                <w:color w:val="000000"/>
              </w:rPr>
              <w:t>krwiotwórczych</w:t>
            </w:r>
          </w:p>
          <w:p w14:paraId="160F554F" w14:textId="6604067E" w:rsidR="006050C6" w:rsidRPr="00175C8D" w:rsidRDefault="00C24F60" w:rsidP="00175C8D">
            <w:pPr>
              <w:pStyle w:val="Akapitzlist"/>
              <w:widowControl/>
              <w:numPr>
                <w:ilvl w:val="2"/>
                <w:numId w:val="20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/>
              </w:rPr>
            </w:pPr>
            <w:r w:rsidRPr="00175C8D">
              <w:rPr>
                <w:rFonts w:ascii="Times New Roman" w:hAnsi="Times New Roman"/>
                <w:color w:val="000000"/>
              </w:rPr>
              <w:t>W</w:t>
            </w:r>
            <w:r w:rsidR="006050C6" w:rsidRPr="00175C8D">
              <w:rPr>
                <w:rFonts w:ascii="Times New Roman" w:hAnsi="Times New Roman"/>
                <w:color w:val="000000"/>
              </w:rPr>
              <w:t>cześniej</w:t>
            </w:r>
            <w:r w:rsidRPr="00175C8D">
              <w:rPr>
                <w:rFonts w:ascii="Times New Roman" w:hAnsi="Times New Roman"/>
                <w:color w:val="000000"/>
              </w:rPr>
              <w:t>sza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kwalifikacja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do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leczenia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w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ramach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niniejszego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programu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lekowego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i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wyłączeni</w:t>
            </w:r>
            <w:r w:rsidRPr="00175C8D">
              <w:rPr>
                <w:rFonts w:ascii="Times New Roman" w:hAnsi="Times New Roman"/>
                <w:color w:val="000000"/>
              </w:rPr>
              <w:t>e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czasowo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z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leczenia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ze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względu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na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wystąpienie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objawów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nietolerancji,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zgodnie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z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zapisami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Charakterystyki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Produktu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Leczniczego,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(przerwa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w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leczeniu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trwająca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więcej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niż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7,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ale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nie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dłuższa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niż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14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dni).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W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przypadku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tych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pacjentów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badania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do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kwalifikacji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powinny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zostać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wykonane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zgodnie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z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decyzją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lekarza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="006050C6" w:rsidRPr="00175C8D">
              <w:rPr>
                <w:rFonts w:ascii="Times New Roman" w:hAnsi="Times New Roman"/>
                <w:color w:val="000000"/>
              </w:rPr>
              <w:t>prowadzącego.</w:t>
            </w:r>
          </w:p>
          <w:p w14:paraId="2FDEFDB2" w14:textId="7E7E14C3" w:rsidR="003E5DF2" w:rsidRPr="00175C8D" w:rsidRDefault="003E5DF2" w:rsidP="00175C8D">
            <w:pPr>
              <w:spacing w:after="60"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175C8D">
              <w:rPr>
                <w:rFonts w:ascii="Times New Roman" w:hAnsi="Times New Roman"/>
                <w:color w:val="000000"/>
              </w:rPr>
              <w:t>Do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programu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kwalifikowane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są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również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niemowlęta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i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dzieci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do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1.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roku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życia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z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wrodzoną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ostrą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białaczką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limfoblastyczną,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w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przypadku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wznowy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lub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braku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molekularnej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remisji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choroby.</w:t>
            </w:r>
          </w:p>
          <w:p w14:paraId="20C25AC8" w14:textId="20402744" w:rsidR="006050C6" w:rsidRPr="00175C8D" w:rsidRDefault="006050C6" w:rsidP="00175C8D">
            <w:pPr>
              <w:spacing w:after="60"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175C8D">
              <w:rPr>
                <w:rFonts w:ascii="Times New Roman" w:hAnsi="Times New Roman"/>
                <w:color w:val="000000"/>
              </w:rPr>
              <w:t>Do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programu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są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kwalifikowani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wyłącznie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chorzy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bez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cech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aktywnej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choroby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ośrodkowego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układu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nerwowego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(OUN)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w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momencie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kwalifikacji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do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program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i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u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których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nie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ma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przeciwwskazań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do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wykonania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allogenicznej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transplantacji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lastRenderedPageBreak/>
              <w:t>komórek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krwiotwórczych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w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przypadku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identyfikacji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dawcy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i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uzyskania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całkowitej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remisji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po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leczeniu</w:t>
            </w:r>
            <w:r w:rsidR="00FC2C59">
              <w:rPr>
                <w:rFonts w:ascii="Times New Roman" w:hAnsi="Times New Roman"/>
                <w:color w:val="000000"/>
              </w:rPr>
              <w:t xml:space="preserve"> </w:t>
            </w:r>
            <w:r w:rsidRPr="00175C8D">
              <w:rPr>
                <w:rFonts w:ascii="Times New Roman" w:hAnsi="Times New Roman"/>
                <w:color w:val="000000"/>
              </w:rPr>
              <w:t>blinatumomabem.</w:t>
            </w:r>
          </w:p>
          <w:p w14:paraId="2D722A01" w14:textId="77777777" w:rsidR="006050C6" w:rsidRPr="00175C8D" w:rsidRDefault="006050C6" w:rsidP="00175C8D">
            <w:pPr>
              <w:spacing w:after="60" w:line="276" w:lineRule="auto"/>
              <w:ind w:left="360"/>
              <w:jc w:val="both"/>
              <w:rPr>
                <w:rFonts w:ascii="Times New Roman" w:hAnsi="Times New Roman"/>
              </w:rPr>
            </w:pPr>
          </w:p>
          <w:p w14:paraId="0FC22B6D" w14:textId="297D58AA" w:rsidR="006050C6" w:rsidRPr="00175C8D" w:rsidRDefault="006050C6" w:rsidP="00175C8D">
            <w:pPr>
              <w:pStyle w:val="Akapitzlist"/>
              <w:widowControl/>
              <w:numPr>
                <w:ilvl w:val="1"/>
                <w:numId w:val="20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175C8D">
              <w:rPr>
                <w:rFonts w:ascii="Times New Roman" w:hAnsi="Times New Roman"/>
                <w:b/>
              </w:rPr>
              <w:t>Określenie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czasu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leczenia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w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programie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</w:p>
          <w:p w14:paraId="2708BDE1" w14:textId="6FEAB7C2" w:rsidR="006050C6" w:rsidRPr="00175C8D" w:rsidRDefault="00CF560A" w:rsidP="00175C8D">
            <w:pPr>
              <w:pStyle w:val="Akapitzlist"/>
              <w:widowControl/>
              <w:numPr>
                <w:ilvl w:val="2"/>
                <w:numId w:val="20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0C6" w:rsidRPr="00175C8D">
              <w:rPr>
                <w:rFonts w:ascii="Times New Roman" w:hAnsi="Times New Roman"/>
              </w:rPr>
              <w:t>chorych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0C6" w:rsidRPr="00175C8D">
              <w:rPr>
                <w:rFonts w:ascii="Times New Roman" w:hAnsi="Times New Roman"/>
              </w:rPr>
              <w:t>można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0C6" w:rsidRPr="00175C8D">
              <w:rPr>
                <w:rFonts w:ascii="Times New Roman" w:hAnsi="Times New Roman"/>
              </w:rPr>
              <w:t>zastosować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0C6" w:rsidRPr="00175C8D">
              <w:rPr>
                <w:rFonts w:ascii="Times New Roman" w:hAnsi="Times New Roman"/>
              </w:rPr>
              <w:t>maksymalnie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0C6" w:rsidRPr="00175C8D">
              <w:rPr>
                <w:rFonts w:ascii="Times New Roman" w:hAnsi="Times New Roman"/>
              </w:rPr>
              <w:t>dwa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0C6" w:rsidRPr="00175C8D">
              <w:rPr>
                <w:rFonts w:ascii="Times New Roman" w:hAnsi="Times New Roman"/>
              </w:rPr>
              <w:t>cykle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050C6" w:rsidRPr="00175C8D">
              <w:rPr>
                <w:rFonts w:ascii="Times New Roman" w:hAnsi="Times New Roman"/>
              </w:rPr>
              <w:t>leczenia</w:t>
            </w:r>
            <w:r w:rsidRPr="00175C8D">
              <w:rPr>
                <w:rFonts w:ascii="Times New Roman" w:hAnsi="Times New Roman"/>
              </w:rPr>
              <w:t>;</w:t>
            </w:r>
          </w:p>
          <w:p w14:paraId="15692CF1" w14:textId="4609505D" w:rsidR="006050C6" w:rsidRPr="00175C8D" w:rsidRDefault="006050C6" w:rsidP="00175C8D">
            <w:pPr>
              <w:pStyle w:val="Akapitzlist"/>
              <w:widowControl/>
              <w:numPr>
                <w:ilvl w:val="2"/>
                <w:numId w:val="20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momencie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kwalifikacji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blinatumomabem,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ile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było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to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wykonane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wcześniej,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należy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zlecić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badania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zmierzające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identyfikacji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potencjalnego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dawcy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krwiotwórczych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(zgodnego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zakresie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HLA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rodzeństwa,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dawcy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niespokrewnionego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dawcy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haploidentycznego).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Celem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jest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wykonanie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allogenicznej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transplantacji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krwiotwórczych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jednym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dwóch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cyklach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blinatumomabem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chorych,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którzy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uzyskają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całkowitą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remisję.</w:t>
            </w:r>
          </w:p>
          <w:p w14:paraId="7EEDE8F9" w14:textId="33308E8F" w:rsidR="006050C6" w:rsidRPr="00175C8D" w:rsidRDefault="006050C6" w:rsidP="00175C8D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Całkowita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remisja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jest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definiowana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jako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spełnienie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wszystkich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poniższych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warunków:</w:t>
            </w:r>
          </w:p>
          <w:p w14:paraId="080F86FB" w14:textId="0198D0F3" w:rsidR="006050C6" w:rsidRPr="00175C8D" w:rsidRDefault="006050C6" w:rsidP="00175C8D">
            <w:pPr>
              <w:pStyle w:val="Akapitzlist"/>
              <w:numPr>
                <w:ilvl w:val="3"/>
                <w:numId w:val="2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odsetek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blastycznych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szpiku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&lt;5%,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56B9FBA9" w14:textId="0A93017B" w:rsidR="006050C6" w:rsidRPr="00175C8D" w:rsidRDefault="006050C6" w:rsidP="00175C8D">
            <w:pPr>
              <w:pStyle w:val="Akapitzlist"/>
              <w:numPr>
                <w:ilvl w:val="3"/>
                <w:numId w:val="2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brak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blastycznych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krwi,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wykrywanych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metodą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cytologiczną,</w:t>
            </w:r>
          </w:p>
          <w:p w14:paraId="37F8703D" w14:textId="75986C27" w:rsidR="006050C6" w:rsidRPr="00175C8D" w:rsidRDefault="006050C6" w:rsidP="00175C8D">
            <w:pPr>
              <w:pStyle w:val="Akapitzlist"/>
              <w:numPr>
                <w:ilvl w:val="3"/>
                <w:numId w:val="2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brak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pozaszpikowych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ognisk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choroby.</w:t>
            </w:r>
          </w:p>
          <w:p w14:paraId="50F6B8F0" w14:textId="5CD6D96D" w:rsidR="006050C6" w:rsidRPr="00175C8D" w:rsidRDefault="006050C6" w:rsidP="00175C8D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(UWAGA: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przy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definiowaniu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remisji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programie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bierze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się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pod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uwagę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normalizacji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parametrów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morfologii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krwi,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wpływa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to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bowiem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kwalifikację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chorego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allogenicznej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transplantacji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krwiotwórczych)</w:t>
            </w:r>
          </w:p>
          <w:p w14:paraId="3C218EE9" w14:textId="775CBEB3" w:rsidR="006050C6" w:rsidRPr="00175C8D" w:rsidRDefault="006050C6" w:rsidP="00175C8D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Czasowe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przerwanie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następuje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przypadkach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określonych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Charakterystyce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Produktu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Leczniczego.</w:t>
            </w:r>
          </w:p>
          <w:p w14:paraId="01753093" w14:textId="77777777" w:rsidR="006050C6" w:rsidRPr="00175C8D" w:rsidRDefault="006050C6" w:rsidP="00175C8D">
            <w:pPr>
              <w:pStyle w:val="Akapitzlist"/>
              <w:spacing w:after="60" w:line="276" w:lineRule="auto"/>
              <w:ind w:left="0"/>
              <w:contextualSpacing w:val="0"/>
              <w:jc w:val="both"/>
              <w:rPr>
                <w:rFonts w:ascii="Times New Roman" w:hAnsi="Times New Roman"/>
                <w:highlight w:val="yellow"/>
              </w:rPr>
            </w:pPr>
          </w:p>
          <w:p w14:paraId="07D5336C" w14:textId="61A470D9" w:rsidR="006050C6" w:rsidRPr="00175C8D" w:rsidRDefault="006050C6" w:rsidP="00175C8D">
            <w:pPr>
              <w:pStyle w:val="Akapitzlist"/>
              <w:widowControl/>
              <w:numPr>
                <w:ilvl w:val="1"/>
                <w:numId w:val="20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175C8D">
              <w:rPr>
                <w:rFonts w:ascii="Times New Roman" w:hAnsi="Times New Roman"/>
                <w:b/>
              </w:rPr>
              <w:t>Kryteria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wyłączenia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z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programu</w:t>
            </w:r>
          </w:p>
          <w:p w14:paraId="19227CAC" w14:textId="0CF9E9F8" w:rsidR="006050C6" w:rsidRPr="00175C8D" w:rsidRDefault="006050C6" w:rsidP="00175C8D">
            <w:pPr>
              <w:widowControl/>
              <w:numPr>
                <w:ilvl w:val="2"/>
                <w:numId w:val="20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Wystąpienie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objawów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nietolerancji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blinatumomabu,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wskazanych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Charakterystyce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Produktu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Leczniczego,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wiążących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się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przerwą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leczeniu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dłuższą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niż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7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dni;</w:t>
            </w:r>
          </w:p>
          <w:p w14:paraId="63FECD42" w14:textId="1AD81725" w:rsidR="006050C6" w:rsidRPr="00175C8D" w:rsidRDefault="006050C6" w:rsidP="00175C8D">
            <w:pPr>
              <w:widowControl/>
              <w:numPr>
                <w:ilvl w:val="2"/>
                <w:numId w:val="20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Brak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remisji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pierwszym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cyklu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blinatumomabem</w:t>
            </w:r>
            <w:r w:rsidR="00CF560A" w:rsidRPr="00175C8D">
              <w:rPr>
                <w:rFonts w:ascii="Times New Roman" w:hAnsi="Times New Roman"/>
              </w:rPr>
              <w:t>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definiowany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jako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spełnienie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najmniej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jednego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poniższych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warunków: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41153DA2" w14:textId="7FCE4D40" w:rsidR="006050C6" w:rsidRPr="00175C8D" w:rsidRDefault="006050C6" w:rsidP="00175C8D">
            <w:pPr>
              <w:pStyle w:val="Akapitzlist"/>
              <w:numPr>
                <w:ilvl w:val="3"/>
                <w:numId w:val="2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lastRenderedPageBreak/>
              <w:t>odsetek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blastycznych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szpiku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≥5%,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4BEEF4DA" w14:textId="786543F8" w:rsidR="006050C6" w:rsidRPr="00175C8D" w:rsidRDefault="006050C6" w:rsidP="00175C8D">
            <w:pPr>
              <w:pStyle w:val="Akapitzlist"/>
              <w:numPr>
                <w:ilvl w:val="3"/>
                <w:numId w:val="2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obecność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pozaszpikowych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ognisk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choroby.</w:t>
            </w:r>
          </w:p>
          <w:p w14:paraId="530946C9" w14:textId="77EFF74B" w:rsidR="00CF560A" w:rsidRPr="00175C8D" w:rsidRDefault="00CF560A" w:rsidP="00175C8D">
            <w:pPr>
              <w:pStyle w:val="Akapitzlist"/>
              <w:spacing w:after="60" w:line="276" w:lineRule="auto"/>
              <w:ind w:left="567"/>
              <w:contextualSpacing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pct"/>
          </w:tcPr>
          <w:p w14:paraId="350C6FD3" w14:textId="77777777" w:rsidR="006050C6" w:rsidRPr="00175C8D" w:rsidRDefault="006050C6" w:rsidP="00175C8D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before="120" w:after="60" w:line="276" w:lineRule="auto"/>
              <w:jc w:val="both"/>
              <w:rPr>
                <w:rFonts w:ascii="Times New Roman" w:hAnsi="Times New Roman"/>
                <w:b/>
              </w:rPr>
            </w:pPr>
            <w:r w:rsidRPr="00175C8D">
              <w:rPr>
                <w:rFonts w:ascii="Times New Roman" w:hAnsi="Times New Roman"/>
                <w:b/>
              </w:rPr>
              <w:lastRenderedPageBreak/>
              <w:t>Dawkowanie</w:t>
            </w:r>
          </w:p>
          <w:p w14:paraId="387481F7" w14:textId="0A942F91" w:rsidR="006050C6" w:rsidRPr="00175C8D" w:rsidRDefault="006050C6" w:rsidP="00175C8D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Masa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ciała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większa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równa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(stała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dawka):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DD888B8" w14:textId="598AE5B6" w:rsidR="00CF560A" w:rsidRPr="00175C8D" w:rsidRDefault="006050C6" w:rsidP="00175C8D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cykl: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C182B5B" w14:textId="6B0CF8BE" w:rsidR="00CF560A" w:rsidRPr="00175C8D" w:rsidRDefault="006050C6" w:rsidP="00175C8D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dni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1-7: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mikrogramów/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dobę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ciągłej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infuzji,</w:t>
            </w:r>
          </w:p>
          <w:p w14:paraId="4F2EE601" w14:textId="788C3D0B" w:rsidR="00CF560A" w:rsidRPr="00175C8D" w:rsidRDefault="006050C6" w:rsidP="00175C8D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dni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8-28: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mikrogramów/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dobę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ciągłej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infuzji,</w:t>
            </w:r>
          </w:p>
          <w:p w14:paraId="68AAB5EC" w14:textId="053F193E" w:rsidR="006050C6" w:rsidRPr="00175C8D" w:rsidRDefault="006050C6" w:rsidP="00175C8D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dni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29-42: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dniowa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przerwa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leczeniu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BF2D320" w14:textId="5E5E54F5" w:rsidR="00CF560A" w:rsidRPr="00175C8D" w:rsidRDefault="006050C6" w:rsidP="00175C8D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cykl: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8120CBA" w14:textId="0CBA06E1" w:rsidR="006050C6" w:rsidRPr="00175C8D" w:rsidRDefault="006050C6" w:rsidP="00175C8D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dni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1-28: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mikrogramów/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dobę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ciągłej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infuzji</w:t>
            </w:r>
          </w:p>
          <w:p w14:paraId="677F2E49" w14:textId="77777777" w:rsidR="006050C6" w:rsidRPr="00175C8D" w:rsidRDefault="006050C6" w:rsidP="00175C8D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1F83F5" w14:textId="16A0EBEE" w:rsidR="006050C6" w:rsidRPr="00175C8D" w:rsidRDefault="006050C6" w:rsidP="00175C8D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Masa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ciała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poniżej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(dawka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oparta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pc.):</w:t>
            </w:r>
          </w:p>
          <w:p w14:paraId="2D781A89" w14:textId="44553887" w:rsidR="00CF560A" w:rsidRPr="00175C8D" w:rsidRDefault="006050C6" w:rsidP="00175C8D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cykl: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21821E3" w14:textId="3408D9A1" w:rsidR="00CF560A" w:rsidRPr="00175C8D" w:rsidRDefault="006050C6" w:rsidP="00175C8D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dni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1-7: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mikrogramów/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m2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pc./dobę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ciągłej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infuzji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(nie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przekraczać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mikrogramów/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dobę),</w:t>
            </w:r>
          </w:p>
          <w:p w14:paraId="2DA482A1" w14:textId="35E99182" w:rsidR="00B01680" w:rsidRPr="00175C8D" w:rsidRDefault="006050C6" w:rsidP="00175C8D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dni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8-28: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mikrogramów/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m2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pc./dobę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ciągłej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infuzji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(nie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przekraczać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mikrogramów/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dobę),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1614E2" w14:textId="455A7BB3" w:rsidR="006050C6" w:rsidRPr="00175C8D" w:rsidRDefault="006050C6" w:rsidP="00175C8D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dni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29-42: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dniowa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przerwa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leczeniu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9A20641" w14:textId="782A1418" w:rsidR="00B01680" w:rsidRPr="00175C8D" w:rsidRDefault="006050C6" w:rsidP="00175C8D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cykl: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B2C1BDC" w14:textId="36FF8BC6" w:rsidR="006050C6" w:rsidRPr="00175C8D" w:rsidRDefault="006050C6" w:rsidP="00175C8D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dni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1-28: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mikrogramów/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m2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pc./dobę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ciągłej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infuzji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(nie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przekraczać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mikrogramów/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8D">
              <w:rPr>
                <w:rFonts w:ascii="Times New Roman" w:hAnsi="Times New Roman" w:cs="Times New Roman"/>
                <w:sz w:val="20"/>
                <w:szCs w:val="20"/>
              </w:rPr>
              <w:t>dobę)</w:t>
            </w:r>
            <w:r w:rsidR="00FC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635A735" w14:textId="77777777" w:rsidR="006050C6" w:rsidRPr="00175C8D" w:rsidRDefault="006050C6" w:rsidP="00175C8D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642159" w14:textId="1355AAF5" w:rsidR="003E5DF2" w:rsidRPr="00175C8D" w:rsidRDefault="003E5DF2" w:rsidP="00175C8D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przypadku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pacjentów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poniżej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1.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roku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życia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dawkowanie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podawanie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leku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zgodnie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ze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schematem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określonym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ChPL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leczeniu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dzieci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młodzieży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od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1.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roku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życia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425709" w:rsidRPr="00175C8D">
              <w:rPr>
                <w:rFonts w:ascii="Times New Roman" w:hAnsi="Times New Roman"/>
              </w:rPr>
              <w:t>aktualną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425709" w:rsidRPr="00175C8D">
              <w:rPr>
                <w:rFonts w:ascii="Times New Roman" w:hAnsi="Times New Roman"/>
              </w:rPr>
              <w:t>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425709" w:rsidRPr="00175C8D">
              <w:rPr>
                <w:rFonts w:ascii="Times New Roman" w:hAnsi="Times New Roman"/>
              </w:rPr>
              <w:t>dzień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425709" w:rsidRPr="00175C8D">
              <w:rPr>
                <w:rFonts w:ascii="Times New Roman" w:hAnsi="Times New Roman"/>
              </w:rPr>
              <w:lastRenderedPageBreak/>
              <w:t>wydania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425709" w:rsidRPr="00175C8D">
              <w:rPr>
                <w:rFonts w:ascii="Times New Roman" w:hAnsi="Times New Roman"/>
              </w:rPr>
              <w:t>decyzji.</w:t>
            </w:r>
          </w:p>
          <w:p w14:paraId="296048AC" w14:textId="77777777" w:rsidR="003E5DF2" w:rsidRPr="00175C8D" w:rsidRDefault="003E5DF2" w:rsidP="00175C8D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</w:p>
          <w:p w14:paraId="25ED7027" w14:textId="0E7231C9" w:rsidR="006050C6" w:rsidRPr="00175C8D" w:rsidRDefault="006050C6" w:rsidP="00175C8D">
            <w:pPr>
              <w:pStyle w:val="Akapitzlist"/>
              <w:widowControl/>
              <w:tabs>
                <w:tab w:val="left" w:pos="176"/>
              </w:tabs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96" w:type="pct"/>
          </w:tcPr>
          <w:p w14:paraId="114E1418" w14:textId="354293A1" w:rsidR="00817EB8" w:rsidRPr="00175C8D" w:rsidRDefault="00817EB8" w:rsidP="00175C8D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175C8D">
              <w:rPr>
                <w:rFonts w:ascii="Times New Roman" w:hAnsi="Times New Roman"/>
                <w:b/>
              </w:rPr>
              <w:lastRenderedPageBreak/>
              <w:t>Badania</w:t>
            </w:r>
          </w:p>
          <w:p w14:paraId="71F352D7" w14:textId="2708649F" w:rsidR="00817EB8" w:rsidRPr="00175C8D" w:rsidRDefault="00817EB8" w:rsidP="00175C8D">
            <w:pPr>
              <w:pStyle w:val="Akapitzlist"/>
              <w:widowControl/>
              <w:numPr>
                <w:ilvl w:val="1"/>
                <w:numId w:val="22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175C8D">
              <w:rPr>
                <w:rFonts w:ascii="Times New Roman" w:hAnsi="Times New Roman"/>
                <w:b/>
              </w:rPr>
              <w:t>Badania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przy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kwalifikacji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</w:p>
          <w:p w14:paraId="603F3174" w14:textId="60765F33" w:rsidR="003E5DF2" w:rsidRPr="00175C8D" w:rsidRDefault="00817EB8" w:rsidP="00175C8D">
            <w:pPr>
              <w:pStyle w:val="Akapitzlist"/>
              <w:widowControl/>
              <w:numPr>
                <w:ilvl w:val="2"/>
                <w:numId w:val="22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Odsetek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limfoblastów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ekspresją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CD19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szpiku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i/albo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krwi,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oceniany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badaniem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immunofenotypowym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metodą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cytometrii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przepływowej</w:t>
            </w:r>
            <w:r w:rsidR="003E5DF2" w:rsidRPr="00175C8D">
              <w:rPr>
                <w:rFonts w:ascii="Times New Roman" w:hAnsi="Times New Roman"/>
              </w:rPr>
              <w:t>.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3E5DF2"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3E5DF2" w:rsidRPr="00175C8D">
              <w:rPr>
                <w:rFonts w:ascii="Times New Roman" w:hAnsi="Times New Roman"/>
              </w:rPr>
              <w:t>przypadku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3E5DF2" w:rsidRPr="00175C8D">
              <w:rPr>
                <w:rFonts w:ascii="Times New Roman" w:hAnsi="Times New Roman"/>
              </w:rPr>
              <w:t>dzieci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3E5DF2" w:rsidRPr="00175C8D">
              <w:rPr>
                <w:rFonts w:ascii="Times New Roman" w:hAnsi="Times New Roman"/>
              </w:rPr>
              <w:t>poniżej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3E5DF2" w:rsidRPr="00175C8D">
              <w:rPr>
                <w:rFonts w:ascii="Times New Roman" w:hAnsi="Times New Roman"/>
              </w:rPr>
              <w:t>1.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3E5DF2" w:rsidRPr="00175C8D">
              <w:rPr>
                <w:rFonts w:ascii="Times New Roman" w:hAnsi="Times New Roman"/>
              </w:rPr>
              <w:t>roku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3E5DF2" w:rsidRPr="00175C8D">
              <w:rPr>
                <w:rFonts w:ascii="Times New Roman" w:hAnsi="Times New Roman"/>
              </w:rPr>
              <w:t>życia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3E5DF2" w:rsidRPr="00175C8D">
              <w:rPr>
                <w:rFonts w:ascii="Times New Roman" w:hAnsi="Times New Roman"/>
              </w:rPr>
              <w:t>ocena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3E5DF2" w:rsidRPr="00175C8D">
              <w:rPr>
                <w:rFonts w:ascii="Times New Roman" w:hAnsi="Times New Roman"/>
              </w:rPr>
              <w:t>minimalnej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3E5DF2" w:rsidRPr="00175C8D">
              <w:rPr>
                <w:rFonts w:ascii="Times New Roman" w:hAnsi="Times New Roman"/>
              </w:rPr>
              <w:t>choroby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3E5DF2"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3E5DF2" w:rsidRPr="00175C8D">
              <w:rPr>
                <w:rFonts w:ascii="Times New Roman" w:hAnsi="Times New Roman"/>
              </w:rPr>
              <w:t>badaniu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3E5DF2" w:rsidRPr="00175C8D">
              <w:rPr>
                <w:rFonts w:ascii="Times New Roman" w:hAnsi="Times New Roman"/>
              </w:rPr>
              <w:t>próbki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3E5DF2" w:rsidRPr="00175C8D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3E5DF2" w:rsidRPr="00175C8D">
              <w:rPr>
                <w:rFonts w:ascii="Times New Roman" w:hAnsi="Times New Roman"/>
              </w:rPr>
              <w:t>biopsji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3E5DF2" w:rsidRPr="00175C8D">
              <w:rPr>
                <w:rFonts w:ascii="Times New Roman" w:hAnsi="Times New Roman"/>
              </w:rPr>
              <w:t>szpiku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3E5DF2" w:rsidRPr="00175C8D">
              <w:rPr>
                <w:rFonts w:ascii="Times New Roman" w:hAnsi="Times New Roman"/>
              </w:rPr>
              <w:t>kostnego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3E5DF2" w:rsidRPr="00175C8D">
              <w:rPr>
                <w:rFonts w:ascii="Times New Roman" w:hAnsi="Times New Roman"/>
              </w:rPr>
              <w:t>metodą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3E5DF2" w:rsidRPr="00175C8D">
              <w:rPr>
                <w:rFonts w:ascii="Times New Roman" w:hAnsi="Times New Roman"/>
              </w:rPr>
              <w:t>cytometrii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3E5DF2" w:rsidRPr="00175C8D">
              <w:rPr>
                <w:rFonts w:ascii="Times New Roman" w:hAnsi="Times New Roman"/>
              </w:rPr>
              <w:t>przepływowej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3E5DF2" w:rsidRPr="00175C8D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3E5DF2" w:rsidRPr="00175C8D">
              <w:rPr>
                <w:rFonts w:ascii="Times New Roman" w:hAnsi="Times New Roman"/>
              </w:rPr>
              <w:t>reakcji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3E5DF2" w:rsidRPr="00175C8D">
              <w:rPr>
                <w:rFonts w:ascii="Times New Roman" w:hAnsi="Times New Roman"/>
              </w:rPr>
              <w:t>łańcuchowej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3E5DF2" w:rsidRPr="00175C8D">
              <w:rPr>
                <w:rFonts w:ascii="Times New Roman" w:hAnsi="Times New Roman"/>
              </w:rPr>
              <w:t>polimerazy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3E5DF2" w:rsidRPr="00175C8D">
              <w:rPr>
                <w:rFonts w:ascii="Times New Roman" w:hAnsi="Times New Roman"/>
              </w:rPr>
              <w:t>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3E5DF2" w:rsidRPr="00175C8D">
              <w:rPr>
                <w:rFonts w:ascii="Times New Roman" w:hAnsi="Times New Roman"/>
              </w:rPr>
              <w:t>czułości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3E5DF2" w:rsidRPr="00175C8D">
              <w:rPr>
                <w:rFonts w:ascii="Times New Roman" w:hAnsi="Times New Roman"/>
              </w:rPr>
              <w:t>co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3E5DF2" w:rsidRPr="00175C8D">
              <w:rPr>
                <w:rFonts w:ascii="Times New Roman" w:hAnsi="Times New Roman"/>
              </w:rPr>
              <w:t>najmniej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3E5DF2" w:rsidRPr="00175C8D">
              <w:rPr>
                <w:rFonts w:ascii="Times New Roman" w:hAnsi="Times New Roman"/>
              </w:rPr>
              <w:t>10</w:t>
            </w:r>
            <w:r w:rsidR="003E5DF2" w:rsidRPr="00175C8D">
              <w:rPr>
                <w:rFonts w:ascii="Times New Roman" w:hAnsi="Times New Roman"/>
                <w:vertAlign w:val="superscript"/>
              </w:rPr>
              <w:t>-4</w:t>
            </w:r>
            <w:r w:rsidR="00B01680" w:rsidRPr="00175C8D">
              <w:rPr>
                <w:rFonts w:ascii="Times New Roman" w:hAnsi="Times New Roman"/>
              </w:rPr>
              <w:t>;</w:t>
            </w:r>
          </w:p>
          <w:p w14:paraId="329B192B" w14:textId="6D8BCAF7" w:rsidR="00817EB8" w:rsidRPr="00175C8D" w:rsidRDefault="00817EB8" w:rsidP="00175C8D">
            <w:pPr>
              <w:widowControl/>
              <w:numPr>
                <w:ilvl w:val="2"/>
                <w:numId w:val="22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Potwierdzenie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obecności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białaczkowych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ekspresją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CD19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materiale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tkankowym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innym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niż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szpik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krew,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425709"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425709" w:rsidRPr="00175C8D">
              <w:rPr>
                <w:rFonts w:ascii="Times New Roman" w:hAnsi="Times New Roman"/>
              </w:rPr>
              <w:t>badaniu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425709" w:rsidRPr="00175C8D">
              <w:rPr>
                <w:rFonts w:ascii="Times New Roman" w:hAnsi="Times New Roman"/>
              </w:rPr>
              <w:t>histopatologicznym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425709" w:rsidRPr="00175C8D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425709" w:rsidRPr="00175C8D">
              <w:rPr>
                <w:rFonts w:ascii="Times New Roman" w:hAnsi="Times New Roman"/>
              </w:rPr>
              <w:t>cytomorfologicznym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immun</w:t>
            </w:r>
            <w:r w:rsidR="00FC2C59">
              <w:rPr>
                <w:rFonts w:ascii="Times New Roman" w:hAnsi="Times New Roman"/>
              </w:rPr>
              <w:t>o-</w:t>
            </w:r>
            <w:r w:rsidRPr="00175C8D">
              <w:rPr>
                <w:rFonts w:ascii="Times New Roman" w:hAnsi="Times New Roman"/>
              </w:rPr>
              <w:t>fenotypowym,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jeżeli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stwierdza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się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zajęcia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szpiku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ani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obecności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białaczkowych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krwi</w:t>
            </w:r>
            <w:r w:rsidR="00B01680" w:rsidRPr="00175C8D">
              <w:rPr>
                <w:rFonts w:ascii="Times New Roman" w:hAnsi="Times New Roman"/>
              </w:rPr>
              <w:t>;</w:t>
            </w:r>
          </w:p>
          <w:p w14:paraId="032143B1" w14:textId="3AE22356" w:rsidR="00817EB8" w:rsidRPr="00175C8D" w:rsidRDefault="00817EB8" w:rsidP="00175C8D">
            <w:pPr>
              <w:widowControl/>
              <w:numPr>
                <w:ilvl w:val="2"/>
                <w:numId w:val="22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Wykluczenie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zajęcia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OUN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podstawie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badania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ogólnego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mikroskopowego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płynu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mózgowo-rdzeniowego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badań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obrazowych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OUN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momencie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kwalifikacji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programu</w:t>
            </w:r>
            <w:r w:rsidR="00B01680" w:rsidRPr="00175C8D">
              <w:rPr>
                <w:rFonts w:ascii="Times New Roman" w:hAnsi="Times New Roman"/>
              </w:rPr>
              <w:t>.</w:t>
            </w:r>
          </w:p>
          <w:p w14:paraId="2E2E9234" w14:textId="77777777" w:rsidR="00817EB8" w:rsidRPr="00175C8D" w:rsidRDefault="00817EB8" w:rsidP="00175C8D">
            <w:pPr>
              <w:spacing w:after="60" w:line="276" w:lineRule="auto"/>
              <w:ind w:left="720"/>
              <w:jc w:val="both"/>
              <w:rPr>
                <w:rFonts w:ascii="Times New Roman" w:hAnsi="Times New Roman"/>
              </w:rPr>
            </w:pPr>
          </w:p>
          <w:p w14:paraId="4BAB9182" w14:textId="62E7734A" w:rsidR="00817EB8" w:rsidRPr="00175C8D" w:rsidRDefault="00817EB8" w:rsidP="00175C8D">
            <w:pPr>
              <w:pStyle w:val="Akapitzlist"/>
              <w:numPr>
                <w:ilvl w:val="1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175C8D">
              <w:rPr>
                <w:rFonts w:ascii="Times New Roman" w:hAnsi="Times New Roman"/>
                <w:b/>
              </w:rPr>
              <w:t>Monitorowanie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leczenia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175C8D">
              <w:rPr>
                <w:rFonts w:ascii="Times New Roman" w:hAnsi="Times New Roman"/>
                <w:b/>
              </w:rPr>
              <w:t>blinatumomabem</w:t>
            </w:r>
          </w:p>
          <w:p w14:paraId="0852F3A4" w14:textId="0F32662A" w:rsidR="00817EB8" w:rsidRPr="00175C8D" w:rsidRDefault="00817EB8" w:rsidP="00175C8D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Leczenie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będzie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prowadzone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warunkach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szpitalnych.</w:t>
            </w:r>
          </w:p>
          <w:p w14:paraId="132746B6" w14:textId="142CD6AE" w:rsidR="00817EB8" w:rsidRPr="00175C8D" w:rsidRDefault="00817EB8" w:rsidP="00175C8D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Po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pierwszym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drugim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cyklu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leczenia: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29BB888C" w14:textId="53BC5227" w:rsidR="00817EB8" w:rsidRPr="00175C8D" w:rsidRDefault="00817EB8" w:rsidP="00175C8D">
            <w:pPr>
              <w:widowControl/>
              <w:numPr>
                <w:ilvl w:val="2"/>
                <w:numId w:val="22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lastRenderedPageBreak/>
              <w:t>Morfologia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krwi</w:t>
            </w:r>
            <w:r w:rsidR="00B01680" w:rsidRPr="00175C8D">
              <w:rPr>
                <w:rFonts w:ascii="Times New Roman" w:hAnsi="Times New Roman"/>
              </w:rPr>
              <w:t>;</w:t>
            </w:r>
          </w:p>
          <w:p w14:paraId="1A723728" w14:textId="47A99258" w:rsidR="00817EB8" w:rsidRPr="00175C8D" w:rsidRDefault="00817EB8" w:rsidP="00175C8D">
            <w:pPr>
              <w:widowControl/>
              <w:numPr>
                <w:ilvl w:val="2"/>
                <w:numId w:val="22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Odsetek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limfoblastów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ekspresją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CD19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szpiku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oceniany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badaniem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immunofenotypowym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metodą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cytometrii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przepływowej</w:t>
            </w:r>
            <w:r w:rsidR="00B01680" w:rsidRPr="00175C8D">
              <w:rPr>
                <w:rFonts w:ascii="Times New Roman" w:hAnsi="Times New Roman"/>
              </w:rPr>
              <w:t>;</w:t>
            </w:r>
          </w:p>
          <w:p w14:paraId="2ABABA45" w14:textId="2BB7444D" w:rsidR="00817EB8" w:rsidRPr="00175C8D" w:rsidRDefault="00817EB8" w:rsidP="00175C8D">
            <w:pPr>
              <w:widowControl/>
              <w:numPr>
                <w:ilvl w:val="2"/>
                <w:numId w:val="22"/>
              </w:numPr>
              <w:autoSpaceDE/>
              <w:autoSpaceDN/>
              <w:adjustRightInd/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175C8D">
              <w:rPr>
                <w:rFonts w:ascii="Times New Roman" w:hAnsi="Times New Roman"/>
              </w:rPr>
              <w:t>Ocena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pozaszpikowych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ognisk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choroby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badaniach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obrazowych,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jeżeli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były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stwierdzone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przy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rozpoznaniu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175C8D">
              <w:rPr>
                <w:rFonts w:ascii="Times New Roman" w:hAnsi="Times New Roman"/>
              </w:rPr>
              <w:t>wznowy</w:t>
            </w:r>
            <w:r w:rsidR="00B01680" w:rsidRPr="00175C8D">
              <w:rPr>
                <w:rFonts w:ascii="Times New Roman" w:hAnsi="Times New Roman"/>
              </w:rPr>
              <w:t>.</w:t>
            </w:r>
          </w:p>
          <w:p w14:paraId="20F4478F" w14:textId="54EA4C74" w:rsidR="006050C6" w:rsidRPr="00175C8D" w:rsidRDefault="006050C6" w:rsidP="00175C8D">
            <w:pPr>
              <w:pStyle w:val="Akapitzlist"/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613141" w:rsidRPr="00F15804" w14:paraId="49B12066" w14:textId="77777777" w:rsidTr="00175C8D">
        <w:trPr>
          <w:trHeight w:val="567"/>
        </w:trPr>
        <w:tc>
          <w:tcPr>
            <w:tcW w:w="5000" w:type="pct"/>
            <w:gridSpan w:val="3"/>
            <w:vAlign w:val="center"/>
          </w:tcPr>
          <w:p w14:paraId="23748F7B" w14:textId="6A7F7E83" w:rsidR="00613141" w:rsidRPr="00175C8D" w:rsidRDefault="00175C8D" w:rsidP="00175C8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VII.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="0080617B" w:rsidRPr="00175C8D">
              <w:rPr>
                <w:rFonts w:ascii="Times New Roman" w:hAnsi="Times New Roman"/>
                <w:b/>
              </w:rPr>
              <w:t>TISAGENLECLEUCEL</w:t>
            </w:r>
          </w:p>
        </w:tc>
      </w:tr>
      <w:tr w:rsidR="00613141" w:rsidRPr="00F15804" w14:paraId="2BADE33C" w14:textId="77777777" w:rsidTr="00613141">
        <w:trPr>
          <w:trHeight w:val="20"/>
        </w:trPr>
        <w:tc>
          <w:tcPr>
            <w:tcW w:w="2209" w:type="pct"/>
          </w:tcPr>
          <w:p w14:paraId="4C326125" w14:textId="27CD0885" w:rsidR="00613141" w:rsidRPr="00C71961" w:rsidRDefault="00AF0596" w:rsidP="00A62794">
            <w:pPr>
              <w:pStyle w:val="Akapitzlist"/>
              <w:widowControl/>
              <w:numPr>
                <w:ilvl w:val="0"/>
                <w:numId w:val="40"/>
              </w:numPr>
              <w:tabs>
                <w:tab w:val="left" w:pos="0"/>
              </w:tabs>
              <w:autoSpaceDE/>
              <w:autoSpaceDN/>
              <w:adjustRightInd/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C71961">
              <w:rPr>
                <w:rFonts w:ascii="Times New Roman" w:hAnsi="Times New Roman"/>
                <w:b/>
                <w:bCs/>
              </w:rPr>
              <w:t>Kryteria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C71961">
              <w:rPr>
                <w:rFonts w:ascii="Times New Roman" w:hAnsi="Times New Roman"/>
                <w:b/>
                <w:bCs/>
              </w:rPr>
              <w:t>kwalifikacji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C71961">
              <w:rPr>
                <w:rFonts w:ascii="Times New Roman" w:hAnsi="Times New Roman"/>
                <w:b/>
                <w:bCs/>
              </w:rPr>
              <w:t>do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C71961">
              <w:rPr>
                <w:rFonts w:ascii="Times New Roman" w:hAnsi="Times New Roman"/>
                <w:b/>
                <w:bCs/>
              </w:rPr>
              <w:t>leczenia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C71961">
              <w:rPr>
                <w:rFonts w:ascii="Times New Roman" w:hAnsi="Times New Roman"/>
                <w:b/>
                <w:bCs/>
              </w:rPr>
              <w:t>tisagenlecleucelem</w:t>
            </w:r>
          </w:p>
          <w:p w14:paraId="2411CD49" w14:textId="40545447" w:rsidR="00B715A1" w:rsidRPr="00836E1F" w:rsidRDefault="00B715A1" w:rsidP="00A62794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836E1F">
              <w:rPr>
                <w:rFonts w:ascii="Times New Roman" w:hAnsi="Times New Roman"/>
              </w:rPr>
              <w:t>Kwalifikacji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36E1F">
              <w:rPr>
                <w:rFonts w:ascii="Times New Roman" w:hAnsi="Times New Roman"/>
              </w:rPr>
              <w:t>świadczeniobiorców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36E1F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36E1F">
              <w:rPr>
                <w:rFonts w:ascii="Times New Roman" w:hAnsi="Times New Roman"/>
              </w:rPr>
              <w:t>terapii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36E1F">
              <w:rPr>
                <w:rFonts w:ascii="Times New Roman" w:hAnsi="Times New Roman"/>
              </w:rPr>
              <w:t>dokonuje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36E1F">
              <w:rPr>
                <w:rFonts w:ascii="Times New Roman" w:hAnsi="Times New Roman"/>
              </w:rPr>
              <w:t>Zespół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36E1F">
              <w:rPr>
                <w:rFonts w:ascii="Times New Roman" w:hAnsi="Times New Roman"/>
              </w:rPr>
              <w:t>Koordynacyjny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36E1F">
              <w:rPr>
                <w:rFonts w:ascii="Times New Roman" w:hAnsi="Times New Roman"/>
              </w:rPr>
              <w:t>ds.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36E1F">
              <w:rPr>
                <w:rFonts w:ascii="Times New Roman" w:hAnsi="Times New Roman"/>
              </w:rPr>
              <w:t>CAR-T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36E1F">
              <w:rPr>
                <w:rFonts w:ascii="Times New Roman" w:hAnsi="Times New Roman"/>
              </w:rPr>
              <w:t>powoływany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36E1F">
              <w:rPr>
                <w:rFonts w:ascii="Times New Roman" w:hAnsi="Times New Roman"/>
              </w:rPr>
              <w:t>przez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36E1F">
              <w:rPr>
                <w:rFonts w:ascii="Times New Roman" w:hAnsi="Times New Roman"/>
              </w:rPr>
              <w:t>Prezesa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36E1F">
              <w:rPr>
                <w:rFonts w:ascii="Times New Roman" w:hAnsi="Times New Roman"/>
              </w:rPr>
              <w:t>Narodowego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36E1F">
              <w:rPr>
                <w:rFonts w:ascii="Times New Roman" w:hAnsi="Times New Roman"/>
              </w:rPr>
              <w:t>Funduszu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836E1F">
              <w:rPr>
                <w:rFonts w:ascii="Times New Roman" w:hAnsi="Times New Roman"/>
              </w:rPr>
              <w:t>Zdrowia.</w:t>
            </w:r>
          </w:p>
          <w:p w14:paraId="0F046756" w14:textId="37CC28F8" w:rsidR="00B715A1" w:rsidRPr="00836E1F" w:rsidRDefault="00B715A1" w:rsidP="00A62794">
            <w:pPr>
              <w:widowControl/>
              <w:spacing w:after="60" w:line="276" w:lineRule="auto"/>
              <w:jc w:val="both"/>
              <w:rPr>
                <w:rFonts w:ascii="Times New Roman" w:eastAsiaTheme="minorHAnsi" w:hAnsi="Times New Roman"/>
              </w:rPr>
            </w:pPr>
            <w:r w:rsidRPr="00836E1F">
              <w:rPr>
                <w:rFonts w:ascii="Times New Roman" w:eastAsiaTheme="minorHAnsi" w:hAnsi="Times New Roman"/>
              </w:rPr>
              <w:t>Kwalifikacja</w:t>
            </w:r>
            <w:r w:rsidR="00FC2C59">
              <w:rPr>
                <w:rFonts w:ascii="Times New Roman" w:eastAsiaTheme="minorHAnsi" w:hAnsi="Times New Roman"/>
              </w:rPr>
              <w:t xml:space="preserve"> </w:t>
            </w:r>
            <w:r w:rsidRPr="00836E1F">
              <w:rPr>
                <w:rFonts w:ascii="Times New Roman" w:eastAsiaTheme="minorHAnsi" w:hAnsi="Times New Roman"/>
              </w:rPr>
              <w:t>do</w:t>
            </w:r>
            <w:r w:rsidR="00FC2C59">
              <w:rPr>
                <w:rFonts w:ascii="Times New Roman" w:eastAsiaTheme="minorHAnsi" w:hAnsi="Times New Roman"/>
              </w:rPr>
              <w:t xml:space="preserve"> </w:t>
            </w:r>
            <w:r w:rsidRPr="00836E1F">
              <w:rPr>
                <w:rFonts w:ascii="Times New Roman" w:eastAsiaTheme="minorHAnsi" w:hAnsi="Times New Roman"/>
              </w:rPr>
              <w:t>programu</w:t>
            </w:r>
            <w:r w:rsidR="00FC2C59">
              <w:rPr>
                <w:rFonts w:ascii="Times New Roman" w:eastAsiaTheme="minorHAnsi" w:hAnsi="Times New Roman"/>
              </w:rPr>
              <w:t xml:space="preserve"> </w:t>
            </w:r>
            <w:r w:rsidRPr="00836E1F">
              <w:rPr>
                <w:rFonts w:ascii="Times New Roman" w:eastAsiaTheme="minorHAnsi" w:hAnsi="Times New Roman"/>
              </w:rPr>
              <w:t>oraz</w:t>
            </w:r>
            <w:r w:rsidR="00FC2C59">
              <w:rPr>
                <w:rFonts w:ascii="Times New Roman" w:eastAsiaTheme="minorHAnsi" w:hAnsi="Times New Roman"/>
              </w:rPr>
              <w:t xml:space="preserve"> </w:t>
            </w:r>
            <w:r w:rsidRPr="00836E1F">
              <w:rPr>
                <w:rFonts w:ascii="Times New Roman" w:eastAsiaTheme="minorHAnsi" w:hAnsi="Times New Roman"/>
              </w:rPr>
              <w:t>weryfikacja</w:t>
            </w:r>
            <w:r w:rsidR="00FC2C59">
              <w:rPr>
                <w:rFonts w:ascii="Times New Roman" w:eastAsiaTheme="minorHAnsi" w:hAnsi="Times New Roman"/>
              </w:rPr>
              <w:t xml:space="preserve"> </w:t>
            </w:r>
            <w:r w:rsidRPr="00836E1F">
              <w:rPr>
                <w:rFonts w:ascii="Times New Roman" w:eastAsiaTheme="minorHAnsi" w:hAnsi="Times New Roman"/>
              </w:rPr>
              <w:t>skuteczności</w:t>
            </w:r>
            <w:r w:rsidR="00FC2C59">
              <w:rPr>
                <w:rFonts w:ascii="Times New Roman" w:eastAsiaTheme="minorHAnsi" w:hAnsi="Times New Roman"/>
              </w:rPr>
              <w:t xml:space="preserve"> </w:t>
            </w:r>
            <w:r w:rsidRPr="00836E1F">
              <w:rPr>
                <w:rFonts w:ascii="Times New Roman" w:eastAsiaTheme="minorHAnsi" w:hAnsi="Times New Roman"/>
              </w:rPr>
              <w:t>leczenia</w:t>
            </w:r>
            <w:r w:rsidR="00FC2C59">
              <w:rPr>
                <w:rFonts w:ascii="Times New Roman" w:eastAsiaTheme="minorHAnsi" w:hAnsi="Times New Roman"/>
              </w:rPr>
              <w:t xml:space="preserve"> </w:t>
            </w:r>
            <w:r w:rsidRPr="00836E1F">
              <w:rPr>
                <w:rFonts w:ascii="Times New Roman" w:eastAsiaTheme="minorHAnsi" w:hAnsi="Times New Roman"/>
              </w:rPr>
              <w:t>odbywa</w:t>
            </w:r>
            <w:r w:rsidR="00FC2C59">
              <w:rPr>
                <w:rFonts w:ascii="Times New Roman" w:eastAsiaTheme="minorHAnsi" w:hAnsi="Times New Roman"/>
              </w:rPr>
              <w:t xml:space="preserve"> </w:t>
            </w:r>
            <w:r w:rsidRPr="00836E1F">
              <w:rPr>
                <w:rFonts w:ascii="Times New Roman" w:eastAsiaTheme="minorHAnsi" w:hAnsi="Times New Roman"/>
              </w:rPr>
              <w:t>się</w:t>
            </w:r>
            <w:r w:rsidR="00FC2C59">
              <w:rPr>
                <w:rFonts w:ascii="Times New Roman" w:eastAsiaTheme="minorHAnsi" w:hAnsi="Times New Roman"/>
              </w:rPr>
              <w:t xml:space="preserve"> </w:t>
            </w:r>
            <w:r w:rsidRPr="00836E1F">
              <w:rPr>
                <w:rFonts w:ascii="Times New Roman" w:eastAsiaTheme="minorHAnsi" w:hAnsi="Times New Roman"/>
              </w:rPr>
              <w:t>w</w:t>
            </w:r>
            <w:r w:rsidR="00FC2C59">
              <w:rPr>
                <w:rFonts w:ascii="Times New Roman" w:eastAsiaTheme="minorHAnsi" w:hAnsi="Times New Roman"/>
              </w:rPr>
              <w:t xml:space="preserve"> </w:t>
            </w:r>
            <w:r w:rsidRPr="00836E1F">
              <w:rPr>
                <w:rFonts w:ascii="Times New Roman" w:eastAsiaTheme="minorHAnsi" w:hAnsi="Times New Roman"/>
              </w:rPr>
              <w:t>oparciu</w:t>
            </w:r>
            <w:r w:rsidR="00FC2C59">
              <w:rPr>
                <w:rFonts w:ascii="Times New Roman" w:eastAsiaTheme="minorHAnsi" w:hAnsi="Times New Roman"/>
              </w:rPr>
              <w:t xml:space="preserve"> </w:t>
            </w:r>
            <w:r w:rsidRPr="00836E1F">
              <w:rPr>
                <w:rFonts w:ascii="Times New Roman" w:eastAsiaTheme="minorHAnsi" w:hAnsi="Times New Roman"/>
              </w:rPr>
              <w:t>o</w:t>
            </w:r>
            <w:r w:rsidR="00FC2C59">
              <w:rPr>
                <w:rFonts w:ascii="Times New Roman" w:eastAsiaTheme="minorHAnsi" w:hAnsi="Times New Roman"/>
              </w:rPr>
              <w:t xml:space="preserve"> </w:t>
            </w:r>
            <w:r w:rsidRPr="00836E1F">
              <w:rPr>
                <w:rFonts w:ascii="Times New Roman" w:eastAsiaTheme="minorHAnsi" w:hAnsi="Times New Roman"/>
              </w:rPr>
              <w:t>ocenę</w:t>
            </w:r>
            <w:r w:rsidR="00FC2C59">
              <w:rPr>
                <w:rFonts w:ascii="Times New Roman" w:eastAsiaTheme="minorHAnsi" w:hAnsi="Times New Roman"/>
              </w:rPr>
              <w:t xml:space="preserve"> </w:t>
            </w:r>
            <w:r w:rsidRPr="00836E1F">
              <w:rPr>
                <w:rFonts w:ascii="Times New Roman" w:eastAsiaTheme="minorHAnsi" w:hAnsi="Times New Roman"/>
              </w:rPr>
              <w:t>stanu</w:t>
            </w:r>
            <w:r w:rsidR="00FC2C59">
              <w:rPr>
                <w:rFonts w:ascii="Times New Roman" w:eastAsiaTheme="minorHAnsi" w:hAnsi="Times New Roman"/>
              </w:rPr>
              <w:t xml:space="preserve"> </w:t>
            </w:r>
            <w:r w:rsidRPr="00836E1F">
              <w:rPr>
                <w:rFonts w:ascii="Times New Roman" w:eastAsiaTheme="minorHAnsi" w:hAnsi="Times New Roman"/>
              </w:rPr>
              <w:t>klinicznego</w:t>
            </w:r>
            <w:r w:rsidR="00FC2C59">
              <w:rPr>
                <w:rFonts w:ascii="Times New Roman" w:eastAsiaTheme="minorHAnsi" w:hAnsi="Times New Roman"/>
              </w:rPr>
              <w:t xml:space="preserve"> </w:t>
            </w:r>
            <w:r w:rsidRPr="00836E1F">
              <w:rPr>
                <w:rFonts w:ascii="Times New Roman" w:eastAsiaTheme="minorHAnsi" w:hAnsi="Times New Roman"/>
              </w:rPr>
              <w:t>pacjenta.</w:t>
            </w:r>
          </w:p>
          <w:p w14:paraId="643DEEFE" w14:textId="0A04ECDE" w:rsidR="00B715A1" w:rsidRPr="00C71961" w:rsidRDefault="00B715A1" w:rsidP="00A62794">
            <w:pPr>
              <w:pStyle w:val="Akapitzlist"/>
              <w:widowControl/>
              <w:tabs>
                <w:tab w:val="left" w:pos="0"/>
              </w:tabs>
              <w:autoSpaceDE/>
              <w:autoSpaceDN/>
              <w:adjustRightInd/>
              <w:spacing w:after="60" w:line="276" w:lineRule="auto"/>
              <w:ind w:left="227"/>
              <w:contextualSpacing w:val="0"/>
              <w:jc w:val="both"/>
              <w:rPr>
                <w:rFonts w:ascii="Times New Roman" w:hAnsi="Times New Roman"/>
                <w:b/>
              </w:rPr>
            </w:pPr>
          </w:p>
          <w:p w14:paraId="4CF5D614" w14:textId="642C1603" w:rsidR="00AF0596" w:rsidRPr="00A62794" w:rsidRDefault="00AF0596" w:rsidP="00A62794">
            <w:pPr>
              <w:pStyle w:val="Tekstkomentarza"/>
              <w:numPr>
                <w:ilvl w:val="1"/>
                <w:numId w:val="40"/>
              </w:num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kwalifikowani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są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pacjenci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wieku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25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lat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  <w:b/>
              </w:rPr>
              <w:t>z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A62794">
              <w:rPr>
                <w:rFonts w:ascii="Times New Roman" w:hAnsi="Times New Roman"/>
                <w:b/>
              </w:rPr>
              <w:t>nawrotową/oporną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ostrą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białaczką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limfoblastyczną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(ALL)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B,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których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spełniony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jest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co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najmniej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jeden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poniższych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warunków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(7.1</w:t>
            </w:r>
            <w:r w:rsidR="00E540A8" w:rsidRPr="00A62794">
              <w:rPr>
                <w:rFonts w:ascii="Times New Roman" w:hAnsi="Times New Roman"/>
              </w:rPr>
              <w:t>.1</w:t>
            </w:r>
            <w:r w:rsidRPr="00A62794">
              <w:rPr>
                <w:rFonts w:ascii="Times New Roman" w:hAnsi="Times New Roman"/>
              </w:rPr>
              <w:t>-</w:t>
            </w:r>
            <w:r w:rsidR="00E540A8" w:rsidRPr="00A62794">
              <w:rPr>
                <w:rFonts w:ascii="Times New Roman" w:hAnsi="Times New Roman"/>
              </w:rPr>
              <w:t>7.1</w:t>
            </w:r>
            <w:r w:rsidRPr="00A62794">
              <w:rPr>
                <w:rFonts w:ascii="Times New Roman" w:hAnsi="Times New Roman"/>
              </w:rPr>
              <w:t>.5)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  <w:b/>
              </w:rPr>
              <w:t>oraz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A62794">
              <w:rPr>
                <w:rFonts w:ascii="Times New Roman" w:hAnsi="Times New Roman"/>
                <w:b/>
              </w:rPr>
              <w:t>wszystkie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A62794">
              <w:rPr>
                <w:rFonts w:ascii="Times New Roman" w:hAnsi="Times New Roman"/>
                <w:b/>
              </w:rPr>
              <w:t>kryteria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A62794">
              <w:rPr>
                <w:rFonts w:ascii="Times New Roman" w:hAnsi="Times New Roman"/>
                <w:b/>
              </w:rPr>
              <w:t>funkcjonalne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A62794">
              <w:rPr>
                <w:rFonts w:ascii="Times New Roman" w:hAnsi="Times New Roman"/>
              </w:rPr>
              <w:t>(punkt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7</w:t>
            </w:r>
            <w:r w:rsidR="00E540A8" w:rsidRPr="00A62794">
              <w:rPr>
                <w:rFonts w:ascii="Times New Roman" w:hAnsi="Times New Roman"/>
              </w:rPr>
              <w:t>.1</w:t>
            </w:r>
            <w:r w:rsidRPr="00A62794">
              <w:rPr>
                <w:rFonts w:ascii="Times New Roman" w:hAnsi="Times New Roman"/>
              </w:rPr>
              <w:t>.6):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0E22A498" w14:textId="4FE52123" w:rsidR="00AF0596" w:rsidRPr="00C71961" w:rsidRDefault="00AF0596" w:rsidP="00A62794">
            <w:pPr>
              <w:pStyle w:val="Akapitzlist"/>
              <w:numPr>
                <w:ilvl w:val="2"/>
                <w:numId w:val="4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drugi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kolejny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nawrót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szpiku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kostnym;</w:t>
            </w:r>
          </w:p>
          <w:p w14:paraId="62112133" w14:textId="0AB82838" w:rsidR="00AF0596" w:rsidRPr="00C71961" w:rsidRDefault="00AF0596" w:rsidP="00A62794">
            <w:pPr>
              <w:pStyle w:val="Akapitzlist"/>
              <w:numPr>
                <w:ilvl w:val="2"/>
                <w:numId w:val="4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nawrót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(w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szpiku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kostnym)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przeszczepieniu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allogenicznych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krwiotwórczych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komórek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macierzystych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(allo-HSCT)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najmniej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C46E52" w:rsidRPr="00C71961">
              <w:rPr>
                <w:rFonts w:ascii="Times New Roman" w:hAnsi="Times New Roman"/>
              </w:rPr>
              <w:t>4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miesiącach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przerwy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pomiędzy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allo-HSCT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podaniem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tisagenlecleucelu;</w:t>
            </w:r>
          </w:p>
          <w:p w14:paraId="46339464" w14:textId="37EB8388" w:rsidR="00AF0596" w:rsidRPr="00C71961" w:rsidRDefault="00AF0596" w:rsidP="00A62794">
            <w:pPr>
              <w:pStyle w:val="Akapitzlist"/>
              <w:numPr>
                <w:ilvl w:val="2"/>
                <w:numId w:val="4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pierwotna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oporność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leczenie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definiowana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jako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nieosiągnięcie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całkowitej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remisji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(CR)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2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cyklach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standardowej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chemioterapii</w:t>
            </w:r>
            <w:r w:rsidR="00FC2C59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Pr="00C71961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Pr="00C71961">
              <w:rPr>
                <w:rFonts w:ascii="Times New Roman" w:hAnsi="Times New Roman"/>
              </w:rPr>
              <w:t>chemiooporność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definiowana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jako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nieosiągnięcie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CR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jednym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cyklu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reindukującego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stosowanego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nawrocie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ALL;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43D0ABA0" w14:textId="41528CC3" w:rsidR="00AF0596" w:rsidRPr="00C71961" w:rsidRDefault="00AF0596" w:rsidP="00A62794">
            <w:pPr>
              <w:pStyle w:val="Akapitzlist"/>
              <w:numPr>
                <w:ilvl w:val="2"/>
                <w:numId w:val="4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ALL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obecnym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chromosomem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Philadelphia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nietolerancją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niepowodzeniem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najmniej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dwóch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linii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inhibitorami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kinazy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tyrozynowej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(TKI)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albo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przeciwskazania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terapii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TKI;</w:t>
            </w:r>
          </w:p>
          <w:p w14:paraId="3754F729" w14:textId="74A11015" w:rsidR="00AF0596" w:rsidRPr="00C71961" w:rsidRDefault="00AF0596" w:rsidP="00A62794">
            <w:pPr>
              <w:pStyle w:val="Akapitzlist"/>
              <w:numPr>
                <w:ilvl w:val="2"/>
                <w:numId w:val="4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brak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kwalifikacji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allo-HSCT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ze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względu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choroby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współistniejące,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przeciwwskazania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kondycjonującgo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przed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allo-HSCT,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brak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odpowiedniego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dawcy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3A6C66" w:rsidRPr="00C71961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wcześniejsze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allo-HSCT</w:t>
            </w:r>
            <w:r w:rsidR="003A6C66" w:rsidRPr="00C71961">
              <w:rPr>
                <w:rFonts w:ascii="Times New Roman" w:hAnsi="Times New Roman"/>
              </w:rPr>
              <w:t>.</w:t>
            </w:r>
          </w:p>
          <w:p w14:paraId="3653BF17" w14:textId="063D872B" w:rsidR="00AF0596" w:rsidRPr="00C71961" w:rsidRDefault="00AF0596" w:rsidP="00A62794">
            <w:pPr>
              <w:pStyle w:val="Akapitzlist"/>
              <w:numPr>
                <w:ilvl w:val="2"/>
                <w:numId w:val="4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C71961">
              <w:rPr>
                <w:rFonts w:ascii="Times New Roman" w:hAnsi="Times New Roman"/>
                <w:b/>
              </w:rPr>
              <w:lastRenderedPageBreak/>
              <w:t>kryteria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C71961">
              <w:rPr>
                <w:rFonts w:ascii="Times New Roman" w:hAnsi="Times New Roman"/>
                <w:b/>
              </w:rPr>
              <w:t>funkcjonalne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C71961">
              <w:rPr>
                <w:rFonts w:ascii="Times New Roman" w:hAnsi="Times New Roman"/>
                <w:b/>
              </w:rPr>
              <w:t>pacjenta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C71961">
              <w:rPr>
                <w:rFonts w:ascii="Times New Roman" w:hAnsi="Times New Roman"/>
                <w:b/>
              </w:rPr>
              <w:t>muszą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C71961">
              <w:rPr>
                <w:rFonts w:ascii="Times New Roman" w:hAnsi="Times New Roman"/>
                <w:b/>
              </w:rPr>
              <w:t>być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C71961">
              <w:rPr>
                <w:rFonts w:ascii="Times New Roman" w:hAnsi="Times New Roman"/>
                <w:b/>
              </w:rPr>
              <w:t>spełnione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C71961">
              <w:rPr>
                <w:rFonts w:ascii="Times New Roman" w:hAnsi="Times New Roman"/>
                <w:b/>
              </w:rPr>
              <w:t>łącznie:</w:t>
            </w:r>
          </w:p>
          <w:p w14:paraId="45D6B616" w14:textId="4C976A67" w:rsidR="00AF0596" w:rsidRPr="00C71961" w:rsidRDefault="00AF0596" w:rsidP="00A62794">
            <w:pPr>
              <w:pStyle w:val="Akapitzlist"/>
              <w:numPr>
                <w:ilvl w:val="3"/>
                <w:numId w:val="4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prawidłowa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funkcja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nerek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(klirens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kreatyniny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powyżej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60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ml/min/1,73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m</w:t>
            </w:r>
            <w:r w:rsidRPr="00C71961">
              <w:rPr>
                <w:rFonts w:ascii="Times New Roman" w:hAnsi="Times New Roman"/>
                <w:vertAlign w:val="superscript"/>
              </w:rPr>
              <w:t>2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albo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stężenie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kreatyniny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surowicy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normie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według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wieku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płci);</w:t>
            </w:r>
          </w:p>
          <w:p w14:paraId="591456F0" w14:textId="157E63C4" w:rsidR="00AF0596" w:rsidRPr="00C71961" w:rsidRDefault="00AF0596" w:rsidP="00A62794">
            <w:pPr>
              <w:pStyle w:val="Akapitzlist"/>
              <w:numPr>
                <w:ilvl w:val="3"/>
                <w:numId w:val="4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aktywność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aminotransferazy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alaninowej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≤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5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razy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powyżej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górnej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granicy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normy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dla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wieku;</w:t>
            </w:r>
          </w:p>
          <w:p w14:paraId="7C581312" w14:textId="481BD03F" w:rsidR="00AF0596" w:rsidRPr="00C71961" w:rsidRDefault="00AF0596" w:rsidP="00A62794">
            <w:pPr>
              <w:pStyle w:val="Akapitzlist"/>
              <w:numPr>
                <w:ilvl w:val="3"/>
                <w:numId w:val="4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stężenie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bilirubiny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&lt;2,0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mg/dl;</w:t>
            </w:r>
          </w:p>
          <w:p w14:paraId="59E08A3B" w14:textId="33400EC0" w:rsidR="00AF0596" w:rsidRPr="00C71961" w:rsidRDefault="00AF0596" w:rsidP="00A62794">
            <w:pPr>
              <w:pStyle w:val="Akapitzlist"/>
              <w:numPr>
                <w:ilvl w:val="3"/>
                <w:numId w:val="4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funkcja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skurczowa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lewej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komory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≥28%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potwierdzona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przez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echokardiogram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frakcja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wyrzutowa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lewej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komory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≥45%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potwierdzona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za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pomocą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echokardiogramu;</w:t>
            </w:r>
          </w:p>
          <w:p w14:paraId="1623DA78" w14:textId="7DB8B66A" w:rsidR="00AF0596" w:rsidRPr="00C71961" w:rsidRDefault="00AF0596" w:rsidP="00A62794">
            <w:pPr>
              <w:pStyle w:val="Akapitzlist"/>
              <w:numPr>
                <w:ilvl w:val="3"/>
                <w:numId w:val="4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stan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sprawności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wg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skali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Karnofsky’ego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(wiek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≥16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lat)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Lansky’ego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(wiek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&lt;16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lat)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≥50;</w:t>
            </w:r>
          </w:p>
          <w:p w14:paraId="531A99C2" w14:textId="553BF1A2" w:rsidR="004C2A6E" w:rsidRPr="00C71961" w:rsidRDefault="004C2A6E" w:rsidP="00A62794">
            <w:pPr>
              <w:pStyle w:val="Akapitzlist"/>
              <w:numPr>
                <w:ilvl w:val="3"/>
                <w:numId w:val="4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przewidywany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czas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przeżycia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pacjenta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najmniej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12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tygodni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8566B7" w:rsidRPr="00C71961">
              <w:rPr>
                <w:rFonts w:ascii="Times New Roman" w:hAnsi="Times New Roman"/>
              </w:rPr>
              <w:t>od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8566B7" w:rsidRPr="00C71961">
              <w:rPr>
                <w:rFonts w:ascii="Times New Roman" w:hAnsi="Times New Roman"/>
              </w:rPr>
              <w:t>momentu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8566B7" w:rsidRPr="00C71961">
              <w:rPr>
                <w:rFonts w:ascii="Times New Roman" w:hAnsi="Times New Roman"/>
              </w:rPr>
              <w:t>kwalifikacji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8566B7" w:rsidRPr="00C71961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8566B7" w:rsidRPr="00C71961">
              <w:rPr>
                <w:rFonts w:ascii="Times New Roman" w:hAnsi="Times New Roman"/>
              </w:rPr>
              <w:t>programu</w:t>
            </w:r>
            <w:r w:rsidRPr="00C71961">
              <w:rPr>
                <w:rFonts w:ascii="Times New Roman" w:hAnsi="Times New Roman"/>
              </w:rPr>
              <w:t>.</w:t>
            </w:r>
          </w:p>
          <w:p w14:paraId="287A7AC8" w14:textId="77777777" w:rsidR="00E540A8" w:rsidRPr="00C71961" w:rsidRDefault="00E540A8" w:rsidP="00A62794">
            <w:pPr>
              <w:pStyle w:val="Akapitzlist"/>
              <w:spacing w:after="60" w:line="276" w:lineRule="auto"/>
              <w:ind w:left="837"/>
              <w:contextualSpacing w:val="0"/>
              <w:jc w:val="both"/>
              <w:rPr>
                <w:rFonts w:ascii="Times New Roman" w:hAnsi="Times New Roman"/>
              </w:rPr>
            </w:pPr>
          </w:p>
          <w:p w14:paraId="7DC50360" w14:textId="05FBA277" w:rsidR="00E540A8" w:rsidRPr="00C71961" w:rsidRDefault="00E540A8" w:rsidP="00A62794">
            <w:pPr>
              <w:pStyle w:val="Akapitzlist"/>
              <w:numPr>
                <w:ilvl w:val="1"/>
                <w:numId w:val="4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  <w:b/>
                <w:bCs/>
              </w:rPr>
              <w:t>Określenie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C71961">
              <w:rPr>
                <w:rFonts w:ascii="Times New Roman" w:hAnsi="Times New Roman"/>
                <w:b/>
                <w:bCs/>
              </w:rPr>
              <w:t>czasu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C71961">
              <w:rPr>
                <w:rFonts w:ascii="Times New Roman" w:hAnsi="Times New Roman"/>
                <w:b/>
                <w:bCs/>
              </w:rPr>
              <w:t>leczenia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C71961">
              <w:rPr>
                <w:rFonts w:ascii="Times New Roman" w:hAnsi="Times New Roman"/>
                <w:b/>
                <w:bCs/>
              </w:rPr>
              <w:t>w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C71961">
              <w:rPr>
                <w:rFonts w:ascii="Times New Roman" w:hAnsi="Times New Roman"/>
                <w:b/>
                <w:bCs/>
              </w:rPr>
              <w:t>programie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5E0E5E23" w14:textId="6026ACDB" w:rsidR="00E540A8" w:rsidRDefault="00E540A8" w:rsidP="00A62794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A62794">
              <w:rPr>
                <w:rFonts w:ascii="Times New Roman" w:hAnsi="Times New Roman"/>
              </w:rPr>
              <w:t>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chorych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można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zastosować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jedno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przetoczenie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CAR-T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(tj.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podanie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tisagenlecleucelu).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Maksymalny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czas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opieki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ramach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programu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lekowego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wynosi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12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miesięcy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od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dnia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podania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CAR-T.</w:t>
            </w:r>
          </w:p>
          <w:p w14:paraId="7A67FE82" w14:textId="77777777" w:rsidR="00A62794" w:rsidRPr="00A62794" w:rsidRDefault="00A62794" w:rsidP="00A62794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</w:p>
          <w:p w14:paraId="57C73747" w14:textId="2E6D75C4" w:rsidR="00E540A8" w:rsidRPr="00C71961" w:rsidRDefault="00E540A8" w:rsidP="00A62794">
            <w:pPr>
              <w:pStyle w:val="Akapitzlist"/>
              <w:numPr>
                <w:ilvl w:val="1"/>
                <w:numId w:val="4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  <w:b/>
              </w:rPr>
              <w:t>Kryteria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C71961">
              <w:rPr>
                <w:rFonts w:ascii="Times New Roman" w:hAnsi="Times New Roman"/>
                <w:b/>
              </w:rPr>
              <w:t>wyłączenia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C71961">
              <w:rPr>
                <w:rFonts w:ascii="Times New Roman" w:hAnsi="Times New Roman"/>
                <w:b/>
              </w:rPr>
              <w:t>z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C71961">
              <w:rPr>
                <w:rFonts w:ascii="Times New Roman" w:hAnsi="Times New Roman"/>
                <w:b/>
              </w:rPr>
              <w:t>programu</w:t>
            </w:r>
          </w:p>
          <w:p w14:paraId="10A086E0" w14:textId="4A214FBF" w:rsidR="00E540A8" w:rsidRPr="00C71961" w:rsidRDefault="00E540A8" w:rsidP="00A62794">
            <w:pPr>
              <w:pStyle w:val="Akapitzlist"/>
              <w:numPr>
                <w:ilvl w:val="2"/>
                <w:numId w:val="4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wystąpienie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nieodwracalnych,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bezwzględnych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przeciwwskazań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podania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tisagenlecleucelu.</w:t>
            </w:r>
          </w:p>
          <w:p w14:paraId="7962EEF4" w14:textId="77777777" w:rsidR="00E540A8" w:rsidRPr="00C71961" w:rsidRDefault="00E540A8" w:rsidP="00A62794">
            <w:pPr>
              <w:spacing w:after="60" w:line="276" w:lineRule="auto"/>
              <w:ind w:left="360"/>
              <w:jc w:val="both"/>
              <w:rPr>
                <w:rFonts w:ascii="Times New Roman" w:hAnsi="Times New Roman"/>
              </w:rPr>
            </w:pPr>
          </w:p>
          <w:p w14:paraId="6375ED97" w14:textId="546367B1" w:rsidR="00E540A8" w:rsidRPr="00C71961" w:rsidRDefault="00E540A8" w:rsidP="00A62794">
            <w:pPr>
              <w:pStyle w:val="Akapitzlist"/>
              <w:numPr>
                <w:ilvl w:val="1"/>
                <w:numId w:val="4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</w:rPr>
            </w:pPr>
            <w:r w:rsidRPr="00C71961">
              <w:rPr>
                <w:rFonts w:ascii="Times New Roman" w:hAnsi="Times New Roman"/>
                <w:b/>
                <w:bCs/>
              </w:rPr>
              <w:t>Przeciwskazania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C71961">
              <w:rPr>
                <w:rFonts w:ascii="Times New Roman" w:hAnsi="Times New Roman"/>
                <w:b/>
                <w:bCs/>
              </w:rPr>
              <w:t>do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C71961">
              <w:rPr>
                <w:rFonts w:ascii="Times New Roman" w:hAnsi="Times New Roman"/>
                <w:b/>
                <w:bCs/>
              </w:rPr>
              <w:t>włączenia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C71961">
              <w:rPr>
                <w:rFonts w:ascii="Times New Roman" w:hAnsi="Times New Roman"/>
                <w:b/>
                <w:bCs/>
              </w:rPr>
              <w:t>do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C71961">
              <w:rPr>
                <w:rFonts w:ascii="Times New Roman" w:hAnsi="Times New Roman"/>
                <w:b/>
                <w:bCs/>
              </w:rPr>
              <w:t>programu:</w:t>
            </w:r>
          </w:p>
          <w:p w14:paraId="3E28A9E0" w14:textId="7F7400EA" w:rsidR="00E540A8" w:rsidRPr="00C71961" w:rsidRDefault="00E540A8" w:rsidP="00A62794">
            <w:pPr>
              <w:pStyle w:val="Akapitzlist"/>
              <w:widowControl/>
              <w:numPr>
                <w:ilvl w:val="2"/>
                <w:numId w:val="4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ciąża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karmienie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piersią;</w:t>
            </w:r>
          </w:p>
          <w:p w14:paraId="3909BF0E" w14:textId="1C0C9516" w:rsidR="00E540A8" w:rsidRPr="00C71961" w:rsidRDefault="00E540A8" w:rsidP="00A62794">
            <w:pPr>
              <w:pStyle w:val="Akapitzlist"/>
              <w:widowControl/>
              <w:numPr>
                <w:ilvl w:val="2"/>
                <w:numId w:val="4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izolowana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pozaszpikowa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wznowa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ALL</w:t>
            </w:r>
          </w:p>
          <w:p w14:paraId="45F35D45" w14:textId="24D2295A" w:rsidR="00E540A8" w:rsidRPr="00C71961" w:rsidRDefault="00E540A8" w:rsidP="00A62794">
            <w:pPr>
              <w:pStyle w:val="Akapitzlist"/>
              <w:widowControl/>
              <w:numPr>
                <w:ilvl w:val="2"/>
                <w:numId w:val="4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zajęcie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ośrodkowego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układu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nerwowego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przez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ALL;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244DEA19" w14:textId="78D88115" w:rsidR="00E540A8" w:rsidRPr="00C71961" w:rsidRDefault="00E540A8" w:rsidP="00A62794">
            <w:pPr>
              <w:pStyle w:val="Akapitzlist"/>
              <w:widowControl/>
              <w:numPr>
                <w:ilvl w:val="2"/>
                <w:numId w:val="4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aktywne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niekontrolowane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zakażenie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systemowe;</w:t>
            </w:r>
          </w:p>
          <w:p w14:paraId="5C1A863D" w14:textId="4D8619EA" w:rsidR="00E540A8" w:rsidRPr="00C71961" w:rsidRDefault="00E540A8" w:rsidP="00A62794">
            <w:pPr>
              <w:pStyle w:val="Akapitzlist"/>
              <w:widowControl/>
              <w:numPr>
                <w:ilvl w:val="2"/>
                <w:numId w:val="4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zakażenie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HIV</w:t>
            </w:r>
            <w:r w:rsidR="00A62794">
              <w:rPr>
                <w:rFonts w:ascii="Times New Roman" w:hAnsi="Times New Roman"/>
              </w:rPr>
              <w:t>;</w:t>
            </w:r>
          </w:p>
          <w:p w14:paraId="009CC51B" w14:textId="70CB615A" w:rsidR="00E540A8" w:rsidRPr="00C71961" w:rsidRDefault="00E540A8" w:rsidP="00A62794">
            <w:pPr>
              <w:pStyle w:val="Akapitzlist"/>
              <w:widowControl/>
              <w:numPr>
                <w:ilvl w:val="2"/>
                <w:numId w:val="4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lastRenderedPageBreak/>
              <w:t>aktywne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wirusowe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zapalenie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wątroby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typu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B,C;</w:t>
            </w:r>
          </w:p>
          <w:p w14:paraId="1942425A" w14:textId="27FC9A44" w:rsidR="00E540A8" w:rsidRPr="00C71961" w:rsidRDefault="00E540A8" w:rsidP="00A62794">
            <w:pPr>
              <w:pStyle w:val="Akapitzlist"/>
              <w:widowControl/>
              <w:numPr>
                <w:ilvl w:val="2"/>
                <w:numId w:val="4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współistnienie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wrodzonych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chorób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genetycznych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przebiegających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upośledzoną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czynnością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szpiku,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takich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jak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niedokrwistość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Fanconiego,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zespół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Kostmanna,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zespół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Schwachmana-Diamonda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innych</w:t>
            </w:r>
          </w:p>
          <w:p w14:paraId="1DF82A40" w14:textId="7F49EF71" w:rsidR="00E540A8" w:rsidRPr="00C71961" w:rsidRDefault="00E540A8" w:rsidP="00A62794">
            <w:pPr>
              <w:pStyle w:val="Akapitzlist"/>
              <w:widowControl/>
              <w:numPr>
                <w:ilvl w:val="2"/>
                <w:numId w:val="4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przewlekła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choroba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przeszczep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przeciw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gospodarzowi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(GvHD)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stopniu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2-4</w:t>
            </w:r>
          </w:p>
          <w:p w14:paraId="54799707" w14:textId="2839F28F" w:rsidR="00E540A8" w:rsidRPr="00C71961" w:rsidRDefault="00E540A8" w:rsidP="00A62794">
            <w:pPr>
              <w:pStyle w:val="Akapitzlist"/>
              <w:widowControl/>
              <w:numPr>
                <w:ilvl w:val="2"/>
                <w:numId w:val="4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obecność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przeciwwskazań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stosowania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chemioterapii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limfodeplecyjnej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zastosowaniem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takich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leków,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jak: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272DC3" w:rsidRPr="00C71961">
              <w:rPr>
                <w:rFonts w:ascii="Times New Roman" w:hAnsi="Times New Roman"/>
              </w:rPr>
              <w:t>fludarabina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272DC3" w:rsidRPr="00C71961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cyklofosfamid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272DC3" w:rsidRPr="00C71961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272DC3" w:rsidRPr="00C71961">
              <w:rPr>
                <w:rFonts w:ascii="Times New Roman" w:hAnsi="Times New Roman"/>
              </w:rPr>
              <w:t>cytarabina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272DC3" w:rsidRPr="00C71961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272DC3" w:rsidRPr="00C71961">
              <w:rPr>
                <w:rFonts w:ascii="Times New Roman" w:hAnsi="Times New Roman"/>
              </w:rPr>
              <w:t>etopozyd</w:t>
            </w:r>
            <w:r w:rsidRPr="00C71961">
              <w:rPr>
                <w:rFonts w:ascii="Times New Roman" w:hAnsi="Times New Roman"/>
              </w:rPr>
              <w:t>.</w:t>
            </w:r>
          </w:p>
          <w:p w14:paraId="364CCA10" w14:textId="77777777" w:rsidR="00AF0596" w:rsidRPr="00C71961" w:rsidRDefault="00AF0596" w:rsidP="00A62794">
            <w:pPr>
              <w:pStyle w:val="Akapitzlist"/>
              <w:widowControl/>
              <w:tabs>
                <w:tab w:val="left" w:pos="0"/>
              </w:tabs>
              <w:autoSpaceDE/>
              <w:autoSpaceDN/>
              <w:adjustRightInd/>
              <w:spacing w:after="60" w:line="276" w:lineRule="auto"/>
              <w:ind w:left="227"/>
              <w:contextualSpacing w:val="0"/>
              <w:jc w:val="both"/>
              <w:rPr>
                <w:rFonts w:ascii="Times New Roman" w:hAnsi="Times New Roman"/>
                <w:b/>
              </w:rPr>
            </w:pPr>
          </w:p>
          <w:p w14:paraId="7D484584" w14:textId="500DA3AB" w:rsidR="00E540A8" w:rsidRPr="00C71961" w:rsidRDefault="00E540A8" w:rsidP="00A62794">
            <w:pPr>
              <w:pStyle w:val="Akapitzlist"/>
              <w:widowControl/>
              <w:tabs>
                <w:tab w:val="left" w:pos="0"/>
              </w:tabs>
              <w:autoSpaceDE/>
              <w:autoSpaceDN/>
              <w:adjustRightInd/>
              <w:spacing w:after="60" w:line="276" w:lineRule="auto"/>
              <w:ind w:left="227"/>
              <w:contextualSpacing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95" w:type="pct"/>
          </w:tcPr>
          <w:p w14:paraId="036D1A6D" w14:textId="4CADB2EC" w:rsidR="00E540A8" w:rsidRPr="00C71961" w:rsidRDefault="00E540A8" w:rsidP="00A62794">
            <w:pPr>
              <w:pStyle w:val="Akapitzlist"/>
              <w:numPr>
                <w:ilvl w:val="0"/>
                <w:numId w:val="41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C71961">
              <w:rPr>
                <w:rFonts w:ascii="Times New Roman" w:hAnsi="Times New Roman"/>
                <w:b/>
              </w:rPr>
              <w:lastRenderedPageBreak/>
              <w:t>Dawkowanie</w:t>
            </w:r>
          </w:p>
          <w:p w14:paraId="0B9B8903" w14:textId="37E7BFDE" w:rsidR="00E540A8" w:rsidRPr="00A62794" w:rsidRDefault="00E540A8" w:rsidP="00A62794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A62794">
              <w:rPr>
                <w:rFonts w:ascii="Times New Roman" w:hAnsi="Times New Roman"/>
              </w:rPr>
              <w:t>Schemat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dawkowania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tisagenlecleucelu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zgodnie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zapisami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Charakterystyki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Produktu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Leczniczego.</w:t>
            </w:r>
          </w:p>
          <w:p w14:paraId="68E40184" w14:textId="77777777" w:rsidR="00E540A8" w:rsidRPr="00C71961" w:rsidRDefault="00E540A8" w:rsidP="00A62794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</w:p>
          <w:p w14:paraId="0E1B2575" w14:textId="3CB409FA" w:rsidR="00E540A8" w:rsidRPr="00A62794" w:rsidRDefault="00E540A8" w:rsidP="00A62794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A62794">
              <w:rPr>
                <w:rFonts w:ascii="Times New Roman" w:hAnsi="Times New Roman"/>
              </w:rPr>
              <w:t>Tisagenlecleucel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musi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być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podawany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wykwalifikowanym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ośrodku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posiadającym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certyfikację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B3306" w:rsidRPr="00A62794">
              <w:rPr>
                <w:rFonts w:ascii="Times New Roman" w:hAnsi="Times New Roman"/>
              </w:rPr>
              <w:t>Podmiotu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B3306" w:rsidRPr="00A62794">
              <w:rPr>
                <w:rFonts w:ascii="Times New Roman" w:hAnsi="Times New Roman"/>
              </w:rPr>
              <w:t>Odpowiedzialnego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zgodnie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wymogami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EMA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B3306" w:rsidRPr="00A62794">
              <w:rPr>
                <w:rFonts w:ascii="Times New Roman" w:hAnsi="Times New Roman"/>
              </w:rPr>
              <w:t>oraz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B3306" w:rsidRPr="00A62794">
              <w:rPr>
                <w:rFonts w:ascii="Times New Roman" w:hAnsi="Times New Roman"/>
              </w:rPr>
              <w:t>akceptację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B3306" w:rsidRPr="00A62794">
              <w:rPr>
                <w:rFonts w:ascii="Times New Roman" w:hAnsi="Times New Roman"/>
              </w:rPr>
              <w:t>MZ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B3306" w:rsidRPr="00A62794">
              <w:rPr>
                <w:rFonts w:ascii="Times New Roman" w:hAnsi="Times New Roman"/>
              </w:rPr>
              <w:t>po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B3306" w:rsidRPr="00A62794">
              <w:rPr>
                <w:rFonts w:ascii="Times New Roman" w:hAnsi="Times New Roman"/>
              </w:rPr>
              <w:t>pozytywnej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B3306" w:rsidRPr="00A62794">
              <w:rPr>
                <w:rFonts w:ascii="Times New Roman" w:hAnsi="Times New Roman"/>
              </w:rPr>
              <w:t>opinii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B3306" w:rsidRPr="00A62794">
              <w:rPr>
                <w:rFonts w:ascii="Times New Roman" w:hAnsi="Times New Roman"/>
              </w:rPr>
              <w:t>Krajowej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B3306" w:rsidRPr="00A62794">
              <w:rPr>
                <w:rFonts w:ascii="Times New Roman" w:hAnsi="Times New Roman"/>
              </w:rPr>
              <w:t>Rady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6B3306" w:rsidRPr="00A62794">
              <w:rPr>
                <w:rFonts w:ascii="Times New Roman" w:hAnsi="Times New Roman"/>
              </w:rPr>
              <w:t>Transplantacyjnej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A37B15" w:rsidRPr="00A62794">
              <w:rPr>
                <w:rFonts w:ascii="Times New Roman" w:hAnsi="Times New Roman"/>
              </w:rPr>
              <w:t>odnośnie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A37B15" w:rsidRPr="00A62794">
              <w:rPr>
                <w:rFonts w:ascii="Times New Roman" w:hAnsi="Times New Roman"/>
              </w:rPr>
              <w:t>pobierania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A37B15" w:rsidRPr="00A62794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A37B15" w:rsidRPr="00A62794">
              <w:rPr>
                <w:rFonts w:ascii="Times New Roman" w:hAnsi="Times New Roman"/>
              </w:rPr>
              <w:t>wykorzystania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A37B15" w:rsidRPr="00A62794">
              <w:rPr>
                <w:rFonts w:ascii="Times New Roman" w:hAnsi="Times New Roman"/>
              </w:rPr>
              <w:t>autologicznych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A37B15" w:rsidRPr="00A62794">
              <w:rPr>
                <w:rFonts w:ascii="Times New Roman" w:hAnsi="Times New Roman"/>
              </w:rPr>
              <w:t>limfocytów</w:t>
            </w:r>
            <w:r w:rsidR="00E2400A" w:rsidRPr="00A62794">
              <w:rPr>
                <w:rFonts w:ascii="Times New Roman" w:hAnsi="Times New Roman"/>
              </w:rPr>
              <w:t>.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Terapię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należy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rozpoczynać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pod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nadzorem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fachowego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personelu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medycznego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doświadczonego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leczeniu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nowotworów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układu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krwiotwórczego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chłonne</w:t>
            </w:r>
            <w:r w:rsidR="00A90BAB" w:rsidRPr="00A62794">
              <w:rPr>
                <w:rFonts w:ascii="Times New Roman" w:hAnsi="Times New Roman"/>
              </w:rPr>
              <w:t>g</w:t>
            </w:r>
            <w:r w:rsidRPr="00A62794">
              <w:rPr>
                <w:rFonts w:ascii="Times New Roman" w:hAnsi="Times New Roman"/>
              </w:rPr>
              <w:t>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oraz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przeszkolonego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podawaniu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postępowaniu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pacjentami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leczonymi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tisagenlecleucelem.</w:t>
            </w:r>
          </w:p>
          <w:p w14:paraId="2D84E8D8" w14:textId="77777777" w:rsidR="00E540A8" w:rsidRPr="00C71961" w:rsidRDefault="00E540A8" w:rsidP="00A62794">
            <w:pPr>
              <w:spacing w:after="60" w:line="276" w:lineRule="auto"/>
              <w:jc w:val="both"/>
              <w:rPr>
                <w:rStyle w:val="Odwoaniedokomentarza"/>
                <w:rFonts w:ascii="Times New Roman" w:hAnsi="Times New Roman"/>
                <w:sz w:val="20"/>
                <w:szCs w:val="20"/>
              </w:rPr>
            </w:pPr>
          </w:p>
          <w:p w14:paraId="5EE57631" w14:textId="78254958" w:rsidR="00E540A8" w:rsidRPr="00C71961" w:rsidRDefault="00E540A8" w:rsidP="00A62794">
            <w:pPr>
              <w:pStyle w:val="Akapitzlist"/>
              <w:numPr>
                <w:ilvl w:val="1"/>
                <w:numId w:val="4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C71961">
              <w:rPr>
                <w:rFonts w:ascii="Times New Roman" w:hAnsi="Times New Roman"/>
                <w:b/>
              </w:rPr>
              <w:t>Specjalne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C71961">
              <w:rPr>
                <w:rFonts w:ascii="Times New Roman" w:hAnsi="Times New Roman"/>
                <w:b/>
              </w:rPr>
              <w:t>ostrzeżenia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C71961">
              <w:rPr>
                <w:rFonts w:ascii="Times New Roman" w:hAnsi="Times New Roman"/>
                <w:b/>
              </w:rPr>
              <w:t>i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C71961">
              <w:rPr>
                <w:rFonts w:ascii="Times New Roman" w:hAnsi="Times New Roman"/>
                <w:b/>
              </w:rPr>
              <w:t>środki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C71961">
              <w:rPr>
                <w:rFonts w:ascii="Times New Roman" w:hAnsi="Times New Roman"/>
                <w:b/>
              </w:rPr>
              <w:t>ostrożności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C71961">
              <w:rPr>
                <w:rFonts w:ascii="Times New Roman" w:hAnsi="Times New Roman"/>
                <w:b/>
              </w:rPr>
              <w:t>dotyczące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C71961">
              <w:rPr>
                <w:rFonts w:ascii="Times New Roman" w:hAnsi="Times New Roman"/>
                <w:b/>
              </w:rPr>
              <w:t>stosowania,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C71961">
              <w:rPr>
                <w:rFonts w:ascii="Times New Roman" w:hAnsi="Times New Roman"/>
                <w:b/>
              </w:rPr>
              <w:t>przechowywania,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C71961">
              <w:rPr>
                <w:rFonts w:ascii="Times New Roman" w:hAnsi="Times New Roman"/>
                <w:b/>
              </w:rPr>
              <w:t>przygotowania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C71961">
              <w:rPr>
                <w:rFonts w:ascii="Times New Roman" w:hAnsi="Times New Roman"/>
                <w:b/>
              </w:rPr>
              <w:t>i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C71961">
              <w:rPr>
                <w:rFonts w:ascii="Times New Roman" w:hAnsi="Times New Roman"/>
                <w:b/>
              </w:rPr>
              <w:t>usuwania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C71961">
              <w:rPr>
                <w:rFonts w:ascii="Times New Roman" w:hAnsi="Times New Roman"/>
                <w:b/>
              </w:rPr>
              <w:t>produktu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C71961">
              <w:rPr>
                <w:rFonts w:ascii="Times New Roman" w:hAnsi="Times New Roman"/>
                <w:b/>
              </w:rPr>
              <w:t>leczniczego</w:t>
            </w:r>
          </w:p>
          <w:p w14:paraId="23F419D5" w14:textId="3F1ECBA6" w:rsidR="00E540A8" w:rsidRPr="00A62794" w:rsidRDefault="00E540A8" w:rsidP="00A62794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A62794">
              <w:rPr>
                <w:rFonts w:ascii="Times New Roman" w:hAnsi="Times New Roman"/>
              </w:rPr>
              <w:t>Postępowanie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zgodnie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zapisami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Charakterystyki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Produktu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A62794">
              <w:rPr>
                <w:rFonts w:ascii="Times New Roman" w:hAnsi="Times New Roman"/>
              </w:rPr>
              <w:t>Leczniczego.</w:t>
            </w:r>
          </w:p>
          <w:p w14:paraId="668FC6A9" w14:textId="77777777" w:rsidR="00E540A8" w:rsidRPr="00C71961" w:rsidRDefault="00E540A8" w:rsidP="00A62794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</w:p>
          <w:p w14:paraId="589FDBED" w14:textId="77777777" w:rsidR="00613141" w:rsidRPr="00C71961" w:rsidRDefault="00613141" w:rsidP="00A62794">
            <w:pPr>
              <w:pStyle w:val="Akapitzlist"/>
              <w:widowControl/>
              <w:tabs>
                <w:tab w:val="left" w:pos="176"/>
              </w:tabs>
              <w:autoSpaceDE/>
              <w:autoSpaceDN/>
              <w:adjustRightInd/>
              <w:spacing w:after="60" w:line="276" w:lineRule="auto"/>
              <w:ind w:left="227"/>
              <w:contextualSpacing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96" w:type="pct"/>
          </w:tcPr>
          <w:p w14:paraId="4CADEE76" w14:textId="576F99E9" w:rsidR="00724442" w:rsidRPr="00C71961" w:rsidRDefault="00724442" w:rsidP="00A62794">
            <w:pPr>
              <w:pStyle w:val="Akapitzlist"/>
              <w:numPr>
                <w:ilvl w:val="0"/>
                <w:numId w:val="42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</w:rPr>
            </w:pPr>
            <w:r w:rsidRPr="00C71961">
              <w:rPr>
                <w:rFonts w:ascii="Times New Roman" w:hAnsi="Times New Roman"/>
                <w:b/>
                <w:bCs/>
              </w:rPr>
              <w:t>Badania</w:t>
            </w:r>
          </w:p>
          <w:p w14:paraId="201CEFF2" w14:textId="6E6FB90C" w:rsidR="00724442" w:rsidRPr="00C71961" w:rsidRDefault="00724442" w:rsidP="00A62794">
            <w:pPr>
              <w:pStyle w:val="Akapitzlist"/>
              <w:numPr>
                <w:ilvl w:val="1"/>
                <w:numId w:val="4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  <w:b/>
              </w:rPr>
              <w:t>Badania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C71961">
              <w:rPr>
                <w:rFonts w:ascii="Times New Roman" w:hAnsi="Times New Roman"/>
                <w:b/>
              </w:rPr>
              <w:t>przy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C71961">
              <w:rPr>
                <w:rFonts w:ascii="Times New Roman" w:hAnsi="Times New Roman"/>
                <w:b/>
              </w:rPr>
              <w:t>kwalifikacji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C71961">
              <w:rPr>
                <w:rFonts w:ascii="Times New Roman" w:hAnsi="Times New Roman"/>
                <w:b/>
              </w:rPr>
              <w:t>do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C71961">
              <w:rPr>
                <w:rFonts w:ascii="Times New Roman" w:hAnsi="Times New Roman"/>
                <w:b/>
              </w:rPr>
              <w:t>programu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C71961">
              <w:rPr>
                <w:rFonts w:ascii="Times New Roman" w:hAnsi="Times New Roman"/>
                <w:b/>
              </w:rPr>
              <w:t>lekowego:</w:t>
            </w:r>
          </w:p>
          <w:p w14:paraId="112DD422" w14:textId="1ECCAE63" w:rsidR="00724442" w:rsidRPr="00C71961" w:rsidRDefault="00724442" w:rsidP="00A62794">
            <w:pPr>
              <w:pStyle w:val="Akapitzlist"/>
              <w:numPr>
                <w:ilvl w:val="2"/>
                <w:numId w:val="4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badanie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fizykalne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ocena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objawów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ze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strony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centralnego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układu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nerwowego;</w:t>
            </w:r>
          </w:p>
          <w:p w14:paraId="262FDF31" w14:textId="3F6771E9" w:rsidR="00724442" w:rsidRPr="00C71961" w:rsidRDefault="00724442" w:rsidP="00A62794">
            <w:pPr>
              <w:pStyle w:val="Akapitzlist"/>
              <w:numPr>
                <w:ilvl w:val="2"/>
                <w:numId w:val="4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morfologia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krwi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obwodowej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rozmazem;</w:t>
            </w:r>
          </w:p>
          <w:p w14:paraId="15920F2E" w14:textId="34EF6A0B" w:rsidR="00724442" w:rsidRPr="00C71961" w:rsidRDefault="00724442" w:rsidP="00A62794">
            <w:pPr>
              <w:pStyle w:val="Akapitzlist"/>
              <w:numPr>
                <w:ilvl w:val="2"/>
                <w:numId w:val="4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ocena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funkcji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wątroby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(AlAT,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AspAT,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stężenie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bilirubiny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surowicy);</w:t>
            </w:r>
          </w:p>
          <w:p w14:paraId="1F5D09EA" w14:textId="7E589767" w:rsidR="00724442" w:rsidRPr="00C71961" w:rsidRDefault="00724442" w:rsidP="00A62794">
            <w:pPr>
              <w:pStyle w:val="Akapitzlist"/>
              <w:numPr>
                <w:ilvl w:val="2"/>
                <w:numId w:val="4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ocena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funkcji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nerek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(stężenie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kreatyniny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surowicy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klirens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kreatyniny);</w:t>
            </w:r>
          </w:p>
          <w:p w14:paraId="4F52244F" w14:textId="2790458D" w:rsidR="00724442" w:rsidRPr="00C71961" w:rsidRDefault="00724442" w:rsidP="00A62794">
            <w:pPr>
              <w:pStyle w:val="Akapitzlist"/>
              <w:numPr>
                <w:ilvl w:val="2"/>
                <w:numId w:val="4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ocena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cytologiczna,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cytometryczna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wraz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potwierdzeniem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obecności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antygenu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CD19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blastach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białaczkowych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i/lub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molekularna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aspiratu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szpiku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kostnego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dokumentująca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oporność/nawrót</w:t>
            </w:r>
            <w:r w:rsidR="00FC2C59">
              <w:rPr>
                <w:rFonts w:ascii="Times New Roman" w:hAnsi="Times New Roman"/>
                <w:color w:val="FF0000"/>
              </w:rPr>
              <w:t xml:space="preserve"> </w:t>
            </w:r>
            <w:r w:rsidRPr="00C71961">
              <w:rPr>
                <w:rFonts w:ascii="Times New Roman" w:hAnsi="Times New Roman"/>
              </w:rPr>
              <w:t>choroby;</w:t>
            </w:r>
          </w:p>
          <w:p w14:paraId="1D47BD6C" w14:textId="757B46F6" w:rsidR="00724442" w:rsidRPr="00C71961" w:rsidRDefault="00724442" w:rsidP="00A62794">
            <w:pPr>
              <w:pStyle w:val="Akapitzlist"/>
              <w:numPr>
                <w:ilvl w:val="2"/>
                <w:numId w:val="4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ocena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płynu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mózgowo-rdzeniowego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(w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uzasadnionych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przypadkach);</w:t>
            </w:r>
          </w:p>
          <w:p w14:paraId="643AA017" w14:textId="4D03E4A0" w:rsidR="00724442" w:rsidRPr="00C71961" w:rsidRDefault="00724442" w:rsidP="00A62794">
            <w:pPr>
              <w:pStyle w:val="Akapitzlist"/>
              <w:numPr>
                <w:ilvl w:val="2"/>
                <w:numId w:val="4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badania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obrazowe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041C74" w:rsidRPr="00C71961">
              <w:rPr>
                <w:rFonts w:ascii="Times New Roman" w:hAnsi="Times New Roman"/>
              </w:rPr>
              <w:t>centralnego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układu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nerwowego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(CT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NMR)</w:t>
            </w:r>
          </w:p>
          <w:p w14:paraId="381C739D" w14:textId="5B6CD501" w:rsidR="00724442" w:rsidRPr="00C71961" w:rsidRDefault="00724442" w:rsidP="00A62794">
            <w:pPr>
              <w:pStyle w:val="Akapitzlist"/>
              <w:numPr>
                <w:ilvl w:val="2"/>
                <w:numId w:val="4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test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ciążowy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(u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kobiet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możliwością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zajścia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ciążę);</w:t>
            </w:r>
          </w:p>
          <w:p w14:paraId="368C1F09" w14:textId="30F28AB4" w:rsidR="00724442" w:rsidRPr="00C71961" w:rsidRDefault="00724442" w:rsidP="00A62794">
            <w:pPr>
              <w:pStyle w:val="Akapitzlist"/>
              <w:numPr>
                <w:ilvl w:val="2"/>
                <w:numId w:val="4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test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HIV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(przeciwciała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anty-HIV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surowicy);</w:t>
            </w:r>
          </w:p>
          <w:p w14:paraId="388F5D4F" w14:textId="15DFBEF6" w:rsidR="00724442" w:rsidRPr="00C71961" w:rsidRDefault="00724442" w:rsidP="00A62794">
            <w:pPr>
              <w:pStyle w:val="Akapitzlist"/>
              <w:numPr>
                <w:ilvl w:val="2"/>
                <w:numId w:val="4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oznaczenie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markerów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wirusa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zapalenia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lastRenderedPageBreak/>
              <w:t>wątroby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typu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(HBsAg,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anty-HBc,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anty-HBs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–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przypadku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dodatnich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anty-HBc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wykonać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HBV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DNA);</w:t>
            </w:r>
          </w:p>
          <w:p w14:paraId="6EFB6CA6" w14:textId="0E059914" w:rsidR="00724442" w:rsidRPr="00C71961" w:rsidRDefault="00724442" w:rsidP="00A62794">
            <w:pPr>
              <w:pStyle w:val="Akapitzlist"/>
              <w:numPr>
                <w:ilvl w:val="2"/>
                <w:numId w:val="4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oznaczenie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markerów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wirusa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zapalenia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wątroby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typu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(anty-HCV,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HCV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RNA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–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przypadku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dodatnich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anty-HCV);</w:t>
            </w:r>
          </w:p>
          <w:p w14:paraId="6AA8B72E" w14:textId="2ED16963" w:rsidR="00724442" w:rsidRPr="00A62794" w:rsidRDefault="00724442" w:rsidP="00A62794">
            <w:pPr>
              <w:pStyle w:val="Akapitzlist"/>
              <w:numPr>
                <w:ilvl w:val="2"/>
                <w:numId w:val="4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oznaczenie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parametrów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krzepnięcia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krwi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(PT,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aPTT,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INR,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fibrynogen,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D-dimery)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65884829" w14:textId="310EDFA1" w:rsidR="00724442" w:rsidRPr="00C71961" w:rsidRDefault="00724442" w:rsidP="00A62794">
            <w:pPr>
              <w:pStyle w:val="Akapitzlist"/>
              <w:numPr>
                <w:ilvl w:val="2"/>
                <w:numId w:val="4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oznaczenie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stężenia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immunoglobuliny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IgG;</w:t>
            </w:r>
          </w:p>
          <w:p w14:paraId="38452EAD" w14:textId="6153E0D9" w:rsidR="00724442" w:rsidRPr="00C71961" w:rsidRDefault="00724442" w:rsidP="00A62794">
            <w:pPr>
              <w:pStyle w:val="Akapitzlist"/>
              <w:numPr>
                <w:ilvl w:val="2"/>
                <w:numId w:val="4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EKG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ECHO/MUGA</w:t>
            </w:r>
            <w:r w:rsidR="006209FC">
              <w:rPr>
                <w:rFonts w:ascii="Times New Roman" w:hAnsi="Times New Roman"/>
              </w:rPr>
              <w:t>.</w:t>
            </w:r>
          </w:p>
          <w:p w14:paraId="511C7E42" w14:textId="77777777" w:rsidR="00724442" w:rsidRPr="00C71961" w:rsidRDefault="00724442" w:rsidP="00C71961">
            <w:pPr>
              <w:pStyle w:val="Akapitzlist"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</w:p>
          <w:p w14:paraId="4D249AE5" w14:textId="5FC28B11" w:rsidR="00724442" w:rsidRPr="00C71961" w:rsidRDefault="00724442" w:rsidP="00A62794">
            <w:pPr>
              <w:pStyle w:val="Akapitzlist"/>
              <w:numPr>
                <w:ilvl w:val="1"/>
                <w:numId w:val="4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C71961">
              <w:rPr>
                <w:rFonts w:ascii="Times New Roman" w:hAnsi="Times New Roman"/>
                <w:b/>
              </w:rPr>
              <w:t>Badania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C71961">
              <w:rPr>
                <w:rFonts w:ascii="Times New Roman" w:hAnsi="Times New Roman"/>
                <w:b/>
              </w:rPr>
              <w:t>bezpośrednio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C71961">
              <w:rPr>
                <w:rFonts w:ascii="Times New Roman" w:hAnsi="Times New Roman"/>
                <w:b/>
              </w:rPr>
              <w:t>przed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C71961">
              <w:rPr>
                <w:rFonts w:ascii="Times New Roman" w:hAnsi="Times New Roman"/>
                <w:b/>
              </w:rPr>
              <w:t>podaniem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C71961">
              <w:rPr>
                <w:rFonts w:ascii="Times New Roman" w:hAnsi="Times New Roman"/>
                <w:b/>
              </w:rPr>
              <w:t>tisagenlecleucelu</w:t>
            </w:r>
          </w:p>
          <w:p w14:paraId="105712C5" w14:textId="21C604EC" w:rsidR="00724442" w:rsidRPr="00C71961" w:rsidRDefault="00724442" w:rsidP="00A62794">
            <w:pPr>
              <w:pStyle w:val="Akapitzlist"/>
              <w:numPr>
                <w:ilvl w:val="2"/>
                <w:numId w:val="4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białka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ostrej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fazy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(CRP,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ferrytyna)</w:t>
            </w:r>
            <w:r w:rsidR="00FC2C59">
              <w:rPr>
                <w:rFonts w:ascii="Times New Roman" w:hAnsi="Times New Roman"/>
              </w:rPr>
              <w:t>;</w:t>
            </w:r>
          </w:p>
          <w:p w14:paraId="7777BF4B" w14:textId="44B78C8E" w:rsidR="00724442" w:rsidRPr="00C71961" w:rsidRDefault="00724442" w:rsidP="00A62794">
            <w:pPr>
              <w:pStyle w:val="Akapitzlist"/>
              <w:numPr>
                <w:ilvl w:val="2"/>
                <w:numId w:val="4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oznaczenie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parametrów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krzepnięcia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krwi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(jak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wyżej)</w:t>
            </w:r>
            <w:r w:rsidR="00FC2C59">
              <w:rPr>
                <w:rFonts w:ascii="Times New Roman" w:hAnsi="Times New Roman"/>
              </w:rPr>
              <w:t>;</w:t>
            </w:r>
          </w:p>
          <w:p w14:paraId="47F29522" w14:textId="5097ED9D" w:rsidR="00724442" w:rsidRPr="00C71961" w:rsidRDefault="00724442" w:rsidP="00A62794">
            <w:pPr>
              <w:pStyle w:val="Akapitzlist"/>
              <w:numPr>
                <w:ilvl w:val="2"/>
                <w:numId w:val="4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ocena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funkcji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nerek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(jak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wyżej)</w:t>
            </w:r>
            <w:r w:rsidR="00FC2C59">
              <w:rPr>
                <w:rFonts w:ascii="Times New Roman" w:hAnsi="Times New Roman"/>
              </w:rPr>
              <w:t>;</w:t>
            </w:r>
          </w:p>
          <w:p w14:paraId="405020FA" w14:textId="6F838B8E" w:rsidR="00724442" w:rsidRPr="00C71961" w:rsidRDefault="00724442" w:rsidP="00A62794">
            <w:pPr>
              <w:pStyle w:val="Akapitzlist"/>
              <w:numPr>
                <w:ilvl w:val="2"/>
                <w:numId w:val="4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ocena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funkcji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wątroby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(jak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wyżej)</w:t>
            </w:r>
            <w:r w:rsidR="00FC2C59">
              <w:rPr>
                <w:rFonts w:ascii="Times New Roman" w:hAnsi="Times New Roman"/>
              </w:rPr>
              <w:t>;</w:t>
            </w:r>
          </w:p>
          <w:p w14:paraId="7C09E73A" w14:textId="2D60FA7E" w:rsidR="00724442" w:rsidRPr="00A62794" w:rsidRDefault="00724442" w:rsidP="00A62794">
            <w:pPr>
              <w:pStyle w:val="Akapitzlist"/>
              <w:numPr>
                <w:ilvl w:val="2"/>
                <w:numId w:val="4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ocena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cytologiczna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cytometryczna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(wraz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potwierdzeniem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obecności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antygenu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CD19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blastach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białaczkowych)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aspiratu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szpiku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bezpośrednio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przed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podaniem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tisagenlecleucelu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(badanie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można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pomi</w:t>
            </w:r>
            <w:r w:rsidR="0001736C">
              <w:rPr>
                <w:rFonts w:ascii="Times New Roman" w:hAnsi="Times New Roman"/>
              </w:rPr>
              <w:t>n</w:t>
            </w:r>
            <w:r w:rsidRPr="00C71961">
              <w:rPr>
                <w:rFonts w:ascii="Times New Roman" w:hAnsi="Times New Roman"/>
              </w:rPr>
              <w:t>ąć,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jeśli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od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wykonania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biopsji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aspiracyjnej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szpiku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przy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kwalifikacji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programu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upłynęło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mniej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niż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3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tygodnie).</w:t>
            </w:r>
          </w:p>
          <w:p w14:paraId="22F888DE" w14:textId="77777777" w:rsidR="00724442" w:rsidRPr="00C71961" w:rsidRDefault="00724442" w:rsidP="00FC2C59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</w:p>
          <w:p w14:paraId="33A77C99" w14:textId="6F6F65EE" w:rsidR="00724442" w:rsidRPr="00C71961" w:rsidRDefault="00724442" w:rsidP="00FC2C59">
            <w:pPr>
              <w:pStyle w:val="Akapitzlist"/>
              <w:numPr>
                <w:ilvl w:val="1"/>
                <w:numId w:val="4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C71961">
              <w:rPr>
                <w:rFonts w:ascii="Times New Roman" w:hAnsi="Times New Roman"/>
                <w:b/>
                <w:color w:val="000000" w:themeColor="text1"/>
              </w:rPr>
              <w:t>Badania</w:t>
            </w:r>
            <w:r w:rsidR="00FC2C5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C71961">
              <w:rPr>
                <w:rFonts w:ascii="Times New Roman" w:hAnsi="Times New Roman"/>
                <w:b/>
                <w:color w:val="000000" w:themeColor="text1"/>
              </w:rPr>
              <w:t>w</w:t>
            </w:r>
            <w:r w:rsidR="00FC2C5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C71961">
              <w:rPr>
                <w:rFonts w:ascii="Times New Roman" w:hAnsi="Times New Roman"/>
                <w:b/>
                <w:color w:val="000000" w:themeColor="text1"/>
              </w:rPr>
              <w:t>dniu</w:t>
            </w:r>
            <w:r w:rsidR="00FC2C5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C71961">
              <w:rPr>
                <w:rFonts w:ascii="Times New Roman" w:hAnsi="Times New Roman"/>
                <w:b/>
                <w:color w:val="000000" w:themeColor="text1"/>
              </w:rPr>
              <w:t>następnym</w:t>
            </w:r>
            <w:r w:rsidR="00FC2C5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C71961">
              <w:rPr>
                <w:rFonts w:ascii="Times New Roman" w:hAnsi="Times New Roman"/>
                <w:b/>
                <w:color w:val="000000" w:themeColor="text1"/>
              </w:rPr>
              <w:t>po</w:t>
            </w:r>
            <w:r w:rsidR="00FC2C5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C71961">
              <w:rPr>
                <w:rFonts w:ascii="Times New Roman" w:hAnsi="Times New Roman"/>
                <w:b/>
                <w:color w:val="000000" w:themeColor="text1"/>
              </w:rPr>
              <w:t>podaniu</w:t>
            </w:r>
            <w:r w:rsidR="00FC2C5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C71961">
              <w:rPr>
                <w:rFonts w:ascii="Times New Roman" w:hAnsi="Times New Roman"/>
                <w:b/>
              </w:rPr>
              <w:t>tisagenlecleucelu:</w:t>
            </w:r>
          </w:p>
          <w:p w14:paraId="3B63CC27" w14:textId="61CF0974" w:rsidR="00724442" w:rsidRPr="00C71961" w:rsidRDefault="00724442" w:rsidP="00FC2C59">
            <w:pPr>
              <w:pStyle w:val="Akapitzlist"/>
              <w:numPr>
                <w:ilvl w:val="2"/>
                <w:numId w:val="4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oznaczenie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parametrów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krzepnięcia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krwi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(PT,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lastRenderedPageBreak/>
              <w:t>aPTT,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INR,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fibrynogen);</w:t>
            </w:r>
          </w:p>
          <w:p w14:paraId="7E9BD473" w14:textId="4BF0548A" w:rsidR="00724442" w:rsidRPr="00C71961" w:rsidRDefault="00724442" w:rsidP="00FC2C59">
            <w:pPr>
              <w:pStyle w:val="Akapitzlist"/>
              <w:numPr>
                <w:ilvl w:val="2"/>
                <w:numId w:val="4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morfologia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krwi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obwodowej;</w:t>
            </w:r>
          </w:p>
          <w:p w14:paraId="3B322947" w14:textId="45F293D3" w:rsidR="00724442" w:rsidRPr="00C71961" w:rsidRDefault="00724442" w:rsidP="00FC2C59">
            <w:pPr>
              <w:pStyle w:val="Akapitzlist"/>
              <w:numPr>
                <w:ilvl w:val="2"/>
                <w:numId w:val="4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dodatkowo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sytuacji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podejrzenia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wystąpienia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zespołu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uwalniania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cytokin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(CRS):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CRP,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ferrytyna,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LDH,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D-dimer,</w:t>
            </w:r>
          </w:p>
          <w:p w14:paraId="0772C315" w14:textId="77777777" w:rsidR="00724442" w:rsidRPr="00C71961" w:rsidRDefault="00724442" w:rsidP="00FC2C59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</w:p>
          <w:p w14:paraId="58B2A610" w14:textId="44EB213C" w:rsidR="00724442" w:rsidRPr="00C71961" w:rsidRDefault="00724442" w:rsidP="00FC2C59">
            <w:pPr>
              <w:pStyle w:val="Akapitzlist"/>
              <w:numPr>
                <w:ilvl w:val="1"/>
                <w:numId w:val="4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C71961">
              <w:rPr>
                <w:rFonts w:ascii="Times New Roman" w:hAnsi="Times New Roman"/>
                <w:b/>
              </w:rPr>
              <w:t>Monitorowanie</w:t>
            </w:r>
            <w:r w:rsidR="00FC2C59">
              <w:rPr>
                <w:rFonts w:ascii="Times New Roman" w:hAnsi="Times New Roman"/>
                <w:b/>
              </w:rPr>
              <w:t xml:space="preserve"> </w:t>
            </w:r>
            <w:r w:rsidRPr="00C71961">
              <w:rPr>
                <w:rFonts w:ascii="Times New Roman" w:hAnsi="Times New Roman"/>
                <w:b/>
              </w:rPr>
              <w:t>leczenia</w:t>
            </w:r>
          </w:p>
          <w:p w14:paraId="58999ECF" w14:textId="52F7B298" w:rsidR="00724442" w:rsidRPr="00A62794" w:rsidRDefault="00A62794" w:rsidP="00FC2C59">
            <w:pPr>
              <w:widowControl/>
              <w:tabs>
                <w:tab w:val="left" w:pos="355"/>
              </w:tabs>
              <w:spacing w:after="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724442" w:rsidRPr="00A62794">
              <w:rPr>
                <w:rFonts w:ascii="Times New Roman" w:hAnsi="Times New Roman"/>
              </w:rPr>
              <w:t>Monitorowanie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724442" w:rsidRPr="00A62794">
              <w:rPr>
                <w:rFonts w:ascii="Times New Roman" w:hAnsi="Times New Roman"/>
              </w:rPr>
              <w:t>bezpieczeństwa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724442" w:rsidRPr="00A62794">
              <w:rPr>
                <w:rFonts w:ascii="Times New Roman" w:hAnsi="Times New Roman"/>
              </w:rPr>
              <w:t>po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724442" w:rsidRPr="00A62794">
              <w:rPr>
                <w:rFonts w:ascii="Times New Roman" w:hAnsi="Times New Roman"/>
              </w:rPr>
              <w:t>podaniu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724442" w:rsidRPr="00A62794">
              <w:rPr>
                <w:rFonts w:ascii="Times New Roman" w:hAnsi="Times New Roman"/>
              </w:rPr>
              <w:t>CAR-T:</w:t>
            </w:r>
          </w:p>
          <w:p w14:paraId="186E53BA" w14:textId="0BE46BCF" w:rsidR="00724442" w:rsidRPr="00C71961" w:rsidRDefault="00724442" w:rsidP="00FC2C59">
            <w:pPr>
              <w:pStyle w:val="Akapitzlist"/>
              <w:widowControl/>
              <w:numPr>
                <w:ilvl w:val="2"/>
                <w:numId w:val="4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codzienne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monitorowanie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pod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kątem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wystąpienia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objawów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podmiotowych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przedmiotowych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CRS.</w:t>
            </w:r>
          </w:p>
          <w:p w14:paraId="5B8EC8F5" w14:textId="0D6829E6" w:rsidR="00724442" w:rsidRPr="00C71961" w:rsidRDefault="00724442" w:rsidP="00FC2C59">
            <w:pPr>
              <w:pStyle w:val="Akapitzlist"/>
              <w:widowControl/>
              <w:numPr>
                <w:ilvl w:val="2"/>
                <w:numId w:val="4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przypadku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podejrzenia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i/lub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wystąpienia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CRS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należy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(w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uzasadnionych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przypadkach)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wykonywać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badania: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CRP,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ferrytyna,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fibrynogen,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LDH,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PT,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aPTT,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INR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oraz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D-dimer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(przy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zaistnieniu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innych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wskazań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wykonywać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badania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zgodnie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nimi).</w:t>
            </w:r>
          </w:p>
          <w:p w14:paraId="0FC0364C" w14:textId="6FA43407" w:rsidR="00724442" w:rsidRPr="00C71961" w:rsidRDefault="00724442" w:rsidP="00FC2C59">
            <w:pPr>
              <w:pStyle w:val="Akapitzlist"/>
              <w:widowControl/>
              <w:numPr>
                <w:ilvl w:val="2"/>
                <w:numId w:val="4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po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upływie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pierwszych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10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dni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od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infuzji,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dalszym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monitorowaniu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pacjenta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pod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kątem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CRS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decyduje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lekarz.</w:t>
            </w:r>
          </w:p>
          <w:p w14:paraId="5BEFCC89" w14:textId="70A54016" w:rsidR="00724442" w:rsidRPr="00C71961" w:rsidRDefault="00724442" w:rsidP="00FC2C59">
            <w:pPr>
              <w:pStyle w:val="Akapitzlist"/>
              <w:widowControl/>
              <w:numPr>
                <w:ilvl w:val="2"/>
                <w:numId w:val="4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morfologia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krwi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obwodowej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badania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biochemiczne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(AST,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ALT,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bilirubina,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mocznik,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kreatynina,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elektrolity)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-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najmniej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2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razy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tygodniu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ciągu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pierwszych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2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tygodni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od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podania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leku,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następnie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zależności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od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sytuacji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klinicznej;</w:t>
            </w:r>
          </w:p>
          <w:p w14:paraId="4FC8816F" w14:textId="77777777" w:rsidR="00A62794" w:rsidRDefault="00A62794" w:rsidP="00A62794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</w:p>
          <w:p w14:paraId="5B3C70EC" w14:textId="72EB8302" w:rsidR="00724442" w:rsidRPr="00A62794" w:rsidRDefault="00A62794" w:rsidP="00A62794">
            <w:pPr>
              <w:spacing w:after="60" w:line="276" w:lineRule="auto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B.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724442" w:rsidRPr="00A62794">
              <w:rPr>
                <w:rFonts w:ascii="Times New Roman" w:hAnsi="Times New Roman"/>
              </w:rPr>
              <w:t>Monitorowanie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724442" w:rsidRPr="00A62794">
              <w:rPr>
                <w:rFonts w:ascii="Times New Roman" w:hAnsi="Times New Roman"/>
              </w:rPr>
              <w:t>skuteczności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724442" w:rsidRPr="00A62794">
              <w:rPr>
                <w:rFonts w:ascii="Times New Roman" w:hAnsi="Times New Roman"/>
              </w:rPr>
              <w:t>terapii:</w:t>
            </w:r>
          </w:p>
          <w:p w14:paraId="38C5047F" w14:textId="1480B638" w:rsidR="00724442" w:rsidRPr="00C71961" w:rsidRDefault="00724442" w:rsidP="00A62794">
            <w:pPr>
              <w:pStyle w:val="Akapitzlist"/>
              <w:numPr>
                <w:ilvl w:val="2"/>
                <w:numId w:val="4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pierwszym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roku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od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podania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lastRenderedPageBreak/>
              <w:t>tisagenlecleucelu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miesiąc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przez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pierwsze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trzy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miesiące,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następnie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3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miesiące:</w:t>
            </w:r>
          </w:p>
          <w:p w14:paraId="794A5227" w14:textId="18C20137" w:rsidR="00724442" w:rsidRPr="00C71961" w:rsidRDefault="00A62794" w:rsidP="00A62794">
            <w:pPr>
              <w:pStyle w:val="Akapitzlist"/>
              <w:numPr>
                <w:ilvl w:val="4"/>
                <w:numId w:val="4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724442" w:rsidRPr="00C71961">
              <w:rPr>
                <w:rFonts w:ascii="Times New Roman" w:hAnsi="Times New Roman"/>
              </w:rPr>
              <w:t>orfologia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724442" w:rsidRPr="00C71961">
              <w:rPr>
                <w:rFonts w:ascii="Times New Roman" w:hAnsi="Times New Roman"/>
              </w:rPr>
              <w:t>krwi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724442" w:rsidRPr="00C71961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724442" w:rsidRPr="00C71961">
              <w:rPr>
                <w:rFonts w:ascii="Times New Roman" w:hAnsi="Times New Roman"/>
              </w:rPr>
              <w:t>rozmazem;</w:t>
            </w:r>
          </w:p>
          <w:p w14:paraId="333E9017" w14:textId="4406AD00" w:rsidR="00724442" w:rsidRPr="00C71961" w:rsidRDefault="00A62794" w:rsidP="00A62794">
            <w:pPr>
              <w:pStyle w:val="Akapitzlist"/>
              <w:numPr>
                <w:ilvl w:val="4"/>
                <w:numId w:val="4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r w:rsidR="00724442" w:rsidRPr="00C71961">
              <w:rPr>
                <w:rFonts w:ascii="Times New Roman" w:hAnsi="Times New Roman"/>
              </w:rPr>
              <w:t>adanie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724442" w:rsidRPr="00C71961">
              <w:rPr>
                <w:rFonts w:ascii="Times New Roman" w:hAnsi="Times New Roman"/>
              </w:rPr>
              <w:t>fizykalne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724442" w:rsidRPr="00C71961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724442" w:rsidRPr="00C71961">
              <w:rPr>
                <w:rFonts w:ascii="Times New Roman" w:hAnsi="Times New Roman"/>
              </w:rPr>
              <w:t>ocena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724442" w:rsidRPr="00C71961">
              <w:rPr>
                <w:rFonts w:ascii="Times New Roman" w:hAnsi="Times New Roman"/>
              </w:rPr>
              <w:t>objawów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724442" w:rsidRPr="00C71961">
              <w:rPr>
                <w:rFonts w:ascii="Times New Roman" w:hAnsi="Times New Roman"/>
              </w:rPr>
              <w:t>ze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724442" w:rsidRPr="00C71961">
              <w:rPr>
                <w:rFonts w:ascii="Times New Roman" w:hAnsi="Times New Roman"/>
              </w:rPr>
              <w:t>strony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724442" w:rsidRPr="00C71961">
              <w:rPr>
                <w:rFonts w:ascii="Times New Roman" w:hAnsi="Times New Roman"/>
              </w:rPr>
              <w:t>centralnego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724442" w:rsidRPr="00C71961">
              <w:rPr>
                <w:rFonts w:ascii="Times New Roman" w:hAnsi="Times New Roman"/>
              </w:rPr>
              <w:t>układu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="00724442" w:rsidRPr="00C71961">
              <w:rPr>
                <w:rFonts w:ascii="Times New Roman" w:hAnsi="Times New Roman"/>
              </w:rPr>
              <w:t>nerwowego.</w:t>
            </w:r>
          </w:p>
          <w:p w14:paraId="022A87D1" w14:textId="7821EFB5" w:rsidR="00724442" w:rsidRPr="00C71961" w:rsidRDefault="00724442" w:rsidP="00A62794">
            <w:pPr>
              <w:pStyle w:val="Akapitzlist"/>
              <w:numPr>
                <w:ilvl w:val="2"/>
                <w:numId w:val="4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pierwszym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roku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od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podania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tisagenlecleucelu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3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miesiące:</w:t>
            </w:r>
          </w:p>
          <w:p w14:paraId="34A91F03" w14:textId="1B90D41F" w:rsidR="00724442" w:rsidRPr="00C71961" w:rsidRDefault="00724442" w:rsidP="00A62794">
            <w:pPr>
              <w:pStyle w:val="Akapitzlist"/>
              <w:numPr>
                <w:ilvl w:val="4"/>
                <w:numId w:val="4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ocena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cytologiczna,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cytometryczna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i/lub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molekularna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aspiratu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szpiku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kostnego</w:t>
            </w:r>
            <w:r w:rsidR="004C55D3">
              <w:rPr>
                <w:rFonts w:ascii="Times New Roman" w:hAnsi="Times New Roman"/>
              </w:rPr>
              <w:t>;</w:t>
            </w:r>
          </w:p>
          <w:p w14:paraId="571797DF" w14:textId="30127C7A" w:rsidR="00724442" w:rsidRPr="00C71961" w:rsidRDefault="00724442" w:rsidP="00A62794">
            <w:pPr>
              <w:pStyle w:val="Akapitzlist"/>
              <w:numPr>
                <w:ilvl w:val="4"/>
                <w:numId w:val="4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ocena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płynu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mózgowo-rdzeniowego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(w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uzasadnionych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przypadkach);</w:t>
            </w:r>
            <w:r w:rsidR="00FC2C59">
              <w:rPr>
                <w:rFonts w:ascii="Times New Roman" w:hAnsi="Times New Roman"/>
              </w:rPr>
              <w:t xml:space="preserve"> </w:t>
            </w:r>
          </w:p>
          <w:p w14:paraId="20859911" w14:textId="50D19A05" w:rsidR="00613141" w:rsidRDefault="00724442" w:rsidP="00A62794">
            <w:pPr>
              <w:pStyle w:val="Akapitzlist"/>
              <w:numPr>
                <w:ilvl w:val="4"/>
                <w:numId w:val="4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C71961">
              <w:rPr>
                <w:rFonts w:ascii="Times New Roman" w:hAnsi="Times New Roman"/>
              </w:rPr>
              <w:t>oznaczenie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stężenia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immunoglobuliny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C71961">
              <w:rPr>
                <w:rFonts w:ascii="Times New Roman" w:hAnsi="Times New Roman"/>
              </w:rPr>
              <w:t>IgG.</w:t>
            </w:r>
          </w:p>
          <w:p w14:paraId="07C5006C" w14:textId="704EF7CE" w:rsidR="00FC2C59" w:rsidRPr="00C71961" w:rsidRDefault="00FC2C59" w:rsidP="00FC2C59">
            <w:pPr>
              <w:pStyle w:val="Akapitzlist"/>
              <w:spacing w:after="60" w:line="276" w:lineRule="auto"/>
              <w:ind w:left="680"/>
              <w:contextualSpacing w:val="0"/>
              <w:jc w:val="both"/>
              <w:rPr>
                <w:rFonts w:ascii="Times New Roman" w:hAnsi="Times New Roman"/>
              </w:rPr>
            </w:pPr>
          </w:p>
        </w:tc>
      </w:tr>
      <w:tr w:rsidR="003A6C66" w:rsidRPr="00E83905" w14:paraId="4B0C63DF" w14:textId="77777777" w:rsidTr="00FC2C59">
        <w:trPr>
          <w:trHeight w:val="20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AE16" w14:textId="77777777" w:rsidR="003A6C66" w:rsidRPr="003A6C66" w:rsidRDefault="003A6C66" w:rsidP="003A6C66">
            <w:pPr>
              <w:pStyle w:val="Akapitzlist"/>
              <w:widowControl/>
              <w:tabs>
                <w:tab w:val="left" w:pos="0"/>
              </w:tabs>
              <w:autoSpaceDE/>
              <w:autoSpaceDN/>
              <w:adjustRightInd/>
              <w:spacing w:after="60"/>
              <w:ind w:left="227" w:hanging="227"/>
              <w:contextualSpacing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4667" w14:textId="77777777" w:rsidR="003A6C66" w:rsidRPr="00F15804" w:rsidRDefault="003A6C66" w:rsidP="003A6C6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B10A" w14:textId="69E5DED0" w:rsidR="003A6C66" w:rsidRPr="003A6C66" w:rsidRDefault="003A6C66" w:rsidP="00FC2C59">
            <w:pPr>
              <w:pStyle w:val="Akapitzlist"/>
              <w:numPr>
                <w:ilvl w:val="0"/>
                <w:numId w:val="24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</w:rPr>
            </w:pPr>
            <w:r w:rsidRPr="003A6C66">
              <w:rPr>
                <w:rFonts w:ascii="Times New Roman" w:hAnsi="Times New Roman"/>
                <w:b/>
                <w:bCs/>
              </w:rPr>
              <w:t>Monitorowanie</w:t>
            </w:r>
            <w:r w:rsidR="00FC2C59">
              <w:rPr>
                <w:rFonts w:ascii="Times New Roman" w:hAnsi="Times New Roman"/>
                <w:b/>
                <w:bCs/>
              </w:rPr>
              <w:t xml:space="preserve"> </w:t>
            </w:r>
            <w:r w:rsidRPr="003A6C66">
              <w:rPr>
                <w:rFonts w:ascii="Times New Roman" w:hAnsi="Times New Roman"/>
                <w:b/>
                <w:bCs/>
              </w:rPr>
              <w:t>programu</w:t>
            </w:r>
          </w:p>
          <w:p w14:paraId="25F29B62" w14:textId="6C86532B" w:rsidR="003A6C66" w:rsidRPr="003A6C66" w:rsidRDefault="003A6C66" w:rsidP="003A6C66">
            <w:pPr>
              <w:pStyle w:val="Akapitzlist"/>
              <w:numPr>
                <w:ilvl w:val="2"/>
                <w:numId w:val="24"/>
              </w:numPr>
              <w:tabs>
                <w:tab w:val="left" w:pos="451"/>
              </w:tabs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A6C66">
              <w:rPr>
                <w:rFonts w:ascii="Times New Roman" w:hAnsi="Times New Roman"/>
              </w:rPr>
              <w:t>gromadzenie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dokumentacji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medycznej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pacjenta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danych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dotyczących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monitorowania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leczenia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każdorazowe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ich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przedstawianie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żądanie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kontrolerów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Narodowego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Funduszu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Zdrowia;</w:t>
            </w:r>
          </w:p>
          <w:p w14:paraId="673FD4C4" w14:textId="030931A9" w:rsidR="003A6C66" w:rsidRPr="003A6C66" w:rsidRDefault="003A6C66" w:rsidP="003A6C66">
            <w:pPr>
              <w:pStyle w:val="Akapitzlist"/>
              <w:numPr>
                <w:ilvl w:val="2"/>
                <w:numId w:val="24"/>
              </w:numPr>
              <w:tabs>
                <w:tab w:val="left" w:pos="451"/>
              </w:tabs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A6C66">
              <w:rPr>
                <w:rFonts w:ascii="Times New Roman" w:hAnsi="Times New Roman"/>
              </w:rPr>
              <w:t>uzupełnienie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danych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zawartych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rejestrze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(SMPT)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dostępnym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za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pomocą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aplikacji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internetowej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udostępnionej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przez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OW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NFZ,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częstotliwością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zgodną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opisem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programu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oraz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na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zakończenie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leczenia;</w:t>
            </w:r>
          </w:p>
          <w:p w14:paraId="1F95A5F5" w14:textId="49B691E2" w:rsidR="003A6C66" w:rsidRPr="006209FC" w:rsidRDefault="003A6C66" w:rsidP="006209FC">
            <w:pPr>
              <w:pStyle w:val="Akapitzlist"/>
              <w:widowControl/>
              <w:numPr>
                <w:ilvl w:val="2"/>
                <w:numId w:val="24"/>
              </w:numPr>
              <w:tabs>
                <w:tab w:val="left" w:pos="0"/>
              </w:tabs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A6C66">
              <w:rPr>
                <w:rFonts w:ascii="Times New Roman" w:hAnsi="Times New Roman"/>
              </w:rPr>
              <w:t>przekazywanie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informacji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sprawozdawczo-rozliczeniowych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NFZ: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informacje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przekazuje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się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do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NFZ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formie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papierowej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lub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w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formie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elektronicznej,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zgodnie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wymaganiami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opublikowanymi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przez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Narodowy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Fundusz</w:t>
            </w:r>
            <w:r w:rsidR="00FC2C59">
              <w:rPr>
                <w:rFonts w:ascii="Times New Roman" w:hAnsi="Times New Roman"/>
              </w:rPr>
              <w:t xml:space="preserve"> </w:t>
            </w:r>
            <w:r w:rsidRPr="003A6C66">
              <w:rPr>
                <w:rFonts w:ascii="Times New Roman" w:hAnsi="Times New Roman"/>
              </w:rPr>
              <w:t>Zdrowia.</w:t>
            </w:r>
          </w:p>
        </w:tc>
      </w:tr>
    </w:tbl>
    <w:p w14:paraId="0821BF2A" w14:textId="1278A1A0" w:rsidR="006209FC" w:rsidRPr="006209FC" w:rsidRDefault="006209FC" w:rsidP="006209FC">
      <w:pPr>
        <w:tabs>
          <w:tab w:val="left" w:pos="9132"/>
        </w:tabs>
        <w:rPr>
          <w:rFonts w:cs="Arial"/>
          <w:sz w:val="2"/>
          <w:szCs w:val="2"/>
        </w:rPr>
      </w:pPr>
    </w:p>
    <w:sectPr w:rsidR="006209FC" w:rsidRPr="006209FC" w:rsidSect="00B12B4B">
      <w:pgSz w:w="16840" w:h="11907" w:orient="landscape" w:code="9"/>
      <w:pgMar w:top="1588" w:right="720" w:bottom="1418" w:left="720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16208" w14:textId="77777777" w:rsidR="006727EF" w:rsidRDefault="006727EF" w:rsidP="00953566">
      <w:r>
        <w:separator/>
      </w:r>
    </w:p>
  </w:endnote>
  <w:endnote w:type="continuationSeparator" w:id="0">
    <w:p w14:paraId="72EC75AC" w14:textId="77777777" w:rsidR="006727EF" w:rsidRDefault="006727EF" w:rsidP="0095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BKDC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AF92D" w14:textId="77777777" w:rsidR="006727EF" w:rsidRDefault="006727EF" w:rsidP="00953566">
      <w:r>
        <w:separator/>
      </w:r>
    </w:p>
  </w:footnote>
  <w:footnote w:type="continuationSeparator" w:id="0">
    <w:p w14:paraId="48FA24D5" w14:textId="77777777" w:rsidR="006727EF" w:rsidRDefault="006727EF" w:rsidP="00953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EFE"/>
    <w:multiLevelType w:val="multilevel"/>
    <w:tmpl w:val="CD8E7C5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00805A08"/>
    <w:multiLevelType w:val="hybridMultilevel"/>
    <w:tmpl w:val="642C6F6E"/>
    <w:lvl w:ilvl="0" w:tplc="E72040E4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17604"/>
    <w:multiLevelType w:val="hybridMultilevel"/>
    <w:tmpl w:val="A3708F80"/>
    <w:lvl w:ilvl="0" w:tplc="2BA855F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11A3A"/>
    <w:multiLevelType w:val="multilevel"/>
    <w:tmpl w:val="F214AA1C"/>
    <w:lvl w:ilvl="0">
      <w:start w:val="8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4" w15:restartNumberingAfterBreak="0">
    <w:nsid w:val="08252E1A"/>
    <w:multiLevelType w:val="hybridMultilevel"/>
    <w:tmpl w:val="C8ACF2DE"/>
    <w:lvl w:ilvl="0" w:tplc="4726FA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24037"/>
    <w:multiLevelType w:val="multilevel"/>
    <w:tmpl w:val="3822EB6C"/>
    <w:lvl w:ilvl="0">
      <w:start w:val="4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6" w15:restartNumberingAfterBreak="0">
    <w:nsid w:val="0F903589"/>
    <w:multiLevelType w:val="multilevel"/>
    <w:tmpl w:val="AD54DE48"/>
    <w:lvl w:ilvl="0">
      <w:start w:val="7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7" w15:restartNumberingAfterBreak="0">
    <w:nsid w:val="15591FCA"/>
    <w:multiLevelType w:val="multilevel"/>
    <w:tmpl w:val="EF5664FA"/>
    <w:lvl w:ilvl="0">
      <w:start w:val="5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8" w15:restartNumberingAfterBreak="0">
    <w:nsid w:val="18994C74"/>
    <w:multiLevelType w:val="multilevel"/>
    <w:tmpl w:val="EF5664FA"/>
    <w:lvl w:ilvl="0">
      <w:start w:val="5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9" w15:restartNumberingAfterBreak="0">
    <w:nsid w:val="1B3751A8"/>
    <w:multiLevelType w:val="multilevel"/>
    <w:tmpl w:val="17B49AC2"/>
    <w:lvl w:ilvl="0">
      <w:start w:val="6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0" w15:restartNumberingAfterBreak="0">
    <w:nsid w:val="1E0446FD"/>
    <w:multiLevelType w:val="hybridMultilevel"/>
    <w:tmpl w:val="B6C88D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751C93"/>
    <w:multiLevelType w:val="hybridMultilevel"/>
    <w:tmpl w:val="C23620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317F4"/>
    <w:multiLevelType w:val="multilevel"/>
    <w:tmpl w:val="CD8E7C5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3" w15:restartNumberingAfterBreak="0">
    <w:nsid w:val="2B225FAE"/>
    <w:multiLevelType w:val="hybridMultilevel"/>
    <w:tmpl w:val="E492594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6A4505"/>
    <w:multiLevelType w:val="multilevel"/>
    <w:tmpl w:val="CD8E7C5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5" w15:restartNumberingAfterBreak="0">
    <w:nsid w:val="369B0939"/>
    <w:multiLevelType w:val="hybridMultilevel"/>
    <w:tmpl w:val="E492594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EC7AED"/>
    <w:multiLevelType w:val="multilevel"/>
    <w:tmpl w:val="8F0E7476"/>
    <w:lvl w:ilvl="0">
      <w:start w:val="7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7" w15:restartNumberingAfterBreak="0">
    <w:nsid w:val="39EB2780"/>
    <w:multiLevelType w:val="hybridMultilevel"/>
    <w:tmpl w:val="536609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A1F49"/>
    <w:multiLevelType w:val="hybridMultilevel"/>
    <w:tmpl w:val="DEC47F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C6C7D"/>
    <w:multiLevelType w:val="hybridMultilevel"/>
    <w:tmpl w:val="E62E33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B74FE"/>
    <w:multiLevelType w:val="multilevel"/>
    <w:tmpl w:val="85F8FE62"/>
    <w:lvl w:ilvl="0">
      <w:start w:val="3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1" w15:restartNumberingAfterBreak="0">
    <w:nsid w:val="425F6FB0"/>
    <w:multiLevelType w:val="multilevel"/>
    <w:tmpl w:val="8F0E7476"/>
    <w:lvl w:ilvl="0">
      <w:start w:val="7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2" w15:restartNumberingAfterBreak="0">
    <w:nsid w:val="43530832"/>
    <w:multiLevelType w:val="multilevel"/>
    <w:tmpl w:val="5EAC677E"/>
    <w:lvl w:ilvl="0">
      <w:start w:val="3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3" w15:restartNumberingAfterBreak="0">
    <w:nsid w:val="46E75A49"/>
    <w:multiLevelType w:val="multilevel"/>
    <w:tmpl w:val="30E091D8"/>
    <w:lvl w:ilvl="0">
      <w:start w:val="2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4" w15:restartNumberingAfterBreak="0">
    <w:nsid w:val="47815507"/>
    <w:multiLevelType w:val="multilevel"/>
    <w:tmpl w:val="6AB050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</w:rPr>
    </w:lvl>
  </w:abstractNum>
  <w:abstractNum w:abstractNumId="25" w15:restartNumberingAfterBreak="0">
    <w:nsid w:val="48244FB0"/>
    <w:multiLevelType w:val="multilevel"/>
    <w:tmpl w:val="EF5664FA"/>
    <w:lvl w:ilvl="0">
      <w:start w:val="5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6" w15:restartNumberingAfterBreak="0">
    <w:nsid w:val="4C245128"/>
    <w:multiLevelType w:val="multilevel"/>
    <w:tmpl w:val="90885502"/>
    <w:lvl w:ilvl="0">
      <w:start w:val="2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7" w15:restartNumberingAfterBreak="0">
    <w:nsid w:val="4E444163"/>
    <w:multiLevelType w:val="hybridMultilevel"/>
    <w:tmpl w:val="2B6E8AE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508D42E">
      <w:start w:val="1"/>
      <w:numFmt w:val="decimal"/>
      <w:lvlText w:val="%2)"/>
      <w:lvlJc w:val="left"/>
      <w:pPr>
        <w:ind w:left="1635" w:hanging="360"/>
      </w:pPr>
      <w:rPr>
        <w:rFonts w:ascii="Times New Roman" w:eastAsia="Times New Roman" w:hAnsi="Times New Roman" w:cs="Times New Roman"/>
      </w:rPr>
    </w:lvl>
    <w:lvl w:ilvl="2" w:tplc="01E86EC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6504B0"/>
    <w:multiLevelType w:val="multilevel"/>
    <w:tmpl w:val="3F88D096"/>
    <w:lvl w:ilvl="0">
      <w:start w:val="3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9" w15:restartNumberingAfterBreak="0">
    <w:nsid w:val="52E263C3"/>
    <w:multiLevelType w:val="multilevel"/>
    <w:tmpl w:val="EF5664FA"/>
    <w:lvl w:ilvl="0">
      <w:start w:val="5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0" w15:restartNumberingAfterBreak="0">
    <w:nsid w:val="534377F4"/>
    <w:multiLevelType w:val="hybridMultilevel"/>
    <w:tmpl w:val="E492594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5043D9"/>
    <w:multiLevelType w:val="multilevel"/>
    <w:tmpl w:val="3822EB6C"/>
    <w:lvl w:ilvl="0">
      <w:start w:val="4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2" w15:restartNumberingAfterBreak="0">
    <w:nsid w:val="57163522"/>
    <w:multiLevelType w:val="multilevel"/>
    <w:tmpl w:val="30E091D8"/>
    <w:lvl w:ilvl="0">
      <w:start w:val="2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3" w15:restartNumberingAfterBreak="0">
    <w:nsid w:val="59107D3A"/>
    <w:multiLevelType w:val="multilevel"/>
    <w:tmpl w:val="17B49AC2"/>
    <w:lvl w:ilvl="0">
      <w:start w:val="6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4" w15:restartNumberingAfterBreak="0">
    <w:nsid w:val="5B7F5DA3"/>
    <w:multiLevelType w:val="multilevel"/>
    <w:tmpl w:val="17B49AC2"/>
    <w:lvl w:ilvl="0">
      <w:start w:val="6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5" w15:restartNumberingAfterBreak="0">
    <w:nsid w:val="65EA10B9"/>
    <w:multiLevelType w:val="multilevel"/>
    <w:tmpl w:val="CD8E7C5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6" w15:restartNumberingAfterBreak="0">
    <w:nsid w:val="6C490A4C"/>
    <w:multiLevelType w:val="multilevel"/>
    <w:tmpl w:val="45EA8A9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7" w15:restartNumberingAfterBreak="0">
    <w:nsid w:val="6E6D1AE2"/>
    <w:multiLevelType w:val="multilevel"/>
    <w:tmpl w:val="3822EB6C"/>
    <w:lvl w:ilvl="0">
      <w:start w:val="4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8" w15:restartNumberingAfterBreak="0">
    <w:nsid w:val="6ECA1B19"/>
    <w:multiLevelType w:val="hybridMultilevel"/>
    <w:tmpl w:val="1FC4E7A4"/>
    <w:lvl w:ilvl="0" w:tplc="95428E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CB3E79"/>
    <w:multiLevelType w:val="multilevel"/>
    <w:tmpl w:val="8F0E7476"/>
    <w:lvl w:ilvl="0">
      <w:start w:val="7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40" w15:restartNumberingAfterBreak="0">
    <w:nsid w:val="7EAF4F71"/>
    <w:multiLevelType w:val="multilevel"/>
    <w:tmpl w:val="EF5664FA"/>
    <w:lvl w:ilvl="0">
      <w:start w:val="5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41" w15:restartNumberingAfterBreak="0">
    <w:nsid w:val="7F1E6FC7"/>
    <w:multiLevelType w:val="multilevel"/>
    <w:tmpl w:val="8F0E7476"/>
    <w:lvl w:ilvl="0">
      <w:start w:val="7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42" w15:restartNumberingAfterBreak="0">
    <w:nsid w:val="7FB21FEA"/>
    <w:multiLevelType w:val="hybridMultilevel"/>
    <w:tmpl w:val="E492594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0"/>
  </w:num>
  <w:num w:numId="3">
    <w:abstractNumId w:val="14"/>
  </w:num>
  <w:num w:numId="4">
    <w:abstractNumId w:val="36"/>
  </w:num>
  <w:num w:numId="5">
    <w:abstractNumId w:val="24"/>
  </w:num>
  <w:num w:numId="6">
    <w:abstractNumId w:val="26"/>
  </w:num>
  <w:num w:numId="7">
    <w:abstractNumId w:val="32"/>
  </w:num>
  <w:num w:numId="8">
    <w:abstractNumId w:val="23"/>
  </w:num>
  <w:num w:numId="9">
    <w:abstractNumId w:val="20"/>
  </w:num>
  <w:num w:numId="10">
    <w:abstractNumId w:val="28"/>
  </w:num>
  <w:num w:numId="11">
    <w:abstractNumId w:val="22"/>
  </w:num>
  <w:num w:numId="12">
    <w:abstractNumId w:val="5"/>
  </w:num>
  <w:num w:numId="13">
    <w:abstractNumId w:val="37"/>
  </w:num>
  <w:num w:numId="14">
    <w:abstractNumId w:val="31"/>
  </w:num>
  <w:num w:numId="15">
    <w:abstractNumId w:val="8"/>
  </w:num>
  <w:num w:numId="16">
    <w:abstractNumId w:val="29"/>
  </w:num>
  <w:num w:numId="17">
    <w:abstractNumId w:val="40"/>
  </w:num>
  <w:num w:numId="18">
    <w:abstractNumId w:val="7"/>
  </w:num>
  <w:num w:numId="19">
    <w:abstractNumId w:val="25"/>
  </w:num>
  <w:num w:numId="20">
    <w:abstractNumId w:val="33"/>
  </w:num>
  <w:num w:numId="21">
    <w:abstractNumId w:val="9"/>
  </w:num>
  <w:num w:numId="22">
    <w:abstractNumId w:val="34"/>
  </w:num>
  <w:num w:numId="23">
    <w:abstractNumId w:val="6"/>
  </w:num>
  <w:num w:numId="24">
    <w:abstractNumId w:val="3"/>
  </w:num>
  <w:num w:numId="25">
    <w:abstractNumId w:val="17"/>
  </w:num>
  <w:num w:numId="26">
    <w:abstractNumId w:val="19"/>
  </w:num>
  <w:num w:numId="27">
    <w:abstractNumId w:val="10"/>
  </w:num>
  <w:num w:numId="28">
    <w:abstractNumId w:val="18"/>
  </w:num>
  <w:num w:numId="29">
    <w:abstractNumId w:val="30"/>
  </w:num>
  <w:num w:numId="30">
    <w:abstractNumId w:val="13"/>
  </w:num>
  <w:num w:numId="31">
    <w:abstractNumId w:val="27"/>
  </w:num>
  <w:num w:numId="32">
    <w:abstractNumId w:val="42"/>
  </w:num>
  <w:num w:numId="33">
    <w:abstractNumId w:val="38"/>
  </w:num>
  <w:num w:numId="34">
    <w:abstractNumId w:val="15"/>
  </w:num>
  <w:num w:numId="35">
    <w:abstractNumId w:val="11"/>
  </w:num>
  <w:num w:numId="36">
    <w:abstractNumId w:val="2"/>
  </w:num>
  <w:num w:numId="37">
    <w:abstractNumId w:val="1"/>
  </w:num>
  <w:num w:numId="38">
    <w:abstractNumId w:val="4"/>
  </w:num>
  <w:num w:numId="39">
    <w:abstractNumId w:val="35"/>
  </w:num>
  <w:num w:numId="40">
    <w:abstractNumId w:val="16"/>
  </w:num>
  <w:num w:numId="41">
    <w:abstractNumId w:val="21"/>
  </w:num>
  <w:num w:numId="42">
    <w:abstractNumId w:val="39"/>
  </w:num>
  <w:num w:numId="43">
    <w:abstractNumId w:val="4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062"/>
    <w:rsid w:val="0001736C"/>
    <w:rsid w:val="00024D0B"/>
    <w:rsid w:val="00026AEB"/>
    <w:rsid w:val="00034D13"/>
    <w:rsid w:val="0004105E"/>
    <w:rsid w:val="00041AB0"/>
    <w:rsid w:val="00041C74"/>
    <w:rsid w:val="0004439F"/>
    <w:rsid w:val="000450B1"/>
    <w:rsid w:val="000515AB"/>
    <w:rsid w:val="00056B3C"/>
    <w:rsid w:val="00063E91"/>
    <w:rsid w:val="00064194"/>
    <w:rsid w:val="00081436"/>
    <w:rsid w:val="000820B1"/>
    <w:rsid w:val="00087B50"/>
    <w:rsid w:val="00093458"/>
    <w:rsid w:val="000936CE"/>
    <w:rsid w:val="000953ED"/>
    <w:rsid w:val="000A5B3A"/>
    <w:rsid w:val="000C7B30"/>
    <w:rsid w:val="000E44E9"/>
    <w:rsid w:val="000F6156"/>
    <w:rsid w:val="000F7DC3"/>
    <w:rsid w:val="00106C25"/>
    <w:rsid w:val="00113823"/>
    <w:rsid w:val="00115186"/>
    <w:rsid w:val="00117CE9"/>
    <w:rsid w:val="001273A6"/>
    <w:rsid w:val="00141859"/>
    <w:rsid w:val="00156296"/>
    <w:rsid w:val="00157B14"/>
    <w:rsid w:val="001641F3"/>
    <w:rsid w:val="00172671"/>
    <w:rsid w:val="00172D62"/>
    <w:rsid w:val="00175C8D"/>
    <w:rsid w:val="00187EF6"/>
    <w:rsid w:val="00190F6C"/>
    <w:rsid w:val="00196529"/>
    <w:rsid w:val="001A3CC7"/>
    <w:rsid w:val="001A764E"/>
    <w:rsid w:val="001B216B"/>
    <w:rsid w:val="001B261B"/>
    <w:rsid w:val="001D3F04"/>
    <w:rsid w:val="001D62E2"/>
    <w:rsid w:val="001D63C6"/>
    <w:rsid w:val="001E4AA3"/>
    <w:rsid w:val="001E719B"/>
    <w:rsid w:val="00200BF1"/>
    <w:rsid w:val="00204E57"/>
    <w:rsid w:val="002065A0"/>
    <w:rsid w:val="00210E3C"/>
    <w:rsid w:val="00234AE8"/>
    <w:rsid w:val="00234B07"/>
    <w:rsid w:val="00236DA0"/>
    <w:rsid w:val="00262208"/>
    <w:rsid w:val="00263F0E"/>
    <w:rsid w:val="002722E6"/>
    <w:rsid w:val="00272DC3"/>
    <w:rsid w:val="0027363C"/>
    <w:rsid w:val="00292EE6"/>
    <w:rsid w:val="002A765A"/>
    <w:rsid w:val="002B3C10"/>
    <w:rsid w:val="002B42A4"/>
    <w:rsid w:val="002D3143"/>
    <w:rsid w:val="002E2234"/>
    <w:rsid w:val="002E30AD"/>
    <w:rsid w:val="002F4EF1"/>
    <w:rsid w:val="002F77F6"/>
    <w:rsid w:val="00303317"/>
    <w:rsid w:val="00305077"/>
    <w:rsid w:val="00313BF4"/>
    <w:rsid w:val="00320159"/>
    <w:rsid w:val="003276A6"/>
    <w:rsid w:val="00332CF1"/>
    <w:rsid w:val="003348F7"/>
    <w:rsid w:val="003560EC"/>
    <w:rsid w:val="00361EAD"/>
    <w:rsid w:val="00366FAC"/>
    <w:rsid w:val="00376AE1"/>
    <w:rsid w:val="00383921"/>
    <w:rsid w:val="00397BCB"/>
    <w:rsid w:val="003A6C66"/>
    <w:rsid w:val="003C02F3"/>
    <w:rsid w:val="003C405B"/>
    <w:rsid w:val="003C7AA4"/>
    <w:rsid w:val="003D5D3C"/>
    <w:rsid w:val="003E5DF2"/>
    <w:rsid w:val="004004BC"/>
    <w:rsid w:val="0040632D"/>
    <w:rsid w:val="00425709"/>
    <w:rsid w:val="00435C1B"/>
    <w:rsid w:val="00454487"/>
    <w:rsid w:val="00457B24"/>
    <w:rsid w:val="00476D12"/>
    <w:rsid w:val="00477C54"/>
    <w:rsid w:val="00483B61"/>
    <w:rsid w:val="004941A3"/>
    <w:rsid w:val="004B274B"/>
    <w:rsid w:val="004B34CA"/>
    <w:rsid w:val="004B44C3"/>
    <w:rsid w:val="004B622F"/>
    <w:rsid w:val="004C1993"/>
    <w:rsid w:val="004C2A6E"/>
    <w:rsid w:val="004C55D3"/>
    <w:rsid w:val="00502900"/>
    <w:rsid w:val="00503634"/>
    <w:rsid w:val="005052D9"/>
    <w:rsid w:val="00514BBF"/>
    <w:rsid w:val="00524B1E"/>
    <w:rsid w:val="00536694"/>
    <w:rsid w:val="005446F4"/>
    <w:rsid w:val="00554354"/>
    <w:rsid w:val="00571225"/>
    <w:rsid w:val="0059190C"/>
    <w:rsid w:val="005B0C2C"/>
    <w:rsid w:val="005C5BC4"/>
    <w:rsid w:val="005E5BA2"/>
    <w:rsid w:val="005E6BA6"/>
    <w:rsid w:val="005F0A35"/>
    <w:rsid w:val="005F126A"/>
    <w:rsid w:val="00603017"/>
    <w:rsid w:val="006050C6"/>
    <w:rsid w:val="00605C33"/>
    <w:rsid w:val="00607AD8"/>
    <w:rsid w:val="00613141"/>
    <w:rsid w:val="0062091A"/>
    <w:rsid w:val="006209FC"/>
    <w:rsid w:val="00634BB3"/>
    <w:rsid w:val="00637F89"/>
    <w:rsid w:val="00641E2C"/>
    <w:rsid w:val="00646AA0"/>
    <w:rsid w:val="006517C1"/>
    <w:rsid w:val="00667AE6"/>
    <w:rsid w:val="0067027B"/>
    <w:rsid w:val="00671562"/>
    <w:rsid w:val="006727EF"/>
    <w:rsid w:val="00683560"/>
    <w:rsid w:val="00687FD2"/>
    <w:rsid w:val="00695162"/>
    <w:rsid w:val="006A5240"/>
    <w:rsid w:val="006B3306"/>
    <w:rsid w:val="006B3643"/>
    <w:rsid w:val="006C0149"/>
    <w:rsid w:val="006D2CD2"/>
    <w:rsid w:val="00724442"/>
    <w:rsid w:val="00731DF6"/>
    <w:rsid w:val="00737501"/>
    <w:rsid w:val="0074165C"/>
    <w:rsid w:val="00765A2A"/>
    <w:rsid w:val="007723C9"/>
    <w:rsid w:val="007747EE"/>
    <w:rsid w:val="00775916"/>
    <w:rsid w:val="007836F9"/>
    <w:rsid w:val="00783F6A"/>
    <w:rsid w:val="00796D3B"/>
    <w:rsid w:val="007973DC"/>
    <w:rsid w:val="007C0CAA"/>
    <w:rsid w:val="007D0062"/>
    <w:rsid w:val="007E4098"/>
    <w:rsid w:val="007E4547"/>
    <w:rsid w:val="007F290E"/>
    <w:rsid w:val="007F3E05"/>
    <w:rsid w:val="008022E3"/>
    <w:rsid w:val="00802837"/>
    <w:rsid w:val="00804BCF"/>
    <w:rsid w:val="00804BF9"/>
    <w:rsid w:val="0080617B"/>
    <w:rsid w:val="00817EB8"/>
    <w:rsid w:val="00826720"/>
    <w:rsid w:val="00836D28"/>
    <w:rsid w:val="00836E1F"/>
    <w:rsid w:val="00847D43"/>
    <w:rsid w:val="008541F4"/>
    <w:rsid w:val="00856373"/>
    <w:rsid w:val="008566B7"/>
    <w:rsid w:val="00856B0C"/>
    <w:rsid w:val="0086219D"/>
    <w:rsid w:val="0087222E"/>
    <w:rsid w:val="00875A4B"/>
    <w:rsid w:val="008B0E73"/>
    <w:rsid w:val="008B5503"/>
    <w:rsid w:val="008C268D"/>
    <w:rsid w:val="008C4130"/>
    <w:rsid w:val="008C7EC3"/>
    <w:rsid w:val="008D1FB2"/>
    <w:rsid w:val="008E0D68"/>
    <w:rsid w:val="008E34AA"/>
    <w:rsid w:val="008E5331"/>
    <w:rsid w:val="008F794F"/>
    <w:rsid w:val="00900F86"/>
    <w:rsid w:val="00912B30"/>
    <w:rsid w:val="00920184"/>
    <w:rsid w:val="00923864"/>
    <w:rsid w:val="00933702"/>
    <w:rsid w:val="0094523D"/>
    <w:rsid w:val="00947E5A"/>
    <w:rsid w:val="00953566"/>
    <w:rsid w:val="00966FAB"/>
    <w:rsid w:val="00970761"/>
    <w:rsid w:val="00971FA0"/>
    <w:rsid w:val="009724D6"/>
    <w:rsid w:val="0097764B"/>
    <w:rsid w:val="00981479"/>
    <w:rsid w:val="009844B7"/>
    <w:rsid w:val="0098786E"/>
    <w:rsid w:val="009906E0"/>
    <w:rsid w:val="009A4D5C"/>
    <w:rsid w:val="009B3934"/>
    <w:rsid w:val="009B5EAD"/>
    <w:rsid w:val="009B609E"/>
    <w:rsid w:val="009C7616"/>
    <w:rsid w:val="009E05AA"/>
    <w:rsid w:val="009E0EB3"/>
    <w:rsid w:val="009F2B15"/>
    <w:rsid w:val="009F6AFA"/>
    <w:rsid w:val="00A0398E"/>
    <w:rsid w:val="00A11163"/>
    <w:rsid w:val="00A21718"/>
    <w:rsid w:val="00A32C7C"/>
    <w:rsid w:val="00A37B15"/>
    <w:rsid w:val="00A42903"/>
    <w:rsid w:val="00A4465F"/>
    <w:rsid w:val="00A45B2F"/>
    <w:rsid w:val="00A62794"/>
    <w:rsid w:val="00A63E22"/>
    <w:rsid w:val="00A65CF2"/>
    <w:rsid w:val="00A660FA"/>
    <w:rsid w:val="00A80503"/>
    <w:rsid w:val="00A90BAB"/>
    <w:rsid w:val="00AA04EB"/>
    <w:rsid w:val="00AA5364"/>
    <w:rsid w:val="00AB01BB"/>
    <w:rsid w:val="00AB3019"/>
    <w:rsid w:val="00AC7AC9"/>
    <w:rsid w:val="00AD0156"/>
    <w:rsid w:val="00AD68A4"/>
    <w:rsid w:val="00AE1530"/>
    <w:rsid w:val="00AE6CC3"/>
    <w:rsid w:val="00AF0596"/>
    <w:rsid w:val="00B010D7"/>
    <w:rsid w:val="00B01680"/>
    <w:rsid w:val="00B030B1"/>
    <w:rsid w:val="00B03C62"/>
    <w:rsid w:val="00B12B4B"/>
    <w:rsid w:val="00B23090"/>
    <w:rsid w:val="00B23AEB"/>
    <w:rsid w:val="00B24DD4"/>
    <w:rsid w:val="00B27E81"/>
    <w:rsid w:val="00B3198E"/>
    <w:rsid w:val="00B3332C"/>
    <w:rsid w:val="00B34E3E"/>
    <w:rsid w:val="00B44141"/>
    <w:rsid w:val="00B540C6"/>
    <w:rsid w:val="00B55D29"/>
    <w:rsid w:val="00B715A1"/>
    <w:rsid w:val="00B96916"/>
    <w:rsid w:val="00B96AC3"/>
    <w:rsid w:val="00BA32E9"/>
    <w:rsid w:val="00BB44F1"/>
    <w:rsid w:val="00BE245A"/>
    <w:rsid w:val="00BE3B41"/>
    <w:rsid w:val="00BE507C"/>
    <w:rsid w:val="00C02848"/>
    <w:rsid w:val="00C065C5"/>
    <w:rsid w:val="00C154C5"/>
    <w:rsid w:val="00C24F60"/>
    <w:rsid w:val="00C258EB"/>
    <w:rsid w:val="00C303CC"/>
    <w:rsid w:val="00C31492"/>
    <w:rsid w:val="00C35031"/>
    <w:rsid w:val="00C4276C"/>
    <w:rsid w:val="00C46E52"/>
    <w:rsid w:val="00C52AFB"/>
    <w:rsid w:val="00C64042"/>
    <w:rsid w:val="00C71961"/>
    <w:rsid w:val="00C75C31"/>
    <w:rsid w:val="00C8075F"/>
    <w:rsid w:val="00C86C13"/>
    <w:rsid w:val="00C92CD0"/>
    <w:rsid w:val="00C93D13"/>
    <w:rsid w:val="00CA343A"/>
    <w:rsid w:val="00CA6EE2"/>
    <w:rsid w:val="00CC47CF"/>
    <w:rsid w:val="00CE7656"/>
    <w:rsid w:val="00CF560A"/>
    <w:rsid w:val="00D1558C"/>
    <w:rsid w:val="00D1748B"/>
    <w:rsid w:val="00D17BC2"/>
    <w:rsid w:val="00D20F53"/>
    <w:rsid w:val="00D21367"/>
    <w:rsid w:val="00D543FD"/>
    <w:rsid w:val="00D85035"/>
    <w:rsid w:val="00D853FF"/>
    <w:rsid w:val="00D85881"/>
    <w:rsid w:val="00D936BB"/>
    <w:rsid w:val="00DA3882"/>
    <w:rsid w:val="00DA64FA"/>
    <w:rsid w:val="00DA6F19"/>
    <w:rsid w:val="00DA792C"/>
    <w:rsid w:val="00DB1B13"/>
    <w:rsid w:val="00DC023A"/>
    <w:rsid w:val="00DD0A48"/>
    <w:rsid w:val="00DD0E2E"/>
    <w:rsid w:val="00DD0FA2"/>
    <w:rsid w:val="00DD3819"/>
    <w:rsid w:val="00DE1B23"/>
    <w:rsid w:val="00DE20D6"/>
    <w:rsid w:val="00E07B0C"/>
    <w:rsid w:val="00E15A4D"/>
    <w:rsid w:val="00E16007"/>
    <w:rsid w:val="00E17346"/>
    <w:rsid w:val="00E2400A"/>
    <w:rsid w:val="00E25EE0"/>
    <w:rsid w:val="00E2666D"/>
    <w:rsid w:val="00E3454D"/>
    <w:rsid w:val="00E430A8"/>
    <w:rsid w:val="00E522E5"/>
    <w:rsid w:val="00E540A8"/>
    <w:rsid w:val="00E813DB"/>
    <w:rsid w:val="00E83905"/>
    <w:rsid w:val="00E8678B"/>
    <w:rsid w:val="00E87C2A"/>
    <w:rsid w:val="00E969A6"/>
    <w:rsid w:val="00EA3BF2"/>
    <w:rsid w:val="00EB1D6A"/>
    <w:rsid w:val="00EB596D"/>
    <w:rsid w:val="00EC4552"/>
    <w:rsid w:val="00ED1603"/>
    <w:rsid w:val="00ED16AE"/>
    <w:rsid w:val="00ED39CF"/>
    <w:rsid w:val="00F145E7"/>
    <w:rsid w:val="00F15804"/>
    <w:rsid w:val="00F16D65"/>
    <w:rsid w:val="00F22B18"/>
    <w:rsid w:val="00F317BF"/>
    <w:rsid w:val="00F344E6"/>
    <w:rsid w:val="00F352DE"/>
    <w:rsid w:val="00F36D28"/>
    <w:rsid w:val="00F41F9A"/>
    <w:rsid w:val="00F44A2C"/>
    <w:rsid w:val="00F54972"/>
    <w:rsid w:val="00F65A96"/>
    <w:rsid w:val="00F66486"/>
    <w:rsid w:val="00F873D5"/>
    <w:rsid w:val="00FC2C59"/>
    <w:rsid w:val="00FC7326"/>
    <w:rsid w:val="00FD11A1"/>
    <w:rsid w:val="00FE2FEB"/>
    <w:rsid w:val="00FF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12FDA7"/>
  <w14:defaultImageDpi w14:val="0"/>
  <w15:docId w15:val="{EA8C6F7D-893D-4461-A6B5-1982AFA8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3864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</w:pPr>
    <w:rPr>
      <w:rFonts w:ascii="Symbol" w:hAnsi="Symbol" w:cs="Symbol"/>
    </w:rPr>
  </w:style>
  <w:style w:type="paragraph" w:customStyle="1" w:styleId="Default">
    <w:name w:val="Default"/>
    <w:rsid w:val="00F44A2C"/>
    <w:pPr>
      <w:widowControl w:val="0"/>
      <w:autoSpaceDE w:val="0"/>
      <w:autoSpaceDN w:val="0"/>
      <w:adjustRightInd w:val="0"/>
    </w:pPr>
    <w:rPr>
      <w:rFonts w:ascii="CKBKDC+Arial" w:hAnsi="CKBKDC+Arial" w:cs="CKBKDC+Arial"/>
      <w:color w:val="000000"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F44A2C"/>
    <w:pPr>
      <w:ind w:left="720"/>
      <w:contextualSpacing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30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E30A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3566"/>
    <w:pPr>
      <w:widowControl/>
      <w:autoSpaceDE/>
      <w:autoSpaceDN/>
      <w:adjustRightInd/>
    </w:pPr>
    <w:rPr>
      <w:rFonts w:ascii="Times New Roman" w:hAnsi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3566"/>
  </w:style>
  <w:style w:type="character" w:styleId="Odwoanieprzypisudolnego">
    <w:name w:val="footnote reference"/>
    <w:uiPriority w:val="99"/>
    <w:semiHidden/>
    <w:unhideWhenUsed/>
    <w:rsid w:val="00953566"/>
    <w:rPr>
      <w:vertAlign w:val="superscript"/>
    </w:rPr>
  </w:style>
  <w:style w:type="paragraph" w:styleId="Bezodstpw">
    <w:name w:val="No Spacing"/>
    <w:uiPriority w:val="1"/>
    <w:qFormat/>
    <w:rsid w:val="002F4EF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E522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522E5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E522E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522E5"/>
    <w:rPr>
      <w:rFonts w:ascii="Arial" w:hAnsi="Arial"/>
    </w:rPr>
  </w:style>
  <w:style w:type="paragraph" w:styleId="Akapitzlist">
    <w:name w:val="List Paragraph"/>
    <w:aliases w:val="Styl moj,List Paragraph1,Akapit z listą11"/>
    <w:basedOn w:val="Normalny"/>
    <w:link w:val="AkapitzlistZnak"/>
    <w:uiPriority w:val="34"/>
    <w:qFormat/>
    <w:rsid w:val="00E16007"/>
    <w:pPr>
      <w:ind w:left="720"/>
      <w:contextualSpacing/>
    </w:pPr>
  </w:style>
  <w:style w:type="paragraph" w:styleId="Poprawka">
    <w:name w:val="Revision"/>
    <w:hidden/>
    <w:uiPriority w:val="99"/>
    <w:semiHidden/>
    <w:rsid w:val="000953ED"/>
    <w:rPr>
      <w:rFonts w:ascii="Arial" w:hAnsi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3B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3BF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3BF2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3B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3BF2"/>
    <w:rPr>
      <w:rFonts w:ascii="Arial" w:hAnsi="Arial"/>
      <w:b/>
      <w:bCs/>
    </w:rPr>
  </w:style>
  <w:style w:type="paragraph" w:customStyle="1" w:styleId="15">
    <w:name w:val="_15"/>
    <w:basedOn w:val="Normalny"/>
    <w:next w:val="Nagwek"/>
    <w:rsid w:val="00D20F53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/>
      <w:autoSpaceDN/>
      <w:adjustRightInd/>
      <w:ind w:left="2880"/>
    </w:pPr>
    <w:rPr>
      <w:rFonts w:ascii="Times New Roman" w:hAnsi="Times New Roman"/>
      <w:sz w:val="24"/>
      <w:lang w:val="en-US"/>
    </w:rPr>
  </w:style>
  <w:style w:type="character" w:customStyle="1" w:styleId="AkapitzlistZnak">
    <w:name w:val="Akapit z listą Znak"/>
    <w:aliases w:val="Styl moj Znak,List Paragraph1 Znak,Akapit z listą11 Znak"/>
    <w:link w:val="Akapitzlist"/>
    <w:uiPriority w:val="34"/>
    <w:locked/>
    <w:rsid w:val="00AF059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5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6149C-F9BF-49E3-BAD1-3F4D6E2F7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4060</Words>
  <Characters>26606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Protas Anna</dc:creator>
  <cp:lastModifiedBy>Królak-Buzakowska Joanna</cp:lastModifiedBy>
  <cp:revision>4</cp:revision>
  <cp:lastPrinted>2020-03-11T12:09:00Z</cp:lastPrinted>
  <dcterms:created xsi:type="dcterms:W3CDTF">2021-08-10T08:32:00Z</dcterms:created>
  <dcterms:modified xsi:type="dcterms:W3CDTF">2021-08-18T20:46:00Z</dcterms:modified>
</cp:coreProperties>
</file>