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63B" w:rsidRPr="006F163B" w:rsidRDefault="006F163B" w:rsidP="006F163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F163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Załącznik nr 2a</w:t>
      </w:r>
    </w:p>
    <w:p w:rsidR="006F163B" w:rsidRPr="006F163B" w:rsidRDefault="006F163B" w:rsidP="006F163B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F163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„Programu o</w:t>
      </w:r>
      <w:r w:rsidRPr="006F163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pieki nad rodzinami wysokiego, dziedzicznie uwarunkowanego ryzyka zachorowania na nowotwory złośliwe – Moduł III – Profilaktyka oraz wczesne wykrywanie nowotworów złośliwych w rodzinach z rzadkimi zespołami dziedzicznej predyspozycji do nowotworów - siatkówczak, choroba von </w:t>
      </w:r>
      <w:proofErr w:type="spellStart"/>
      <w:r w:rsidRPr="006F163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Hippel</w:t>
      </w:r>
      <w:proofErr w:type="spellEnd"/>
      <w:r w:rsidRPr="006F163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–</w:t>
      </w:r>
      <w:proofErr w:type="spellStart"/>
      <w:r w:rsidRPr="006F163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Lindau</w:t>
      </w:r>
      <w:proofErr w:type="spellEnd"/>
      <w:r w:rsidRPr="006F163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(VHL),” na lata 2018-2021.</w:t>
      </w:r>
    </w:p>
    <w:p w:rsidR="006F163B" w:rsidRPr="006F163B" w:rsidRDefault="006F163B" w:rsidP="006F163B">
      <w:pPr>
        <w:spacing w:after="0" w:line="36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u w:val="single"/>
          <w:lang w:eastAsia="zh-CN"/>
        </w:rPr>
      </w:pPr>
      <w:r w:rsidRPr="006F163B">
        <w:rPr>
          <w:rFonts w:ascii="Times New Roman" w:eastAsia="SimSun" w:hAnsi="Times New Roman" w:cs="Times New Roman"/>
          <w:b/>
          <w:sz w:val="24"/>
          <w:szCs w:val="24"/>
          <w:u w:val="single"/>
          <w:lang w:eastAsia="zh-CN"/>
        </w:rPr>
        <w:t>Siatkówczak (Rb)</w:t>
      </w:r>
    </w:p>
    <w:p w:rsidR="006F163B" w:rsidRPr="006F163B" w:rsidRDefault="006F163B" w:rsidP="006F163B">
      <w:pPr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F163B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Celem zadania</w:t>
      </w:r>
      <w:r w:rsidRPr="006F163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jest zidentyfikowanie możliwie największej liczby rodzin wysokiego ryzyka zachorowania na siatkówczaka oraz objęcie ich specjalistyczną opieką ukierunkowaną na aktywną prewencję </w:t>
      </w:r>
      <w:proofErr w:type="spellStart"/>
      <w:r w:rsidRPr="006F163B">
        <w:rPr>
          <w:rFonts w:ascii="Times New Roman" w:eastAsia="SimSun" w:hAnsi="Times New Roman" w:cs="Times New Roman"/>
          <w:sz w:val="24"/>
          <w:szCs w:val="24"/>
          <w:lang w:eastAsia="zh-CN"/>
        </w:rPr>
        <w:t>zachorowań</w:t>
      </w:r>
      <w:proofErr w:type="spellEnd"/>
      <w:r w:rsidRPr="006F163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na ten nowotwór.</w:t>
      </w:r>
    </w:p>
    <w:p w:rsidR="006F163B" w:rsidRPr="006F163B" w:rsidRDefault="006F163B" w:rsidP="006F163B">
      <w:pPr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F163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Siatkówczak jest najczęstszym nowotworem wewnątrzgałkowym u dzieci pojawia się z częstością 1: 25 000 żywych urodzeń. W większość przypadków rozpoznawany jest przed 5 r.ż. 40% przypadków </w:t>
      </w:r>
      <w:proofErr w:type="spellStart"/>
      <w:r w:rsidRPr="006F163B">
        <w:rPr>
          <w:rFonts w:ascii="Times New Roman" w:eastAsia="SimSun" w:hAnsi="Times New Roman" w:cs="Times New Roman"/>
          <w:sz w:val="24"/>
          <w:szCs w:val="24"/>
          <w:lang w:eastAsia="zh-CN"/>
        </w:rPr>
        <w:t>zachorowań</w:t>
      </w:r>
      <w:proofErr w:type="spellEnd"/>
      <w:r w:rsidRPr="006F163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na siatkówczaka jest wywołana obecnością wrodzonej mutacji konstytucyjnej genu RB1 (OMIM: 180200). Mutacja RB1 odziedziczona jest od jednego z rodziców (10-15% przypadków siatkówczaka) lub powstaje </w:t>
      </w:r>
      <w:r w:rsidRPr="006F163B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 xml:space="preserve">de </w:t>
      </w:r>
      <w:proofErr w:type="spellStart"/>
      <w:r w:rsidRPr="006F163B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novo</w:t>
      </w:r>
      <w:proofErr w:type="spellEnd"/>
      <w:r w:rsidRPr="006F163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(25-30% przypadków). Penetracja mutacji genu RB1 wynosi aż 90% do 5 r.ż. Praktycznie wszystkie siatkówczaki obustronne oraz 20% siatkówczaków jednostronnych uwarunkowane są obecnością mutacji konstytucyjnej RB1. Nowotwory u nosicieli mutacji genu RB1 często są charakteryzują się wcześniejszym wystąpieniem guza, </w:t>
      </w:r>
      <w:proofErr w:type="spellStart"/>
      <w:r w:rsidRPr="006F163B">
        <w:rPr>
          <w:rFonts w:ascii="Times New Roman" w:eastAsia="SimSun" w:hAnsi="Times New Roman" w:cs="Times New Roman"/>
          <w:sz w:val="24"/>
          <w:szCs w:val="24"/>
          <w:lang w:eastAsia="zh-CN"/>
        </w:rPr>
        <w:t>wieloogniskowością</w:t>
      </w:r>
      <w:proofErr w:type="spellEnd"/>
      <w:r w:rsidRPr="006F163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i obustronnością. Wykrycie mutacji genu RB1 umożliwia wprowadzenie skutecznego schematu postępowania profilaktycznego oraz wczesnego rozpoznania i leczenia nowotworu, często z zachowaniem gałki ocznej.</w:t>
      </w:r>
    </w:p>
    <w:p w:rsidR="006F163B" w:rsidRPr="006F163B" w:rsidRDefault="006F163B" w:rsidP="006F163B">
      <w:pPr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F163B">
        <w:rPr>
          <w:rFonts w:ascii="Times New Roman" w:eastAsia="SimSun" w:hAnsi="Times New Roman" w:cs="Times New Roman"/>
          <w:sz w:val="24"/>
          <w:szCs w:val="24"/>
          <w:lang w:eastAsia="zh-CN"/>
        </w:rPr>
        <w:t>Celem jest:</w:t>
      </w:r>
    </w:p>
    <w:p w:rsidR="006F163B" w:rsidRPr="006F163B" w:rsidRDefault="006F163B" w:rsidP="006F163B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F163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Zidentyfikowanie nowych pacjentów z wysokim genetycznym ryzykiem siatkówczaka poprzez badanie molekularne genu </w:t>
      </w:r>
      <w:r w:rsidRPr="006F163B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RB1</w:t>
      </w:r>
      <w:r w:rsidRPr="006F163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(sekwencjonowanie i MLPA) rodzin, w których występuje ten nowotwór.</w:t>
      </w:r>
    </w:p>
    <w:p w:rsidR="006F163B" w:rsidRPr="006F163B" w:rsidRDefault="006F163B" w:rsidP="006F163B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F163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Wykonanie badania nosicielstwa mutacji genu </w:t>
      </w:r>
      <w:r w:rsidRPr="006F163B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RB1</w:t>
      </w:r>
      <w:r w:rsidRPr="006F163B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 xml:space="preserve"> w rodzinach z rozpoznaną mutacją markerową tego genu</w:t>
      </w:r>
      <w:r w:rsidRPr="006F163B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</w:p>
    <w:p w:rsidR="006F163B" w:rsidRPr="006F163B" w:rsidRDefault="006F163B" w:rsidP="006F163B">
      <w:pPr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F163B">
        <w:rPr>
          <w:rFonts w:ascii="Times New Roman" w:eastAsia="SimSun" w:hAnsi="Times New Roman" w:cs="Times New Roman"/>
          <w:sz w:val="24"/>
          <w:szCs w:val="24"/>
          <w:lang w:eastAsia="zh-CN"/>
        </w:rPr>
        <w:t>W ramach programu finansowane są:</w:t>
      </w:r>
    </w:p>
    <w:p w:rsidR="006F163B" w:rsidRPr="006F163B" w:rsidRDefault="006F163B" w:rsidP="006F163B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F163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Wprowadzenie do rejestru - zidentyfikowanie rodzin z siatkówczakiem, pełny opis obciążenia rodzinnego oraz zebranie dodatkowej dokumentacji, koordynacja działań (w tym koszt pracy lekarza i personelu pomocniczego). </w:t>
      </w:r>
    </w:p>
    <w:p w:rsidR="006F163B" w:rsidRPr="006F163B" w:rsidRDefault="006F163B" w:rsidP="006F163B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F163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Koszt badania nosicielstwa mutacji genu </w:t>
      </w:r>
      <w:r w:rsidRPr="006F163B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RB1</w:t>
      </w:r>
      <w:r w:rsidRPr="006F163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u osób spełniających kryteria kwalifikacji do badania. </w:t>
      </w:r>
    </w:p>
    <w:p w:rsidR="006F163B" w:rsidRPr="006F163B" w:rsidRDefault="006F163B" w:rsidP="006F163B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F163B">
        <w:rPr>
          <w:rFonts w:ascii="Times New Roman" w:eastAsia="SimSun" w:hAnsi="Times New Roman" w:cs="Times New Roman"/>
          <w:sz w:val="24"/>
          <w:szCs w:val="24"/>
          <w:lang w:eastAsia="zh-CN"/>
        </w:rPr>
        <w:t>Wizyta lekarska z wydaniem wyniku konsultacji genetycznej oraz edukacją pacjenta.</w:t>
      </w:r>
    </w:p>
    <w:p w:rsidR="006F163B" w:rsidRPr="006F163B" w:rsidRDefault="006F163B" w:rsidP="006F163B">
      <w:p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6F16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lastRenderedPageBreak/>
        <w:t xml:space="preserve">Choroba von </w:t>
      </w:r>
      <w:proofErr w:type="spellStart"/>
      <w:r w:rsidRPr="006F16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Hippel-Lindau</w:t>
      </w:r>
      <w:proofErr w:type="spellEnd"/>
      <w:r w:rsidRPr="006F16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(VHL)</w:t>
      </w:r>
    </w:p>
    <w:p w:rsidR="006F163B" w:rsidRPr="006F163B" w:rsidRDefault="006F163B" w:rsidP="006F163B">
      <w:pPr>
        <w:spacing w:before="120" w:after="12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163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Celem zadania</w:t>
      </w:r>
      <w:r w:rsidRPr="006F163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zidentyfikowanie możliwie największej liczby rodzin wysokiego ryzyka zachorowania na chorobę von </w:t>
      </w:r>
      <w:proofErr w:type="spellStart"/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>Hippel-Lindau</w:t>
      </w:r>
      <w:proofErr w:type="spellEnd"/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(VHL) oraz objęcie ich specjalistyczną opieką ukierunkowaną na aktywną prewencję </w:t>
      </w:r>
      <w:proofErr w:type="spellStart"/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>zachorowań</w:t>
      </w:r>
      <w:proofErr w:type="spellEnd"/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ten nowotwór.</w:t>
      </w:r>
    </w:p>
    <w:p w:rsidR="006F163B" w:rsidRPr="006F163B" w:rsidRDefault="006F163B" w:rsidP="006F163B">
      <w:p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Choroba von </w:t>
      </w:r>
      <w:proofErr w:type="spellStart"/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>Hippel-Lindau</w:t>
      </w:r>
      <w:proofErr w:type="spellEnd"/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(VHL) jest zespołem wysokiej genetycznej predyspozycji do nowotworów wykazującym rodowodowe cechy dziedziczenia autosomalnego dominującego (</w:t>
      </w:r>
      <w:r w:rsidRPr="006F163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OMIM</w:t>
      </w:r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193300). Schorzenie jest wywołane mutacjami </w:t>
      </w:r>
      <w:proofErr w:type="spellStart"/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>germinalnymi</w:t>
      </w:r>
      <w:proofErr w:type="spellEnd"/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genu VHL. Nosiciele mutacji genu VHL obarczeni są wysokim ryzykiem występowania różnych nowotworów. Penetracja mutacji genu VHL wynosi około 99% do 60 roku życia. Do istotnych z klinicznego punktu widzenia oraz charakterystycznych dla schorzenia zmian narządowych zaliczamy: naczyniaki zarodkowe (</w:t>
      </w:r>
      <w:proofErr w:type="spellStart"/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>hemangioblastoma</w:t>
      </w:r>
      <w:proofErr w:type="spellEnd"/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móżdżku i rdzenia kręgowego (OUN-HB), naczyniaki zarodkowe siatkówki (R-HB), raka </w:t>
      </w:r>
      <w:proofErr w:type="spellStart"/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>jasnokomórkowego</w:t>
      </w:r>
      <w:proofErr w:type="spellEnd"/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nerki (CC-RCC), guzy chromochłonne nadnerczy (</w:t>
      </w:r>
      <w:proofErr w:type="spellStart"/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>pheochromocytoma</w:t>
      </w:r>
      <w:proofErr w:type="spellEnd"/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), guzy neuroendokrynne (PNET) oraz guzy worka </w:t>
      </w:r>
      <w:proofErr w:type="spellStart"/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>endolimfatycznego</w:t>
      </w:r>
      <w:proofErr w:type="spellEnd"/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(ELST). Zmiany takie jak torbiele i </w:t>
      </w:r>
      <w:proofErr w:type="spellStart"/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>torbielakogruczolaki</w:t>
      </w:r>
      <w:proofErr w:type="spellEnd"/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>cystadenoma</w:t>
      </w:r>
      <w:proofErr w:type="spellEnd"/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nerek, trzustki, najądrza i więzadła szerokiego macicy, również często występują w przebiegu VHL, lecz zwykle są bezobjawowe i nie stanowią znaczącego problemu klinicznego. Nowotwory u pacjentów z chorobą VHL, rozwijają się </w:t>
      </w:r>
      <w:proofErr w:type="spellStart"/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>wieloogniskowo</w:t>
      </w:r>
      <w:proofErr w:type="spellEnd"/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obustronnie oraz w młodym wieku. Rozpoznanie choroby VHL stawia się w oparciu o kryteria rodowodowo-kliniczne i/lub analizę nosicielstwa mutacji genu VHL. Opieka nad rodzinami z VHL polega na zastosowaniu programu badań profilaktyczno-diagnostycznych u osób z grupy ryzyka, który ma na celu wczesne wykrywanie i leczenie zmian nowotworowych. Przypadki ze zmianami narządowymi charakterystycznymi dla VHL powinny być poddane konsultacji genetycznej. </w:t>
      </w:r>
    </w:p>
    <w:p w:rsidR="006F163B" w:rsidRPr="006F163B" w:rsidRDefault="006F163B" w:rsidP="006F163B">
      <w:p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>Kryteria rozpoznania:</w:t>
      </w:r>
    </w:p>
    <w:p w:rsidR="006F163B" w:rsidRPr="006F163B" w:rsidRDefault="006F163B" w:rsidP="006F163B">
      <w:pPr>
        <w:numPr>
          <w:ilvl w:val="0"/>
          <w:numId w:val="5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 członka rodziny obciążonej chorobą VHL: występowanie co najmniej jednej ze zmian typu: </w:t>
      </w:r>
      <w:proofErr w:type="spellStart"/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>heamangioblastoma</w:t>
      </w:r>
      <w:proofErr w:type="spellEnd"/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siatkówki lub ośrodkowego układu nerwowego, </w:t>
      </w:r>
      <w:proofErr w:type="spellStart"/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>pheochromocytoma</w:t>
      </w:r>
      <w:proofErr w:type="spellEnd"/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>, mnogie torbiele nerek lub trzustki, brodawczak najądrza, rak nerki,</w:t>
      </w:r>
    </w:p>
    <w:p w:rsidR="006F163B" w:rsidRPr="006F163B" w:rsidRDefault="006F163B" w:rsidP="006F163B">
      <w:pPr>
        <w:numPr>
          <w:ilvl w:val="0"/>
          <w:numId w:val="5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 osoby z negatywnym wywiadem rodzinnym odnośnie VHL: stwierdzenie 2 lub więcej zmian charakterystycznych dla VHL (co najmniej dwa guzy typu </w:t>
      </w:r>
      <w:proofErr w:type="spellStart"/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>heamangioblastoma</w:t>
      </w:r>
      <w:proofErr w:type="spellEnd"/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siatkówki i/lub ośrodkowego układu nerwowego, lub pojedynczy </w:t>
      </w:r>
      <w:proofErr w:type="spellStart"/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>haemangioblastoma</w:t>
      </w:r>
      <w:proofErr w:type="spellEnd"/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połączeniu ze zmianą trzewną charakterystyczną dla VHL,</w:t>
      </w:r>
    </w:p>
    <w:p w:rsidR="006F163B" w:rsidRPr="006F163B" w:rsidRDefault="006F163B" w:rsidP="006F163B">
      <w:pPr>
        <w:numPr>
          <w:ilvl w:val="0"/>
          <w:numId w:val="5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>stwierdzenie mutacji genu VHL (przez sekwencjonowanie oraz MLPA).</w:t>
      </w:r>
    </w:p>
    <w:p w:rsidR="006F163B" w:rsidRPr="006F163B" w:rsidRDefault="006F163B" w:rsidP="006F163B">
      <w:p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programu planowane jest:</w:t>
      </w:r>
    </w:p>
    <w:p w:rsidR="006F163B" w:rsidRPr="006F163B" w:rsidRDefault="006F163B" w:rsidP="006F163B">
      <w:pPr>
        <w:numPr>
          <w:ilvl w:val="0"/>
          <w:numId w:val="6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>Zidentyfikowanie pacjenta z chorobą VHL, pełny opis obciążenia rodzinnego oraz zebranie dodatkowej dokumentacji, wprowadzenie do rejestru;</w:t>
      </w:r>
    </w:p>
    <w:p w:rsidR="006F163B" w:rsidRPr="006F163B" w:rsidRDefault="006F163B" w:rsidP="006F163B">
      <w:pPr>
        <w:numPr>
          <w:ilvl w:val="0"/>
          <w:numId w:val="6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badania nosicielstwa mutacji genu VHL u osób spełniających kryteria kwalifikacji do badania;</w:t>
      </w:r>
    </w:p>
    <w:p w:rsidR="006F163B" w:rsidRPr="006F163B" w:rsidRDefault="006F163B" w:rsidP="006F163B">
      <w:pPr>
        <w:numPr>
          <w:ilvl w:val="0"/>
          <w:numId w:val="6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opieki nad pacjentem:</w:t>
      </w:r>
    </w:p>
    <w:p w:rsidR="006F163B" w:rsidRPr="006F163B" w:rsidRDefault="006F163B" w:rsidP="006F163B">
      <w:pPr>
        <w:numPr>
          <w:ilvl w:val="1"/>
          <w:numId w:val="8"/>
        </w:numPr>
        <w:tabs>
          <w:tab w:val="num" w:pos="709"/>
        </w:tabs>
        <w:spacing w:after="0" w:line="360" w:lineRule="atLeast"/>
        <w:ind w:left="709" w:right="-108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coroczna konsultacja przez lekarza;</w:t>
      </w:r>
    </w:p>
    <w:p w:rsidR="006F163B" w:rsidRPr="006F163B" w:rsidRDefault="006F163B" w:rsidP="006F163B">
      <w:pPr>
        <w:numPr>
          <w:ilvl w:val="1"/>
          <w:numId w:val="8"/>
        </w:numPr>
        <w:tabs>
          <w:tab w:val="num" w:pos="709"/>
        </w:tabs>
        <w:spacing w:after="0" w:line="360" w:lineRule="atLeast"/>
        <w:ind w:left="709" w:right="-108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>MRI głowy i rdzenia kręgowego od 11 roku życia (co 1 do 3 lat w zależności od zmian obecności OUN);</w:t>
      </w:r>
    </w:p>
    <w:p w:rsidR="006F163B" w:rsidRPr="006F163B" w:rsidRDefault="006F163B" w:rsidP="006F163B">
      <w:pPr>
        <w:numPr>
          <w:ilvl w:val="1"/>
          <w:numId w:val="8"/>
        </w:numPr>
        <w:tabs>
          <w:tab w:val="num" w:pos="709"/>
        </w:tabs>
        <w:spacing w:after="0" w:line="360" w:lineRule="atLeast"/>
        <w:ind w:left="709" w:right="-108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>USG jamy brzusznej (corocznie);</w:t>
      </w:r>
    </w:p>
    <w:p w:rsidR="006F163B" w:rsidRPr="006F163B" w:rsidRDefault="006F163B" w:rsidP="006F163B">
      <w:pPr>
        <w:numPr>
          <w:ilvl w:val="1"/>
          <w:numId w:val="8"/>
        </w:numPr>
        <w:tabs>
          <w:tab w:val="num" w:pos="709"/>
        </w:tabs>
        <w:spacing w:after="0" w:line="360" w:lineRule="atLeast"/>
        <w:ind w:left="709" w:right="-108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>TK (lub MRI) jamy brzusznej (co 2-3 lata);</w:t>
      </w:r>
    </w:p>
    <w:p w:rsidR="006F163B" w:rsidRPr="006F163B" w:rsidRDefault="006F163B" w:rsidP="006F163B">
      <w:pPr>
        <w:numPr>
          <w:ilvl w:val="1"/>
          <w:numId w:val="8"/>
        </w:numPr>
        <w:tabs>
          <w:tab w:val="num" w:pos="709"/>
        </w:tabs>
        <w:spacing w:after="0" w:line="360" w:lineRule="atLeast"/>
        <w:ind w:left="709" w:right="-108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>konsultacja okulistyczna od 1 roku życia; badanie dna oka w lustrze Goldmana od 6 roku życia.</w:t>
      </w:r>
    </w:p>
    <w:p w:rsidR="006F163B" w:rsidRPr="006F163B" w:rsidRDefault="006F163B" w:rsidP="006F163B">
      <w:p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programu finansowane są:</w:t>
      </w:r>
    </w:p>
    <w:p w:rsidR="006F163B" w:rsidRPr="006F163B" w:rsidRDefault="006F163B" w:rsidP="006F163B">
      <w:pPr>
        <w:numPr>
          <w:ilvl w:val="0"/>
          <w:numId w:val="7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>Wprowadzenie do rejestru - zidentyfikowanie pacjenta spełniającego kryteria kwalifikacji do VHL, opis obciążenia rodzinnego oraz zebranie dodatkowej dokumentacji, koordynacja działań (w tym koszt pracy lekarza i personelu pomocniczego).</w:t>
      </w:r>
    </w:p>
    <w:p w:rsidR="006F163B" w:rsidRPr="006F163B" w:rsidRDefault="006F163B" w:rsidP="006F163B">
      <w:pPr>
        <w:numPr>
          <w:ilvl w:val="0"/>
          <w:numId w:val="7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Koszt badania nosicielstwa mutacji genu </w:t>
      </w:r>
      <w:r w:rsidRPr="006F163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VHL</w:t>
      </w:r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 osób spełniających kryteria kwalifikacji do badania.</w:t>
      </w:r>
    </w:p>
    <w:p w:rsidR="006F163B" w:rsidRPr="006F163B" w:rsidRDefault="006F163B" w:rsidP="006F163B">
      <w:pPr>
        <w:numPr>
          <w:ilvl w:val="0"/>
          <w:numId w:val="7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>Wizyta lekarska z wydaniem wyniku konsultacji genetycznej oraz edukacją pacjenta.</w:t>
      </w:r>
    </w:p>
    <w:p w:rsidR="006F163B" w:rsidRPr="006F163B" w:rsidRDefault="006F163B" w:rsidP="006F163B">
      <w:pPr>
        <w:numPr>
          <w:ilvl w:val="0"/>
          <w:numId w:val="7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>Koszt opieki nad pacjentem:</w:t>
      </w:r>
    </w:p>
    <w:p w:rsidR="006F163B" w:rsidRPr="006F163B" w:rsidRDefault="006F163B" w:rsidP="006F163B">
      <w:pPr>
        <w:numPr>
          <w:ilvl w:val="0"/>
          <w:numId w:val="9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>coroczna konsultacja przez lekarza,</w:t>
      </w:r>
    </w:p>
    <w:p w:rsidR="006F163B" w:rsidRPr="006F163B" w:rsidRDefault="006F163B" w:rsidP="006F163B">
      <w:pPr>
        <w:numPr>
          <w:ilvl w:val="0"/>
          <w:numId w:val="9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>MRI głowy i rdzenia kręgowego,</w:t>
      </w:r>
    </w:p>
    <w:p w:rsidR="006F163B" w:rsidRPr="006F163B" w:rsidRDefault="006F163B" w:rsidP="006F163B">
      <w:pPr>
        <w:numPr>
          <w:ilvl w:val="0"/>
          <w:numId w:val="9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>USG jamy brzusznej,</w:t>
      </w:r>
    </w:p>
    <w:p w:rsidR="006F163B" w:rsidRPr="006F163B" w:rsidRDefault="006F163B" w:rsidP="006F163B">
      <w:pPr>
        <w:numPr>
          <w:ilvl w:val="0"/>
          <w:numId w:val="9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>TK (lub MRI) jamy brzusznej,</w:t>
      </w:r>
    </w:p>
    <w:p w:rsidR="006F163B" w:rsidRPr="006F163B" w:rsidRDefault="006F163B" w:rsidP="006F163B">
      <w:pPr>
        <w:numPr>
          <w:ilvl w:val="0"/>
          <w:numId w:val="9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>konsultacja okulistyczna i badanie dna oka w lustrze Goldmana.</w:t>
      </w:r>
    </w:p>
    <w:p w:rsidR="006F163B" w:rsidRPr="006F163B" w:rsidRDefault="006F163B" w:rsidP="006F163B">
      <w:p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F163B" w:rsidRPr="006F163B" w:rsidRDefault="006F163B" w:rsidP="006F163B">
      <w:p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Placówki realizujące program zobowiązane są do przestrzegania następujących zasad: </w:t>
      </w:r>
    </w:p>
    <w:p w:rsidR="006F163B" w:rsidRPr="006F163B" w:rsidRDefault="006F163B" w:rsidP="006F163B">
      <w:pPr>
        <w:numPr>
          <w:ilvl w:val="0"/>
          <w:numId w:val="1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informowania biorących udział w projekcie o celach programu,</w:t>
      </w:r>
    </w:p>
    <w:p w:rsidR="006F163B" w:rsidRPr="006F163B" w:rsidRDefault="006F163B" w:rsidP="006F163B">
      <w:pPr>
        <w:numPr>
          <w:ilvl w:val="0"/>
          <w:numId w:val="1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uzyskania świadomej zgody od osoby biorącej udział w programie (druk świadomej zgody zgodnie z załącznikiem nr 8), </w:t>
      </w:r>
    </w:p>
    <w:p w:rsidR="006F163B" w:rsidRPr="006F163B" w:rsidRDefault="006F163B" w:rsidP="006F163B">
      <w:pPr>
        <w:numPr>
          <w:ilvl w:val="0"/>
          <w:numId w:val="1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załączenia zgody do karty pacjenta, w której znajduje się rodowód,</w:t>
      </w:r>
    </w:p>
    <w:p w:rsidR="006F163B" w:rsidRPr="006F163B" w:rsidRDefault="006F163B" w:rsidP="006F163B">
      <w:pPr>
        <w:numPr>
          <w:ilvl w:val="0"/>
          <w:numId w:val="1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>badania genetyczne, finansowane w ramach niniejszego programu muszą być realizowane w laboratoriach posiadających uprawnienia do realizacji takich badań i zarejestrowanych w Krajowej Izbie Diagnostów Laboratoryjnych</w:t>
      </w:r>
    </w:p>
    <w:p w:rsidR="006F163B" w:rsidRPr="006F163B" w:rsidRDefault="006F163B" w:rsidP="006F163B">
      <w:pPr>
        <w:numPr>
          <w:ilvl w:val="0"/>
          <w:numId w:val="1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udzielenia pisemnej i ustnej porady genetycznej przez lekarza specjalistę genetyka klinicznego (lub przez lekarza, który ukończył pierwszy rok specjalizacji z zakresu genetyki klinicznej oraz uzyskał potwierdzenie przez kierownika specjalizacji wiedzy i umiejętności umożliwiających samodzielną pracę w poradni specjalistycznej), każdej osobie biorącej udział w programie</w:t>
      </w:r>
      <w:r w:rsidRPr="006F163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; porada musi zawierać, poza danymi rodowodowymi i onkologicznymi pacjenta/osoby chorej na raka w rodzinie, opis rodowodu, interpretację wyniku badania genetycznego, poradę dla rodziny oraz wskazana powinna być współpracująca placówka onkologiczna, gdzie biorący udział w programie wykona </w:t>
      </w:r>
      <w:r w:rsidRPr="006F163B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 xml:space="preserve">badania profilaktyczne. Porada genetyczna dla nosicieli mutacji musi zostać opracowana przez specjalistę z zakresu genetyki klinicznej. </w:t>
      </w:r>
    </w:p>
    <w:p w:rsidR="006F163B" w:rsidRPr="006F163B" w:rsidRDefault="006F163B" w:rsidP="006F163B">
      <w:pPr>
        <w:numPr>
          <w:ilvl w:val="0"/>
          <w:numId w:val="1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prowadzenia przez lekarza specjalistę genetyka klinicznego lub lekarza specjalistę z zakresu onkologii (lub przez lekarza, który ukończył pierwszy rok specjalizacji z zakresu genetyki klinicznej oraz uzyskał potwierdzenie przez kierownika specjalizacji wiedzy i umiejętności umożliwiających samodzielną pracę w poradni specjalistycznej), karty osoby biorącej udział w programie z wyznaczonymi terminami kontrolnych badań, odnotowywaniem wyników badań.</w:t>
      </w:r>
    </w:p>
    <w:p w:rsidR="006F163B" w:rsidRPr="006F163B" w:rsidRDefault="006F163B" w:rsidP="006F163B">
      <w:p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6F163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Warunki realizacji programu:</w:t>
      </w:r>
    </w:p>
    <w:p w:rsidR="006F163B" w:rsidRPr="006F163B" w:rsidRDefault="006F163B" w:rsidP="006F163B">
      <w:pPr>
        <w:numPr>
          <w:ilvl w:val="0"/>
          <w:numId w:val="2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>diagnostyka dziedzicznych predyspozycji:</w:t>
      </w:r>
    </w:p>
    <w:p w:rsidR="006F163B" w:rsidRPr="006F163B" w:rsidRDefault="006F163B" w:rsidP="006F163B">
      <w:pPr>
        <w:numPr>
          <w:ilvl w:val="1"/>
          <w:numId w:val="2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dostępność do lekarza, specjalisty z zakresu genetyki klinicznej dla osób ze stwierdzona mutacją - w granicach województwa, właściwego dla danej siedziby Realizatora,</w:t>
      </w:r>
    </w:p>
    <w:p w:rsidR="006F163B" w:rsidRPr="006F163B" w:rsidRDefault="006F163B" w:rsidP="006F163B">
      <w:pPr>
        <w:numPr>
          <w:ilvl w:val="1"/>
          <w:numId w:val="2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>czas oczekiwania na konsultację u specjalisty z zakresu genetyki klinicznej i do lekarza, który ukończył pierwszy rok specjalizacji z zakresu genetyki klinicznej oraz uzyskał potwierdzenie przez kierownika specjalizacji wiedzy i umiejętności umożliwiających samodzielną pracę w poradni specjalistycznej, nie dłuższy niż 3 miesiące,</w:t>
      </w:r>
    </w:p>
    <w:p w:rsidR="006F163B" w:rsidRPr="006F163B" w:rsidRDefault="006F163B" w:rsidP="006F163B">
      <w:pPr>
        <w:numPr>
          <w:ilvl w:val="1"/>
          <w:numId w:val="2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dostępu osobom biorącym udział w programie do wszystkich badań genetycznych przewidzianych w programie;</w:t>
      </w:r>
    </w:p>
    <w:p w:rsidR="006F163B" w:rsidRPr="006F163B" w:rsidRDefault="006F163B" w:rsidP="006F163B">
      <w:pPr>
        <w:numPr>
          <w:ilvl w:val="0"/>
          <w:numId w:val="2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>badania kontrolne:</w:t>
      </w:r>
    </w:p>
    <w:p w:rsidR="006F163B" w:rsidRPr="006F163B" w:rsidRDefault="006F163B" w:rsidP="006F163B">
      <w:pPr>
        <w:numPr>
          <w:ilvl w:val="1"/>
          <w:numId w:val="2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dostępność do lekarza specjalisty z zakresu genetyki klinicznej i/lub onkologii (lub do lekarza, który ukończył pierwszy rok specjalizacji oraz uzyskał potwierdzenie przez kierownika specjalizacji wiedzy i umiejętności umożliwiających samodzielną pracę w poradni specjalistycznej) w granicach województwa,</w:t>
      </w:r>
      <w:r w:rsidRPr="006F163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>właściwego dla danej siedziby Realizatora,</w:t>
      </w:r>
    </w:p>
    <w:p w:rsidR="006F163B" w:rsidRPr="006F163B" w:rsidRDefault="006F163B" w:rsidP="006F163B">
      <w:pPr>
        <w:numPr>
          <w:ilvl w:val="1"/>
          <w:numId w:val="2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>czas oczekiwania na pierwszą konsultację i badania u lekarza specjalisty z zakresu genetyki klinicznej i/lub onkologii (lub lekarza, który ukończył pierwszy rok specjalizacji oraz uzyskał potwierdzenie przez kierownika specjalizacji wiedzy i umiejętności umożliwiających samodzielną pracę w poradni specjalistycznej), nie dłuższy niż 3 miesiące,</w:t>
      </w:r>
    </w:p>
    <w:p w:rsidR="006F163B" w:rsidRPr="006F163B" w:rsidRDefault="006F163B" w:rsidP="006F163B">
      <w:pPr>
        <w:numPr>
          <w:ilvl w:val="1"/>
          <w:numId w:val="2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zapewnienie stałej profilaktycznej opieki genetyczno-onkologicznej dla osób o podwyższonym ryzyku zachorowania na </w:t>
      </w:r>
      <w:proofErr w:type="spellStart"/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>na</w:t>
      </w:r>
      <w:proofErr w:type="spellEnd"/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siatkówczaka/ chorobę von </w:t>
      </w:r>
      <w:proofErr w:type="spellStart"/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>Hippel-Lindau</w:t>
      </w:r>
      <w:proofErr w:type="spellEnd"/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(stosownie do zakresu badań mutacji genów o realizację których wnioskuje Oferent), a w tym prowadzenie dokumentacji w zakresie objętym programem,</w:t>
      </w:r>
    </w:p>
    <w:p w:rsidR="006F163B" w:rsidRPr="006F163B" w:rsidRDefault="006F163B" w:rsidP="006F163B">
      <w:pPr>
        <w:numPr>
          <w:ilvl w:val="1"/>
          <w:numId w:val="2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dostępność do kolejnych konsultacji i profilaktycznych badań genetyczno-onkologicznych zgodnie z harmonogramem programu (terminy kolejnych badań muszą być określone w karcie osoby biorącej udział w programie).</w:t>
      </w:r>
    </w:p>
    <w:p w:rsidR="006F163B" w:rsidRPr="006F163B" w:rsidRDefault="006F163B" w:rsidP="006F163B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ar-SA"/>
        </w:rPr>
      </w:pPr>
      <w:r w:rsidRPr="006F163B">
        <w:rPr>
          <w:rFonts w:ascii="Times New Roman" w:eastAsia="Times New Roman" w:hAnsi="Times New Roman" w:cs="Times New Roman"/>
          <w:sz w:val="24"/>
          <w:szCs w:val="24"/>
          <w:lang w:eastAsia="pl-PL"/>
        </w:rPr>
        <w:t>Placówka onkologiczna realizująca program musi być wyposażona w sprzęt do badań przewidzianych w ramach realizacji programu lub musi zapewnić dostępność do takich badań w granicach województwa, właściwego dla danej siedziby Realizatora (nie dotyczy badań genetycznych w przypadku gdy materiał do testu przesyłany jest do podwykonawcy, bez potrzeby kierowania osoby badanej poza teren województwa, właściwego dla danej siedziby Realizatora).</w:t>
      </w:r>
    </w:p>
    <w:p w:rsidR="006B04BD" w:rsidRDefault="006B04BD">
      <w:bookmarkStart w:id="0" w:name="_GoBack"/>
      <w:bookmarkEnd w:id="0"/>
    </w:p>
    <w:sectPr w:rsidR="006B0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262AE"/>
    <w:multiLevelType w:val="hybridMultilevel"/>
    <w:tmpl w:val="D398EFBC"/>
    <w:lvl w:ilvl="0" w:tplc="8148228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</w:rPr>
    </w:lvl>
    <w:lvl w:ilvl="1" w:tplc="61D812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C1B3F"/>
    <w:multiLevelType w:val="hybridMultilevel"/>
    <w:tmpl w:val="94BA50A4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6503AD"/>
    <w:multiLevelType w:val="hybridMultilevel"/>
    <w:tmpl w:val="DE9CBB00"/>
    <w:lvl w:ilvl="0" w:tplc="660E7E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61D812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216284"/>
    <w:multiLevelType w:val="hybridMultilevel"/>
    <w:tmpl w:val="75B89D4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61D812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3F2DE5"/>
    <w:multiLevelType w:val="hybridMultilevel"/>
    <w:tmpl w:val="AAF2BBF4"/>
    <w:lvl w:ilvl="0" w:tplc="5BBAA8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183A5C"/>
    <w:multiLevelType w:val="hybridMultilevel"/>
    <w:tmpl w:val="2954067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61D812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A571E0"/>
    <w:multiLevelType w:val="hybridMultilevel"/>
    <w:tmpl w:val="C53867E0"/>
    <w:lvl w:ilvl="0" w:tplc="660E7E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8148228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7F208B"/>
    <w:multiLevelType w:val="hybridMultilevel"/>
    <w:tmpl w:val="6D32A0E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B7A77BF"/>
    <w:multiLevelType w:val="hybridMultilevel"/>
    <w:tmpl w:val="750853D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5"/>
  </w:num>
  <w:num w:numId="7">
    <w:abstractNumId w:val="3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63B"/>
    <w:rsid w:val="006B04BD"/>
    <w:rsid w:val="006F1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AC38E7-D1D7-46B2-96AA-FA7879DAF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1442</Words>
  <Characters>8657</Characters>
  <Application>Microsoft Office Word</Application>
  <DocSecurity>0</DocSecurity>
  <Lines>72</Lines>
  <Paragraphs>20</Paragraphs>
  <ScaleCrop>false</ScaleCrop>
  <Company>Ministerstwo Zdrowia</Company>
  <LinksUpToDate>false</LinksUpToDate>
  <CharactersWithSpaces>10079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1</cp:revision>
  <dcterms:created xsi:type="dcterms:W3CDTF">2018-04-23T12:24:00Z</dcterms:created>
  <dcterms:modified xsi:type="dcterms:W3CDTF">2018-04-23T12:24:00Z</dcterms:modified>
</cp:coreProperties>
</file>