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D" w:rsidRPr="00CA6774" w:rsidRDefault="0004131D" w:rsidP="0004131D">
      <w:pPr>
        <w:tabs>
          <w:tab w:val="left" w:pos="7371"/>
        </w:tabs>
        <w:spacing w:line="240" w:lineRule="auto"/>
        <w:rPr>
          <w:sz w:val="20"/>
          <w:szCs w:val="20"/>
        </w:rPr>
      </w:pPr>
      <w:bookmarkStart w:id="0" w:name="_GoBack"/>
      <w:bookmarkEnd w:id="0"/>
      <w:r w:rsidRPr="00CA6774">
        <w:rPr>
          <w:noProof/>
          <w:sz w:val="20"/>
          <w:szCs w:val="20"/>
          <w:lang w:eastAsia="pl-PL"/>
        </w:rPr>
        <w:drawing>
          <wp:inline distT="0" distB="0" distL="0" distR="0">
            <wp:extent cx="1609725" cy="514350"/>
            <wp:effectExtent l="0" t="0" r="9525" b="0"/>
            <wp:docPr id="1" name="Obraz 1" descr="MSWiA logo - bez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- bez or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4AC" w:rsidRDefault="0004131D" w:rsidP="005A2524">
      <w:pPr>
        <w:tabs>
          <w:tab w:val="left" w:pos="7371"/>
        </w:tabs>
        <w:spacing w:line="240" w:lineRule="auto"/>
        <w:rPr>
          <w:b/>
          <w:sz w:val="20"/>
          <w:szCs w:val="20"/>
        </w:rPr>
      </w:pPr>
      <w:r w:rsidRPr="0004131D">
        <w:rPr>
          <w:b/>
          <w:sz w:val="20"/>
          <w:szCs w:val="20"/>
        </w:rPr>
        <w:t>Departament Spraw Obywatelskich</w:t>
      </w:r>
      <w:r w:rsidR="003C14AC" w:rsidRPr="003C14AC">
        <w:rPr>
          <w:sz w:val="20"/>
          <w:szCs w:val="20"/>
        </w:rPr>
        <w:t xml:space="preserve"> </w:t>
      </w:r>
      <w:r w:rsidR="003C14AC">
        <w:rPr>
          <w:sz w:val="20"/>
          <w:szCs w:val="20"/>
        </w:rPr>
        <w:t xml:space="preserve">                                                                               </w:t>
      </w:r>
      <w:r w:rsidR="003C14AC" w:rsidRPr="0040091D">
        <w:rPr>
          <w:sz w:val="20"/>
          <w:szCs w:val="20"/>
        </w:rPr>
        <w:t>Warszawa, dnia 4 lipca 2022 r</w:t>
      </w:r>
      <w:r w:rsidR="003C14AC">
        <w:rPr>
          <w:sz w:val="20"/>
          <w:szCs w:val="20"/>
        </w:rPr>
        <w:t>.</w:t>
      </w:r>
      <w:r w:rsidRPr="0004131D">
        <w:rPr>
          <w:b/>
          <w:sz w:val="20"/>
          <w:szCs w:val="20"/>
        </w:rPr>
        <w:tab/>
      </w:r>
    </w:p>
    <w:p w:rsidR="005A2524" w:rsidRPr="005A2524" w:rsidRDefault="0004131D" w:rsidP="005A2524">
      <w:pPr>
        <w:tabs>
          <w:tab w:val="left" w:pos="7371"/>
        </w:tabs>
        <w:spacing w:line="240" w:lineRule="auto"/>
        <w:rPr>
          <w:b/>
          <w:sz w:val="20"/>
          <w:szCs w:val="20"/>
        </w:rPr>
      </w:pPr>
      <w:r w:rsidRPr="0004131D">
        <w:rPr>
          <w:b/>
          <w:sz w:val="20"/>
          <w:szCs w:val="20"/>
        </w:rPr>
        <w:t xml:space="preserve">              </w:t>
      </w:r>
      <w:r w:rsidRPr="0004131D">
        <w:rPr>
          <w:b/>
          <w:sz w:val="28"/>
          <w:szCs w:val="28"/>
        </w:rPr>
        <w:tab/>
      </w:r>
    </w:p>
    <w:p w:rsidR="0004131D" w:rsidRDefault="0004131D" w:rsidP="0004131D">
      <w:pPr>
        <w:spacing w:after="0"/>
        <w:jc w:val="center"/>
        <w:rPr>
          <w:b/>
        </w:rPr>
      </w:pPr>
      <w:r w:rsidRPr="0004131D">
        <w:rPr>
          <w:b/>
        </w:rPr>
        <w:t>Informacja o wynikach kontroli</w:t>
      </w:r>
    </w:p>
    <w:p w:rsidR="003C14AC" w:rsidRPr="0004131D" w:rsidRDefault="003C14AC" w:rsidP="0004131D">
      <w:pPr>
        <w:spacing w:after="0"/>
        <w:jc w:val="center"/>
        <w:rPr>
          <w:b/>
        </w:rPr>
      </w:pPr>
    </w:p>
    <w:p w:rsidR="0004131D" w:rsidRDefault="0004131D" w:rsidP="00DB13A6">
      <w:pPr>
        <w:spacing w:after="120"/>
        <w:contextualSpacing/>
        <w:jc w:val="both"/>
        <w:rPr>
          <w:b/>
        </w:rPr>
      </w:pPr>
      <w:r>
        <w:rPr>
          <w:b/>
        </w:rPr>
        <w:t>na</w:t>
      </w:r>
      <w:r w:rsidRPr="0004131D">
        <w:rPr>
          <w:b/>
        </w:rPr>
        <w:t xml:space="preserve"> temat: </w:t>
      </w:r>
      <w:r w:rsidRPr="003C14AC">
        <w:rPr>
          <w:b/>
          <w:i/>
        </w:rPr>
        <w:t xml:space="preserve">Prawidłowość realizacji przez Wojewodę </w:t>
      </w:r>
      <w:r w:rsidR="00FA60A0" w:rsidRPr="003C14AC">
        <w:rPr>
          <w:b/>
          <w:i/>
        </w:rPr>
        <w:t>Podlaskiego</w:t>
      </w:r>
      <w:r w:rsidRPr="003C14AC">
        <w:rPr>
          <w:b/>
          <w:i/>
        </w:rPr>
        <w:t xml:space="preserve"> zadań związanych z wydawaniem, odmową wydania </w:t>
      </w:r>
      <w:r w:rsidR="00D84C66" w:rsidRPr="003C14AC">
        <w:rPr>
          <w:b/>
          <w:i/>
        </w:rPr>
        <w:t>i</w:t>
      </w:r>
      <w:r w:rsidRPr="003C14AC">
        <w:rPr>
          <w:b/>
          <w:i/>
        </w:rPr>
        <w:t xml:space="preserve"> unieważni</w:t>
      </w:r>
      <w:r w:rsidR="00D84C66" w:rsidRPr="003C14AC">
        <w:rPr>
          <w:b/>
          <w:i/>
        </w:rPr>
        <w:t>aniem paszportów oraz</w:t>
      </w:r>
      <w:r w:rsidRPr="003C14AC">
        <w:rPr>
          <w:b/>
          <w:i/>
        </w:rPr>
        <w:t xml:space="preserve"> paszportów tymczasowych</w:t>
      </w:r>
      <w:r w:rsidR="00D14B59">
        <w:rPr>
          <w:b/>
        </w:rPr>
        <w:t xml:space="preserve"> </w:t>
      </w:r>
      <w:r w:rsidR="003C14AC">
        <w:rPr>
          <w:b/>
        </w:rPr>
        <w:t xml:space="preserve">przeprowadzonej </w:t>
      </w:r>
      <w:r w:rsidR="00D14B59">
        <w:rPr>
          <w:b/>
        </w:rPr>
        <w:t xml:space="preserve">w Wydziale Spraw Obywatelskich i Cudzoziemców w Podlaskiego Urzędu Wojewódzkiego </w:t>
      </w:r>
      <w:r w:rsidR="00BA6241">
        <w:rPr>
          <w:b/>
        </w:rPr>
        <w:br/>
      </w:r>
      <w:r w:rsidR="00D14B59">
        <w:rPr>
          <w:b/>
        </w:rPr>
        <w:t>w Białymstoku</w:t>
      </w:r>
      <w:r>
        <w:rPr>
          <w:b/>
        </w:rPr>
        <w:t>.</w:t>
      </w:r>
    </w:p>
    <w:p w:rsidR="0004131D" w:rsidRDefault="0004131D" w:rsidP="00DB13A6">
      <w:pPr>
        <w:spacing w:after="120"/>
        <w:contextualSpacing/>
        <w:jc w:val="center"/>
        <w:rPr>
          <w:b/>
        </w:rPr>
      </w:pPr>
    </w:p>
    <w:p w:rsidR="0004131D" w:rsidRPr="00B82E65" w:rsidRDefault="0004131D" w:rsidP="00DB13A6">
      <w:pPr>
        <w:pStyle w:val="Akapitzlist"/>
        <w:numPr>
          <w:ilvl w:val="0"/>
          <w:numId w:val="3"/>
        </w:numPr>
        <w:spacing w:after="120"/>
        <w:ind w:left="284" w:hanging="284"/>
        <w:rPr>
          <w:b/>
        </w:rPr>
      </w:pPr>
      <w:r w:rsidRPr="00B82E65">
        <w:rPr>
          <w:b/>
        </w:rPr>
        <w:t>Podstawa prawna</w:t>
      </w:r>
    </w:p>
    <w:p w:rsidR="0004131D" w:rsidRDefault="0004131D" w:rsidP="00DB13A6">
      <w:pPr>
        <w:pStyle w:val="Akapitzlist"/>
        <w:spacing w:after="120"/>
        <w:ind w:left="284"/>
      </w:pPr>
      <w:r>
        <w:t>Czynności kontrolne zostały przeprowadzone na podstawie ustawy z dnia 15 lipca 2011 r. o kontroli w administracji rządowej</w:t>
      </w:r>
      <w:r>
        <w:rPr>
          <w:rStyle w:val="Odwoanieprzypisudolnego"/>
        </w:rPr>
        <w:footnoteReference w:id="1"/>
      </w:r>
      <w:r w:rsidR="007338B1">
        <w:t>.</w:t>
      </w:r>
    </w:p>
    <w:p w:rsidR="003C14AC" w:rsidRDefault="003C14AC" w:rsidP="00DB13A6">
      <w:pPr>
        <w:pStyle w:val="Akapitzlist"/>
        <w:spacing w:after="120"/>
        <w:ind w:left="284" w:hanging="284"/>
      </w:pPr>
    </w:p>
    <w:p w:rsidR="007338B1" w:rsidRPr="00B82E65" w:rsidRDefault="007338B1" w:rsidP="00DB13A6">
      <w:pPr>
        <w:pStyle w:val="Akapitzlist"/>
        <w:numPr>
          <w:ilvl w:val="0"/>
          <w:numId w:val="3"/>
        </w:numPr>
        <w:spacing w:after="120"/>
        <w:ind w:left="284" w:hanging="284"/>
        <w:rPr>
          <w:b/>
        </w:rPr>
      </w:pPr>
      <w:r w:rsidRPr="00B82E65">
        <w:rPr>
          <w:b/>
        </w:rPr>
        <w:t>Tryb kontroli</w:t>
      </w:r>
    </w:p>
    <w:p w:rsidR="007338B1" w:rsidRDefault="007338B1" w:rsidP="00DB13A6">
      <w:pPr>
        <w:pStyle w:val="Akapitzlist"/>
        <w:spacing w:after="120"/>
        <w:ind w:left="284"/>
      </w:pPr>
      <w:r>
        <w:t xml:space="preserve">Kontrola została przeprowadzona przez </w:t>
      </w:r>
      <w:r w:rsidR="008007FB">
        <w:t>Departament Spraw Obywatelskich Ministerstwa Spraw Wewnętrznych i Administracji</w:t>
      </w:r>
      <w:r>
        <w:t xml:space="preserve"> w trybie zwykłym, zgodnie z </w:t>
      </w:r>
      <w:r w:rsidRPr="007338B1">
        <w:rPr>
          <w:i/>
        </w:rPr>
        <w:t>Planem Kontroli Ministerstwa Spraw Wewnętrznych i Administracji na rok 20</w:t>
      </w:r>
      <w:r w:rsidR="0069693B">
        <w:rPr>
          <w:i/>
        </w:rPr>
        <w:t>20</w:t>
      </w:r>
      <w:r>
        <w:t>.</w:t>
      </w:r>
    </w:p>
    <w:p w:rsidR="003C14AC" w:rsidRDefault="003C14AC" w:rsidP="00DB13A6">
      <w:pPr>
        <w:pStyle w:val="Akapitzlist"/>
        <w:spacing w:after="120"/>
        <w:ind w:left="284" w:hanging="284"/>
      </w:pPr>
    </w:p>
    <w:p w:rsidR="007338B1" w:rsidRPr="00B82E65" w:rsidRDefault="007338B1" w:rsidP="00DB13A6">
      <w:pPr>
        <w:pStyle w:val="Akapitzlist"/>
        <w:numPr>
          <w:ilvl w:val="0"/>
          <w:numId w:val="3"/>
        </w:numPr>
        <w:spacing w:after="120"/>
        <w:ind w:left="284" w:hanging="284"/>
        <w:rPr>
          <w:b/>
        </w:rPr>
      </w:pPr>
      <w:r w:rsidRPr="00B82E65">
        <w:rPr>
          <w:b/>
        </w:rPr>
        <w:t>Termin kontroli</w:t>
      </w:r>
    </w:p>
    <w:p w:rsidR="007338B1" w:rsidRDefault="007338B1" w:rsidP="00DB13A6">
      <w:pPr>
        <w:pStyle w:val="Akapitzlist"/>
        <w:spacing w:after="120"/>
        <w:ind w:left="284" w:hanging="284"/>
      </w:pPr>
      <w:r>
        <w:t xml:space="preserve">Od </w:t>
      </w:r>
      <w:r w:rsidR="00DF1C04">
        <w:t>21</w:t>
      </w:r>
      <w:r w:rsidRPr="007338B1">
        <w:t xml:space="preserve"> grudnia 2019 r</w:t>
      </w:r>
      <w:r>
        <w:t>.</w:t>
      </w:r>
      <w:r w:rsidR="0004099A">
        <w:t xml:space="preserve"> do </w:t>
      </w:r>
      <w:r w:rsidR="008007FB">
        <w:t>30 września</w:t>
      </w:r>
      <w:r w:rsidR="0004099A">
        <w:t xml:space="preserve"> 2021 r.</w:t>
      </w:r>
    </w:p>
    <w:p w:rsidR="003C14AC" w:rsidRDefault="003C14AC" w:rsidP="00DB13A6">
      <w:pPr>
        <w:pStyle w:val="Akapitzlist"/>
        <w:spacing w:after="120"/>
        <w:ind w:left="284" w:hanging="284"/>
      </w:pPr>
    </w:p>
    <w:p w:rsidR="007338B1" w:rsidRDefault="007338B1" w:rsidP="00DB13A6">
      <w:pPr>
        <w:pStyle w:val="Akapitzlist"/>
        <w:numPr>
          <w:ilvl w:val="0"/>
          <w:numId w:val="3"/>
        </w:numPr>
        <w:spacing w:after="120"/>
        <w:ind w:left="284" w:hanging="284"/>
        <w:rPr>
          <w:b/>
        </w:rPr>
      </w:pPr>
      <w:r w:rsidRPr="00B82E65">
        <w:rPr>
          <w:b/>
        </w:rPr>
        <w:t>Zakres kontroli obejmował następujące zagadnienia</w:t>
      </w:r>
      <w:r w:rsidR="00B82E65">
        <w:rPr>
          <w:b/>
        </w:rPr>
        <w:t>:</w:t>
      </w:r>
    </w:p>
    <w:p w:rsidR="00FF0CD9" w:rsidRPr="00FF0CD9" w:rsidRDefault="00FF0CD9" w:rsidP="00DB13A6">
      <w:pPr>
        <w:pStyle w:val="Akapitzlist"/>
        <w:numPr>
          <w:ilvl w:val="1"/>
          <w:numId w:val="3"/>
        </w:numPr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FF0CD9">
        <w:rPr>
          <w:rFonts w:asciiTheme="minorHAnsi" w:hAnsiTheme="minorHAnsi" w:cstheme="minorHAnsi"/>
        </w:rPr>
        <w:t xml:space="preserve">prawidłowość prowadzenia postępowań administracyjnych </w:t>
      </w:r>
      <w:r w:rsidR="00F118DA">
        <w:rPr>
          <w:rFonts w:asciiTheme="minorHAnsi" w:hAnsiTheme="minorHAnsi" w:cstheme="minorHAnsi"/>
        </w:rPr>
        <w:t>z zakresu</w:t>
      </w:r>
      <w:r w:rsidRPr="00FF0CD9">
        <w:rPr>
          <w:rFonts w:asciiTheme="minorHAnsi" w:hAnsiTheme="minorHAnsi" w:cstheme="minorHAnsi"/>
        </w:rPr>
        <w:t xml:space="preserve"> unieważni</w:t>
      </w:r>
      <w:r w:rsidR="00F118DA">
        <w:rPr>
          <w:rFonts w:asciiTheme="minorHAnsi" w:hAnsiTheme="minorHAnsi" w:cstheme="minorHAnsi"/>
        </w:rPr>
        <w:t>a</w:t>
      </w:r>
      <w:r w:rsidRPr="00FF0CD9">
        <w:rPr>
          <w:rFonts w:asciiTheme="minorHAnsi" w:hAnsiTheme="minorHAnsi" w:cstheme="minorHAnsi"/>
        </w:rPr>
        <w:t>ni</w:t>
      </w:r>
      <w:r w:rsidR="00F118DA">
        <w:rPr>
          <w:rFonts w:asciiTheme="minorHAnsi" w:hAnsiTheme="minorHAnsi" w:cstheme="minorHAnsi"/>
        </w:rPr>
        <w:t>a</w:t>
      </w:r>
      <w:r w:rsidRPr="00FF0CD9">
        <w:rPr>
          <w:rFonts w:asciiTheme="minorHAnsi" w:hAnsiTheme="minorHAnsi" w:cstheme="minorHAnsi"/>
        </w:rPr>
        <w:t xml:space="preserve"> dokumentu paszportowego lub odmow</w:t>
      </w:r>
      <w:r w:rsidR="00F118DA">
        <w:rPr>
          <w:rFonts w:asciiTheme="minorHAnsi" w:hAnsiTheme="minorHAnsi" w:cstheme="minorHAnsi"/>
        </w:rPr>
        <w:t>y</w:t>
      </w:r>
      <w:r w:rsidRPr="00FF0CD9">
        <w:rPr>
          <w:rFonts w:asciiTheme="minorHAnsi" w:hAnsiTheme="minorHAnsi" w:cstheme="minorHAnsi"/>
        </w:rPr>
        <w:t xml:space="preserve"> jego wydania;</w:t>
      </w:r>
    </w:p>
    <w:p w:rsidR="00F810FF" w:rsidRDefault="00BA6241" w:rsidP="00DB13A6">
      <w:pPr>
        <w:numPr>
          <w:ilvl w:val="1"/>
          <w:numId w:val="3"/>
        </w:numPr>
        <w:spacing w:after="120"/>
        <w:ind w:left="567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prawidłowość i terminowość</w:t>
      </w:r>
      <w:r w:rsidR="00F810FF" w:rsidRPr="00C4435E">
        <w:rPr>
          <w:rFonts w:asciiTheme="minorHAnsi" w:hAnsiTheme="minorHAnsi" w:cstheme="minorHAnsi"/>
        </w:rPr>
        <w:t xml:space="preserve"> wprowadzania do ewidencji paszportowej informacji </w:t>
      </w:r>
      <w:r w:rsidR="00F810FF" w:rsidRPr="00C4435E">
        <w:rPr>
          <w:rFonts w:asciiTheme="minorHAnsi" w:hAnsiTheme="minorHAnsi" w:cstheme="minorHAnsi"/>
        </w:rPr>
        <w:br/>
        <w:t>o kierowanych przez uprawnione organy środkach ograniczających prawo obywatela do posiadania paszportu</w:t>
      </w:r>
      <w:r w:rsidR="00F810FF">
        <w:rPr>
          <w:rFonts w:asciiTheme="minorHAnsi" w:hAnsiTheme="minorHAnsi" w:cstheme="minorHAnsi"/>
        </w:rPr>
        <w:t>;</w:t>
      </w:r>
    </w:p>
    <w:p w:rsidR="00FF0CD9" w:rsidRPr="00C20F1F" w:rsidRDefault="00F810FF" w:rsidP="00DB13A6">
      <w:pPr>
        <w:numPr>
          <w:ilvl w:val="1"/>
          <w:numId w:val="3"/>
        </w:numPr>
        <w:spacing w:after="120"/>
        <w:ind w:left="567" w:hanging="283"/>
        <w:contextualSpacing/>
        <w:jc w:val="both"/>
        <w:rPr>
          <w:rFonts w:asciiTheme="minorHAnsi" w:hAnsiTheme="minorHAnsi" w:cstheme="minorHAnsi"/>
        </w:rPr>
      </w:pPr>
      <w:r w:rsidRPr="00C4435E">
        <w:rPr>
          <w:rFonts w:asciiTheme="minorHAnsi" w:hAnsiTheme="minorHAnsi" w:cstheme="minorHAnsi"/>
        </w:rPr>
        <w:t xml:space="preserve">ocena zgodności z przepisami prawa materialnego wydawanych przez Wojewodę </w:t>
      </w:r>
      <w:r w:rsidR="00E305A1">
        <w:rPr>
          <w:rFonts w:asciiTheme="minorHAnsi" w:hAnsiTheme="minorHAnsi" w:cstheme="minorHAnsi"/>
        </w:rPr>
        <w:t>Podlaskiego</w:t>
      </w:r>
      <w:r w:rsidRPr="00C4435E">
        <w:rPr>
          <w:rFonts w:asciiTheme="minorHAnsi" w:hAnsiTheme="minorHAnsi" w:cstheme="minorHAnsi"/>
        </w:rPr>
        <w:t xml:space="preserve"> paszportów tymczasowych</w:t>
      </w:r>
      <w:r w:rsidR="00FF0CD9" w:rsidRPr="00C20F1F">
        <w:rPr>
          <w:rFonts w:asciiTheme="minorHAnsi" w:hAnsiTheme="minorHAnsi" w:cstheme="minorHAnsi"/>
          <w:iCs/>
        </w:rPr>
        <w:t>.</w:t>
      </w:r>
    </w:p>
    <w:p w:rsidR="006219BD" w:rsidRDefault="006219BD" w:rsidP="00DB13A6">
      <w:pPr>
        <w:pStyle w:val="Akapitzlist"/>
        <w:spacing w:after="120"/>
        <w:ind w:left="1440"/>
        <w:jc w:val="both"/>
        <w:rPr>
          <w:rFonts w:asciiTheme="minorHAnsi" w:hAnsiTheme="minorHAnsi" w:cstheme="minorHAnsi"/>
          <w:iCs/>
        </w:rPr>
      </w:pPr>
    </w:p>
    <w:p w:rsidR="006219BD" w:rsidRDefault="006219BD" w:rsidP="00DB13A6">
      <w:pPr>
        <w:pStyle w:val="Akapitzlist"/>
        <w:numPr>
          <w:ilvl w:val="0"/>
          <w:numId w:val="3"/>
        </w:numPr>
        <w:spacing w:after="120"/>
        <w:ind w:left="284" w:hanging="284"/>
        <w:rPr>
          <w:rFonts w:asciiTheme="minorHAnsi" w:hAnsiTheme="minorHAnsi" w:cstheme="minorHAnsi"/>
          <w:b/>
          <w:iCs/>
        </w:rPr>
      </w:pPr>
      <w:r w:rsidRPr="00F118DA">
        <w:rPr>
          <w:rFonts w:asciiTheme="minorHAnsi" w:hAnsiTheme="minorHAnsi" w:cstheme="minorHAnsi"/>
          <w:b/>
          <w:iCs/>
        </w:rPr>
        <w:t>Kontrolą został objęty okres</w:t>
      </w:r>
      <w:r w:rsidRPr="006219BD">
        <w:rPr>
          <w:rFonts w:asciiTheme="minorHAnsi" w:hAnsiTheme="minorHAnsi" w:cstheme="minorHAnsi"/>
          <w:iCs/>
        </w:rPr>
        <w:t xml:space="preserve"> od 1 stycznia </w:t>
      </w:r>
      <w:r w:rsidR="0004099A">
        <w:rPr>
          <w:rFonts w:asciiTheme="minorHAnsi" w:hAnsiTheme="minorHAnsi" w:cstheme="minorHAnsi"/>
          <w:iCs/>
        </w:rPr>
        <w:t>do 31</w:t>
      </w:r>
      <w:r w:rsidRPr="006219BD">
        <w:rPr>
          <w:rFonts w:asciiTheme="minorHAnsi" w:hAnsiTheme="minorHAnsi" w:cstheme="minorHAnsi"/>
          <w:iCs/>
        </w:rPr>
        <w:t xml:space="preserve"> grudnia 20</w:t>
      </w:r>
      <w:r w:rsidR="00580D89">
        <w:rPr>
          <w:rFonts w:asciiTheme="minorHAnsi" w:hAnsiTheme="minorHAnsi" w:cstheme="minorHAnsi"/>
          <w:iCs/>
        </w:rPr>
        <w:t>19</w:t>
      </w:r>
      <w:r w:rsidRPr="006219BD">
        <w:rPr>
          <w:rFonts w:asciiTheme="minorHAnsi" w:hAnsiTheme="minorHAnsi" w:cstheme="minorHAnsi"/>
          <w:iCs/>
        </w:rPr>
        <w:t xml:space="preserve"> r.</w:t>
      </w:r>
      <w:r>
        <w:rPr>
          <w:rStyle w:val="Odwoanieprzypisudolnego"/>
          <w:rFonts w:asciiTheme="minorHAnsi" w:hAnsiTheme="minorHAnsi" w:cstheme="minorHAnsi"/>
          <w:iCs/>
        </w:rPr>
        <w:footnoteReference w:id="2"/>
      </w:r>
      <w:r w:rsidRPr="006219BD">
        <w:rPr>
          <w:rFonts w:asciiTheme="minorHAnsi" w:hAnsiTheme="minorHAnsi" w:cstheme="minorHAnsi"/>
          <w:iCs/>
        </w:rPr>
        <w:t>.</w:t>
      </w:r>
      <w:r w:rsidRPr="006219BD">
        <w:rPr>
          <w:rFonts w:asciiTheme="minorHAnsi" w:hAnsiTheme="minorHAnsi" w:cstheme="minorHAnsi"/>
          <w:b/>
          <w:iCs/>
        </w:rPr>
        <w:t xml:space="preserve"> </w:t>
      </w:r>
    </w:p>
    <w:p w:rsidR="00AC517D" w:rsidRPr="006219BD" w:rsidRDefault="00AC517D" w:rsidP="00DB13A6">
      <w:pPr>
        <w:pStyle w:val="Akapitzlist"/>
        <w:spacing w:after="120"/>
        <w:ind w:left="284" w:hanging="284"/>
        <w:rPr>
          <w:rFonts w:asciiTheme="minorHAnsi" w:hAnsiTheme="minorHAnsi" w:cstheme="minorHAnsi"/>
          <w:b/>
          <w:iCs/>
        </w:rPr>
      </w:pPr>
    </w:p>
    <w:p w:rsidR="006219BD" w:rsidRDefault="00797674" w:rsidP="00DB13A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b/>
          <w:iCs/>
        </w:rPr>
      </w:pPr>
      <w:r w:rsidRPr="00797674">
        <w:rPr>
          <w:rFonts w:asciiTheme="minorHAnsi" w:hAnsiTheme="minorHAnsi" w:cstheme="minorHAnsi"/>
          <w:b/>
          <w:iCs/>
        </w:rPr>
        <w:t>Ustalenia kontroli – ocena kontrolowanej działalności</w:t>
      </w:r>
    </w:p>
    <w:p w:rsidR="0070157E" w:rsidRPr="00C4435E" w:rsidRDefault="0070157E" w:rsidP="00DB13A6">
      <w:pPr>
        <w:spacing w:after="120"/>
        <w:ind w:left="284"/>
        <w:contextualSpacing/>
        <w:jc w:val="both"/>
        <w:rPr>
          <w:rFonts w:asciiTheme="minorHAnsi" w:hAnsiTheme="minorHAnsi" w:cstheme="minorHAnsi"/>
          <w:color w:val="0070C0"/>
        </w:rPr>
      </w:pPr>
      <w:r w:rsidRPr="00C4435E">
        <w:rPr>
          <w:rFonts w:asciiTheme="minorHAnsi" w:hAnsiTheme="minorHAnsi" w:cstheme="minorHAnsi"/>
        </w:rPr>
        <w:t xml:space="preserve">Realizację przez Wojewodę </w:t>
      </w:r>
      <w:r w:rsidR="00762ED8">
        <w:rPr>
          <w:rFonts w:asciiTheme="minorHAnsi" w:hAnsiTheme="minorHAnsi" w:cstheme="minorHAnsi"/>
        </w:rPr>
        <w:t>Podlaskiego</w:t>
      </w:r>
      <w:r w:rsidRPr="00C4435E">
        <w:rPr>
          <w:rFonts w:asciiTheme="minorHAnsi" w:hAnsiTheme="minorHAnsi" w:cstheme="minorHAnsi"/>
        </w:rPr>
        <w:t xml:space="preserve"> zadań związanych z prowadzeniem spraw paszportowych </w:t>
      </w:r>
      <w:r w:rsidRPr="00C4435E">
        <w:rPr>
          <w:rFonts w:asciiTheme="minorHAnsi" w:hAnsiTheme="minorHAnsi" w:cstheme="minorHAnsi"/>
        </w:rPr>
        <w:br/>
        <w:t xml:space="preserve">w zakresie objętym kontrolą oceniono </w:t>
      </w:r>
      <w:r w:rsidR="00762ED8" w:rsidRPr="00FB0036">
        <w:rPr>
          <w:rFonts w:asciiTheme="minorHAnsi" w:hAnsiTheme="minorHAnsi" w:cs="Arial"/>
          <w:b/>
        </w:rPr>
        <w:t>pozytywnie mimo nieprawidłowości</w:t>
      </w:r>
      <w:r w:rsidRPr="0070157E">
        <w:rPr>
          <w:rFonts w:asciiTheme="minorHAnsi" w:hAnsiTheme="minorHAnsi" w:cstheme="minorHAnsi"/>
        </w:rPr>
        <w:t>.</w:t>
      </w:r>
      <w:r w:rsidRPr="0070157E">
        <w:rPr>
          <w:rFonts w:asciiTheme="minorHAnsi" w:hAnsiTheme="minorHAnsi" w:cstheme="minorHAnsi"/>
          <w:color w:val="0070C0"/>
        </w:rPr>
        <w:t xml:space="preserve"> </w:t>
      </w:r>
    </w:p>
    <w:p w:rsidR="004325C2" w:rsidRDefault="004325C2" w:rsidP="00DB13A6">
      <w:pPr>
        <w:spacing w:after="120"/>
        <w:ind w:left="284"/>
        <w:contextualSpacing/>
        <w:jc w:val="both"/>
        <w:rPr>
          <w:rFonts w:asciiTheme="minorHAnsi" w:hAnsiTheme="minorHAnsi" w:cs="Arial"/>
        </w:rPr>
      </w:pPr>
      <w:r w:rsidRPr="006E630C">
        <w:rPr>
          <w:rFonts w:asciiTheme="minorHAnsi" w:hAnsiTheme="minorHAnsi" w:cs="Arial"/>
        </w:rPr>
        <w:lastRenderedPageBreak/>
        <w:t xml:space="preserve">Wojewoda Podlaski w kontrolowanym okresie zapewniał bieżącą obsługę spraw paszportowych </w:t>
      </w:r>
      <w:r w:rsidRPr="006E630C">
        <w:rPr>
          <w:rFonts w:asciiTheme="minorHAnsi" w:hAnsiTheme="minorHAnsi" w:cs="Arial"/>
        </w:rPr>
        <w:br/>
        <w:t>w zakresie przyjmowania i wydawania dokumentów paszportowych.</w:t>
      </w:r>
      <w:r>
        <w:rPr>
          <w:rFonts w:asciiTheme="minorHAnsi" w:hAnsiTheme="minorHAnsi" w:cs="Arial"/>
        </w:rPr>
        <w:t xml:space="preserve"> </w:t>
      </w:r>
    </w:p>
    <w:p w:rsidR="004325C2" w:rsidRDefault="0070157E" w:rsidP="00DB13A6">
      <w:pPr>
        <w:spacing w:after="120"/>
        <w:ind w:left="284"/>
        <w:contextualSpacing/>
        <w:jc w:val="both"/>
        <w:rPr>
          <w:rFonts w:asciiTheme="minorHAnsi" w:hAnsiTheme="minorHAnsi" w:cstheme="minorHAnsi"/>
        </w:rPr>
      </w:pPr>
      <w:r w:rsidRPr="00C4435E">
        <w:rPr>
          <w:rFonts w:asciiTheme="minorHAnsi" w:hAnsiTheme="minorHAnsi" w:cstheme="minorHAnsi"/>
        </w:rPr>
        <w:t xml:space="preserve">Wojewoda </w:t>
      </w:r>
      <w:r w:rsidR="004325C2">
        <w:rPr>
          <w:rFonts w:asciiTheme="minorHAnsi" w:hAnsiTheme="minorHAnsi" w:cstheme="minorHAnsi"/>
        </w:rPr>
        <w:t xml:space="preserve">Podlaski </w:t>
      </w:r>
      <w:r w:rsidRPr="00C4435E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sposób terminowy </w:t>
      </w:r>
      <w:r w:rsidR="004325C2">
        <w:rPr>
          <w:rFonts w:asciiTheme="minorHAnsi" w:hAnsiTheme="minorHAnsi" w:cstheme="minorHAnsi"/>
        </w:rPr>
        <w:t xml:space="preserve">realizował </w:t>
      </w:r>
      <w:r>
        <w:rPr>
          <w:rFonts w:asciiTheme="minorHAnsi" w:hAnsiTheme="minorHAnsi" w:cstheme="minorHAnsi"/>
        </w:rPr>
        <w:t>–</w:t>
      </w:r>
      <w:r w:rsidRPr="00C4435E">
        <w:rPr>
          <w:rFonts w:asciiTheme="minorHAnsi" w:hAnsiTheme="minorHAnsi" w:cstheme="minorHAnsi"/>
        </w:rPr>
        <w:t xml:space="preserve"> uregulowan</w:t>
      </w:r>
      <w:r w:rsidR="004325C2">
        <w:rPr>
          <w:rFonts w:asciiTheme="minorHAnsi" w:hAnsiTheme="minorHAnsi" w:cstheme="minorHAnsi"/>
        </w:rPr>
        <w:t>y</w:t>
      </w:r>
      <w:r w:rsidRPr="00C4435E">
        <w:rPr>
          <w:rFonts w:asciiTheme="minorHAnsi" w:hAnsiTheme="minorHAnsi" w:cstheme="minorHAnsi"/>
        </w:rPr>
        <w:t xml:space="preserve"> w § 10 i § 11 </w:t>
      </w:r>
      <w:r w:rsidRPr="00C4435E">
        <w:rPr>
          <w:rFonts w:asciiTheme="minorHAnsi" w:hAnsiTheme="minorHAnsi" w:cstheme="minorHAnsi"/>
          <w:i/>
        </w:rPr>
        <w:t xml:space="preserve">rozporządzenia </w:t>
      </w:r>
      <w:r w:rsidR="003C14AC">
        <w:rPr>
          <w:rFonts w:asciiTheme="minorHAnsi" w:hAnsiTheme="minorHAnsi" w:cstheme="minorHAnsi"/>
          <w:i/>
        </w:rPr>
        <w:br/>
      </w:r>
      <w:r w:rsidRPr="00C4435E">
        <w:rPr>
          <w:rFonts w:asciiTheme="minorHAnsi" w:hAnsiTheme="minorHAnsi" w:cstheme="minorHAnsi"/>
          <w:i/>
        </w:rPr>
        <w:t>w sprawie ewidencji paszportowych i centralnej ewidencji</w:t>
      </w:r>
      <w:r w:rsidR="00F118DA"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C4435E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</w:rPr>
        <w:t xml:space="preserve"> obowiąz</w:t>
      </w:r>
      <w:r w:rsidRPr="00C4435E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u</w:t>
      </w:r>
      <w:r w:rsidRPr="00C4435E">
        <w:rPr>
          <w:rFonts w:asciiTheme="minorHAnsi" w:hAnsiTheme="minorHAnsi" w:cstheme="minorHAnsi"/>
        </w:rPr>
        <w:t xml:space="preserve"> niezwłocznego, najpóźniej </w:t>
      </w:r>
      <w:r w:rsidR="003C14AC">
        <w:rPr>
          <w:rFonts w:asciiTheme="minorHAnsi" w:hAnsiTheme="minorHAnsi" w:cstheme="minorHAnsi"/>
        </w:rPr>
        <w:br/>
      </w:r>
      <w:r w:rsidRPr="00C4435E">
        <w:rPr>
          <w:rFonts w:asciiTheme="minorHAnsi" w:hAnsiTheme="minorHAnsi" w:cstheme="minorHAnsi"/>
        </w:rPr>
        <w:t>w następnym dniu roboczym</w:t>
      </w:r>
      <w:r>
        <w:rPr>
          <w:rFonts w:asciiTheme="minorHAnsi" w:hAnsiTheme="minorHAnsi" w:cstheme="minorHAnsi"/>
        </w:rPr>
        <w:t>,</w:t>
      </w:r>
      <w:r w:rsidRPr="00C4435E">
        <w:rPr>
          <w:rFonts w:asciiTheme="minorHAnsi" w:hAnsiTheme="minorHAnsi" w:cstheme="minorHAnsi"/>
        </w:rPr>
        <w:t xml:space="preserve"> wprowadzania do ewidencji paszportowej informacji </w:t>
      </w:r>
      <w:r>
        <w:rPr>
          <w:rFonts w:asciiTheme="minorHAnsi" w:hAnsiTheme="minorHAnsi" w:cstheme="minorHAnsi"/>
        </w:rPr>
        <w:br/>
      </w:r>
      <w:r w:rsidRPr="00C4435E">
        <w:rPr>
          <w:rFonts w:asciiTheme="minorHAnsi" w:hAnsiTheme="minorHAnsi" w:cstheme="minorHAnsi"/>
        </w:rPr>
        <w:t xml:space="preserve">o kierowanych, przez uprawnione organy, środkach ograniczających prawo obywatela do posiadania paszportu. </w:t>
      </w:r>
    </w:p>
    <w:p w:rsidR="003C14AC" w:rsidRPr="003C14AC" w:rsidRDefault="003C14AC" w:rsidP="00DB13A6">
      <w:pPr>
        <w:spacing w:after="120"/>
        <w:ind w:left="284"/>
        <w:contextualSpacing/>
        <w:jc w:val="both"/>
        <w:rPr>
          <w:rFonts w:asciiTheme="minorHAnsi" w:eastAsia="Times New Roman" w:hAnsiTheme="minorHAnsi"/>
          <w:lang w:eastAsia="pl-PL"/>
        </w:rPr>
      </w:pPr>
      <w:r w:rsidRPr="003C14AC">
        <w:rPr>
          <w:rFonts w:asciiTheme="minorHAnsi" w:eastAsia="Times New Roman" w:hAnsiTheme="minorHAnsi"/>
          <w:color w:val="000000" w:themeColor="text1"/>
          <w:lang w:eastAsia="pl-PL"/>
        </w:rPr>
        <w:t>Sprawy związane z wydawaniem paszportów tymczasowych prowadził</w:t>
      </w:r>
      <w:r w:rsidRPr="003C14A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w sposób zgodny </w:t>
      </w:r>
      <w:r w:rsidR="00DB13A6">
        <w:rPr>
          <w:rFonts w:asciiTheme="minorHAnsi" w:eastAsia="Times New Roman" w:hAnsiTheme="minorHAnsi" w:cs="Arial"/>
          <w:color w:val="000000" w:themeColor="text1"/>
          <w:lang w:eastAsia="pl-PL"/>
        </w:rPr>
        <w:br/>
      </w:r>
      <w:r w:rsidRPr="003C14AC">
        <w:rPr>
          <w:rFonts w:asciiTheme="minorHAnsi" w:eastAsia="Times New Roman" w:hAnsiTheme="minorHAnsi" w:cs="Arial"/>
          <w:color w:val="000000" w:themeColor="text1"/>
          <w:lang w:eastAsia="pl-PL"/>
        </w:rPr>
        <w:t>z materialnym prawem paszportowym</w:t>
      </w:r>
      <w:r w:rsidRPr="003C14AC">
        <w:rPr>
          <w:rFonts w:asciiTheme="minorHAnsi" w:eastAsia="Times New Roman" w:hAnsiTheme="minorHAnsi"/>
          <w:color w:val="000000" w:themeColor="text1"/>
          <w:lang w:eastAsia="pl-PL"/>
        </w:rPr>
        <w:t xml:space="preserve">. Stwierdzone w toku kontroli uchybienia w powyższym zakresie miały charakter incydentalny. Również </w:t>
      </w:r>
      <w:r w:rsidRPr="003C14AC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sposób potwierdzania </w:t>
      </w:r>
      <w:r w:rsidRPr="003C14AC">
        <w:rPr>
          <w:rFonts w:asciiTheme="minorHAnsi" w:hAnsiTheme="minorHAnsi" w:cs="A"/>
          <w:color w:val="000000" w:themeColor="text1"/>
          <w:lang w:eastAsia="pl-PL"/>
        </w:rPr>
        <w:t xml:space="preserve">tożsamości i obywatelstwa osób wnioskujących o wydanie paszportu tymczasowego był zgodny z § 4 pkt 1-3 rozporządzenia </w:t>
      </w:r>
      <w:r w:rsidRPr="003C14AC">
        <w:rPr>
          <w:rFonts w:asciiTheme="minorHAnsi" w:hAnsiTheme="minorHAnsi" w:cs="A"/>
          <w:color w:val="000000" w:themeColor="text1"/>
          <w:lang w:eastAsia="pl-PL"/>
        </w:rPr>
        <w:br/>
      </w:r>
      <w:r w:rsidRPr="003C14AC">
        <w:rPr>
          <w:rFonts w:asciiTheme="minorHAnsi" w:hAnsiTheme="minorHAnsi" w:cs="A"/>
          <w:i/>
          <w:color w:val="000000" w:themeColor="text1"/>
          <w:lang w:eastAsia="pl-PL"/>
        </w:rPr>
        <w:t>w sprawie dokumentów paszportowych</w:t>
      </w:r>
      <w:r w:rsidRPr="003C14AC">
        <w:rPr>
          <w:rFonts w:asciiTheme="minorHAnsi" w:hAnsiTheme="minorHAnsi" w:cs="A"/>
          <w:color w:val="000000" w:themeColor="text1"/>
          <w:lang w:eastAsia="pl-PL"/>
        </w:rPr>
        <w:t>, a st</w:t>
      </w:r>
      <w:r w:rsidRPr="003C14AC">
        <w:rPr>
          <w:rFonts w:asciiTheme="minorHAnsi" w:eastAsia="Times New Roman" w:hAnsiTheme="minorHAnsi"/>
          <w:color w:val="000000" w:themeColor="text1"/>
          <w:lang w:eastAsia="pl-PL"/>
        </w:rPr>
        <w:t>wierdzone w toku kontroli uchybienia nie miały charakteru powtarzalnego.</w:t>
      </w:r>
      <w:r w:rsidRPr="003C14AC">
        <w:rPr>
          <w:rFonts w:asciiTheme="minorHAnsi" w:eastAsia="Times New Roman" w:hAnsiTheme="minorHAnsi"/>
          <w:color w:val="C00000"/>
          <w:lang w:eastAsia="pl-PL"/>
        </w:rPr>
        <w:t xml:space="preserve"> </w:t>
      </w:r>
      <w:r w:rsidRPr="003C14AC">
        <w:rPr>
          <w:rFonts w:asciiTheme="minorHAnsi" w:eastAsia="Times New Roman" w:hAnsiTheme="minorHAnsi"/>
          <w:lang w:eastAsia="pl-PL"/>
        </w:rPr>
        <w:t>Organ paszportowy nie realizował natomiast</w:t>
      </w:r>
      <w:r w:rsidRPr="003C14AC">
        <w:rPr>
          <w:rFonts w:asciiTheme="minorHAnsi" w:hAnsiTheme="minorHAnsi" w:cs="A"/>
          <w:lang w:eastAsia="pl-PL"/>
        </w:rPr>
        <w:t xml:space="preserve"> dyspozycji § 4 pkt </w:t>
      </w:r>
      <w:r w:rsidR="00DB13A6">
        <w:rPr>
          <w:rFonts w:asciiTheme="minorHAnsi" w:hAnsiTheme="minorHAnsi" w:cs="A"/>
          <w:lang w:eastAsia="pl-PL"/>
        </w:rPr>
        <w:br/>
      </w:r>
      <w:r w:rsidRPr="003C14AC">
        <w:rPr>
          <w:rFonts w:asciiTheme="minorHAnsi" w:hAnsiTheme="minorHAnsi" w:cs="A"/>
          <w:i/>
          <w:lang w:eastAsia="pl-PL"/>
        </w:rPr>
        <w:t xml:space="preserve">4 </w:t>
      </w:r>
      <w:r w:rsidRPr="003C14AC">
        <w:rPr>
          <w:rFonts w:asciiTheme="minorHAnsi" w:hAnsiTheme="minorHAnsi" w:cs="A"/>
          <w:lang w:eastAsia="pl-PL"/>
        </w:rPr>
        <w:t>rozporządzenia</w:t>
      </w:r>
      <w:r w:rsidRPr="003C14AC">
        <w:rPr>
          <w:rFonts w:asciiTheme="minorHAnsi" w:hAnsiTheme="minorHAnsi" w:cs="A"/>
          <w:i/>
          <w:lang w:eastAsia="pl-PL"/>
        </w:rPr>
        <w:t xml:space="preserve"> w sprawie dokumentów paszportowych, </w:t>
      </w:r>
      <w:r w:rsidRPr="003C14AC">
        <w:rPr>
          <w:rFonts w:asciiTheme="minorHAnsi" w:hAnsiTheme="minorHAnsi" w:cs="A"/>
          <w:lang w:eastAsia="pl-PL"/>
        </w:rPr>
        <w:t>zgodnie z którą „organ paszportowy we wniosku o wydanie paszportu albo paszportu tymczasowego odnotowuje sposób potwierdzenia danych”.</w:t>
      </w:r>
      <w:r w:rsidRPr="003C14AC">
        <w:rPr>
          <w:rFonts w:asciiTheme="minorHAnsi" w:eastAsia="Times New Roman" w:hAnsiTheme="minorHAnsi"/>
          <w:lang w:eastAsia="pl-PL"/>
        </w:rPr>
        <w:t xml:space="preserve"> Za prawidłowe natomiast należy uznać ustalanie terminu ważności paszportu tymczasowego w sposób uwzględniający indywidulane okoliczności związane z wydaniem dokumentu tymczasowego. </w:t>
      </w:r>
    </w:p>
    <w:p w:rsidR="00AE6509" w:rsidRDefault="00AE6509" w:rsidP="00DB13A6">
      <w:pPr>
        <w:spacing w:after="120"/>
        <w:ind w:left="284"/>
        <w:contextualSpacing/>
        <w:jc w:val="both"/>
        <w:rPr>
          <w:rFonts w:asciiTheme="minorHAnsi" w:hAnsiTheme="minorHAnsi" w:cs="Arial"/>
        </w:rPr>
      </w:pPr>
      <w:r w:rsidRPr="00CD2DAD">
        <w:rPr>
          <w:rFonts w:asciiTheme="minorHAnsi" w:hAnsiTheme="minorHAnsi" w:cstheme="minorHAnsi"/>
          <w:color w:val="000000" w:themeColor="text1"/>
        </w:rPr>
        <w:t>Podmiot kontrolowany bez zbędnej zwłoki podejmował czynności w toku prowadzonych postępowań administracyjnych i zgodnie z dyspozycją art. 36 Kodeksu postępowania administracyjnego</w:t>
      </w:r>
      <w:r w:rsidRPr="00CD2DAD">
        <w:rPr>
          <w:rStyle w:val="Odwoanieprzypisudolnego"/>
          <w:rFonts w:asciiTheme="minorHAnsi" w:hAnsiTheme="minorHAnsi" w:cstheme="minorHAnsi"/>
          <w:i/>
          <w:color w:val="000000" w:themeColor="text1"/>
        </w:rPr>
        <w:footnoteReference w:id="4"/>
      </w:r>
      <w:r w:rsidRPr="00CD2DAD">
        <w:rPr>
          <w:rFonts w:asciiTheme="minorHAnsi" w:hAnsiTheme="minorHAnsi" w:cstheme="minorHAnsi"/>
          <w:i/>
          <w:color w:val="000000" w:themeColor="text1"/>
        </w:rPr>
        <w:t>,</w:t>
      </w:r>
      <w:r w:rsidRPr="00CD2DAD">
        <w:rPr>
          <w:rFonts w:asciiTheme="minorHAnsi" w:hAnsiTheme="minorHAnsi" w:cstheme="minorHAnsi"/>
          <w:color w:val="000000" w:themeColor="text1"/>
        </w:rPr>
        <w:t xml:space="preserve"> zawiadamiał strony o niezałatwieniu sprawy w terminie określonym w art. 35 k.p.a. W sprawach z zakresu unieważniania dokumentu paszportowego, zapewniał stronom czynny udział w postępowaniu administracyjnym.</w:t>
      </w:r>
      <w:r w:rsidRPr="00CD2DAD">
        <w:rPr>
          <w:rFonts w:asciiTheme="minorHAnsi" w:hAnsiTheme="minorHAnsi" w:cs="Arial"/>
          <w:color w:val="000000" w:themeColor="text1"/>
        </w:rPr>
        <w:t xml:space="preserve"> </w:t>
      </w:r>
      <w:r w:rsidRPr="00471B18">
        <w:rPr>
          <w:rFonts w:asciiTheme="minorHAnsi" w:hAnsiTheme="minorHAnsi" w:cs="Arial"/>
        </w:rPr>
        <w:t>W sposób prawidłowy stosował dyspozycję art. 34 § 1 k.p.a. występując do sądu z wnioskiem o wyznaczenie przedstawiciela dla osób nieznanych z miejsca pobytu.</w:t>
      </w:r>
    </w:p>
    <w:p w:rsidR="00AE6509" w:rsidRPr="00FB0036" w:rsidRDefault="00AE6509" w:rsidP="00DB13A6">
      <w:pPr>
        <w:spacing w:after="120"/>
        <w:ind w:left="284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Zespół kontrolny </w:t>
      </w:r>
      <w:r>
        <w:rPr>
          <w:rFonts w:asciiTheme="minorHAnsi" w:hAnsiTheme="minorHAnsi" w:cs="Arial"/>
        </w:rPr>
        <w:t>s</w:t>
      </w:r>
      <w:r>
        <w:rPr>
          <w:rFonts w:asciiTheme="minorHAnsi" w:hAnsiTheme="minorHAnsi" w:cstheme="minorHAnsi"/>
        </w:rPr>
        <w:t>twierdził nieprawidłowość polegającą na s</w:t>
      </w:r>
      <w:r>
        <w:rPr>
          <w:rFonts w:asciiTheme="minorHAnsi" w:hAnsiTheme="minorHAnsi"/>
        </w:rPr>
        <w:t>kierowaniu do sądu wnios</w:t>
      </w:r>
      <w:r w:rsidRPr="009A5C69">
        <w:rPr>
          <w:rFonts w:asciiTheme="minorHAnsi" w:hAnsiTheme="minorHAnsi"/>
        </w:rPr>
        <w:t>k</w:t>
      </w:r>
      <w:r>
        <w:rPr>
          <w:rFonts w:asciiTheme="minorHAnsi" w:hAnsiTheme="minorHAnsi"/>
        </w:rPr>
        <w:t>u</w:t>
      </w:r>
      <w:r w:rsidRPr="009A5C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9A5C69">
        <w:rPr>
          <w:rFonts w:asciiTheme="minorHAnsi" w:hAnsiTheme="minorHAnsi"/>
        </w:rPr>
        <w:t>o ustanowienie kuratora dla osoby nieznanej z miejsca pobytu</w:t>
      </w:r>
      <w:r>
        <w:rPr>
          <w:rFonts w:asciiTheme="minorHAnsi" w:hAnsiTheme="minorHAnsi"/>
        </w:rPr>
        <w:t xml:space="preserve"> w sytuacji, kiedy Strona postępowania posiadała zameldowanie na pobyt stały na terenie kraju.</w:t>
      </w:r>
      <w:r w:rsidRPr="00DF1D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dwóch poddanych czynnościom kontrolnym postępowaniach, podlaski </w:t>
      </w:r>
      <w:r w:rsidRPr="00C4435E">
        <w:rPr>
          <w:rFonts w:asciiTheme="minorHAnsi" w:hAnsiTheme="minorHAnsi" w:cstheme="minorHAnsi"/>
        </w:rPr>
        <w:t>organ</w:t>
      </w:r>
      <w:r>
        <w:rPr>
          <w:rFonts w:asciiTheme="minorHAnsi" w:hAnsiTheme="minorHAnsi" w:cstheme="minorHAnsi"/>
        </w:rPr>
        <w:t xml:space="preserve"> paszportowy </w:t>
      </w:r>
      <w:r w:rsidRPr="00C4435E">
        <w:rPr>
          <w:rFonts w:asciiTheme="minorHAnsi" w:hAnsiTheme="minorHAnsi" w:cstheme="minorHAnsi"/>
        </w:rPr>
        <w:t xml:space="preserve">nie dokonał </w:t>
      </w:r>
      <w:r>
        <w:rPr>
          <w:rFonts w:asciiTheme="minorHAnsi" w:hAnsiTheme="minorHAnsi" w:cstheme="minorHAnsi"/>
        </w:rPr>
        <w:t>należytego</w:t>
      </w:r>
      <w:r w:rsidRPr="00C4435E">
        <w:rPr>
          <w:rFonts w:asciiTheme="minorHAnsi" w:hAnsiTheme="minorHAnsi" w:cstheme="minorHAnsi"/>
        </w:rPr>
        <w:t xml:space="preserve"> ustalenia swojej właściwości miejscowej.</w:t>
      </w:r>
    </w:p>
    <w:p w:rsidR="002E799F" w:rsidRDefault="002E799F" w:rsidP="00DB13A6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b/>
        </w:rPr>
      </w:pPr>
      <w:r w:rsidRPr="002E799F">
        <w:rPr>
          <w:rFonts w:asciiTheme="minorHAnsi" w:hAnsiTheme="minorHAnsi" w:cstheme="minorHAnsi"/>
          <w:b/>
        </w:rPr>
        <w:t>Wnioski i zalecenia pokontrolne</w:t>
      </w:r>
    </w:p>
    <w:p w:rsidR="002E799F" w:rsidRPr="002E799F" w:rsidRDefault="002E799F" w:rsidP="00DB13A6">
      <w:pPr>
        <w:spacing w:after="120"/>
        <w:ind w:left="284" w:right="-142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E799F">
        <w:rPr>
          <w:rFonts w:asciiTheme="minorHAnsi" w:eastAsia="Times New Roman" w:hAnsiTheme="minorHAnsi" w:cstheme="minorHAnsi"/>
          <w:lang w:eastAsia="pl-PL"/>
        </w:rPr>
        <w:t xml:space="preserve">W celu usunięcia stwierdzonych uchybień i nieprawidłowości oraz usprawnienia funkcjonowania Wydziału Spraw Obywatelskich i Cudzoziemców </w:t>
      </w:r>
      <w:r w:rsidR="00F97E64">
        <w:rPr>
          <w:rFonts w:asciiTheme="minorHAnsi" w:eastAsia="Times New Roman" w:hAnsiTheme="minorHAnsi" w:cstheme="minorHAnsi"/>
          <w:lang w:eastAsia="pl-PL"/>
        </w:rPr>
        <w:t>Podlaskiego</w:t>
      </w:r>
      <w:r w:rsidRPr="002E799F">
        <w:rPr>
          <w:rFonts w:asciiTheme="minorHAnsi" w:eastAsia="Times New Roman" w:hAnsiTheme="minorHAnsi" w:cstheme="minorHAnsi"/>
          <w:lang w:eastAsia="pl-PL"/>
        </w:rPr>
        <w:t xml:space="preserve"> Urzędu Wojewódzkiego w </w:t>
      </w:r>
      <w:r w:rsidR="00F97E64">
        <w:rPr>
          <w:rFonts w:asciiTheme="minorHAnsi" w:eastAsia="Times New Roman" w:hAnsiTheme="minorHAnsi" w:cstheme="minorHAnsi"/>
          <w:lang w:eastAsia="pl-PL"/>
        </w:rPr>
        <w:t>Białymstoku</w:t>
      </w:r>
      <w:r w:rsidRPr="002E799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799F">
        <w:rPr>
          <w:rFonts w:asciiTheme="minorHAnsi" w:eastAsia="Times New Roman" w:hAnsiTheme="minorHAnsi" w:cstheme="minorHAnsi"/>
          <w:lang w:eastAsia="pl-PL"/>
        </w:rPr>
        <w:br/>
      </w:r>
      <w:r>
        <w:rPr>
          <w:rFonts w:asciiTheme="minorHAnsi" w:eastAsia="Times New Roman" w:hAnsiTheme="minorHAnsi" w:cstheme="minorHAnsi"/>
          <w:lang w:eastAsia="pl-PL"/>
        </w:rPr>
        <w:t>zalecono</w:t>
      </w:r>
      <w:r w:rsidRPr="002E799F">
        <w:rPr>
          <w:rFonts w:asciiTheme="minorHAnsi" w:eastAsia="Times New Roman" w:hAnsiTheme="minorHAnsi" w:cstheme="minorHAnsi"/>
          <w:lang w:eastAsia="pl-PL"/>
        </w:rPr>
        <w:t>:</w:t>
      </w:r>
    </w:p>
    <w:p w:rsidR="00F97E64" w:rsidRPr="00DB13A6" w:rsidRDefault="00F97E64" w:rsidP="00DB13A6">
      <w:pPr>
        <w:pStyle w:val="Akapitzlist"/>
        <w:numPr>
          <w:ilvl w:val="1"/>
          <w:numId w:val="14"/>
        </w:numPr>
        <w:spacing w:after="120"/>
        <w:ind w:left="567" w:right="-142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DB13A6">
        <w:rPr>
          <w:rFonts w:asciiTheme="minorHAnsi" w:eastAsia="Times New Roman" w:hAnsiTheme="minorHAnsi" w:cstheme="minorHAnsi"/>
          <w:lang w:eastAsia="pl-PL"/>
        </w:rPr>
        <w:t xml:space="preserve">zapewnienie przestrzegania przepisów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>Kodeksu postępowania administracyjnego</w:t>
      </w:r>
      <w:r w:rsidRPr="00DB13A6">
        <w:rPr>
          <w:rFonts w:asciiTheme="minorHAnsi" w:eastAsia="Times New Roman" w:hAnsiTheme="minorHAnsi" w:cstheme="minorHAnsi"/>
          <w:lang w:eastAsia="pl-PL"/>
        </w:rPr>
        <w:t xml:space="preserve"> w szczególności poprzez uznawanie doręczenia zastępczego korespondencji, zgodnie z art. 44 § 4 kpa;</w:t>
      </w:r>
    </w:p>
    <w:p w:rsidR="00F97E64" w:rsidRPr="00DB13A6" w:rsidRDefault="00F97E64" w:rsidP="00DB13A6">
      <w:pPr>
        <w:pStyle w:val="Akapitzlist"/>
        <w:numPr>
          <w:ilvl w:val="1"/>
          <w:numId w:val="14"/>
        </w:numPr>
        <w:spacing w:after="120"/>
        <w:ind w:left="567" w:right="-142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DB13A6">
        <w:rPr>
          <w:rFonts w:asciiTheme="minorHAnsi" w:eastAsia="Times New Roman" w:hAnsiTheme="minorHAnsi" w:cstheme="minorHAnsi"/>
          <w:lang w:eastAsia="pl-PL"/>
        </w:rPr>
        <w:t xml:space="preserve">przestrzeganie przepisu art. 38 ust. 1 lit. b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>ustawy</w:t>
      </w:r>
      <w:r w:rsidRPr="00DB13A6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>o dokumentach paszportowych</w:t>
      </w:r>
      <w:r w:rsidRPr="00DB13A6">
        <w:rPr>
          <w:rFonts w:asciiTheme="minorHAnsi" w:eastAsia="Times New Roman" w:hAnsiTheme="minorHAnsi" w:cstheme="minorHAnsi"/>
          <w:lang w:eastAsia="pl-PL"/>
        </w:rPr>
        <w:t xml:space="preserve"> w sytuacji, kiedy organem wnioskującym jest naczelnik urzędu celno–skarbowego;</w:t>
      </w:r>
    </w:p>
    <w:p w:rsidR="00F97E64" w:rsidRPr="00DB13A6" w:rsidRDefault="00F97E64" w:rsidP="00DB13A6">
      <w:pPr>
        <w:pStyle w:val="Akapitzlist"/>
        <w:numPr>
          <w:ilvl w:val="1"/>
          <w:numId w:val="14"/>
        </w:numPr>
        <w:spacing w:after="120"/>
        <w:ind w:left="567" w:right="-142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DB13A6">
        <w:rPr>
          <w:rFonts w:asciiTheme="minorHAnsi" w:eastAsia="Times New Roman" w:hAnsiTheme="minorHAnsi" w:cstheme="minorHAnsi"/>
          <w:lang w:eastAsia="pl-PL"/>
        </w:rPr>
        <w:t xml:space="preserve">należyte ustalanie właściwości miejscowej do prowadzenia postępowań w przedmiocie unieważnienia dokumentu paszportowego, zgodnie z właściwością określoną w art. 43 ust. </w:t>
      </w:r>
      <w:r w:rsidR="00DB13A6">
        <w:rPr>
          <w:rFonts w:asciiTheme="minorHAnsi" w:eastAsia="Times New Roman" w:hAnsiTheme="minorHAnsi" w:cstheme="minorHAnsi"/>
          <w:lang w:eastAsia="pl-PL"/>
        </w:rPr>
        <w:br/>
      </w:r>
      <w:r w:rsidRPr="00DB13A6">
        <w:rPr>
          <w:rFonts w:asciiTheme="minorHAnsi" w:eastAsia="Times New Roman" w:hAnsiTheme="minorHAnsi" w:cstheme="minorHAnsi"/>
          <w:lang w:eastAsia="pl-PL"/>
        </w:rPr>
        <w:t xml:space="preserve">2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>ustawy o dokumentach paszportowych</w:t>
      </w:r>
      <w:r w:rsidRPr="00DB13A6">
        <w:rPr>
          <w:rFonts w:asciiTheme="minorHAnsi" w:eastAsia="Times New Roman" w:hAnsiTheme="minorHAnsi" w:cstheme="minorHAnsi"/>
          <w:lang w:eastAsia="pl-PL"/>
        </w:rPr>
        <w:t>;</w:t>
      </w:r>
    </w:p>
    <w:p w:rsidR="00F97E64" w:rsidRPr="00DB13A6" w:rsidRDefault="00F97E64" w:rsidP="00DB13A6">
      <w:pPr>
        <w:pStyle w:val="Akapitzlist"/>
        <w:numPr>
          <w:ilvl w:val="1"/>
          <w:numId w:val="14"/>
        </w:numPr>
        <w:spacing w:after="120"/>
        <w:ind w:left="567" w:right="-142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DB13A6">
        <w:rPr>
          <w:rFonts w:asciiTheme="minorHAnsi" w:eastAsia="Times New Roman" w:hAnsiTheme="minorHAnsi" w:cstheme="minorHAnsi"/>
          <w:lang w:eastAsia="pl-PL"/>
        </w:rPr>
        <w:lastRenderedPageBreak/>
        <w:t xml:space="preserve">wydawanie paszportów tymczasowych jedynie w przypadkach enumeratywnie określonych </w:t>
      </w:r>
      <w:r w:rsidRPr="00DB13A6">
        <w:rPr>
          <w:rFonts w:asciiTheme="minorHAnsi" w:eastAsia="Times New Roman" w:hAnsiTheme="minorHAnsi" w:cstheme="minorHAnsi"/>
          <w:lang w:eastAsia="pl-PL"/>
        </w:rPr>
        <w:br/>
        <w:t xml:space="preserve">w art. 23 ust. 1 pkt 3-6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>ustawy o dokumentach paszportowych</w:t>
      </w:r>
      <w:r w:rsidRPr="00DB13A6">
        <w:rPr>
          <w:rFonts w:asciiTheme="minorHAnsi" w:eastAsia="Times New Roman" w:hAnsiTheme="minorHAnsi" w:cstheme="minorHAnsi"/>
          <w:lang w:eastAsia="pl-PL"/>
        </w:rPr>
        <w:t>. W sytuacji, gdy przepis prawa wymaga udokumentowania okoliczności związanych z wydaniem paszportu tymczasowego (art. 23 ust. 1 pkt 4 i 5) żądanie przedłożenia stosownych dokumentów załączonych każdorazowo do akt sprawy w postaci ich oryginału lub potwierdzonej za zgodność z oryginałem kserokopii;</w:t>
      </w:r>
    </w:p>
    <w:p w:rsidR="00F97E64" w:rsidRPr="00DB13A6" w:rsidRDefault="00F97E64" w:rsidP="00DB13A6">
      <w:pPr>
        <w:pStyle w:val="Akapitzlist"/>
        <w:numPr>
          <w:ilvl w:val="1"/>
          <w:numId w:val="14"/>
        </w:numPr>
        <w:spacing w:after="120"/>
        <w:ind w:left="567" w:right="-142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DB13A6">
        <w:rPr>
          <w:rFonts w:asciiTheme="minorHAnsi" w:eastAsia="Times New Roman" w:hAnsiTheme="minorHAnsi" w:cstheme="minorHAnsi"/>
          <w:lang w:eastAsia="pl-PL"/>
        </w:rPr>
        <w:t xml:space="preserve">potwierdzanie tożsamości i obywatelstwa osób ubiegających się o wydanie paszportu zgodnie z §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 xml:space="preserve">4 rozporządzenia w sprawie dokumentów paszportowych </w:t>
      </w:r>
      <w:r w:rsidRPr="00DB13A6">
        <w:rPr>
          <w:rFonts w:asciiTheme="minorHAnsi" w:eastAsia="Times New Roman" w:hAnsiTheme="minorHAnsi" w:cstheme="minorHAnsi"/>
          <w:lang w:eastAsia="pl-PL"/>
        </w:rPr>
        <w:t xml:space="preserve">oraz odnotowywanie na wniosku paszportowym sposobu potwierdzenia danych, zgodnie z dyspozycją § </w:t>
      </w:r>
      <w:r w:rsidRPr="00DB13A6">
        <w:rPr>
          <w:rFonts w:asciiTheme="minorHAnsi" w:eastAsia="Times New Roman" w:hAnsiTheme="minorHAnsi" w:cstheme="minorHAnsi"/>
          <w:i/>
          <w:lang w:eastAsia="pl-PL"/>
        </w:rPr>
        <w:t>4 pkt 4 rozporządzenia w sprawie dokumentów paszportowych.</w:t>
      </w:r>
    </w:p>
    <w:p w:rsidR="002E799F" w:rsidRPr="005A2524" w:rsidRDefault="002E799F" w:rsidP="00F97E64">
      <w:pPr>
        <w:spacing w:after="0"/>
        <w:ind w:right="-142"/>
        <w:jc w:val="both"/>
        <w:rPr>
          <w:rFonts w:asciiTheme="minorHAnsi" w:eastAsia="Times New Roman" w:hAnsiTheme="minorHAnsi" w:cstheme="minorHAnsi"/>
          <w:lang w:eastAsia="pl-PL"/>
        </w:rPr>
      </w:pPr>
    </w:p>
    <w:p w:rsidR="00B82E65" w:rsidRPr="00B82E65" w:rsidRDefault="00B82E65" w:rsidP="00F97E64">
      <w:pPr>
        <w:pStyle w:val="Akapitzlist"/>
        <w:spacing w:after="0"/>
        <w:ind w:left="1080"/>
        <w:rPr>
          <w:b/>
        </w:rPr>
      </w:pPr>
    </w:p>
    <w:sectPr w:rsidR="00B82E65" w:rsidRPr="00B82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C0" w:rsidRDefault="000348C0" w:rsidP="0004131D">
      <w:pPr>
        <w:spacing w:after="0" w:line="240" w:lineRule="auto"/>
      </w:pPr>
      <w:r>
        <w:separator/>
      </w:r>
    </w:p>
  </w:endnote>
  <w:endnote w:type="continuationSeparator" w:id="0">
    <w:p w:rsidR="000348C0" w:rsidRDefault="000348C0" w:rsidP="000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BC" w:rsidRDefault="005079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38929409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2567" w:rsidRPr="00382567" w:rsidRDefault="00382567">
            <w:pPr>
              <w:pStyle w:val="Stopka"/>
              <w:jc w:val="right"/>
              <w:rPr>
                <w:sz w:val="16"/>
                <w:szCs w:val="16"/>
              </w:rPr>
            </w:pPr>
            <w:r w:rsidRPr="00382567">
              <w:rPr>
                <w:sz w:val="16"/>
                <w:szCs w:val="16"/>
              </w:rPr>
              <w:t xml:space="preserve">Strona </w:t>
            </w:r>
            <w:r w:rsidRPr="00382567">
              <w:rPr>
                <w:b/>
                <w:bCs/>
                <w:sz w:val="16"/>
                <w:szCs w:val="16"/>
              </w:rPr>
              <w:fldChar w:fldCharType="begin"/>
            </w:r>
            <w:r w:rsidRPr="00382567">
              <w:rPr>
                <w:b/>
                <w:bCs/>
                <w:sz w:val="16"/>
                <w:szCs w:val="16"/>
              </w:rPr>
              <w:instrText>PAGE</w:instrText>
            </w:r>
            <w:r w:rsidRPr="00382567">
              <w:rPr>
                <w:b/>
                <w:bCs/>
                <w:sz w:val="16"/>
                <w:szCs w:val="16"/>
              </w:rPr>
              <w:fldChar w:fldCharType="separate"/>
            </w:r>
            <w:r w:rsidR="0090311E">
              <w:rPr>
                <w:b/>
                <w:bCs/>
                <w:noProof/>
                <w:sz w:val="16"/>
                <w:szCs w:val="16"/>
              </w:rPr>
              <w:t>2</w:t>
            </w:r>
            <w:r w:rsidRPr="00382567">
              <w:rPr>
                <w:b/>
                <w:bCs/>
                <w:sz w:val="16"/>
                <w:szCs w:val="16"/>
              </w:rPr>
              <w:fldChar w:fldCharType="end"/>
            </w:r>
            <w:r w:rsidRPr="00382567">
              <w:rPr>
                <w:sz w:val="16"/>
                <w:szCs w:val="16"/>
              </w:rPr>
              <w:t xml:space="preserve"> z </w:t>
            </w:r>
            <w:r w:rsidRPr="00382567">
              <w:rPr>
                <w:b/>
                <w:bCs/>
                <w:sz w:val="16"/>
                <w:szCs w:val="16"/>
              </w:rPr>
              <w:fldChar w:fldCharType="begin"/>
            </w:r>
            <w:r w:rsidRPr="00382567">
              <w:rPr>
                <w:b/>
                <w:bCs/>
                <w:sz w:val="16"/>
                <w:szCs w:val="16"/>
              </w:rPr>
              <w:instrText>NUMPAGES</w:instrText>
            </w:r>
            <w:r w:rsidRPr="00382567">
              <w:rPr>
                <w:b/>
                <w:bCs/>
                <w:sz w:val="16"/>
                <w:szCs w:val="16"/>
              </w:rPr>
              <w:fldChar w:fldCharType="separate"/>
            </w:r>
            <w:r w:rsidR="0090311E">
              <w:rPr>
                <w:b/>
                <w:bCs/>
                <w:noProof/>
                <w:sz w:val="16"/>
                <w:szCs w:val="16"/>
              </w:rPr>
              <w:t>3</w:t>
            </w:r>
            <w:r w:rsidRPr="003825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82567" w:rsidRDefault="003825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BC" w:rsidRDefault="005079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C0" w:rsidRDefault="000348C0" w:rsidP="0004131D">
      <w:pPr>
        <w:spacing w:after="0" w:line="240" w:lineRule="auto"/>
      </w:pPr>
      <w:r>
        <w:separator/>
      </w:r>
    </w:p>
  </w:footnote>
  <w:footnote w:type="continuationSeparator" w:id="0">
    <w:p w:rsidR="000348C0" w:rsidRDefault="000348C0" w:rsidP="0004131D">
      <w:pPr>
        <w:spacing w:after="0" w:line="240" w:lineRule="auto"/>
      </w:pPr>
      <w:r>
        <w:continuationSeparator/>
      </w:r>
    </w:p>
  </w:footnote>
  <w:footnote w:id="1">
    <w:p w:rsidR="00382567" w:rsidRPr="007338B1" w:rsidRDefault="00382567">
      <w:pPr>
        <w:pStyle w:val="Tekstprzypisudolnego"/>
        <w:rPr>
          <w:sz w:val="16"/>
          <w:szCs w:val="16"/>
        </w:rPr>
      </w:pPr>
      <w:r w:rsidRPr="007338B1">
        <w:rPr>
          <w:rStyle w:val="Odwoanieprzypisudolnego"/>
          <w:sz w:val="16"/>
          <w:szCs w:val="16"/>
        </w:rPr>
        <w:footnoteRef/>
      </w:r>
      <w:r w:rsidRPr="007338B1">
        <w:rPr>
          <w:sz w:val="16"/>
          <w:szCs w:val="16"/>
        </w:rPr>
        <w:t xml:space="preserve"> </w:t>
      </w:r>
      <w:r w:rsidRPr="007338B1">
        <w:rPr>
          <w:rFonts w:asciiTheme="minorHAnsi" w:hAnsiTheme="minorHAnsi"/>
          <w:sz w:val="16"/>
          <w:szCs w:val="16"/>
        </w:rPr>
        <w:t>t.j. Dz. U. z 2020 r. poz. 224.</w:t>
      </w:r>
    </w:p>
  </w:footnote>
  <w:footnote w:id="2">
    <w:p w:rsidR="00382567" w:rsidRPr="00D84C66" w:rsidRDefault="00382567">
      <w:pPr>
        <w:pStyle w:val="Tekstprzypisudolnego"/>
        <w:rPr>
          <w:sz w:val="16"/>
          <w:szCs w:val="16"/>
        </w:rPr>
      </w:pPr>
      <w:r w:rsidRPr="00D84C66">
        <w:rPr>
          <w:rStyle w:val="Odwoanieprzypisudolnego"/>
          <w:sz w:val="16"/>
          <w:szCs w:val="16"/>
        </w:rPr>
        <w:footnoteRef/>
      </w:r>
      <w:r w:rsidRPr="00D84C66">
        <w:rPr>
          <w:sz w:val="16"/>
          <w:szCs w:val="16"/>
        </w:rPr>
        <w:t xml:space="preserve"> </w:t>
      </w:r>
      <w:r w:rsidR="00D84C66" w:rsidRPr="00D84C66">
        <w:rPr>
          <w:rFonts w:asciiTheme="minorHAnsi" w:hAnsiTheme="minorHAnsi" w:cstheme="minorHAnsi"/>
          <w:sz w:val="16"/>
          <w:szCs w:val="16"/>
        </w:rPr>
        <w:t>jedna poddana czynnościom kontrolnych sprawa została wszczęta w 2018 r., a jedno rozstrzygnięcie zostało wydane w okresie późniejszym, tj. w 2020 r.</w:t>
      </w:r>
    </w:p>
  </w:footnote>
  <w:footnote w:id="3">
    <w:p w:rsidR="00F118DA" w:rsidRPr="00F118DA" w:rsidRDefault="00F118DA">
      <w:pPr>
        <w:pStyle w:val="Tekstprzypisudolnego"/>
        <w:rPr>
          <w:sz w:val="16"/>
          <w:szCs w:val="16"/>
        </w:rPr>
      </w:pPr>
      <w:r w:rsidRPr="00F118DA">
        <w:rPr>
          <w:rStyle w:val="Odwoanieprzypisudolnego"/>
          <w:sz w:val="16"/>
          <w:szCs w:val="16"/>
        </w:rPr>
        <w:footnoteRef/>
      </w:r>
      <w:r w:rsidRPr="00F118DA">
        <w:rPr>
          <w:sz w:val="16"/>
          <w:szCs w:val="16"/>
        </w:rPr>
        <w:t xml:space="preserve"> Rozporządzenie Ministra Spraw Wewnętrznych i Administracji z dnia 15 lutego 2010 r. w sprawie ewidencji paszportowych i centralnej ewidencji (Dz.U. Nr 26, poz. 131), zwane dalej rozporządzeniem w sprawie ewidencji.</w:t>
      </w:r>
    </w:p>
  </w:footnote>
  <w:footnote w:id="4">
    <w:p w:rsidR="00AE6509" w:rsidRPr="00C71913" w:rsidRDefault="00AE6509" w:rsidP="00AE650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120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4D06">
        <w:rPr>
          <w:rFonts w:asciiTheme="minorHAnsi" w:hAnsiTheme="minorHAnsi" w:cstheme="minorHAnsi"/>
          <w:sz w:val="16"/>
          <w:szCs w:val="16"/>
        </w:rPr>
        <w:t xml:space="preserve"> </w:t>
      </w:r>
      <w:r w:rsidRPr="00C17249">
        <w:rPr>
          <w:rFonts w:asciiTheme="minorHAnsi" w:hAnsiTheme="minorHAnsi" w:cstheme="minorHAnsi"/>
          <w:sz w:val="16"/>
          <w:szCs w:val="16"/>
        </w:rPr>
        <w:t>Ustawa z dnia 14 czerwca 1960r. Kodeks postępowania administracyjnego (Dz. U. z 20</w:t>
      </w:r>
      <w:r w:rsidRPr="00DD4DC2">
        <w:rPr>
          <w:rFonts w:asciiTheme="minorHAnsi" w:hAnsiTheme="minorHAnsi" w:cstheme="minorHAnsi"/>
          <w:sz w:val="16"/>
          <w:szCs w:val="16"/>
        </w:rPr>
        <w:t>21 r.,  poz. 735 z późn. zm.), zwana dalej k.p.a.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BC" w:rsidRDefault="005079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BC" w:rsidRDefault="005079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BC" w:rsidRDefault="005079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C6017"/>
    <w:multiLevelType w:val="hybridMultilevel"/>
    <w:tmpl w:val="AD9CC9A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0B72"/>
    <w:multiLevelType w:val="multilevel"/>
    <w:tmpl w:val="2BB07A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ADC"/>
    <w:multiLevelType w:val="hybridMultilevel"/>
    <w:tmpl w:val="6E6CBA1E"/>
    <w:lvl w:ilvl="0" w:tplc="D0F84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2560"/>
    <w:multiLevelType w:val="hybridMultilevel"/>
    <w:tmpl w:val="FA9A77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FE067D3"/>
    <w:multiLevelType w:val="hybridMultilevel"/>
    <w:tmpl w:val="520876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13FE"/>
    <w:multiLevelType w:val="hybridMultilevel"/>
    <w:tmpl w:val="1396CCB2"/>
    <w:lvl w:ilvl="0" w:tplc="A7DAE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A2711"/>
    <w:multiLevelType w:val="hybridMultilevel"/>
    <w:tmpl w:val="D974E9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5497D"/>
    <w:multiLevelType w:val="hybridMultilevel"/>
    <w:tmpl w:val="03BC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316DA"/>
    <w:multiLevelType w:val="hybridMultilevel"/>
    <w:tmpl w:val="615ECE26"/>
    <w:lvl w:ilvl="0" w:tplc="E0AA6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36CB0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FBE2668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3" w:tplc="FBCA1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380186"/>
    <w:multiLevelType w:val="hybridMultilevel"/>
    <w:tmpl w:val="5206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7119"/>
    <w:multiLevelType w:val="hybridMultilevel"/>
    <w:tmpl w:val="F25A2358"/>
    <w:lvl w:ilvl="0" w:tplc="6C0ED78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0A1A52"/>
    <w:multiLevelType w:val="hybridMultilevel"/>
    <w:tmpl w:val="2BB07AE0"/>
    <w:lvl w:ilvl="0" w:tplc="37CC0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029B8E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803C1"/>
    <w:multiLevelType w:val="hybridMultilevel"/>
    <w:tmpl w:val="8D86C9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EA0"/>
    <w:multiLevelType w:val="hybridMultilevel"/>
    <w:tmpl w:val="1B389D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1D"/>
    <w:rsid w:val="000348C0"/>
    <w:rsid w:val="0004099A"/>
    <w:rsid w:val="0004131D"/>
    <w:rsid w:val="001821F1"/>
    <w:rsid w:val="00225ACC"/>
    <w:rsid w:val="002E799F"/>
    <w:rsid w:val="00382567"/>
    <w:rsid w:val="003C14AC"/>
    <w:rsid w:val="004325C2"/>
    <w:rsid w:val="005079BC"/>
    <w:rsid w:val="00543775"/>
    <w:rsid w:val="00580D89"/>
    <w:rsid w:val="005A2524"/>
    <w:rsid w:val="006219BD"/>
    <w:rsid w:val="00656BAF"/>
    <w:rsid w:val="0069693B"/>
    <w:rsid w:val="0070157E"/>
    <w:rsid w:val="00723E46"/>
    <w:rsid w:val="007338B1"/>
    <w:rsid w:val="00762ED8"/>
    <w:rsid w:val="00797674"/>
    <w:rsid w:val="00797B9A"/>
    <w:rsid w:val="007A6C22"/>
    <w:rsid w:val="008007FB"/>
    <w:rsid w:val="0090311E"/>
    <w:rsid w:val="009923B6"/>
    <w:rsid w:val="009B3058"/>
    <w:rsid w:val="00A3324B"/>
    <w:rsid w:val="00AC517D"/>
    <w:rsid w:val="00AE6509"/>
    <w:rsid w:val="00B82E65"/>
    <w:rsid w:val="00BA6241"/>
    <w:rsid w:val="00C20F1F"/>
    <w:rsid w:val="00D14B59"/>
    <w:rsid w:val="00D84C66"/>
    <w:rsid w:val="00DB13A6"/>
    <w:rsid w:val="00DF034F"/>
    <w:rsid w:val="00DF1C04"/>
    <w:rsid w:val="00E305A1"/>
    <w:rsid w:val="00F118DA"/>
    <w:rsid w:val="00F810FF"/>
    <w:rsid w:val="00F97E64"/>
    <w:rsid w:val="00FA60A0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3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3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413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131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4131D"/>
    <w:rPr>
      <w:vertAlign w:val="superscript"/>
    </w:rPr>
  </w:style>
  <w:style w:type="paragraph" w:customStyle="1" w:styleId="Przypis">
    <w:name w:val="Przypis"/>
    <w:basedOn w:val="Tekstprzypisudolnego"/>
    <w:autoRedefine/>
    <w:qFormat/>
    <w:rsid w:val="00FF0CD9"/>
    <w:pPr>
      <w:jc w:val="both"/>
    </w:pPr>
    <w:rPr>
      <w:rFonts w:asciiTheme="minorHAnsi" w:eastAsia="Times New Roman" w:hAnsiTheme="minorHAnsi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F68A-8E2A-4AEA-B2A4-9CA3B1A2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2022-07-05T08:21:00Z</dcterms:created>
  <dcterms:modified xsi:type="dcterms:W3CDTF">2022-07-05T08:21:00Z</dcterms:modified>
</cp:coreProperties>
</file>