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50B0F" w14:textId="5C6424A9" w:rsidR="00DB1EB2" w:rsidRPr="002A194A" w:rsidRDefault="00DB1EB2" w:rsidP="00E74566">
      <w:pPr>
        <w:autoSpaceDE w:val="0"/>
        <w:autoSpaceDN w:val="0"/>
        <w:adjustRightInd w:val="0"/>
        <w:spacing w:before="0"/>
        <w:ind w:left="4536"/>
        <w:jc w:val="right"/>
        <w:rPr>
          <w:rFonts w:ascii="Arial" w:eastAsia="Times New Roman" w:hAnsi="Arial" w:cs="Arial"/>
          <w:bCs/>
          <w:kern w:val="28"/>
        </w:rPr>
      </w:pPr>
      <w:r w:rsidRPr="002A194A">
        <w:rPr>
          <w:rFonts w:ascii="Arial" w:eastAsia="Times New Roman" w:hAnsi="Arial" w:cs="Arial"/>
          <w:bCs/>
          <w:kern w:val="28"/>
        </w:rPr>
        <w:t xml:space="preserve">Załącznik nr </w:t>
      </w:r>
      <w:r w:rsidR="00E1272E" w:rsidRPr="002A194A">
        <w:rPr>
          <w:rFonts w:ascii="Arial" w:eastAsia="Times New Roman" w:hAnsi="Arial" w:cs="Arial"/>
          <w:bCs/>
          <w:kern w:val="28"/>
        </w:rPr>
        <w:t>3</w:t>
      </w:r>
    </w:p>
    <w:p w14:paraId="4AD610B8" w14:textId="311D27F0" w:rsidR="00CF2042" w:rsidRPr="002A194A" w:rsidRDefault="00DB1EB2" w:rsidP="007B2247">
      <w:pPr>
        <w:autoSpaceDE w:val="0"/>
        <w:autoSpaceDN w:val="0"/>
        <w:adjustRightInd w:val="0"/>
        <w:ind w:left="709"/>
        <w:jc w:val="right"/>
        <w:rPr>
          <w:rFonts w:ascii="Arial" w:eastAsia="Times New Roman" w:hAnsi="Arial" w:cs="Arial"/>
          <w:bCs/>
          <w:kern w:val="28"/>
        </w:rPr>
      </w:pPr>
      <w:r w:rsidRPr="002A194A">
        <w:rPr>
          <w:rFonts w:ascii="Arial" w:eastAsia="Times New Roman" w:hAnsi="Arial" w:cs="Arial"/>
          <w:bCs/>
          <w:kern w:val="28"/>
        </w:rPr>
        <w:t xml:space="preserve">do Umowy z dnia </w:t>
      </w:r>
      <w:r w:rsidR="00B309FC">
        <w:rPr>
          <w:rFonts w:ascii="Arial" w:eastAsia="Times New Roman" w:hAnsi="Arial" w:cs="Arial"/>
          <w:bCs/>
          <w:kern w:val="28"/>
        </w:rPr>
        <w:t>21  sierpnia 2019 r.</w:t>
      </w:r>
      <w:bookmarkStart w:id="0" w:name="_GoBack"/>
      <w:bookmarkEnd w:id="0"/>
      <w:r w:rsidR="007E0287" w:rsidRPr="002A194A">
        <w:rPr>
          <w:rFonts w:ascii="Arial" w:eastAsia="Times New Roman" w:hAnsi="Arial" w:cs="Arial"/>
          <w:bCs/>
          <w:kern w:val="28"/>
        </w:rPr>
        <w:t xml:space="preserve"> </w:t>
      </w:r>
      <w:r w:rsidRPr="002A194A">
        <w:rPr>
          <w:rFonts w:ascii="Arial" w:eastAsia="Times New Roman" w:hAnsi="Arial" w:cs="Arial"/>
          <w:bCs/>
          <w:kern w:val="28"/>
        </w:rPr>
        <w:t>na realizację programu</w:t>
      </w:r>
      <w:r w:rsidR="00613EAF" w:rsidRPr="002A194A">
        <w:rPr>
          <w:rFonts w:ascii="Arial" w:eastAsia="Times New Roman" w:hAnsi="Arial" w:cs="Arial"/>
          <w:bCs/>
          <w:kern w:val="28"/>
        </w:rPr>
        <w:t xml:space="preserve"> wieloletniego</w:t>
      </w:r>
      <w:r w:rsidRPr="002A194A">
        <w:rPr>
          <w:rFonts w:ascii="Arial" w:eastAsia="Times New Roman" w:hAnsi="Arial" w:cs="Arial"/>
          <w:bCs/>
          <w:kern w:val="28"/>
        </w:rPr>
        <w:t xml:space="preserve"> „Pomoc w</w:t>
      </w:r>
      <w:r w:rsidR="00EA386B" w:rsidRPr="002A194A">
        <w:rPr>
          <w:rFonts w:ascii="Arial" w:eastAsia="Times New Roman" w:hAnsi="Arial" w:cs="Arial"/>
          <w:bCs/>
          <w:kern w:val="28"/>
        </w:rPr>
        <w:t> </w:t>
      </w:r>
      <w:r w:rsidRPr="002A194A">
        <w:rPr>
          <w:rFonts w:ascii="Arial" w:eastAsia="Times New Roman" w:hAnsi="Arial" w:cs="Arial"/>
          <w:bCs/>
          <w:kern w:val="28"/>
        </w:rPr>
        <w:t>zakresie finansowania kosztów zarzą</w:t>
      </w:r>
      <w:r w:rsidR="00CF2042" w:rsidRPr="002A194A">
        <w:rPr>
          <w:rFonts w:ascii="Arial" w:eastAsia="Times New Roman" w:hAnsi="Arial" w:cs="Arial"/>
          <w:bCs/>
          <w:kern w:val="28"/>
        </w:rPr>
        <w:t>dzania infrastrukturą kolejową,</w:t>
      </w:r>
    </w:p>
    <w:p w14:paraId="114C4D9F" w14:textId="77777777" w:rsidR="00DB1EB2" w:rsidRPr="002A194A" w:rsidRDefault="00DB1EB2" w:rsidP="007B2247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bCs/>
          <w:kern w:val="28"/>
        </w:rPr>
      </w:pPr>
      <w:r w:rsidRPr="002A194A">
        <w:rPr>
          <w:rFonts w:ascii="Arial" w:eastAsia="Times New Roman" w:hAnsi="Arial" w:cs="Arial"/>
          <w:bCs/>
          <w:kern w:val="28"/>
        </w:rPr>
        <w:t>w tym jej</w:t>
      </w:r>
      <w:r w:rsidR="0010023F" w:rsidRPr="002A194A">
        <w:rPr>
          <w:rFonts w:ascii="Arial" w:eastAsia="Times New Roman" w:hAnsi="Arial" w:cs="Arial"/>
          <w:bCs/>
          <w:kern w:val="28"/>
        </w:rPr>
        <w:t xml:space="preserve"> </w:t>
      </w:r>
      <w:r w:rsidRPr="002A194A">
        <w:rPr>
          <w:rFonts w:ascii="Arial" w:eastAsia="Times New Roman" w:hAnsi="Arial" w:cs="Arial"/>
          <w:bCs/>
          <w:kern w:val="28"/>
        </w:rPr>
        <w:t>utrzymania i remontów</w:t>
      </w:r>
      <w:r w:rsidR="0010023F" w:rsidRPr="002A194A">
        <w:rPr>
          <w:rFonts w:ascii="Arial" w:eastAsia="Times New Roman" w:hAnsi="Arial" w:cs="Arial"/>
          <w:bCs/>
          <w:kern w:val="28"/>
        </w:rPr>
        <w:t xml:space="preserve"> </w:t>
      </w:r>
      <w:r w:rsidR="003B6FAC" w:rsidRPr="002A194A">
        <w:rPr>
          <w:rFonts w:ascii="Arial" w:eastAsia="Times New Roman" w:hAnsi="Arial" w:cs="Arial"/>
          <w:bCs/>
          <w:kern w:val="28"/>
        </w:rPr>
        <w:t xml:space="preserve">do </w:t>
      </w:r>
      <w:r w:rsidR="00EA386B" w:rsidRPr="002A194A">
        <w:rPr>
          <w:rFonts w:ascii="Arial" w:eastAsia="Times New Roman" w:hAnsi="Arial" w:cs="Arial"/>
          <w:bCs/>
          <w:kern w:val="28"/>
        </w:rPr>
        <w:t>2023</w:t>
      </w:r>
      <w:r w:rsidR="003B6FAC" w:rsidRPr="002A194A">
        <w:rPr>
          <w:rFonts w:ascii="Arial" w:eastAsia="Times New Roman" w:hAnsi="Arial" w:cs="Arial"/>
          <w:bCs/>
          <w:kern w:val="28"/>
        </w:rPr>
        <w:t xml:space="preserve"> roku</w:t>
      </w:r>
      <w:r w:rsidRPr="002A194A">
        <w:rPr>
          <w:rFonts w:ascii="Arial" w:eastAsia="Times New Roman" w:hAnsi="Arial" w:cs="Arial"/>
          <w:bCs/>
          <w:kern w:val="28"/>
        </w:rPr>
        <w:t>”</w:t>
      </w:r>
    </w:p>
    <w:p w14:paraId="374A7A05" w14:textId="77777777" w:rsidR="001C29DD" w:rsidRPr="002A194A" w:rsidRDefault="00825794" w:rsidP="00854E75">
      <w:pPr>
        <w:autoSpaceDE w:val="0"/>
        <w:autoSpaceDN w:val="0"/>
        <w:adjustRightInd w:val="0"/>
        <w:spacing w:before="480" w:after="480"/>
        <w:jc w:val="center"/>
        <w:rPr>
          <w:rFonts w:ascii="Arial" w:eastAsia="Times New Roman" w:hAnsi="Arial" w:cs="Arial"/>
          <w:bCs/>
          <w:kern w:val="28"/>
          <w:sz w:val="32"/>
          <w:szCs w:val="32"/>
        </w:rPr>
      </w:pPr>
      <w:r w:rsidRPr="002A194A">
        <w:rPr>
          <w:rFonts w:ascii="Arial" w:eastAsia="Times New Roman" w:hAnsi="Arial" w:cs="Arial"/>
          <w:bCs/>
          <w:kern w:val="28"/>
          <w:sz w:val="32"/>
          <w:szCs w:val="32"/>
        </w:rPr>
        <w:t xml:space="preserve">Wskaźniki </w:t>
      </w:r>
      <w:r w:rsidR="00F77234" w:rsidRPr="002A194A">
        <w:rPr>
          <w:rFonts w:ascii="Arial" w:eastAsia="Times New Roman" w:hAnsi="Arial" w:cs="Arial"/>
          <w:bCs/>
          <w:kern w:val="28"/>
          <w:sz w:val="32"/>
          <w:szCs w:val="32"/>
        </w:rPr>
        <w:t>monitorowani</w:t>
      </w:r>
      <w:r w:rsidR="00613EAF" w:rsidRPr="002A194A">
        <w:rPr>
          <w:rFonts w:ascii="Arial" w:eastAsia="Times New Roman" w:hAnsi="Arial" w:cs="Arial"/>
          <w:bCs/>
          <w:kern w:val="28"/>
          <w:sz w:val="32"/>
          <w:szCs w:val="32"/>
        </w:rPr>
        <w:t>a</w:t>
      </w:r>
      <w:r w:rsidR="00F77234" w:rsidRPr="002A194A">
        <w:rPr>
          <w:rFonts w:ascii="Arial" w:eastAsia="Times New Roman" w:hAnsi="Arial" w:cs="Arial"/>
          <w:bCs/>
          <w:kern w:val="28"/>
          <w:sz w:val="32"/>
          <w:szCs w:val="32"/>
        </w:rPr>
        <w:t xml:space="preserve"> Umowy</w:t>
      </w:r>
      <w:r w:rsidR="00185367" w:rsidRPr="002A194A">
        <w:rPr>
          <w:rFonts w:ascii="Arial" w:eastAsia="Times New Roman" w:hAnsi="Arial" w:cs="Arial"/>
          <w:bCs/>
          <w:kern w:val="28"/>
          <w:sz w:val="32"/>
          <w:szCs w:val="32"/>
        </w:rPr>
        <w:br/>
      </w:r>
      <w:r w:rsidR="00F77234" w:rsidRPr="002A194A">
        <w:rPr>
          <w:rFonts w:ascii="Arial" w:eastAsia="Times New Roman" w:hAnsi="Arial" w:cs="Arial"/>
          <w:bCs/>
          <w:kern w:val="28"/>
          <w:sz w:val="32"/>
          <w:szCs w:val="32"/>
        </w:rPr>
        <w:t xml:space="preserve">oraz </w:t>
      </w:r>
      <w:r w:rsidRPr="002A194A">
        <w:rPr>
          <w:rFonts w:ascii="Arial" w:eastAsia="Times New Roman" w:hAnsi="Arial" w:cs="Arial"/>
          <w:bCs/>
          <w:kern w:val="28"/>
          <w:sz w:val="32"/>
          <w:szCs w:val="32"/>
        </w:rPr>
        <w:t>oceny poziomu zarządzania</w:t>
      </w:r>
    </w:p>
    <w:p w14:paraId="3F37E091" w14:textId="77777777" w:rsidR="00825794" w:rsidRPr="002A194A" w:rsidRDefault="001C29DD" w:rsidP="001C29DD">
      <w:pPr>
        <w:autoSpaceDE w:val="0"/>
        <w:autoSpaceDN w:val="0"/>
        <w:adjustRightInd w:val="0"/>
        <w:spacing w:before="480" w:after="480"/>
        <w:jc w:val="left"/>
        <w:rPr>
          <w:rFonts w:ascii="Arial" w:eastAsia="Times New Roman" w:hAnsi="Arial" w:cs="Arial"/>
          <w:bCs/>
          <w:kern w:val="28"/>
          <w:sz w:val="24"/>
          <w:szCs w:val="24"/>
          <w:u w:val="single"/>
        </w:rPr>
      </w:pPr>
      <w:r w:rsidRPr="002A194A">
        <w:rPr>
          <w:rFonts w:ascii="Arial" w:eastAsia="Times New Roman" w:hAnsi="Arial" w:cs="Arial"/>
          <w:bCs/>
          <w:kern w:val="28"/>
          <w:sz w:val="24"/>
          <w:szCs w:val="24"/>
          <w:u w:val="single"/>
        </w:rPr>
        <w:t>Postanowienia ogólne</w:t>
      </w:r>
    </w:p>
    <w:p w14:paraId="5DAEF0D8" w14:textId="77777777" w:rsidR="00157C8F" w:rsidRPr="002A194A" w:rsidRDefault="00157C8F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Zarządca </w:t>
      </w:r>
      <w:r w:rsidR="00F77234" w:rsidRPr="002A194A">
        <w:rPr>
          <w:rFonts w:ascii="Arial" w:hAnsi="Arial" w:cs="Arial"/>
        </w:rPr>
        <w:t>zobowiązany jest do objęcia systemem monitorowania wskaźników</w:t>
      </w:r>
      <w:r w:rsidRPr="002A194A">
        <w:rPr>
          <w:rFonts w:ascii="Arial" w:hAnsi="Arial" w:cs="Arial"/>
        </w:rPr>
        <w:t>, dokonywani</w:t>
      </w:r>
      <w:r w:rsidR="004944BC" w:rsidRPr="002A194A">
        <w:rPr>
          <w:rFonts w:ascii="Arial" w:hAnsi="Arial" w:cs="Arial"/>
        </w:rPr>
        <w:t>a</w:t>
      </w:r>
      <w:r w:rsidR="003B6FAC" w:rsidRPr="002A194A">
        <w:rPr>
          <w:rFonts w:ascii="Arial" w:hAnsi="Arial" w:cs="Arial"/>
        </w:rPr>
        <w:t xml:space="preserve"> ocen poziomu realizacji </w:t>
      </w:r>
      <w:r w:rsidRPr="002A194A">
        <w:rPr>
          <w:rFonts w:ascii="Arial" w:hAnsi="Arial" w:cs="Arial"/>
        </w:rPr>
        <w:t>oraz</w:t>
      </w:r>
      <w:r w:rsidR="004944BC" w:rsidRPr="002A194A">
        <w:rPr>
          <w:rFonts w:ascii="Arial" w:hAnsi="Arial" w:cs="Arial"/>
        </w:rPr>
        <w:t> </w:t>
      </w:r>
      <w:r w:rsidRPr="002A194A">
        <w:rPr>
          <w:rFonts w:ascii="Arial" w:hAnsi="Arial" w:cs="Arial"/>
        </w:rPr>
        <w:t>ewaluacji bieżącej Umowy.</w:t>
      </w:r>
    </w:p>
    <w:p w14:paraId="1B5A63F7" w14:textId="77777777" w:rsidR="004944BC" w:rsidRPr="002A194A" w:rsidRDefault="000876B8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Monitorowanie prowadzone jest w całym okresie </w:t>
      </w:r>
      <w:r w:rsidR="00187F5B" w:rsidRPr="002A194A">
        <w:rPr>
          <w:rFonts w:ascii="Arial" w:hAnsi="Arial" w:cs="Arial"/>
        </w:rPr>
        <w:t>obowiązywania Umowy</w:t>
      </w:r>
      <w:r w:rsidR="008E1690" w:rsidRPr="002A194A">
        <w:rPr>
          <w:rFonts w:ascii="Arial" w:hAnsi="Arial" w:cs="Arial"/>
        </w:rPr>
        <w:t>.</w:t>
      </w:r>
    </w:p>
    <w:p w14:paraId="75B9B7DE" w14:textId="77777777" w:rsidR="00B46603" w:rsidRPr="002A194A" w:rsidRDefault="000876B8" w:rsidP="004944BC">
      <w:pPr>
        <w:ind w:left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Zarządca przedstawia </w:t>
      </w:r>
      <w:r w:rsidR="00187F5B" w:rsidRPr="002A194A">
        <w:rPr>
          <w:rFonts w:ascii="Arial" w:hAnsi="Arial" w:cs="Arial"/>
        </w:rPr>
        <w:t>Ministrowi</w:t>
      </w:r>
      <w:r w:rsidRPr="002A194A">
        <w:rPr>
          <w:rFonts w:ascii="Arial" w:hAnsi="Arial" w:cs="Arial"/>
        </w:rPr>
        <w:t xml:space="preserve"> informację o wielkościach </w:t>
      </w:r>
      <w:r w:rsidR="00B46603" w:rsidRPr="002A194A">
        <w:rPr>
          <w:rFonts w:ascii="Arial" w:hAnsi="Arial" w:cs="Arial"/>
        </w:rPr>
        <w:t xml:space="preserve">uzyskiwanych wskaźników </w:t>
      </w:r>
      <w:r w:rsidRPr="002A194A">
        <w:rPr>
          <w:rFonts w:ascii="Arial" w:hAnsi="Arial" w:cs="Arial"/>
        </w:rPr>
        <w:t>w</w:t>
      </w:r>
      <w:r w:rsidR="004944BC" w:rsidRPr="002A194A">
        <w:rPr>
          <w:rFonts w:ascii="Arial" w:hAnsi="Arial" w:cs="Arial"/>
        </w:rPr>
        <w:t> </w:t>
      </w:r>
      <w:r w:rsidRPr="002A194A">
        <w:rPr>
          <w:rFonts w:ascii="Arial" w:hAnsi="Arial" w:cs="Arial"/>
        </w:rPr>
        <w:t>raporcie rocznym z realizacji Umowy za rok poprzedni, odnosząc się do odchyleń od</w:t>
      </w:r>
      <w:r w:rsidR="004944BC" w:rsidRPr="002A194A">
        <w:rPr>
          <w:rFonts w:ascii="Arial" w:hAnsi="Arial" w:cs="Arial"/>
        </w:rPr>
        <w:t> </w:t>
      </w:r>
      <w:r w:rsidRPr="002A194A">
        <w:rPr>
          <w:rFonts w:ascii="Arial" w:hAnsi="Arial" w:cs="Arial"/>
        </w:rPr>
        <w:t>wartości prognozowanych</w:t>
      </w:r>
      <w:r w:rsidR="00B46603" w:rsidRPr="002A194A">
        <w:rPr>
          <w:rFonts w:ascii="Arial" w:hAnsi="Arial" w:cs="Arial"/>
        </w:rPr>
        <w:t xml:space="preserve"> na dany rok, </w:t>
      </w:r>
      <w:r w:rsidR="004944BC" w:rsidRPr="002A194A">
        <w:rPr>
          <w:rFonts w:ascii="Arial" w:hAnsi="Arial" w:cs="Arial"/>
        </w:rPr>
        <w:t xml:space="preserve">występujących trendów zmian na przestrzeni lat, w tym także od wartości </w:t>
      </w:r>
      <w:r w:rsidR="00B46603" w:rsidRPr="002A194A">
        <w:rPr>
          <w:rFonts w:ascii="Arial" w:hAnsi="Arial" w:cs="Arial"/>
        </w:rPr>
        <w:t xml:space="preserve">określonych jako </w:t>
      </w:r>
      <w:r w:rsidR="00F32FE6" w:rsidRPr="002A194A">
        <w:rPr>
          <w:rFonts w:ascii="Arial" w:hAnsi="Arial" w:cs="Arial"/>
        </w:rPr>
        <w:t>bazowe</w:t>
      </w:r>
      <w:r w:rsidR="00B46603" w:rsidRPr="002A194A">
        <w:rPr>
          <w:rFonts w:ascii="Arial" w:hAnsi="Arial" w:cs="Arial"/>
        </w:rPr>
        <w:t>.</w:t>
      </w:r>
    </w:p>
    <w:p w14:paraId="70CFC83D" w14:textId="77777777" w:rsidR="004944BC" w:rsidRPr="002A194A" w:rsidRDefault="00B46603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>Lista wskaźników według niniejszego załącznika</w:t>
      </w:r>
      <w:r w:rsidR="004944BC" w:rsidRPr="002A194A">
        <w:rPr>
          <w:rFonts w:ascii="Arial" w:hAnsi="Arial" w:cs="Arial"/>
        </w:rPr>
        <w:t xml:space="preserve"> nie ma charakteru zamkniętego.</w:t>
      </w:r>
    </w:p>
    <w:p w14:paraId="6E41D175" w14:textId="77777777" w:rsidR="001D3E8E" w:rsidRPr="002A194A" w:rsidRDefault="00B46603" w:rsidP="004944BC">
      <w:pPr>
        <w:ind w:left="425"/>
        <w:rPr>
          <w:rFonts w:ascii="Arial" w:hAnsi="Arial" w:cs="Arial"/>
        </w:rPr>
      </w:pPr>
      <w:r w:rsidRPr="002A194A">
        <w:rPr>
          <w:rFonts w:ascii="Arial" w:hAnsi="Arial" w:cs="Arial"/>
        </w:rPr>
        <w:t>Strony Umowy w ramach uzgodnień wzajemnych mogą wprowadzić jej uzupełnienie</w:t>
      </w:r>
      <w:r w:rsidR="00F2586E" w:rsidRPr="002A194A">
        <w:rPr>
          <w:rFonts w:ascii="Arial" w:hAnsi="Arial" w:cs="Arial"/>
        </w:rPr>
        <w:t>, w </w:t>
      </w:r>
      <w:r w:rsidR="00CD5992" w:rsidRPr="002A194A">
        <w:rPr>
          <w:rFonts w:ascii="Arial" w:hAnsi="Arial" w:cs="Arial"/>
        </w:rPr>
        <w:t xml:space="preserve">formie aneksu do </w:t>
      </w:r>
      <w:r w:rsidR="0010023F" w:rsidRPr="002A194A">
        <w:rPr>
          <w:rFonts w:ascii="Arial" w:hAnsi="Arial" w:cs="Arial"/>
        </w:rPr>
        <w:t>Umowy</w:t>
      </w:r>
      <w:r w:rsidRPr="002A194A">
        <w:rPr>
          <w:rFonts w:ascii="Arial" w:hAnsi="Arial" w:cs="Arial"/>
        </w:rPr>
        <w:t xml:space="preserve">. </w:t>
      </w:r>
      <w:r w:rsidR="00CD5992" w:rsidRPr="002A194A">
        <w:rPr>
          <w:rFonts w:ascii="Arial" w:hAnsi="Arial" w:cs="Arial"/>
        </w:rPr>
        <w:t>W tej formie</w:t>
      </w:r>
      <w:r w:rsidR="000044D3" w:rsidRPr="002A194A">
        <w:rPr>
          <w:rFonts w:ascii="Arial" w:hAnsi="Arial" w:cs="Arial"/>
        </w:rPr>
        <w:t xml:space="preserve"> m</w:t>
      </w:r>
      <w:r w:rsidRPr="002A194A">
        <w:rPr>
          <w:rFonts w:ascii="Arial" w:hAnsi="Arial" w:cs="Arial"/>
        </w:rPr>
        <w:t xml:space="preserve">ogą również ograniczyć </w:t>
      </w:r>
      <w:r w:rsidR="001D3E8E" w:rsidRPr="002A194A">
        <w:rPr>
          <w:rFonts w:ascii="Arial" w:hAnsi="Arial" w:cs="Arial"/>
        </w:rPr>
        <w:t>listę do wybranych wskaźników</w:t>
      </w:r>
      <w:r w:rsidR="008E1690" w:rsidRPr="002A194A">
        <w:rPr>
          <w:rFonts w:ascii="Arial" w:hAnsi="Arial" w:cs="Arial"/>
        </w:rPr>
        <w:t>.</w:t>
      </w:r>
    </w:p>
    <w:p w14:paraId="6E0D54BC" w14:textId="77777777" w:rsidR="009413C9" w:rsidRPr="002A194A" w:rsidRDefault="001D3E8E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>Załącznik niniejszy określa</w:t>
      </w:r>
      <w:r w:rsidR="009413C9" w:rsidRPr="002A194A">
        <w:rPr>
          <w:rFonts w:ascii="Arial" w:hAnsi="Arial" w:cs="Arial"/>
        </w:rPr>
        <w:t>:</w:t>
      </w:r>
    </w:p>
    <w:p w14:paraId="1078AB68" w14:textId="77777777" w:rsidR="009413C9" w:rsidRPr="002A194A" w:rsidRDefault="007B2247" w:rsidP="008B7132">
      <w:pPr>
        <w:numPr>
          <w:ilvl w:val="1"/>
          <w:numId w:val="4"/>
        </w:numPr>
        <w:ind w:left="850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definicje </w:t>
      </w:r>
      <w:r w:rsidR="001D3E8E" w:rsidRPr="002A194A">
        <w:rPr>
          <w:rFonts w:ascii="Arial" w:hAnsi="Arial" w:cs="Arial"/>
        </w:rPr>
        <w:t>wskaźnik</w:t>
      </w:r>
      <w:r w:rsidRPr="002A194A">
        <w:rPr>
          <w:rFonts w:ascii="Arial" w:hAnsi="Arial" w:cs="Arial"/>
        </w:rPr>
        <w:t>ów</w:t>
      </w:r>
      <w:r w:rsidR="0023126E" w:rsidRPr="002A194A">
        <w:rPr>
          <w:rFonts w:ascii="Arial" w:hAnsi="Arial" w:cs="Arial"/>
        </w:rPr>
        <w:t>;</w:t>
      </w:r>
    </w:p>
    <w:p w14:paraId="0054790C" w14:textId="77777777" w:rsidR="00CD5A6F" w:rsidRPr="002A194A" w:rsidRDefault="001D3E8E" w:rsidP="008B7132">
      <w:pPr>
        <w:numPr>
          <w:ilvl w:val="1"/>
          <w:numId w:val="4"/>
        </w:numPr>
        <w:ind w:left="850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wielkości wskaźników </w:t>
      </w:r>
      <w:r w:rsidR="00CD5A6F" w:rsidRPr="002A194A">
        <w:rPr>
          <w:rFonts w:ascii="Arial" w:hAnsi="Arial" w:cs="Arial"/>
        </w:rPr>
        <w:t xml:space="preserve">uzyskanych w roku </w:t>
      </w:r>
      <w:r w:rsidR="00F32FE6" w:rsidRPr="002A194A">
        <w:rPr>
          <w:rFonts w:ascii="Arial" w:hAnsi="Arial" w:cs="Arial"/>
        </w:rPr>
        <w:t>bazowym</w:t>
      </w:r>
      <w:r w:rsidR="00CD5A6F" w:rsidRPr="002A194A">
        <w:rPr>
          <w:rFonts w:ascii="Arial" w:hAnsi="Arial" w:cs="Arial"/>
        </w:rPr>
        <w:t xml:space="preserve"> oraz </w:t>
      </w:r>
      <w:r w:rsidRPr="002A194A">
        <w:rPr>
          <w:rFonts w:ascii="Arial" w:hAnsi="Arial" w:cs="Arial"/>
        </w:rPr>
        <w:t>do uzyskania przez Zarządcę</w:t>
      </w:r>
      <w:r w:rsidR="00CD5A6F" w:rsidRPr="002A194A">
        <w:rPr>
          <w:rFonts w:ascii="Arial" w:hAnsi="Arial" w:cs="Arial"/>
        </w:rPr>
        <w:t xml:space="preserve"> w</w:t>
      </w:r>
      <w:r w:rsidR="004944BC" w:rsidRPr="002A194A">
        <w:rPr>
          <w:rFonts w:ascii="Arial" w:hAnsi="Arial" w:cs="Arial"/>
        </w:rPr>
        <w:t> </w:t>
      </w:r>
      <w:r w:rsidR="007B2247" w:rsidRPr="002A194A">
        <w:rPr>
          <w:rFonts w:ascii="Arial" w:hAnsi="Arial" w:cs="Arial"/>
        </w:rPr>
        <w:t xml:space="preserve">toku </w:t>
      </w:r>
      <w:r w:rsidR="00CD5A6F" w:rsidRPr="002A194A">
        <w:rPr>
          <w:rFonts w:ascii="Arial" w:hAnsi="Arial" w:cs="Arial"/>
        </w:rPr>
        <w:t>realizacji Umowy</w:t>
      </w:r>
      <w:r w:rsidR="0023126E" w:rsidRPr="002A194A">
        <w:rPr>
          <w:rFonts w:ascii="Arial" w:hAnsi="Arial" w:cs="Arial"/>
        </w:rPr>
        <w:t>;</w:t>
      </w:r>
    </w:p>
    <w:p w14:paraId="43B460AE" w14:textId="77777777" w:rsidR="00CD5A6F" w:rsidRPr="002A194A" w:rsidRDefault="00CD5A6F" w:rsidP="008B7132">
      <w:pPr>
        <w:numPr>
          <w:ilvl w:val="1"/>
          <w:numId w:val="4"/>
        </w:numPr>
        <w:ind w:left="850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sposoby określania </w:t>
      </w:r>
      <w:r w:rsidR="003B0C61" w:rsidRPr="002A194A">
        <w:rPr>
          <w:rFonts w:ascii="Arial" w:hAnsi="Arial" w:cs="Arial"/>
        </w:rPr>
        <w:t xml:space="preserve">wartości </w:t>
      </w:r>
      <w:r w:rsidRPr="002A194A">
        <w:rPr>
          <w:rFonts w:ascii="Arial" w:hAnsi="Arial" w:cs="Arial"/>
        </w:rPr>
        <w:t>wskaźników, źródła danych do ich wyliczeń oraz inne obowiązujące w tym zakresie warunki.</w:t>
      </w:r>
    </w:p>
    <w:p w14:paraId="79EDCA33" w14:textId="7272C59F" w:rsidR="006A1478" w:rsidRPr="002A194A" w:rsidRDefault="004944BC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>Zarządca, zgodnie z</w:t>
      </w:r>
      <w:r w:rsidR="00D06DD6" w:rsidRPr="002A194A">
        <w:rPr>
          <w:rFonts w:ascii="Arial" w:hAnsi="Arial" w:cs="Arial"/>
        </w:rPr>
        <w:t> </w:t>
      </w:r>
      <w:r w:rsidRPr="002A194A">
        <w:rPr>
          <w:rFonts w:ascii="Arial" w:hAnsi="Arial" w:cs="Arial"/>
        </w:rPr>
        <w:t>postanowieniami punktu 8.2.</w:t>
      </w:r>
      <w:r w:rsidR="004A43C3" w:rsidRPr="002A194A">
        <w:rPr>
          <w:rFonts w:ascii="Arial" w:hAnsi="Arial" w:cs="Arial"/>
        </w:rPr>
        <w:t>4</w:t>
      </w:r>
      <w:r w:rsidRPr="002A194A">
        <w:rPr>
          <w:rFonts w:ascii="Arial" w:hAnsi="Arial" w:cs="Arial"/>
        </w:rPr>
        <w:t>. Umowy, zobowiązany jest d</w:t>
      </w:r>
      <w:r w:rsidR="00CD5A6F" w:rsidRPr="002A194A">
        <w:rPr>
          <w:rFonts w:ascii="Arial" w:hAnsi="Arial" w:cs="Arial"/>
        </w:rPr>
        <w:t xml:space="preserve">o odniesienia się do </w:t>
      </w:r>
      <w:r w:rsidR="009518B3" w:rsidRPr="002A194A">
        <w:rPr>
          <w:rFonts w:ascii="Arial" w:hAnsi="Arial" w:cs="Arial"/>
        </w:rPr>
        <w:t xml:space="preserve">uzyskanych wielkości wskaźników </w:t>
      </w:r>
      <w:r w:rsidR="00CD5A6F" w:rsidRPr="002A194A">
        <w:rPr>
          <w:rFonts w:ascii="Arial" w:hAnsi="Arial" w:cs="Arial"/>
        </w:rPr>
        <w:t>w</w:t>
      </w:r>
      <w:r w:rsidR="00D06DD6" w:rsidRPr="002A194A">
        <w:rPr>
          <w:rFonts w:ascii="Arial" w:hAnsi="Arial" w:cs="Arial"/>
        </w:rPr>
        <w:t> </w:t>
      </w:r>
      <w:r w:rsidR="00CD5A6F" w:rsidRPr="002A194A">
        <w:rPr>
          <w:rFonts w:ascii="Arial" w:hAnsi="Arial" w:cs="Arial"/>
        </w:rPr>
        <w:t>raporcie rocznym</w:t>
      </w:r>
      <w:r w:rsidRPr="002A194A">
        <w:rPr>
          <w:rFonts w:ascii="Arial" w:hAnsi="Arial" w:cs="Arial"/>
        </w:rPr>
        <w:t>.</w:t>
      </w:r>
    </w:p>
    <w:p w14:paraId="327310B2" w14:textId="77777777" w:rsidR="006A1478" w:rsidRPr="002A194A" w:rsidRDefault="006A1478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Wielkości wskaźników zaprognozowane do uzyskania </w:t>
      </w:r>
      <w:r w:rsidR="001C29DD" w:rsidRPr="002A194A">
        <w:rPr>
          <w:rFonts w:ascii="Arial" w:hAnsi="Arial" w:cs="Arial"/>
        </w:rPr>
        <w:t xml:space="preserve">w </w:t>
      </w:r>
      <w:r w:rsidRPr="002A194A">
        <w:rPr>
          <w:rFonts w:ascii="Arial" w:hAnsi="Arial" w:cs="Arial"/>
        </w:rPr>
        <w:t xml:space="preserve">kolejnych latach obowiązywania Umowy – w ramach wzajemnych uzgodnień Stron – mogą być skorygowane w rezultacie zaistnienia nowych okoliczności, </w:t>
      </w:r>
      <w:r w:rsidR="008E1690" w:rsidRPr="002A194A">
        <w:rPr>
          <w:rFonts w:ascii="Arial" w:hAnsi="Arial" w:cs="Arial"/>
        </w:rPr>
        <w:t>zmian sposobów wyliczania będących rezultatem zmiany systemów pozyskiwania i magazynowania danych bazowych</w:t>
      </w:r>
      <w:r w:rsidR="009518B3" w:rsidRPr="002A194A">
        <w:rPr>
          <w:rFonts w:ascii="Arial" w:hAnsi="Arial" w:cs="Arial"/>
        </w:rPr>
        <w:t xml:space="preserve"> lub</w:t>
      </w:r>
      <w:r w:rsidR="008E1690" w:rsidRPr="002A194A">
        <w:rPr>
          <w:rFonts w:ascii="Arial" w:hAnsi="Arial" w:cs="Arial"/>
        </w:rPr>
        <w:t xml:space="preserve"> </w:t>
      </w:r>
      <w:r w:rsidRPr="002A194A">
        <w:rPr>
          <w:rFonts w:ascii="Arial" w:hAnsi="Arial" w:cs="Arial"/>
        </w:rPr>
        <w:t>ujawnienia nowych potrzeb.</w:t>
      </w:r>
    </w:p>
    <w:p w14:paraId="03545469" w14:textId="77777777" w:rsidR="00382C10" w:rsidRPr="002A194A" w:rsidRDefault="00382C10" w:rsidP="00382C10">
      <w:pPr>
        <w:numPr>
          <w:ilvl w:val="0"/>
          <w:numId w:val="3"/>
        </w:numPr>
        <w:ind w:left="425" w:hanging="425"/>
        <w:rPr>
          <w:rFonts w:ascii="Arial" w:hAnsi="Arial" w:cs="Arial"/>
          <w:bCs/>
        </w:rPr>
      </w:pPr>
      <w:r w:rsidRPr="002A194A">
        <w:rPr>
          <w:rFonts w:ascii="Arial" w:hAnsi="Arial" w:cs="Arial"/>
        </w:rPr>
        <w:t xml:space="preserve">Wskaźnik obligatoryjny – </w:t>
      </w:r>
      <w:r w:rsidRPr="002A194A">
        <w:rPr>
          <w:rFonts w:ascii="Arial" w:hAnsi="Arial" w:cs="Arial"/>
          <w:bCs/>
        </w:rPr>
        <w:t>wskaźnik</w:t>
      </w:r>
      <w:r w:rsidR="00EB1221" w:rsidRPr="002A194A">
        <w:rPr>
          <w:rFonts w:ascii="Arial" w:hAnsi="Arial" w:cs="Arial"/>
          <w:bCs/>
        </w:rPr>
        <w:t xml:space="preserve"> </w:t>
      </w:r>
      <w:r w:rsidR="009D696B" w:rsidRPr="002A194A">
        <w:rPr>
          <w:rFonts w:ascii="Arial" w:hAnsi="Arial" w:cs="Arial"/>
          <w:bCs/>
        </w:rPr>
        <w:t>stanowiący zadanie planowe</w:t>
      </w:r>
      <w:r w:rsidRPr="002A194A">
        <w:rPr>
          <w:rFonts w:ascii="Arial" w:hAnsi="Arial" w:cs="Arial"/>
          <w:bCs/>
        </w:rPr>
        <w:t>, którego wartość Zarządca zobowiązany jest uzyskać w okresie obowiązywania Umowy</w:t>
      </w:r>
      <w:r w:rsidR="009D696B" w:rsidRPr="002A194A">
        <w:rPr>
          <w:rFonts w:ascii="Arial" w:hAnsi="Arial" w:cs="Arial"/>
          <w:bCs/>
        </w:rPr>
        <w:t xml:space="preserve"> i który podlega rozliczaniu w Karcie Oceny działalności Zarządcy, o której mowa w pkt 9.1.7. i 9.1.8. Umowy</w:t>
      </w:r>
      <w:r w:rsidR="00A30993" w:rsidRPr="002A194A">
        <w:rPr>
          <w:rFonts w:ascii="Arial" w:hAnsi="Arial" w:cs="Arial"/>
          <w:bCs/>
        </w:rPr>
        <w:t xml:space="preserve"> oraz postanowieniom pkt 9.2.1. </w:t>
      </w:r>
      <w:r w:rsidR="00393E8C" w:rsidRPr="002A194A">
        <w:rPr>
          <w:rFonts w:ascii="Arial" w:hAnsi="Arial" w:cs="Arial"/>
          <w:bCs/>
        </w:rPr>
        <w:t>lit. f Umowy</w:t>
      </w:r>
      <w:r w:rsidR="009D696B" w:rsidRPr="002A194A">
        <w:rPr>
          <w:rFonts w:ascii="Arial" w:hAnsi="Arial" w:cs="Arial"/>
          <w:bCs/>
        </w:rPr>
        <w:t>.</w:t>
      </w:r>
    </w:p>
    <w:p w14:paraId="5536E828" w14:textId="77777777" w:rsidR="00382C10" w:rsidRPr="002A194A" w:rsidRDefault="00382C10" w:rsidP="008B7132">
      <w:pPr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Wskaźnik informacyjny </w:t>
      </w:r>
      <w:r w:rsidR="00E34277" w:rsidRPr="002A194A">
        <w:rPr>
          <w:rFonts w:ascii="Arial" w:hAnsi="Arial" w:cs="Arial"/>
        </w:rPr>
        <w:t>–</w:t>
      </w:r>
      <w:r w:rsidR="00142995" w:rsidRPr="002A194A">
        <w:rPr>
          <w:rFonts w:ascii="Arial" w:hAnsi="Arial" w:cs="Arial"/>
        </w:rPr>
        <w:t xml:space="preserve"> </w:t>
      </w:r>
      <w:r w:rsidR="00E34277" w:rsidRPr="002A194A">
        <w:rPr>
          <w:rFonts w:ascii="Arial" w:hAnsi="Arial" w:cs="Arial"/>
        </w:rPr>
        <w:t xml:space="preserve">podlega rozliczaniu </w:t>
      </w:r>
      <w:r w:rsidR="00393E8C" w:rsidRPr="002A194A">
        <w:rPr>
          <w:rFonts w:ascii="Arial" w:hAnsi="Arial" w:cs="Arial"/>
          <w:bCs/>
        </w:rPr>
        <w:t>oraz postanowieniom pkt 9.2.1. lit. f Umowy</w:t>
      </w:r>
      <w:r w:rsidR="00142995" w:rsidRPr="002A194A">
        <w:rPr>
          <w:rFonts w:ascii="Arial" w:hAnsi="Arial" w:cs="Arial"/>
          <w:bCs/>
        </w:rPr>
        <w:t xml:space="preserve">, o ile został ujęty w </w:t>
      </w:r>
      <w:r w:rsidR="00142995" w:rsidRPr="002A194A">
        <w:rPr>
          <w:rFonts w:ascii="Arial" w:hAnsi="Arial" w:cs="Arial"/>
          <w:bCs/>
          <w:i/>
        </w:rPr>
        <w:t>Karcie Oceny działalności Zarządcy</w:t>
      </w:r>
      <w:r w:rsidR="00142995" w:rsidRPr="002A194A">
        <w:rPr>
          <w:rFonts w:ascii="Arial" w:hAnsi="Arial" w:cs="Arial"/>
          <w:bCs/>
        </w:rPr>
        <w:t>, o której mowa w pkt 9.1.7. i 9.1.8. Umowy</w:t>
      </w:r>
      <w:r w:rsidR="0070416A" w:rsidRPr="002A194A">
        <w:rPr>
          <w:rFonts w:ascii="Arial" w:hAnsi="Arial" w:cs="Arial"/>
          <w:bCs/>
        </w:rPr>
        <w:t xml:space="preserve"> oraz </w:t>
      </w:r>
      <w:r w:rsidR="008C71EE" w:rsidRPr="002A194A">
        <w:rPr>
          <w:rFonts w:ascii="Arial" w:hAnsi="Arial" w:cs="Arial"/>
          <w:bCs/>
        </w:rPr>
        <w:t xml:space="preserve">z zastrzeżeniem </w:t>
      </w:r>
      <w:r w:rsidR="0070416A" w:rsidRPr="002A194A">
        <w:rPr>
          <w:rFonts w:ascii="Arial" w:hAnsi="Arial" w:cs="Arial"/>
          <w:bCs/>
        </w:rPr>
        <w:t>terminów</w:t>
      </w:r>
      <w:r w:rsidR="00872A35" w:rsidRPr="002A194A">
        <w:rPr>
          <w:rFonts w:ascii="Arial" w:hAnsi="Arial" w:cs="Arial"/>
          <w:bCs/>
        </w:rPr>
        <w:t xml:space="preserve"> </w:t>
      </w:r>
      <w:r w:rsidR="000D771C" w:rsidRPr="002A194A">
        <w:rPr>
          <w:rFonts w:ascii="Arial" w:hAnsi="Arial" w:cs="Arial"/>
          <w:bCs/>
        </w:rPr>
        <w:t>określonych przy nazwach poszczególnych wskaźników</w:t>
      </w:r>
      <w:r w:rsidR="00872A35" w:rsidRPr="002A194A">
        <w:rPr>
          <w:rFonts w:ascii="Arial" w:hAnsi="Arial" w:cs="Arial"/>
          <w:bCs/>
        </w:rPr>
        <w:t xml:space="preserve"> (o ile występują)</w:t>
      </w:r>
      <w:r w:rsidR="000D771C" w:rsidRPr="002A194A">
        <w:rPr>
          <w:rFonts w:ascii="Arial" w:hAnsi="Arial" w:cs="Arial"/>
          <w:bCs/>
        </w:rPr>
        <w:t>.</w:t>
      </w:r>
    </w:p>
    <w:p w14:paraId="36752039" w14:textId="77777777" w:rsidR="00557582" w:rsidRPr="002A194A" w:rsidRDefault="00652645" w:rsidP="0054516C">
      <w:pPr>
        <w:pStyle w:val="Akapitzlist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left"/>
        <w:rPr>
          <w:rFonts w:ascii="Arial" w:eastAsia="Times New Roman" w:hAnsi="Arial" w:cs="Arial"/>
          <w:kern w:val="28"/>
          <w:sz w:val="24"/>
          <w:szCs w:val="24"/>
          <w:u w:val="single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br w:type="page"/>
      </w:r>
      <w:r w:rsidR="000B1B9B" w:rsidRPr="002A194A">
        <w:rPr>
          <w:rFonts w:ascii="Arial" w:eastAsia="Times New Roman" w:hAnsi="Arial" w:cs="Arial"/>
          <w:bCs/>
          <w:kern w:val="28"/>
          <w:sz w:val="24"/>
          <w:szCs w:val="24"/>
          <w:u w:val="single"/>
        </w:rPr>
        <w:lastRenderedPageBreak/>
        <w:t>Wskaźnik realizacji celu głównego</w:t>
      </w:r>
    </w:p>
    <w:p w14:paraId="46620572" w14:textId="77777777" w:rsidR="00557582" w:rsidRPr="002A194A" w:rsidRDefault="00557582" w:rsidP="00557582">
      <w:pPr>
        <w:pStyle w:val="Akapitzlist"/>
        <w:tabs>
          <w:tab w:val="left" w:pos="0"/>
        </w:tabs>
        <w:autoSpaceDE w:val="0"/>
        <w:autoSpaceDN w:val="0"/>
        <w:adjustRightInd w:val="0"/>
        <w:spacing w:before="480" w:after="480"/>
        <w:ind w:left="567"/>
        <w:jc w:val="left"/>
        <w:rPr>
          <w:rFonts w:ascii="Arial" w:eastAsia="Times New Roman" w:hAnsi="Arial" w:cs="Arial"/>
          <w:kern w:val="28"/>
          <w:lang w:eastAsia="pl-PL"/>
        </w:rPr>
      </w:pPr>
    </w:p>
    <w:p w14:paraId="3977BEFB" w14:textId="77777777" w:rsidR="001737CC" w:rsidRPr="002A194A" w:rsidRDefault="001737CC" w:rsidP="006221F7">
      <w:pPr>
        <w:numPr>
          <w:ilvl w:val="0"/>
          <w:numId w:val="9"/>
        </w:numPr>
        <w:spacing w:before="240" w:after="240"/>
        <w:ind w:left="357" w:hanging="357"/>
        <w:rPr>
          <w:rFonts w:ascii="Arial" w:hAnsi="Arial" w:cs="Arial"/>
        </w:rPr>
      </w:pPr>
      <w:r w:rsidRPr="002A194A">
        <w:rPr>
          <w:rFonts w:ascii="Arial" w:hAnsi="Arial" w:cs="Arial"/>
        </w:rPr>
        <w:t>Nazwa</w:t>
      </w:r>
    </w:p>
    <w:p w14:paraId="41E6717C" w14:textId="77777777" w:rsidR="001737CC" w:rsidRPr="002A194A" w:rsidRDefault="008F4B92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after="240"/>
        <w:ind w:left="714" w:hanging="35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kern w:val="28"/>
          <w:lang w:eastAsia="pl-PL"/>
        </w:rPr>
        <w:t>„</w:t>
      </w:r>
      <w:r w:rsidR="001737CC" w:rsidRPr="002A194A">
        <w:rPr>
          <w:rFonts w:ascii="Arial" w:eastAsia="Times New Roman" w:hAnsi="Arial" w:cs="Arial"/>
          <w:kern w:val="28"/>
          <w:lang w:eastAsia="pl-PL"/>
        </w:rPr>
        <w:t>Udział długości eksploatowanych linii kolejowych spełniających standardy do ogólnej długości eksploatowanych linii kolejowych</w:t>
      </w:r>
      <w:r w:rsidR="00561740" w:rsidRPr="002A194A">
        <w:rPr>
          <w:rFonts w:ascii="Arial" w:eastAsia="Times New Roman" w:hAnsi="Arial" w:cs="Arial"/>
          <w:kern w:val="28"/>
          <w:lang w:eastAsia="pl-PL"/>
        </w:rPr>
        <w:t xml:space="preserve"> (%)</w:t>
      </w:r>
      <w:r w:rsidRPr="002A194A">
        <w:rPr>
          <w:rFonts w:ascii="Arial" w:eastAsia="Times New Roman" w:hAnsi="Arial" w:cs="Arial"/>
          <w:kern w:val="28"/>
          <w:lang w:eastAsia="pl-PL"/>
        </w:rPr>
        <w:t>”</w:t>
      </w:r>
      <w:r w:rsidR="001737CC" w:rsidRPr="002A194A">
        <w:rPr>
          <w:rFonts w:ascii="Arial" w:eastAsia="Times New Roman" w:hAnsi="Arial" w:cs="Arial"/>
          <w:kern w:val="28"/>
          <w:lang w:eastAsia="pl-PL"/>
        </w:rPr>
        <w:t>.</w:t>
      </w:r>
      <w:r w:rsidR="002B2A93" w:rsidRPr="002A194A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2A194A">
        <w:rPr>
          <w:rFonts w:ascii="Arial" w:eastAsia="Times New Roman" w:hAnsi="Arial" w:cs="Arial"/>
          <w:b/>
          <w:kern w:val="28"/>
          <w:lang w:eastAsia="pl-PL"/>
        </w:rPr>
        <w:t>Wskaźnik obligatoryjny</w:t>
      </w:r>
    </w:p>
    <w:p w14:paraId="409C74C5" w14:textId="77777777" w:rsidR="00557582" w:rsidRPr="002A194A" w:rsidRDefault="00557582" w:rsidP="006221F7">
      <w:pPr>
        <w:numPr>
          <w:ilvl w:val="0"/>
          <w:numId w:val="9"/>
        </w:numPr>
        <w:spacing w:after="120"/>
        <w:ind w:left="357" w:hanging="357"/>
        <w:rPr>
          <w:rFonts w:ascii="Arial" w:hAnsi="Arial" w:cs="Arial"/>
        </w:rPr>
      </w:pPr>
      <w:r w:rsidRPr="002A194A">
        <w:rPr>
          <w:rFonts w:ascii="Arial" w:hAnsi="Arial" w:cs="Arial"/>
        </w:rPr>
        <w:t>Definicja</w:t>
      </w:r>
    </w:p>
    <w:p w14:paraId="4D38716C" w14:textId="77777777" w:rsidR="001737CC" w:rsidRPr="002A194A" w:rsidRDefault="000B1B9B" w:rsidP="008B7132">
      <w:pPr>
        <w:pStyle w:val="Akapitzlist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Wskaźnikiem monitorowania realizacji celu głównego Programu jest wskaźnik określający efektywność zarządzania infrastrukturą kolejową poprzez poprawę</w:t>
      </w:r>
      <w:r w:rsidR="001737CC" w:rsidRPr="002A194A">
        <w:rPr>
          <w:rFonts w:ascii="Arial" w:eastAsia="Times New Roman" w:hAnsi="Arial" w:cs="Arial"/>
          <w:bCs/>
          <w:kern w:val="28"/>
          <w:lang w:eastAsia="pl-PL"/>
        </w:rPr>
        <w:br/>
      </w:r>
      <w:r w:rsidRPr="002A194A">
        <w:rPr>
          <w:rFonts w:ascii="Arial" w:eastAsia="Times New Roman" w:hAnsi="Arial" w:cs="Arial"/>
          <w:bCs/>
          <w:kern w:val="28"/>
          <w:lang w:eastAsia="pl-PL"/>
        </w:rPr>
        <w:t>i zapewnienie trwałości jej parametrów</w:t>
      </w:r>
      <w:r w:rsidR="001737CC" w:rsidRPr="002A194A">
        <w:rPr>
          <w:rFonts w:ascii="Arial" w:eastAsia="Times New Roman" w:hAnsi="Arial" w:cs="Arial"/>
          <w:bCs/>
          <w:kern w:val="28"/>
          <w:lang w:eastAsia="pl-PL"/>
        </w:rPr>
        <w:t>;</w:t>
      </w:r>
    </w:p>
    <w:p w14:paraId="09641D7F" w14:textId="42C41611" w:rsidR="00557582" w:rsidRPr="002A194A" w:rsidRDefault="001737CC" w:rsidP="008B7132">
      <w:pPr>
        <w:pStyle w:val="Akapitzlist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Wskaźnik </w:t>
      </w:r>
      <w:r w:rsidR="000B1B9B" w:rsidRPr="002A194A">
        <w:rPr>
          <w:rFonts w:ascii="Arial" w:eastAsia="Times New Roman" w:hAnsi="Arial" w:cs="Arial"/>
          <w:bCs/>
          <w:kern w:val="28"/>
          <w:lang w:eastAsia="pl-PL"/>
        </w:rPr>
        <w:t>wyrażony jako udział długości eksploatowanych linii kolejowych spełniających standardy do ogólnej długości eksploatowanych linii kolejowych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;</w:t>
      </w:r>
    </w:p>
    <w:p w14:paraId="60CC3BC5" w14:textId="77777777" w:rsidR="00543CE5" w:rsidRPr="002A194A" w:rsidRDefault="00543CE5" w:rsidP="008B7132">
      <w:pPr>
        <w:pStyle w:val="Akapitzlist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Wartość wskaźnika wyznaczana jest w oparciu o długość torów głów</w:t>
      </w:r>
      <w:r w:rsidR="00F2586E" w:rsidRPr="002A194A">
        <w:rPr>
          <w:rFonts w:ascii="Arial" w:eastAsia="Times New Roman" w:hAnsi="Arial" w:cs="Arial"/>
          <w:bCs/>
          <w:kern w:val="28"/>
          <w:lang w:eastAsia="pl-PL"/>
        </w:rPr>
        <w:t>nych zasadniczych i 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szlakowych;</w:t>
      </w:r>
    </w:p>
    <w:p w14:paraId="161DDBF8" w14:textId="77777777" w:rsidR="001737CC" w:rsidRPr="002A194A" w:rsidRDefault="001737CC" w:rsidP="008B7132">
      <w:pPr>
        <w:pStyle w:val="Akapitzlist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Jednostką miary wskaźnika jest procent (%);</w:t>
      </w:r>
    </w:p>
    <w:p w14:paraId="128C860C" w14:textId="77777777" w:rsidR="00613EAF" w:rsidRPr="002833C3" w:rsidRDefault="00613EAF" w:rsidP="008B7132">
      <w:pPr>
        <w:pStyle w:val="Akapitzlist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before="48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Za spełniające standardy uznaje się te odcinki linii kolejowych, które zgodnie z wynikami </w:t>
      </w:r>
      <w:r w:rsidRPr="002833C3">
        <w:rPr>
          <w:rFonts w:ascii="Arial" w:eastAsia="Times New Roman" w:hAnsi="Arial" w:cs="Arial"/>
          <w:bCs/>
          <w:kern w:val="28"/>
          <w:lang w:eastAsia="pl-PL"/>
        </w:rPr>
        <w:t>dokonywanych przez Zarządcę badań diagnostycznych, pomiarów i oględzin kwalifikuje się jako uzyskujące syntetyczną ocenę dobrą i dostateczną.</w:t>
      </w:r>
      <w:r w:rsidR="00A94A14" w:rsidRPr="002833C3">
        <w:rPr>
          <w:rFonts w:ascii="Arial" w:eastAsia="Times New Roman" w:hAnsi="Arial" w:cs="Arial"/>
          <w:bCs/>
          <w:kern w:val="28"/>
          <w:lang w:eastAsia="pl-PL"/>
        </w:rPr>
        <w:t xml:space="preserve"> Standardy utrzymania określono w załączniku nr 2 do Umowy;</w:t>
      </w:r>
    </w:p>
    <w:p w14:paraId="33FF42BE" w14:textId="728C5551" w:rsidR="00613EAF" w:rsidRPr="002833C3" w:rsidRDefault="00613EAF" w:rsidP="008B7132">
      <w:pPr>
        <w:numPr>
          <w:ilvl w:val="1"/>
          <w:numId w:val="5"/>
        </w:numPr>
        <w:spacing w:before="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833C3">
        <w:rPr>
          <w:rFonts w:ascii="Arial" w:eastAsia="Times New Roman" w:hAnsi="Arial" w:cs="Arial"/>
          <w:bCs/>
          <w:kern w:val="28"/>
          <w:lang w:eastAsia="pl-PL"/>
        </w:rPr>
        <w:t xml:space="preserve">W dokonywanych ocenach wyników badań, o których mowa w punkcie </w:t>
      </w:r>
      <w:r w:rsidR="00557582" w:rsidRPr="002833C3">
        <w:rPr>
          <w:rFonts w:ascii="Arial" w:eastAsia="Times New Roman" w:hAnsi="Arial" w:cs="Arial"/>
          <w:bCs/>
          <w:kern w:val="28"/>
          <w:lang w:eastAsia="pl-PL"/>
        </w:rPr>
        <w:t>2.</w:t>
      </w:r>
      <w:r w:rsidR="00E95A73" w:rsidRPr="002833C3">
        <w:rPr>
          <w:rFonts w:ascii="Arial" w:eastAsia="Times New Roman" w:hAnsi="Arial" w:cs="Arial"/>
          <w:bCs/>
          <w:kern w:val="28"/>
          <w:lang w:eastAsia="pl-PL"/>
        </w:rPr>
        <w:t>5</w:t>
      </w:r>
      <w:r w:rsidR="00A66F86" w:rsidRPr="002833C3">
        <w:rPr>
          <w:rFonts w:ascii="Arial" w:eastAsia="Times New Roman" w:hAnsi="Arial" w:cs="Arial"/>
          <w:bCs/>
          <w:kern w:val="28"/>
          <w:lang w:eastAsia="pl-PL"/>
        </w:rPr>
        <w:t>.</w:t>
      </w:r>
      <w:r w:rsidRPr="002833C3">
        <w:rPr>
          <w:rFonts w:ascii="Arial" w:eastAsia="Times New Roman" w:hAnsi="Arial" w:cs="Arial"/>
          <w:bCs/>
          <w:kern w:val="28"/>
          <w:lang w:eastAsia="pl-PL"/>
        </w:rPr>
        <w:t>, obowiązujące są następujące kryteria:</w:t>
      </w:r>
    </w:p>
    <w:p w14:paraId="62B03855" w14:textId="77777777" w:rsidR="00613EAF" w:rsidRPr="002833C3" w:rsidRDefault="00613EAF" w:rsidP="008B7132">
      <w:pPr>
        <w:numPr>
          <w:ilvl w:val="0"/>
          <w:numId w:val="6"/>
        </w:numPr>
        <w:spacing w:before="0"/>
        <w:ind w:left="993" w:hanging="425"/>
        <w:rPr>
          <w:rFonts w:ascii="Arial" w:eastAsia="Times New Roman" w:hAnsi="Arial" w:cs="Arial"/>
          <w:kern w:val="28"/>
          <w:lang w:eastAsia="pl-PL"/>
        </w:rPr>
      </w:pPr>
      <w:r w:rsidRPr="002833C3">
        <w:rPr>
          <w:rFonts w:ascii="Arial" w:eastAsia="Times New Roman" w:hAnsi="Arial" w:cs="Arial"/>
          <w:kern w:val="28"/>
          <w:lang w:eastAsia="pl-PL"/>
        </w:rPr>
        <w:t xml:space="preserve">ocena dobra – </w:t>
      </w:r>
      <w:r w:rsidRPr="002833C3">
        <w:rPr>
          <w:rFonts w:ascii="Arial" w:eastAsia="Times New Roman" w:hAnsi="Arial" w:cs="Arial"/>
          <w:bCs/>
          <w:kern w:val="28"/>
          <w:lang w:eastAsia="pl-PL"/>
        </w:rPr>
        <w:t>wymagana tylko konserwacja, niezbędne pojedyncze wymiany elementów nawierzchni, brak ograniczeń</w:t>
      </w:r>
      <w:r w:rsidR="00117748" w:rsidRPr="002833C3">
        <w:rPr>
          <w:rFonts w:ascii="Arial" w:eastAsia="Times New Roman" w:hAnsi="Arial" w:cs="Arial"/>
          <w:bCs/>
          <w:kern w:val="28"/>
          <w:lang w:eastAsia="pl-PL"/>
        </w:rPr>
        <w:t xml:space="preserve"> eksploatacyjnych</w:t>
      </w:r>
      <w:r w:rsidRPr="002833C3">
        <w:rPr>
          <w:rFonts w:ascii="Arial" w:eastAsia="Times New Roman" w:hAnsi="Arial" w:cs="Arial"/>
          <w:kern w:val="28"/>
          <w:lang w:eastAsia="pl-PL"/>
        </w:rPr>
        <w:t>;</w:t>
      </w:r>
    </w:p>
    <w:p w14:paraId="1D6DEF65" w14:textId="77777777" w:rsidR="00613EAF" w:rsidRPr="002833C3" w:rsidRDefault="00613EAF" w:rsidP="008B7132">
      <w:pPr>
        <w:numPr>
          <w:ilvl w:val="0"/>
          <w:numId w:val="6"/>
        </w:numPr>
        <w:spacing w:before="0"/>
        <w:ind w:left="993" w:hanging="425"/>
        <w:rPr>
          <w:rFonts w:ascii="Arial" w:eastAsia="Times New Roman" w:hAnsi="Arial" w:cs="Arial"/>
          <w:kern w:val="28"/>
          <w:lang w:eastAsia="pl-PL"/>
        </w:rPr>
      </w:pPr>
      <w:r w:rsidRPr="002833C3">
        <w:rPr>
          <w:rFonts w:ascii="Arial" w:eastAsia="Times New Roman" w:hAnsi="Arial" w:cs="Arial"/>
          <w:kern w:val="28"/>
          <w:lang w:eastAsia="pl-PL"/>
        </w:rPr>
        <w:t>ocena dostateczna – potrzeba wymian elementów nawierzchni do 30%, obniżenie prędkości rozkładowych lub wprowadzenie ograniczeń</w:t>
      </w:r>
      <w:r w:rsidR="00117748" w:rsidRPr="002833C3">
        <w:rPr>
          <w:rFonts w:ascii="Arial" w:eastAsia="Times New Roman" w:hAnsi="Arial" w:cs="Arial"/>
          <w:kern w:val="28"/>
          <w:lang w:eastAsia="pl-PL"/>
        </w:rPr>
        <w:t xml:space="preserve"> eksploatacyjnych</w:t>
      </w:r>
      <w:r w:rsidRPr="002833C3">
        <w:rPr>
          <w:rFonts w:ascii="Arial" w:eastAsia="Times New Roman" w:hAnsi="Arial" w:cs="Arial"/>
          <w:kern w:val="28"/>
          <w:lang w:eastAsia="pl-PL"/>
        </w:rPr>
        <w:t>;</w:t>
      </w:r>
    </w:p>
    <w:p w14:paraId="1D85B95B" w14:textId="77777777" w:rsidR="00E523D5" w:rsidRPr="002833C3" w:rsidRDefault="00613EAF" w:rsidP="008B7132">
      <w:pPr>
        <w:numPr>
          <w:ilvl w:val="0"/>
          <w:numId w:val="6"/>
        </w:numPr>
        <w:spacing w:before="0"/>
        <w:ind w:left="993" w:hanging="425"/>
        <w:rPr>
          <w:rFonts w:ascii="Arial" w:eastAsia="Times New Roman" w:hAnsi="Arial" w:cs="Arial"/>
          <w:kern w:val="28"/>
          <w:lang w:eastAsia="pl-PL"/>
        </w:rPr>
      </w:pPr>
      <w:r w:rsidRPr="002833C3">
        <w:rPr>
          <w:rFonts w:ascii="Arial" w:eastAsia="Times New Roman" w:hAnsi="Arial" w:cs="Arial"/>
          <w:kern w:val="28"/>
          <w:lang w:eastAsia="pl-PL"/>
        </w:rPr>
        <w:t>ocena niezadowalająca – konieczna kompleksowa</w:t>
      </w:r>
      <w:r w:rsidR="00140A6B" w:rsidRPr="002833C3">
        <w:rPr>
          <w:rFonts w:ascii="Arial" w:eastAsia="Times New Roman" w:hAnsi="Arial" w:cs="Arial"/>
          <w:kern w:val="28"/>
          <w:lang w:eastAsia="pl-PL"/>
        </w:rPr>
        <w:t xml:space="preserve"> </w:t>
      </w:r>
      <w:r w:rsidR="00117748" w:rsidRPr="002833C3">
        <w:rPr>
          <w:rFonts w:ascii="Arial" w:eastAsia="Times New Roman" w:hAnsi="Arial" w:cs="Arial"/>
          <w:kern w:val="28"/>
          <w:lang w:eastAsia="pl-PL"/>
        </w:rPr>
        <w:t>wymiana nawierzchni</w:t>
      </w:r>
      <w:r w:rsidRPr="002833C3">
        <w:rPr>
          <w:rFonts w:ascii="Arial" w:eastAsia="Times New Roman" w:hAnsi="Arial" w:cs="Arial"/>
          <w:kern w:val="28"/>
          <w:lang w:eastAsia="pl-PL"/>
        </w:rPr>
        <w:t>, znaczne obniżenie prędkości rozkładowych oraz duża ilość ograniczeń</w:t>
      </w:r>
      <w:r w:rsidR="00117748" w:rsidRPr="002833C3">
        <w:rPr>
          <w:rFonts w:ascii="Arial" w:eastAsia="Times New Roman" w:hAnsi="Arial" w:cs="Arial"/>
          <w:kern w:val="28"/>
          <w:lang w:eastAsia="pl-PL"/>
        </w:rPr>
        <w:t xml:space="preserve"> eksploatacyjnych</w:t>
      </w:r>
      <w:r w:rsidRPr="002833C3">
        <w:rPr>
          <w:rFonts w:ascii="Arial" w:eastAsia="Times New Roman" w:hAnsi="Arial" w:cs="Arial"/>
          <w:kern w:val="28"/>
          <w:lang w:eastAsia="pl-PL"/>
        </w:rPr>
        <w:t>.</w:t>
      </w:r>
    </w:p>
    <w:p w14:paraId="2E248C5C" w14:textId="77777777" w:rsidR="00A66F86" w:rsidRPr="002A194A" w:rsidRDefault="00A66F86" w:rsidP="006221F7">
      <w:pPr>
        <w:numPr>
          <w:ilvl w:val="0"/>
          <w:numId w:val="9"/>
        </w:numPr>
        <w:spacing w:before="240" w:after="240"/>
        <w:ind w:left="357" w:hanging="357"/>
        <w:rPr>
          <w:rFonts w:ascii="Arial" w:hAnsi="Arial" w:cs="Arial"/>
        </w:rPr>
      </w:pPr>
      <w:r w:rsidRPr="002A194A">
        <w:rPr>
          <w:rFonts w:ascii="Arial" w:hAnsi="Arial" w:cs="Arial"/>
        </w:rPr>
        <w:t>Źródła danych</w:t>
      </w:r>
    </w:p>
    <w:p w14:paraId="4B297705" w14:textId="778F7133" w:rsidR="00A66F86" w:rsidRPr="002A194A" w:rsidRDefault="00983BE2" w:rsidP="00E13E37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kern w:val="28"/>
          <w:lang w:eastAsia="pl-PL"/>
        </w:rPr>
        <w:t>Syntetyczna ocena stanu technicznego linii kolejowych (nawierzchni kolejowej) na podstawie badań diagnostycznych</w:t>
      </w:r>
      <w:r w:rsidR="002635CF" w:rsidRPr="002A194A">
        <w:rPr>
          <w:rFonts w:ascii="Arial" w:eastAsia="Times New Roman" w:hAnsi="Arial" w:cs="Arial"/>
          <w:kern w:val="28"/>
          <w:lang w:eastAsia="pl-PL"/>
        </w:rPr>
        <w:t>,</w:t>
      </w:r>
      <w:r w:rsidRPr="002A194A">
        <w:rPr>
          <w:rFonts w:ascii="Arial" w:eastAsia="Times New Roman" w:hAnsi="Arial" w:cs="Arial"/>
          <w:kern w:val="28"/>
          <w:lang w:eastAsia="pl-PL"/>
        </w:rPr>
        <w:t xml:space="preserve"> pomiarów i oględzin</w:t>
      </w:r>
      <w:r w:rsidR="008D6B96" w:rsidRPr="002A194A">
        <w:rPr>
          <w:rFonts w:ascii="Arial" w:eastAsia="Times New Roman" w:hAnsi="Arial" w:cs="Arial"/>
          <w:kern w:val="28"/>
          <w:lang w:eastAsia="pl-PL"/>
        </w:rPr>
        <w:t>.</w:t>
      </w:r>
      <w:r w:rsidR="008D6B96" w:rsidRPr="002A194A" w:rsidDel="008D6B96">
        <w:rPr>
          <w:rFonts w:ascii="Arial" w:eastAsia="Times New Roman" w:hAnsi="Arial" w:cs="Arial"/>
          <w:kern w:val="28"/>
          <w:lang w:eastAsia="pl-PL"/>
        </w:rPr>
        <w:t xml:space="preserve"> </w:t>
      </w:r>
    </w:p>
    <w:p w14:paraId="10C7CD3E" w14:textId="77777777" w:rsidR="00F840EC" w:rsidRPr="002A194A" w:rsidRDefault="00F840EC" w:rsidP="006221F7">
      <w:pPr>
        <w:numPr>
          <w:ilvl w:val="0"/>
          <w:numId w:val="9"/>
        </w:numPr>
        <w:spacing w:before="240" w:after="240"/>
        <w:ind w:left="357" w:hanging="357"/>
        <w:rPr>
          <w:rFonts w:ascii="Arial" w:hAnsi="Arial" w:cs="Arial"/>
        </w:rPr>
      </w:pPr>
      <w:bookmarkStart w:id="1" w:name="highlightHit_244"/>
      <w:bookmarkStart w:id="2" w:name="highlightHit_245"/>
      <w:bookmarkEnd w:id="1"/>
      <w:bookmarkEnd w:id="2"/>
      <w:r w:rsidRPr="002A194A">
        <w:rPr>
          <w:rFonts w:ascii="Arial" w:hAnsi="Arial" w:cs="Arial"/>
        </w:rPr>
        <w:t>Wartość oczekiwana</w:t>
      </w:r>
    </w:p>
    <w:p w14:paraId="5C196F81" w14:textId="77777777" w:rsidR="00A66F86" w:rsidRPr="002A194A" w:rsidRDefault="00B7247E" w:rsidP="006221F7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 podlega monitorowaniu w cyklu rocznym;</w:t>
      </w:r>
    </w:p>
    <w:p w14:paraId="56D7999A" w14:textId="06B148A7" w:rsidR="003B0DDD" w:rsidRPr="002A194A" w:rsidRDefault="003B0DDD" w:rsidP="006221F7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48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 określany jest na ostatni dzień roku sp</w:t>
      </w:r>
      <w:r w:rsidR="002635CF" w:rsidRPr="002A194A">
        <w:rPr>
          <w:rFonts w:ascii="Arial" w:eastAsia="Times New Roman" w:hAnsi="Arial" w:cs="Arial"/>
          <w:bCs/>
          <w:kern w:val="28"/>
          <w:lang w:eastAsia="pl-PL"/>
        </w:rPr>
        <w:t>rawozdawczego z dokładnością do 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0,1%;</w:t>
      </w:r>
    </w:p>
    <w:p w14:paraId="282C9ECF" w14:textId="77777777" w:rsidR="003B0DDD" w:rsidRDefault="003B0DDD" w:rsidP="006221F7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48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Zarządca zobowiązany jest zapewnić uzyskanie następujących wartości wskaźnika</w:t>
      </w:r>
      <w:r w:rsidR="003E2E9E" w:rsidRPr="002A194A">
        <w:rPr>
          <w:rFonts w:ascii="Arial" w:eastAsia="Times New Roman" w:hAnsi="Arial" w:cs="Arial"/>
          <w:bCs/>
          <w:kern w:val="28"/>
          <w:lang w:eastAsia="pl-PL"/>
        </w:rPr>
        <w:t xml:space="preserve"> w 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poszczególnych latach obowiązywania Umowy:</w:t>
      </w:r>
    </w:p>
    <w:p w14:paraId="50585808" w14:textId="77777777" w:rsidR="0054516C" w:rsidRPr="002A194A" w:rsidRDefault="0054516C" w:rsidP="0054516C">
      <w:pPr>
        <w:pStyle w:val="Akapitzlist"/>
        <w:tabs>
          <w:tab w:val="left" w:pos="0"/>
        </w:tabs>
        <w:autoSpaceDE w:val="0"/>
        <w:autoSpaceDN w:val="0"/>
        <w:adjustRightInd w:val="0"/>
        <w:spacing w:before="480"/>
        <w:ind w:left="567"/>
        <w:rPr>
          <w:rFonts w:ascii="Arial" w:eastAsia="Times New Roman" w:hAnsi="Arial" w:cs="Arial"/>
          <w:bCs/>
          <w:kern w:val="28"/>
          <w:lang w:eastAsia="pl-PL"/>
        </w:rPr>
      </w:pP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933"/>
        <w:gridCol w:w="968"/>
        <w:gridCol w:w="968"/>
        <w:gridCol w:w="968"/>
        <w:gridCol w:w="968"/>
        <w:gridCol w:w="967"/>
        <w:gridCol w:w="1077"/>
      </w:tblGrid>
      <w:tr w:rsidR="00A15FBC" w:rsidRPr="002A194A" w14:paraId="19E497CD" w14:textId="77777777" w:rsidTr="000D204B">
        <w:trPr>
          <w:trHeight w:val="227"/>
          <w:jc w:val="center"/>
        </w:trPr>
        <w:tc>
          <w:tcPr>
            <w:tcW w:w="1279" w:type="pct"/>
            <w:vMerge w:val="restart"/>
            <w:vAlign w:val="center"/>
          </w:tcPr>
          <w:p w14:paraId="52D53A53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Wskaźnik [%]</w:t>
            </w:r>
          </w:p>
        </w:tc>
        <w:tc>
          <w:tcPr>
            <w:tcW w:w="507" w:type="pct"/>
          </w:tcPr>
          <w:p w14:paraId="592B54CC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Wartość bazowa</w:t>
            </w:r>
          </w:p>
        </w:tc>
        <w:tc>
          <w:tcPr>
            <w:tcW w:w="3214" w:type="pct"/>
            <w:gridSpan w:val="6"/>
            <w:vAlign w:val="center"/>
          </w:tcPr>
          <w:p w14:paraId="6E60FD5C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Oczekiwana wartość wskaźnika w latach</w:t>
            </w:r>
          </w:p>
        </w:tc>
      </w:tr>
      <w:tr w:rsidR="000D204B" w:rsidRPr="002A194A" w14:paraId="54B86059" w14:textId="77777777" w:rsidTr="000D204B">
        <w:trPr>
          <w:trHeight w:val="227"/>
          <w:jc w:val="center"/>
        </w:trPr>
        <w:tc>
          <w:tcPr>
            <w:tcW w:w="1279" w:type="pct"/>
            <w:vMerge/>
          </w:tcPr>
          <w:p w14:paraId="71A0642B" w14:textId="77777777" w:rsidR="00A15FBC" w:rsidRPr="002A194A" w:rsidRDefault="00A15FBC" w:rsidP="00091F68">
            <w:pPr>
              <w:spacing w:before="0"/>
              <w:rPr>
                <w:rFonts w:ascii="Arial" w:eastAsia="Times New Roman" w:hAnsi="Arial" w:cs="Arial"/>
                <w:b/>
                <w:bCs/>
                <w:kern w:val="28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vAlign w:val="center"/>
          </w:tcPr>
          <w:p w14:paraId="312FB783" w14:textId="77777777" w:rsidR="00A15FBC" w:rsidRPr="002A194A" w:rsidRDefault="00E67A3C" w:rsidP="000D204B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526" w:type="pct"/>
            <w:vAlign w:val="center"/>
          </w:tcPr>
          <w:p w14:paraId="0E9FFA07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526" w:type="pct"/>
            <w:vAlign w:val="center"/>
          </w:tcPr>
          <w:p w14:paraId="2A47A56D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526" w:type="pct"/>
            <w:vAlign w:val="center"/>
          </w:tcPr>
          <w:p w14:paraId="19A219FF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526" w:type="pct"/>
            <w:vAlign w:val="center"/>
          </w:tcPr>
          <w:p w14:paraId="7ACC057A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525" w:type="pct"/>
            <w:vAlign w:val="center"/>
          </w:tcPr>
          <w:p w14:paraId="7FFB2236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584" w:type="pct"/>
          </w:tcPr>
          <w:p w14:paraId="605C6C6C" w14:textId="77777777" w:rsidR="00A15FBC" w:rsidRPr="002A194A" w:rsidRDefault="00A15FBC" w:rsidP="00091F68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 xml:space="preserve">efekt Programu </w:t>
            </w:r>
          </w:p>
        </w:tc>
      </w:tr>
      <w:tr w:rsidR="000D204B" w:rsidRPr="002A194A" w14:paraId="7953EB5E" w14:textId="77777777" w:rsidTr="00E67A3C">
        <w:trPr>
          <w:trHeight w:val="227"/>
          <w:jc w:val="center"/>
        </w:trPr>
        <w:tc>
          <w:tcPr>
            <w:tcW w:w="1279" w:type="pct"/>
          </w:tcPr>
          <w:p w14:paraId="40550C80" w14:textId="77777777" w:rsidR="00A15FBC" w:rsidRPr="002A194A" w:rsidRDefault="00A15FBC" w:rsidP="00091F68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Udział długości eksploatowanych linii kolejowych spełniających standardy do ogólnej długości eksploatowanych linii kolejowych</w:t>
            </w:r>
          </w:p>
        </w:tc>
        <w:tc>
          <w:tcPr>
            <w:tcW w:w="507" w:type="pct"/>
            <w:vAlign w:val="center"/>
          </w:tcPr>
          <w:p w14:paraId="19CD5FFF" w14:textId="15E6331C" w:rsidR="00A15FBC" w:rsidRPr="002A194A" w:rsidRDefault="00125A2D" w:rsidP="00E67A3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526" w:type="pct"/>
            <w:vAlign w:val="center"/>
          </w:tcPr>
          <w:p w14:paraId="76E876C6" w14:textId="5C7145CB" w:rsidR="00A15FBC" w:rsidRPr="002A194A" w:rsidRDefault="00125A2D" w:rsidP="00971027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526" w:type="pct"/>
            <w:vAlign w:val="center"/>
          </w:tcPr>
          <w:p w14:paraId="4F219286" w14:textId="008F6580" w:rsidR="00A15FBC" w:rsidRPr="002A194A" w:rsidRDefault="00125A2D" w:rsidP="00971027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526" w:type="pct"/>
            <w:vAlign w:val="center"/>
          </w:tcPr>
          <w:p w14:paraId="55FEFD9D" w14:textId="1835906E" w:rsidR="00A15FBC" w:rsidRPr="002A194A" w:rsidRDefault="00125A2D" w:rsidP="00971027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526" w:type="pct"/>
            <w:vAlign w:val="center"/>
          </w:tcPr>
          <w:p w14:paraId="32544F32" w14:textId="59F296E4" w:rsidR="00A15FBC" w:rsidRPr="002A194A" w:rsidRDefault="00125A2D" w:rsidP="00971027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525" w:type="pct"/>
            <w:vAlign w:val="center"/>
          </w:tcPr>
          <w:p w14:paraId="676EFEDD" w14:textId="4A938062" w:rsidR="00A15FBC" w:rsidRPr="002A194A" w:rsidRDefault="00125A2D" w:rsidP="00971027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584" w:type="pct"/>
            <w:vAlign w:val="center"/>
          </w:tcPr>
          <w:p w14:paraId="28344BFD" w14:textId="17B0FFC7" w:rsidR="00A15FBC" w:rsidRPr="002A194A" w:rsidRDefault="00316104" w:rsidP="00B823A9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100</w:t>
            </w:r>
            <w:r w:rsidR="002635CF" w:rsidRPr="002A194A"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  <w:t>,0</w:t>
            </w:r>
          </w:p>
        </w:tc>
      </w:tr>
    </w:tbl>
    <w:p w14:paraId="237979C6" w14:textId="77777777" w:rsidR="00E52AA5" w:rsidRPr="002A194A" w:rsidRDefault="00E52AA5">
      <w:pPr>
        <w:spacing w:before="0" w:after="200" w:line="276" w:lineRule="auto"/>
        <w:jc w:val="left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br w:type="page"/>
      </w:r>
    </w:p>
    <w:p w14:paraId="064167E4" w14:textId="77777777" w:rsidR="007B50F4" w:rsidRPr="002A194A" w:rsidRDefault="007B50F4" w:rsidP="006717EE">
      <w:pPr>
        <w:pStyle w:val="Akapitzlist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before="480" w:after="480"/>
        <w:ind w:left="567" w:hanging="567"/>
        <w:jc w:val="left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lastRenderedPageBreak/>
        <w:t>Średnia prędkość kursowania pociągów (</w:t>
      </w:r>
      <w:r w:rsidR="00DB5E77"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t>p</w:t>
      </w:r>
      <w:r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t>r</w:t>
      </w:r>
      <w:r w:rsidR="002E22C6"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t xml:space="preserve">ędkość </w:t>
      </w:r>
      <w:r w:rsidR="00DB5E77"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t>h</w:t>
      </w:r>
      <w:r w:rsidR="002E22C6"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t>andlowa)</w:t>
      </w:r>
    </w:p>
    <w:p w14:paraId="163B49D5" w14:textId="77777777" w:rsidR="00185367" w:rsidRPr="002A194A" w:rsidRDefault="00185367" w:rsidP="006221F7">
      <w:pPr>
        <w:numPr>
          <w:ilvl w:val="0"/>
          <w:numId w:val="11"/>
        </w:numPr>
        <w:spacing w:after="120"/>
        <w:ind w:left="357" w:hanging="357"/>
        <w:rPr>
          <w:rFonts w:ascii="Arial" w:hAnsi="Arial" w:cs="Arial"/>
        </w:rPr>
      </w:pPr>
      <w:r w:rsidRPr="002A194A">
        <w:rPr>
          <w:rFonts w:ascii="Arial" w:hAnsi="Arial" w:cs="Arial"/>
        </w:rPr>
        <w:t>Nazwa</w:t>
      </w:r>
    </w:p>
    <w:p w14:paraId="7B8C2619" w14:textId="1423F1AC" w:rsidR="00185367" w:rsidRPr="002A194A" w:rsidRDefault="00971027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kern w:val="28"/>
          <w:lang w:eastAsia="pl-PL"/>
        </w:rPr>
        <w:t>„</w:t>
      </w:r>
      <w:r w:rsidR="00185367" w:rsidRPr="002A194A">
        <w:rPr>
          <w:rFonts w:ascii="Arial" w:eastAsia="Times New Roman" w:hAnsi="Arial" w:cs="Arial"/>
          <w:kern w:val="28"/>
          <w:lang w:eastAsia="pl-PL"/>
        </w:rPr>
        <w:t xml:space="preserve">Średnia prędkość kursowania pociągów na </w:t>
      </w:r>
      <w:r w:rsidR="00402394">
        <w:rPr>
          <w:rFonts w:ascii="Arial" w:eastAsia="Times New Roman" w:hAnsi="Arial" w:cs="Arial"/>
          <w:kern w:val="28"/>
          <w:lang w:eastAsia="pl-PL"/>
        </w:rPr>
        <w:t xml:space="preserve">odcinku </w:t>
      </w:r>
      <w:r w:rsidR="00185367" w:rsidRPr="002A194A">
        <w:rPr>
          <w:rFonts w:ascii="Arial" w:eastAsia="Times New Roman" w:hAnsi="Arial" w:cs="Arial"/>
          <w:kern w:val="28"/>
          <w:lang w:eastAsia="pl-PL"/>
        </w:rPr>
        <w:t xml:space="preserve">linii </w:t>
      </w:r>
      <w:r w:rsidR="0090768B" w:rsidRPr="002A194A">
        <w:rPr>
          <w:rFonts w:ascii="Arial" w:eastAsia="Times New Roman" w:hAnsi="Arial" w:cs="Arial"/>
          <w:kern w:val="28"/>
          <w:lang w:eastAsia="pl-PL"/>
        </w:rPr>
        <w:t>311</w:t>
      </w:r>
      <w:r w:rsidR="00402394">
        <w:rPr>
          <w:rFonts w:ascii="Arial" w:eastAsia="Times New Roman" w:hAnsi="Arial" w:cs="Arial"/>
          <w:kern w:val="28"/>
          <w:lang w:eastAsia="pl-PL"/>
        </w:rPr>
        <w:t xml:space="preserve"> będąc</w:t>
      </w:r>
      <w:r w:rsidR="00EE5224">
        <w:rPr>
          <w:rFonts w:ascii="Arial" w:eastAsia="Times New Roman" w:hAnsi="Arial" w:cs="Arial"/>
          <w:kern w:val="28"/>
          <w:lang w:eastAsia="pl-PL"/>
        </w:rPr>
        <w:t>ym</w:t>
      </w:r>
      <w:r w:rsidR="00402394">
        <w:rPr>
          <w:rFonts w:ascii="Arial" w:eastAsia="Times New Roman" w:hAnsi="Arial" w:cs="Arial"/>
          <w:kern w:val="28"/>
          <w:lang w:eastAsia="pl-PL"/>
        </w:rPr>
        <w:t xml:space="preserve"> w zarządzie DSDiK</w:t>
      </w:r>
      <w:r w:rsidRPr="002A194A">
        <w:rPr>
          <w:rFonts w:ascii="Arial" w:eastAsia="Times New Roman" w:hAnsi="Arial" w:cs="Arial"/>
          <w:kern w:val="28"/>
          <w:lang w:eastAsia="pl-PL"/>
        </w:rPr>
        <w:t>”</w:t>
      </w:r>
      <w:r w:rsidR="000A70D5" w:rsidRPr="002A194A">
        <w:rPr>
          <w:rFonts w:ascii="Arial" w:eastAsia="Times New Roman" w:hAnsi="Arial" w:cs="Arial"/>
          <w:kern w:val="28"/>
          <w:lang w:eastAsia="pl-PL"/>
        </w:rPr>
        <w:t>.</w:t>
      </w:r>
      <w:r w:rsidR="004C37A1" w:rsidRPr="002A194A">
        <w:rPr>
          <w:rFonts w:ascii="Arial" w:eastAsia="Times New Roman" w:hAnsi="Arial" w:cs="Arial"/>
          <w:b/>
          <w:kern w:val="28"/>
          <w:lang w:eastAsia="pl-PL"/>
        </w:rPr>
        <w:t xml:space="preserve"> Wskaźnik obligatoryjny</w:t>
      </w:r>
      <w:r w:rsidR="0090768B" w:rsidRPr="002A194A">
        <w:rPr>
          <w:rFonts w:ascii="Arial" w:eastAsia="Times New Roman" w:hAnsi="Arial" w:cs="Arial"/>
          <w:b/>
          <w:kern w:val="28"/>
          <w:lang w:eastAsia="pl-PL"/>
        </w:rPr>
        <w:t xml:space="preserve"> w</w:t>
      </w:r>
      <w:r w:rsidR="00EE5224">
        <w:rPr>
          <w:rFonts w:ascii="Arial" w:eastAsia="Times New Roman" w:hAnsi="Arial" w:cs="Arial"/>
          <w:b/>
          <w:kern w:val="28"/>
          <w:lang w:eastAsia="pl-PL"/>
        </w:rPr>
        <w:t xml:space="preserve"> </w:t>
      </w:r>
      <w:r w:rsidR="004C37A1" w:rsidRPr="002A194A">
        <w:rPr>
          <w:rFonts w:ascii="Arial" w:eastAsia="Times New Roman" w:hAnsi="Arial" w:cs="Arial"/>
          <w:b/>
          <w:kern w:val="28"/>
          <w:lang w:eastAsia="pl-PL"/>
        </w:rPr>
        <w:t xml:space="preserve">latach 2021 </w:t>
      </w:r>
      <w:r w:rsidR="00EE5224">
        <w:rPr>
          <w:rFonts w:ascii="Arial" w:eastAsia="Times New Roman" w:hAnsi="Arial" w:cs="Arial"/>
          <w:b/>
          <w:kern w:val="28"/>
          <w:lang w:eastAsia="pl-PL"/>
        </w:rPr>
        <w:t>i 2023, Wskaźnik informacyjny w </w:t>
      </w:r>
      <w:r w:rsidR="004C37A1" w:rsidRPr="002A194A">
        <w:rPr>
          <w:rFonts w:ascii="Arial" w:eastAsia="Times New Roman" w:hAnsi="Arial" w:cs="Arial"/>
          <w:b/>
          <w:kern w:val="28"/>
          <w:lang w:eastAsia="pl-PL"/>
        </w:rPr>
        <w:t>latach 2019,</w:t>
      </w:r>
      <w:r w:rsidR="0090768B" w:rsidRPr="002A194A">
        <w:rPr>
          <w:rFonts w:ascii="Arial" w:eastAsia="Times New Roman" w:hAnsi="Arial" w:cs="Arial"/>
          <w:b/>
          <w:kern w:val="28"/>
          <w:lang w:eastAsia="pl-PL"/>
        </w:rPr>
        <w:t xml:space="preserve"> </w:t>
      </w:r>
      <w:r w:rsidR="004C37A1" w:rsidRPr="002A194A">
        <w:rPr>
          <w:rFonts w:ascii="Arial" w:eastAsia="Times New Roman" w:hAnsi="Arial" w:cs="Arial"/>
          <w:b/>
          <w:kern w:val="28"/>
          <w:lang w:eastAsia="pl-PL"/>
        </w:rPr>
        <w:t>2020 i 2022.</w:t>
      </w:r>
    </w:p>
    <w:p w14:paraId="4A9E965A" w14:textId="0EAF5618" w:rsidR="007B50F4" w:rsidRPr="002A194A" w:rsidRDefault="00402394" w:rsidP="006221F7">
      <w:pPr>
        <w:numPr>
          <w:ilvl w:val="0"/>
          <w:numId w:val="1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Def</w:t>
      </w:r>
      <w:r w:rsidR="007B50F4" w:rsidRPr="002A194A">
        <w:rPr>
          <w:rFonts w:ascii="Arial" w:hAnsi="Arial" w:cs="Arial"/>
        </w:rPr>
        <w:t>inicja</w:t>
      </w:r>
    </w:p>
    <w:p w14:paraId="40FACB8B" w14:textId="08CC26A1" w:rsidR="007B50F4" w:rsidRPr="002A194A" w:rsidRDefault="00E16579" w:rsidP="006221F7">
      <w:pPr>
        <w:pStyle w:val="Akapitzlist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</w:t>
      </w:r>
      <w:r w:rsidR="00EA0487" w:rsidRPr="002A194A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33D97" w:rsidRPr="002A194A">
        <w:rPr>
          <w:rFonts w:ascii="Arial" w:eastAsia="Times New Roman" w:hAnsi="Arial" w:cs="Arial"/>
          <w:bCs/>
          <w:kern w:val="28"/>
          <w:lang w:eastAsia="pl-PL"/>
        </w:rPr>
        <w:t>definiowan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y</w:t>
      </w:r>
      <w:r w:rsidR="007B50F4" w:rsidRPr="002A194A">
        <w:rPr>
          <w:rFonts w:ascii="Arial" w:eastAsia="Times New Roman" w:hAnsi="Arial" w:cs="Arial"/>
          <w:bCs/>
          <w:kern w:val="28"/>
          <w:lang w:eastAsia="pl-PL"/>
        </w:rPr>
        <w:t xml:space="preserve"> jest jako iloraz całkowitej długości tras pociągów i całkowitego czasu jazdy pociągów upływającego</w:t>
      </w:r>
      <w:r w:rsidR="00D33D97" w:rsidRPr="002A194A">
        <w:rPr>
          <w:rFonts w:ascii="Arial" w:eastAsia="Times New Roman" w:hAnsi="Arial" w:cs="Arial"/>
          <w:bCs/>
          <w:kern w:val="28"/>
          <w:lang w:eastAsia="pl-PL"/>
        </w:rPr>
        <w:t xml:space="preserve"> wg rozkładu jazdy</w:t>
      </w:r>
      <w:r w:rsidR="007B50F4" w:rsidRPr="002A194A">
        <w:rPr>
          <w:rFonts w:ascii="Arial" w:eastAsia="Times New Roman" w:hAnsi="Arial" w:cs="Arial"/>
          <w:bCs/>
          <w:kern w:val="28"/>
          <w:lang w:eastAsia="pl-PL"/>
        </w:rPr>
        <w:t xml:space="preserve"> od odjazdu z</w:t>
      </w:r>
      <w:r w:rsidR="0090768B" w:rsidRPr="002A194A">
        <w:rPr>
          <w:rFonts w:ascii="Arial" w:eastAsia="Times New Roman" w:hAnsi="Arial" w:cs="Arial"/>
          <w:bCs/>
          <w:kern w:val="28"/>
          <w:lang w:eastAsia="pl-PL"/>
        </w:rPr>
        <w:t xml:space="preserve"> punktu </w:t>
      </w:r>
      <w:r w:rsidR="007B50F4" w:rsidRPr="002A194A">
        <w:rPr>
          <w:rFonts w:ascii="Arial" w:eastAsia="Times New Roman" w:hAnsi="Arial" w:cs="Arial"/>
          <w:bCs/>
          <w:kern w:val="28"/>
          <w:lang w:eastAsia="pl-PL"/>
        </w:rPr>
        <w:t>początkow</w:t>
      </w:r>
      <w:r w:rsidR="0090768B" w:rsidRPr="002A194A">
        <w:rPr>
          <w:rFonts w:ascii="Arial" w:eastAsia="Times New Roman" w:hAnsi="Arial" w:cs="Arial"/>
          <w:bCs/>
          <w:kern w:val="28"/>
          <w:lang w:eastAsia="pl-PL"/>
        </w:rPr>
        <w:t xml:space="preserve">ego </w:t>
      </w:r>
      <w:r w:rsidR="007B50F4" w:rsidRPr="002A194A">
        <w:rPr>
          <w:rFonts w:ascii="Arial" w:eastAsia="Times New Roman" w:hAnsi="Arial" w:cs="Arial"/>
          <w:bCs/>
          <w:kern w:val="28"/>
          <w:lang w:eastAsia="pl-PL"/>
        </w:rPr>
        <w:t xml:space="preserve">do przyjazdu do </w:t>
      </w:r>
      <w:r w:rsidR="0090768B" w:rsidRPr="002A194A">
        <w:rPr>
          <w:rFonts w:ascii="Arial" w:eastAsia="Times New Roman" w:hAnsi="Arial" w:cs="Arial"/>
          <w:bCs/>
          <w:kern w:val="28"/>
          <w:lang w:eastAsia="pl-PL"/>
        </w:rPr>
        <w:t>punktu</w:t>
      </w:r>
      <w:r w:rsidR="007B50F4" w:rsidRPr="002A194A">
        <w:rPr>
          <w:rFonts w:ascii="Arial" w:eastAsia="Times New Roman" w:hAnsi="Arial" w:cs="Arial"/>
          <w:bCs/>
          <w:kern w:val="28"/>
          <w:lang w:eastAsia="pl-PL"/>
        </w:rPr>
        <w:t xml:space="preserve"> końcow</w:t>
      </w:r>
      <w:r w:rsidR="0090768B" w:rsidRPr="002A194A">
        <w:rPr>
          <w:rFonts w:ascii="Arial" w:eastAsia="Times New Roman" w:hAnsi="Arial" w:cs="Arial"/>
          <w:bCs/>
          <w:kern w:val="28"/>
          <w:lang w:eastAsia="pl-PL"/>
        </w:rPr>
        <w:t>ego na linii 311</w:t>
      </w:r>
      <w:r w:rsidR="00402394">
        <w:rPr>
          <w:rFonts w:ascii="Arial" w:eastAsia="Times New Roman" w:hAnsi="Arial" w:cs="Arial"/>
          <w:bCs/>
          <w:kern w:val="28"/>
          <w:lang w:eastAsia="pl-PL"/>
        </w:rPr>
        <w:t xml:space="preserve"> będące</w:t>
      </w:r>
      <w:r w:rsidR="00EE5224">
        <w:rPr>
          <w:rFonts w:ascii="Arial" w:eastAsia="Times New Roman" w:hAnsi="Arial" w:cs="Arial"/>
          <w:bCs/>
          <w:kern w:val="28"/>
          <w:lang w:eastAsia="pl-PL"/>
        </w:rPr>
        <w:t>j</w:t>
      </w:r>
      <w:r w:rsidR="00402394">
        <w:rPr>
          <w:rFonts w:ascii="Arial" w:eastAsia="Times New Roman" w:hAnsi="Arial" w:cs="Arial"/>
          <w:bCs/>
          <w:kern w:val="28"/>
          <w:lang w:eastAsia="pl-PL"/>
        </w:rPr>
        <w:t xml:space="preserve"> w zarządzie DSDiK</w:t>
      </w:r>
      <w:r w:rsidR="007B50F4" w:rsidRPr="002A194A">
        <w:rPr>
          <w:rFonts w:ascii="Arial" w:eastAsia="Times New Roman" w:hAnsi="Arial" w:cs="Arial"/>
          <w:bCs/>
          <w:kern w:val="28"/>
          <w:lang w:eastAsia="pl-PL"/>
        </w:rPr>
        <w:t>;</w:t>
      </w:r>
    </w:p>
    <w:p w14:paraId="705F6CF5" w14:textId="77777777" w:rsidR="00971027" w:rsidRPr="002A194A" w:rsidRDefault="007B50F4" w:rsidP="006221F7">
      <w:pPr>
        <w:pStyle w:val="Akapitzlist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48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Wskaźnik </w:t>
      </w:r>
      <w:r w:rsidR="009F3437" w:rsidRPr="002A194A">
        <w:rPr>
          <w:rFonts w:ascii="Arial" w:eastAsia="Times New Roman" w:hAnsi="Arial" w:cs="Arial"/>
          <w:bCs/>
          <w:kern w:val="28"/>
          <w:lang w:eastAsia="pl-PL"/>
        </w:rPr>
        <w:t>wyznaczany</w:t>
      </w:r>
      <w:r w:rsidR="00EA0487" w:rsidRPr="002A194A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jest dla wszystkich pocią</w:t>
      </w:r>
      <w:r w:rsidR="00971027" w:rsidRPr="002A194A">
        <w:rPr>
          <w:rFonts w:ascii="Arial" w:eastAsia="Times New Roman" w:hAnsi="Arial" w:cs="Arial"/>
          <w:bCs/>
          <w:kern w:val="28"/>
          <w:lang w:eastAsia="pl-PL"/>
        </w:rPr>
        <w:t>gów ujętych w rozkładzie jazdy;</w:t>
      </w:r>
    </w:p>
    <w:p w14:paraId="17E3EE90" w14:textId="77777777" w:rsidR="007B50F4" w:rsidRPr="002A194A" w:rsidRDefault="007B50F4" w:rsidP="006221F7">
      <w:pPr>
        <w:pStyle w:val="Akapitzlist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48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Przyjmuje się równoważność roku sprawozdawczego z okresem obowiązywania rocznego rozkładu jazdy</w:t>
      </w:r>
      <w:r w:rsidR="00983BE2" w:rsidRPr="002A194A">
        <w:rPr>
          <w:rFonts w:ascii="Arial" w:eastAsia="Times New Roman" w:hAnsi="Arial" w:cs="Arial"/>
          <w:bCs/>
          <w:kern w:val="28"/>
          <w:lang w:eastAsia="pl-PL"/>
        </w:rPr>
        <w:t xml:space="preserve"> pociągów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1E43D205" w14:textId="77777777" w:rsidR="003C398B" w:rsidRPr="002A194A" w:rsidRDefault="003C398B" w:rsidP="006221F7">
      <w:pPr>
        <w:numPr>
          <w:ilvl w:val="0"/>
          <w:numId w:val="11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Źródła danych</w:t>
      </w:r>
    </w:p>
    <w:p w14:paraId="2ADCDD23" w14:textId="5CF1F01C" w:rsidR="00E523D5" w:rsidRPr="002A194A" w:rsidRDefault="00E523D5" w:rsidP="003C398B">
      <w:pPr>
        <w:rPr>
          <w:rFonts w:ascii="Arial" w:eastAsia="Calibri" w:hAnsi="Arial" w:cs="Arial"/>
        </w:rPr>
      </w:pPr>
      <w:r w:rsidRPr="002A194A">
        <w:rPr>
          <w:rFonts w:ascii="Arial" w:eastAsia="Calibri" w:hAnsi="Arial" w:cs="Arial"/>
        </w:rPr>
        <w:t>Wykorzystywane w ob</w:t>
      </w:r>
      <w:r w:rsidR="0090768B" w:rsidRPr="002A194A">
        <w:rPr>
          <w:rFonts w:ascii="Arial" w:eastAsia="Calibri" w:hAnsi="Arial" w:cs="Arial"/>
        </w:rPr>
        <w:t xml:space="preserve">liczeniach prędkości handlowej </w:t>
      </w:r>
      <w:r w:rsidRPr="002A194A">
        <w:rPr>
          <w:rFonts w:ascii="Arial" w:eastAsia="Calibri" w:hAnsi="Arial" w:cs="Arial"/>
        </w:rPr>
        <w:t>czasy jazdy pociągów oraz długości ich tras dotyczą pociągów, których rozkład jazdy został zarządzony do realizacji w Systemie Konstrukcji Rozkładu Jazdy</w:t>
      </w:r>
      <w:r w:rsidR="00855638" w:rsidRPr="002A194A">
        <w:rPr>
          <w:rFonts w:ascii="Arial" w:eastAsia="Calibri" w:hAnsi="Arial" w:cs="Arial"/>
        </w:rPr>
        <w:t>.</w:t>
      </w:r>
    </w:p>
    <w:p w14:paraId="761C60F4" w14:textId="77777777" w:rsidR="007B50F4" w:rsidRPr="002A194A" w:rsidRDefault="007B50F4" w:rsidP="006221F7">
      <w:pPr>
        <w:numPr>
          <w:ilvl w:val="0"/>
          <w:numId w:val="11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Wartość oczekiwana</w:t>
      </w:r>
    </w:p>
    <w:p w14:paraId="39C0574B" w14:textId="6A1FD9B0" w:rsidR="007B50F4" w:rsidRPr="002A194A" w:rsidRDefault="007B50F4" w:rsidP="00BD1502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 podlega monitorowaniu w cyklu rocznym,</w:t>
      </w:r>
      <w:r w:rsidR="0054516C">
        <w:rPr>
          <w:rFonts w:ascii="Arial" w:eastAsia="Times New Roman" w:hAnsi="Arial" w:cs="Arial"/>
          <w:bCs/>
          <w:kern w:val="28"/>
          <w:lang w:eastAsia="pl-PL"/>
        </w:rPr>
        <w:t xml:space="preserve"> z zastrzeżeniem pkt 3;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</w:p>
    <w:p w14:paraId="22E1AC65" w14:textId="5F92257F" w:rsidR="007B50F4" w:rsidRPr="002A194A" w:rsidRDefault="00747E03" w:rsidP="00BD1502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Zarządca zobowiązany jest zapewnić uzyskanie nas</w:t>
      </w:r>
      <w:r w:rsidR="005B5FE1">
        <w:rPr>
          <w:rFonts w:ascii="Arial" w:eastAsia="Times New Roman" w:hAnsi="Arial" w:cs="Arial"/>
          <w:bCs/>
          <w:kern w:val="28"/>
          <w:lang w:eastAsia="pl-PL"/>
        </w:rPr>
        <w:t>tępujących wartości wskaźnika w 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2021 i 2023 roku:</w:t>
      </w:r>
    </w:p>
    <w:p w14:paraId="469F517E" w14:textId="77777777" w:rsidR="007B50F4" w:rsidRPr="002A194A" w:rsidRDefault="007B50F4" w:rsidP="007B50F4">
      <w:pPr>
        <w:rPr>
          <w:rFonts w:ascii="Arial" w:eastAsia="Times New Roman" w:hAnsi="Arial" w:cs="Arial"/>
          <w:kern w:val="28"/>
          <w:lang w:eastAsia="pl-PL"/>
        </w:rPr>
      </w:pPr>
    </w:p>
    <w:tbl>
      <w:tblPr>
        <w:tblW w:w="461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1324"/>
        <w:gridCol w:w="1325"/>
        <w:gridCol w:w="1325"/>
        <w:gridCol w:w="1322"/>
      </w:tblGrid>
      <w:tr w:rsidR="002151AD" w:rsidRPr="002A194A" w14:paraId="09AE1E7C" w14:textId="77777777" w:rsidTr="00042F9A">
        <w:trPr>
          <w:trHeight w:val="256"/>
          <w:jc w:val="center"/>
        </w:trPr>
        <w:tc>
          <w:tcPr>
            <w:tcW w:w="1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2E74" w14:textId="77777777" w:rsidR="002151AD" w:rsidRPr="002A194A" w:rsidRDefault="002151AD" w:rsidP="00042F9A">
            <w:pPr>
              <w:jc w:val="center"/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Wskaźnik [km/h]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169F" w14:textId="77777777" w:rsidR="002151AD" w:rsidRPr="002A194A" w:rsidRDefault="002151AD" w:rsidP="00042F9A">
            <w:pPr>
              <w:jc w:val="center"/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D9C9D" w14:textId="77777777" w:rsidR="002151AD" w:rsidRPr="002A194A" w:rsidRDefault="002151AD" w:rsidP="00042F9A">
            <w:pPr>
              <w:jc w:val="center"/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Oczekiwana wartość wskaźnika w latach</w:t>
            </w:r>
          </w:p>
        </w:tc>
      </w:tr>
      <w:tr w:rsidR="005E007F" w:rsidRPr="002A194A" w14:paraId="129418B7" w14:textId="77777777" w:rsidTr="00042F9A">
        <w:trPr>
          <w:trHeight w:val="102"/>
          <w:jc w:val="center"/>
        </w:trPr>
        <w:tc>
          <w:tcPr>
            <w:tcW w:w="18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440A7" w14:textId="77777777" w:rsidR="005E007F" w:rsidRPr="002A194A" w:rsidRDefault="005E007F" w:rsidP="00042F9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3D0F" w14:textId="77777777" w:rsidR="005E007F" w:rsidRPr="002A194A" w:rsidRDefault="005E007F" w:rsidP="00042F9A">
            <w:pPr>
              <w:jc w:val="center"/>
              <w:rPr>
                <w:rFonts w:ascii="Arial" w:hAnsi="Arial" w:cs="Aria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01BA1" w14:textId="77777777" w:rsidR="005E007F" w:rsidRPr="002A194A" w:rsidRDefault="005E007F" w:rsidP="00042F9A">
            <w:pPr>
              <w:jc w:val="center"/>
              <w:rPr>
                <w:rFonts w:ascii="Arial" w:hAnsi="Arial" w:cs="Aria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0A54A" w14:textId="77777777" w:rsidR="005E007F" w:rsidRPr="002A194A" w:rsidRDefault="005E007F" w:rsidP="00042F9A">
            <w:pPr>
              <w:jc w:val="center"/>
              <w:rPr>
                <w:rFonts w:ascii="Arial" w:hAnsi="Arial" w:cs="Aria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1CB65" w14:textId="77777777" w:rsidR="005E007F" w:rsidRPr="002A194A" w:rsidRDefault="005E007F" w:rsidP="00042F9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efekt</w:t>
            </w:r>
          </w:p>
          <w:p w14:paraId="34B4AE6B" w14:textId="4362B6E6" w:rsidR="005E007F" w:rsidRPr="002A194A" w:rsidRDefault="005E007F" w:rsidP="00042F9A">
            <w:pPr>
              <w:jc w:val="center"/>
              <w:rPr>
                <w:rFonts w:ascii="Arial" w:hAnsi="Arial" w:cs="Aria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Programu</w:t>
            </w:r>
          </w:p>
        </w:tc>
      </w:tr>
      <w:tr w:rsidR="005E007F" w:rsidRPr="002A194A" w14:paraId="2EEB5205" w14:textId="77777777" w:rsidTr="00042F9A">
        <w:trPr>
          <w:trHeight w:val="427"/>
          <w:jc w:val="center"/>
        </w:trPr>
        <w:tc>
          <w:tcPr>
            <w:tcW w:w="18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CFCA" w14:textId="3B68308E" w:rsidR="005E007F" w:rsidRPr="002A194A" w:rsidRDefault="005E007F" w:rsidP="00042F9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Średnia prędkość kurs</w:t>
            </w:r>
            <w:r w:rsidR="00125A2D"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>owania pociągów na</w:t>
            </w:r>
            <w:r w:rsidR="005B5FE1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 xml:space="preserve"> odcinku</w:t>
            </w:r>
            <w:r w:rsidR="007F1684"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 xml:space="preserve"> linii 311</w:t>
            </w:r>
            <w:r w:rsidR="005B5FE1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 xml:space="preserve"> będącego w zarządzie</w:t>
            </w:r>
            <w:r w:rsidR="00125A2D" w:rsidRPr="002A194A">
              <w:rPr>
                <w:rFonts w:ascii="Arial" w:eastAsia="Times New Roman" w:hAnsi="Arial" w:cs="Arial"/>
                <w:kern w:val="28"/>
                <w:sz w:val="20"/>
                <w:szCs w:val="20"/>
                <w:lang w:eastAsia="pl-PL"/>
              </w:rPr>
              <w:t xml:space="preserve"> DSDiK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51C6" w14:textId="11067DE9" w:rsidR="005E007F" w:rsidRPr="0024598C" w:rsidRDefault="003C490E" w:rsidP="00042F9A">
            <w:pPr>
              <w:jc w:val="center"/>
              <w:rPr>
                <w:rFonts w:ascii="Arial" w:hAnsi="Arial" w:cs="Arial"/>
                <w:sz w:val="20"/>
              </w:rPr>
            </w:pPr>
            <w:r w:rsidRPr="0024598C">
              <w:rPr>
                <w:rFonts w:ascii="Arial" w:hAnsi="Arial" w:cs="Arial"/>
                <w:sz w:val="20"/>
              </w:rPr>
              <w:t>31,</w:t>
            </w:r>
            <w:r w:rsidR="002A194A" w:rsidRPr="0024598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1E728" w14:textId="0C53B893" w:rsidR="005E007F" w:rsidRPr="0024598C" w:rsidRDefault="00042F9A" w:rsidP="00042F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≥31,00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DB548" w14:textId="206AD563" w:rsidR="005E007F" w:rsidRPr="0024598C" w:rsidRDefault="00042F9A" w:rsidP="00042F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≥31,00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07D7F" w14:textId="4BB8BEA4" w:rsidR="005E007F" w:rsidRPr="0024598C" w:rsidRDefault="00042F9A" w:rsidP="00042F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≥31,00</w:t>
            </w:r>
          </w:p>
        </w:tc>
      </w:tr>
    </w:tbl>
    <w:p w14:paraId="14B65E57" w14:textId="77777777" w:rsidR="00A94A14" w:rsidRPr="002A194A" w:rsidRDefault="007B50F4" w:rsidP="0054516C">
      <w:pPr>
        <w:pStyle w:val="Akapitzlist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left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br w:type="page"/>
      </w:r>
      <w:r w:rsidR="00A94A14"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lastRenderedPageBreak/>
        <w:t>Punktualność Kwalifikowana Pociągów</w:t>
      </w:r>
    </w:p>
    <w:p w14:paraId="334DDEE3" w14:textId="77777777" w:rsidR="00A94A14" w:rsidRPr="002A194A" w:rsidRDefault="00A94A14" w:rsidP="00A94A14">
      <w:pPr>
        <w:pStyle w:val="Akapitzlist"/>
        <w:spacing w:after="120"/>
        <w:ind w:left="360"/>
        <w:rPr>
          <w:rFonts w:ascii="Arial" w:hAnsi="Arial" w:cs="Arial"/>
        </w:rPr>
      </w:pPr>
    </w:p>
    <w:p w14:paraId="4D6C758B" w14:textId="77777777" w:rsidR="00A94A14" w:rsidRPr="002A194A" w:rsidRDefault="00A94A14" w:rsidP="00A94A14">
      <w:pPr>
        <w:pStyle w:val="Akapitzlist"/>
        <w:spacing w:after="120"/>
        <w:ind w:left="360"/>
        <w:rPr>
          <w:rFonts w:ascii="Arial" w:hAnsi="Arial" w:cs="Arial"/>
        </w:rPr>
      </w:pPr>
    </w:p>
    <w:p w14:paraId="54E62F7C" w14:textId="77777777" w:rsidR="00A94A14" w:rsidRPr="002A194A" w:rsidRDefault="00A94A14" w:rsidP="006221F7">
      <w:pPr>
        <w:pStyle w:val="Akapitzlist"/>
        <w:numPr>
          <w:ilvl w:val="0"/>
          <w:numId w:val="13"/>
        </w:numPr>
        <w:spacing w:after="120"/>
        <w:rPr>
          <w:rFonts w:ascii="Arial" w:hAnsi="Arial" w:cs="Arial"/>
        </w:rPr>
      </w:pPr>
      <w:r w:rsidRPr="002A194A">
        <w:rPr>
          <w:rFonts w:ascii="Arial" w:hAnsi="Arial" w:cs="Arial"/>
        </w:rPr>
        <w:t>Nazwa</w:t>
      </w:r>
    </w:p>
    <w:p w14:paraId="1DB887A8" w14:textId="2F5E7418" w:rsidR="00A94A14" w:rsidRPr="00C1059A" w:rsidRDefault="00A94A14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kern w:val="28"/>
          <w:lang w:eastAsia="pl-PL"/>
        </w:rPr>
      </w:pPr>
      <w:r w:rsidRPr="00C1059A">
        <w:rPr>
          <w:rFonts w:ascii="Arial" w:eastAsia="Times New Roman" w:hAnsi="Arial" w:cs="Arial"/>
          <w:kern w:val="28"/>
          <w:lang w:eastAsia="pl-PL"/>
        </w:rPr>
        <w:t xml:space="preserve"> „</w:t>
      </w:r>
      <w:r w:rsidRPr="002A194A">
        <w:rPr>
          <w:rFonts w:ascii="Arial" w:eastAsia="Times New Roman" w:hAnsi="Arial" w:cs="Arial"/>
          <w:kern w:val="28"/>
          <w:lang w:eastAsia="pl-PL"/>
        </w:rPr>
        <w:t xml:space="preserve">Punktualność kwalifikowana pociągów </w:t>
      </w:r>
      <w:r w:rsidR="00C1059A" w:rsidRPr="002A194A">
        <w:rPr>
          <w:rFonts w:ascii="Arial" w:eastAsia="Times New Roman" w:hAnsi="Arial" w:cs="Arial"/>
          <w:kern w:val="28"/>
          <w:lang w:eastAsia="pl-PL"/>
        </w:rPr>
        <w:t xml:space="preserve">na </w:t>
      </w:r>
      <w:r w:rsidR="00C1059A">
        <w:rPr>
          <w:rFonts w:ascii="Arial" w:eastAsia="Times New Roman" w:hAnsi="Arial" w:cs="Arial"/>
          <w:kern w:val="28"/>
          <w:lang w:eastAsia="pl-PL"/>
        </w:rPr>
        <w:t xml:space="preserve">odcinku </w:t>
      </w:r>
      <w:r w:rsidR="00C1059A" w:rsidRPr="002A194A">
        <w:rPr>
          <w:rFonts w:ascii="Arial" w:eastAsia="Times New Roman" w:hAnsi="Arial" w:cs="Arial"/>
          <w:kern w:val="28"/>
          <w:lang w:eastAsia="pl-PL"/>
        </w:rPr>
        <w:t>linii 311</w:t>
      </w:r>
      <w:r w:rsidR="00C1059A">
        <w:rPr>
          <w:rFonts w:ascii="Arial" w:eastAsia="Times New Roman" w:hAnsi="Arial" w:cs="Arial"/>
          <w:kern w:val="28"/>
          <w:lang w:eastAsia="pl-PL"/>
        </w:rPr>
        <w:t xml:space="preserve"> będącym w zarządzie DSDiK</w:t>
      </w:r>
      <w:r w:rsidRPr="002A194A">
        <w:rPr>
          <w:rFonts w:ascii="Arial" w:eastAsia="Times New Roman" w:hAnsi="Arial" w:cs="Arial"/>
          <w:kern w:val="28"/>
          <w:lang w:eastAsia="pl-PL"/>
        </w:rPr>
        <w:t xml:space="preserve">” </w:t>
      </w:r>
      <w:r w:rsidRPr="00417980">
        <w:rPr>
          <w:rFonts w:ascii="Arial" w:eastAsia="Times New Roman" w:hAnsi="Arial" w:cs="Arial"/>
          <w:b/>
          <w:kern w:val="28"/>
          <w:lang w:eastAsia="pl-PL"/>
        </w:rPr>
        <w:t>Wskaźnik obligatoryjny</w:t>
      </w:r>
      <w:r w:rsidRPr="00C1059A">
        <w:rPr>
          <w:rFonts w:ascii="Arial" w:eastAsia="Times New Roman" w:hAnsi="Arial" w:cs="Arial"/>
          <w:kern w:val="28"/>
          <w:lang w:eastAsia="pl-PL"/>
        </w:rPr>
        <w:t xml:space="preserve"> </w:t>
      </w:r>
    </w:p>
    <w:p w14:paraId="4B39092E" w14:textId="77777777" w:rsidR="00A94A14" w:rsidRPr="002A194A" w:rsidRDefault="00A94A14" w:rsidP="006221F7">
      <w:pPr>
        <w:numPr>
          <w:ilvl w:val="0"/>
          <w:numId w:val="13"/>
        </w:numPr>
        <w:spacing w:before="240"/>
        <w:rPr>
          <w:rFonts w:ascii="Arial" w:hAnsi="Arial" w:cs="Arial"/>
        </w:rPr>
      </w:pPr>
      <w:r w:rsidRPr="002A194A">
        <w:rPr>
          <w:rFonts w:ascii="Arial" w:hAnsi="Arial" w:cs="Arial"/>
        </w:rPr>
        <w:t>Definicja</w:t>
      </w:r>
    </w:p>
    <w:p w14:paraId="6621F8AF" w14:textId="77777777" w:rsidR="00A94A14" w:rsidRPr="002A194A" w:rsidRDefault="00A94A14" w:rsidP="006221F7">
      <w:pPr>
        <w:pStyle w:val="Akapitzlist"/>
        <w:numPr>
          <w:ilvl w:val="1"/>
          <w:numId w:val="18"/>
        </w:numPr>
        <w:spacing w:before="240" w:after="240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kern w:val="28"/>
          <w:lang w:eastAsia="pl-PL"/>
        </w:rPr>
        <w:t>Punktualność kwalifikowana wskaźnik określający procentowy udział liczby pociągów, które kursowały punktualnie i bez opóźnień z przyczyn leżących po stronie</w:t>
      </w:r>
      <w:r w:rsidRPr="002A194A" w:rsidDel="008C3F26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2A194A">
        <w:rPr>
          <w:rFonts w:ascii="Arial" w:eastAsia="Times New Roman" w:hAnsi="Arial" w:cs="Arial"/>
          <w:kern w:val="28"/>
          <w:lang w:eastAsia="pl-PL"/>
        </w:rPr>
        <w:t>Zarządcy;</w:t>
      </w:r>
    </w:p>
    <w:p w14:paraId="404E3CA6" w14:textId="58E6285B" w:rsidR="00A94A14" w:rsidRPr="002A194A" w:rsidRDefault="00A94A14" w:rsidP="006221F7">
      <w:pPr>
        <w:pStyle w:val="Akapitzlist"/>
        <w:numPr>
          <w:ilvl w:val="1"/>
          <w:numId w:val="18"/>
        </w:numPr>
        <w:spacing w:before="240" w:after="240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kern w:val="28"/>
          <w:lang w:eastAsia="pl-PL"/>
        </w:rPr>
        <w:t xml:space="preserve">Wskaźnik wyznaczany jest dla wszystkich kursujących po </w:t>
      </w:r>
      <w:r w:rsidR="00C1059A">
        <w:rPr>
          <w:rFonts w:ascii="Arial" w:eastAsia="Times New Roman" w:hAnsi="Arial" w:cs="Arial"/>
          <w:kern w:val="28"/>
          <w:lang w:eastAsia="pl-PL"/>
        </w:rPr>
        <w:t xml:space="preserve">odcinku </w:t>
      </w:r>
      <w:r w:rsidRPr="002A194A">
        <w:rPr>
          <w:rFonts w:ascii="Arial" w:eastAsia="Times New Roman" w:hAnsi="Arial" w:cs="Arial"/>
          <w:kern w:val="28"/>
          <w:lang w:eastAsia="pl-PL"/>
        </w:rPr>
        <w:t xml:space="preserve">linii kolejowej nr </w:t>
      </w:r>
      <w:r w:rsidR="007616F7" w:rsidRPr="002A194A">
        <w:rPr>
          <w:rFonts w:ascii="Arial" w:eastAsia="Times New Roman" w:hAnsi="Arial" w:cs="Arial"/>
          <w:kern w:val="28"/>
          <w:lang w:eastAsia="pl-PL"/>
        </w:rPr>
        <w:t>311</w:t>
      </w:r>
      <w:r w:rsidRPr="002A194A">
        <w:rPr>
          <w:rFonts w:ascii="Arial" w:eastAsia="Times New Roman" w:hAnsi="Arial" w:cs="Arial"/>
          <w:kern w:val="28"/>
          <w:lang w:eastAsia="pl-PL"/>
        </w:rPr>
        <w:t xml:space="preserve"> </w:t>
      </w:r>
      <w:r w:rsidR="00C1059A">
        <w:rPr>
          <w:rFonts w:ascii="Arial" w:eastAsia="Times New Roman" w:hAnsi="Arial" w:cs="Arial"/>
          <w:kern w:val="28"/>
          <w:lang w:eastAsia="pl-PL"/>
        </w:rPr>
        <w:t xml:space="preserve">będącej w zarządzie DSDiK </w:t>
      </w:r>
      <w:r w:rsidRPr="002A194A">
        <w:rPr>
          <w:rFonts w:ascii="Arial" w:eastAsia="Times New Roman" w:hAnsi="Arial" w:cs="Arial"/>
          <w:kern w:val="28"/>
          <w:lang w:eastAsia="pl-PL"/>
        </w:rPr>
        <w:t>pociągów</w:t>
      </w:r>
      <w:r w:rsidR="00630219" w:rsidRPr="002A194A">
        <w:rPr>
          <w:rFonts w:ascii="Arial" w:eastAsia="Times New Roman" w:hAnsi="Arial" w:cs="Arial"/>
          <w:kern w:val="28"/>
          <w:lang w:eastAsia="pl-PL"/>
        </w:rPr>
        <w:t xml:space="preserve"> pasażerskich</w:t>
      </w:r>
      <w:r w:rsidRPr="002A194A">
        <w:rPr>
          <w:rFonts w:ascii="Arial" w:eastAsia="Times New Roman" w:hAnsi="Arial" w:cs="Arial"/>
          <w:kern w:val="28"/>
          <w:lang w:eastAsia="pl-PL"/>
        </w:rPr>
        <w:t>,</w:t>
      </w:r>
    </w:p>
    <w:p w14:paraId="14797570" w14:textId="77777777" w:rsidR="00A94A14" w:rsidRPr="002A194A" w:rsidRDefault="00A94A14" w:rsidP="006221F7">
      <w:pPr>
        <w:pStyle w:val="Akapitzlist"/>
        <w:numPr>
          <w:ilvl w:val="1"/>
          <w:numId w:val="18"/>
        </w:numPr>
        <w:spacing w:before="240" w:after="240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kern w:val="28"/>
          <w:lang w:eastAsia="pl-PL"/>
        </w:rPr>
        <w:t>Punktualność Pociągów Kwalifikowaną wylicza się w sposób następujący:</w:t>
      </w:r>
    </w:p>
    <w:tbl>
      <w:tblPr>
        <w:tblStyle w:val="Tabela-Siatka"/>
        <w:tblpPr w:leftFromText="141" w:rightFromText="141" w:vertAnchor="text" w:horzAnchor="page" w:tblpX="2641" w:tblpY="3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567"/>
      </w:tblGrid>
      <w:tr w:rsidR="00A94A14" w:rsidRPr="002A194A" w14:paraId="45881A9E" w14:textId="77777777" w:rsidTr="00A25F44">
        <w:tc>
          <w:tcPr>
            <w:tcW w:w="1242" w:type="dxa"/>
            <w:vMerge w:val="restart"/>
            <w:vAlign w:val="center"/>
          </w:tcPr>
          <w:p w14:paraId="129B07F5" w14:textId="77777777" w:rsidR="00A94A14" w:rsidRPr="002A194A" w:rsidRDefault="00A25F44" w:rsidP="00D70258">
            <w:pPr>
              <w:autoSpaceDE w:val="0"/>
              <w:autoSpaceDN w:val="0"/>
              <w:adjustRightInd w:val="0"/>
              <w:spacing w:before="0"/>
              <w:ind w:left="-216"/>
              <w:jc w:val="center"/>
              <w:rPr>
                <w:rFonts w:ascii="Arial" w:eastAsia="Times New Roman" w:hAnsi="Arial" w:cs="Arial"/>
                <w:b/>
                <w:bCs/>
                <w:kern w:val="28"/>
              </w:rPr>
            </w:pPr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 xml:space="preserve"> </w:t>
            </w:r>
            <w:proofErr w:type="spellStart"/>
            <w:r w:rsidR="00A94A14" w:rsidRPr="002A194A">
              <w:rPr>
                <w:rFonts w:ascii="Arial" w:eastAsia="Times New Roman" w:hAnsi="Arial" w:cs="Arial"/>
                <w:b/>
                <w:bCs/>
                <w:kern w:val="28"/>
              </w:rPr>
              <w:t>PP</w:t>
            </w:r>
            <w:r w:rsidR="00A94A14" w:rsidRPr="002A194A">
              <w:rPr>
                <w:rFonts w:ascii="Arial" w:eastAsia="Times New Roman" w:hAnsi="Arial" w:cs="Arial"/>
                <w:b/>
                <w:bCs/>
                <w:kern w:val="28"/>
                <w:vertAlign w:val="subscript"/>
              </w:rPr>
              <w:t>Zarządca</w:t>
            </w:r>
            <w:proofErr w:type="spellEnd"/>
            <w:r w:rsidR="00A94A14" w:rsidRPr="002A194A">
              <w:rPr>
                <w:rFonts w:ascii="Arial" w:eastAsia="Times New Roman" w:hAnsi="Arial" w:cs="Arial"/>
                <w:b/>
                <w:bCs/>
                <w:kern w:val="28"/>
              </w:rPr>
              <w:t xml:space="preserve"> =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08CF34E" w14:textId="77777777" w:rsidR="00A94A14" w:rsidRPr="002A194A" w:rsidRDefault="00A94A14" w:rsidP="00D70258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kern w:val="28"/>
              </w:rPr>
            </w:pPr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>100 * (</w:t>
            </w:r>
            <w:proofErr w:type="spellStart"/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>K</w:t>
            </w:r>
            <w:r w:rsidRPr="002A194A">
              <w:rPr>
                <w:rFonts w:ascii="Arial" w:eastAsia="Times New Roman" w:hAnsi="Arial" w:cs="Arial"/>
                <w:b/>
                <w:bCs/>
                <w:kern w:val="28"/>
                <w:vertAlign w:val="subscript"/>
              </w:rPr>
              <w:t>ogółem</w:t>
            </w:r>
            <w:proofErr w:type="spellEnd"/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 xml:space="preserve"> – </w:t>
            </w:r>
            <w:proofErr w:type="spellStart"/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>O</w:t>
            </w:r>
            <w:r w:rsidRPr="002A194A">
              <w:rPr>
                <w:rFonts w:ascii="Arial" w:eastAsia="Times New Roman" w:hAnsi="Arial" w:cs="Arial"/>
                <w:b/>
                <w:bCs/>
                <w:kern w:val="28"/>
                <w:vertAlign w:val="subscript"/>
              </w:rPr>
              <w:t>Zarządca</w:t>
            </w:r>
            <w:proofErr w:type="spellEnd"/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1A5EE51C" w14:textId="77777777" w:rsidR="00A94A14" w:rsidRPr="002A194A" w:rsidRDefault="00A94A14" w:rsidP="00D70258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kern w:val="28"/>
              </w:rPr>
            </w:pPr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>[%]</w:t>
            </w:r>
          </w:p>
        </w:tc>
      </w:tr>
      <w:tr w:rsidR="00A94A14" w:rsidRPr="002A194A" w14:paraId="3C982CC7" w14:textId="77777777" w:rsidTr="00A25F44">
        <w:tc>
          <w:tcPr>
            <w:tcW w:w="1242" w:type="dxa"/>
            <w:vMerge/>
            <w:vAlign w:val="center"/>
          </w:tcPr>
          <w:p w14:paraId="11720920" w14:textId="77777777" w:rsidR="00A94A14" w:rsidRPr="002A194A" w:rsidRDefault="00A94A14" w:rsidP="00D70258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kern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ED4CF6A" w14:textId="77777777" w:rsidR="00A94A14" w:rsidRPr="002A194A" w:rsidRDefault="00A94A14" w:rsidP="00D70258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kern w:val="28"/>
                <w:vertAlign w:val="subscript"/>
              </w:rPr>
            </w:pPr>
            <w:proofErr w:type="spellStart"/>
            <w:r w:rsidRPr="002A194A">
              <w:rPr>
                <w:rFonts w:ascii="Arial" w:eastAsia="Times New Roman" w:hAnsi="Arial" w:cs="Arial"/>
                <w:b/>
                <w:bCs/>
                <w:kern w:val="28"/>
              </w:rPr>
              <w:t>K</w:t>
            </w:r>
            <w:r w:rsidRPr="002A194A">
              <w:rPr>
                <w:rFonts w:ascii="Arial" w:eastAsia="Times New Roman" w:hAnsi="Arial" w:cs="Arial"/>
                <w:b/>
                <w:bCs/>
                <w:kern w:val="28"/>
                <w:vertAlign w:val="subscript"/>
              </w:rPr>
              <w:t>ogółem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14:paraId="2525F797" w14:textId="77777777" w:rsidR="00A94A14" w:rsidRPr="002A194A" w:rsidRDefault="00A94A14" w:rsidP="00D70258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kern w:val="28"/>
              </w:rPr>
            </w:pPr>
          </w:p>
        </w:tc>
      </w:tr>
    </w:tbl>
    <w:p w14:paraId="34FAAEBA" w14:textId="77777777" w:rsidR="00A94A14" w:rsidRPr="002A194A" w:rsidRDefault="00A94A14" w:rsidP="00A94A14">
      <w:pPr>
        <w:pStyle w:val="Akapitzlist"/>
        <w:tabs>
          <w:tab w:val="left" w:pos="0"/>
        </w:tabs>
        <w:autoSpaceDE w:val="0"/>
        <w:autoSpaceDN w:val="0"/>
        <w:adjustRightInd w:val="0"/>
        <w:spacing w:before="480"/>
        <w:ind w:left="1418"/>
        <w:rPr>
          <w:rFonts w:ascii="Arial" w:eastAsia="Times New Roman" w:hAnsi="Arial" w:cs="Arial"/>
          <w:bCs/>
          <w:kern w:val="28"/>
          <w:lang w:eastAsia="pl-PL"/>
        </w:rPr>
      </w:pPr>
    </w:p>
    <w:p w14:paraId="100DE6A5" w14:textId="77777777" w:rsidR="00A94A14" w:rsidRPr="002A194A" w:rsidRDefault="00A94A14" w:rsidP="00A94A14">
      <w:pPr>
        <w:autoSpaceDE w:val="0"/>
        <w:autoSpaceDN w:val="0"/>
        <w:adjustRightInd w:val="0"/>
        <w:spacing w:before="0"/>
        <w:ind w:left="2268"/>
        <w:rPr>
          <w:rFonts w:ascii="Arial" w:eastAsia="Times New Roman" w:hAnsi="Arial" w:cs="Arial"/>
          <w:bCs/>
          <w:kern w:val="28"/>
        </w:rPr>
      </w:pPr>
    </w:p>
    <w:p w14:paraId="00560FF4" w14:textId="77777777" w:rsidR="00A94A14" w:rsidRPr="002A194A" w:rsidRDefault="00A94A14" w:rsidP="00A94A14">
      <w:pPr>
        <w:autoSpaceDE w:val="0"/>
        <w:autoSpaceDN w:val="0"/>
        <w:adjustRightInd w:val="0"/>
        <w:spacing w:before="0"/>
        <w:ind w:left="1134"/>
        <w:rPr>
          <w:rFonts w:ascii="Arial" w:eastAsia="Times New Roman" w:hAnsi="Arial" w:cs="Arial"/>
          <w:bCs/>
          <w:kern w:val="28"/>
        </w:rPr>
      </w:pPr>
      <w:r w:rsidRPr="002A194A">
        <w:rPr>
          <w:rFonts w:ascii="Arial" w:eastAsia="Times New Roman" w:hAnsi="Arial" w:cs="Arial"/>
          <w:bCs/>
          <w:kern w:val="28"/>
        </w:rPr>
        <w:t>we wzorze przyjmuje się:</w:t>
      </w:r>
    </w:p>
    <w:p w14:paraId="00AEA61D" w14:textId="77777777" w:rsidR="00A94A14" w:rsidRPr="002A194A" w:rsidRDefault="00A94A14" w:rsidP="00A94A14">
      <w:pPr>
        <w:autoSpaceDE w:val="0"/>
        <w:autoSpaceDN w:val="0"/>
        <w:adjustRightInd w:val="0"/>
        <w:spacing w:before="0"/>
        <w:ind w:left="1134"/>
        <w:rPr>
          <w:rFonts w:ascii="Arial" w:eastAsia="Times New Roman" w:hAnsi="Arial" w:cs="Arial"/>
          <w:bCs/>
          <w:kern w:val="28"/>
        </w:rPr>
      </w:pPr>
      <w:proofErr w:type="spellStart"/>
      <w:r w:rsidRPr="002A194A">
        <w:rPr>
          <w:rFonts w:ascii="Arial" w:eastAsia="Times New Roman" w:hAnsi="Arial" w:cs="Arial"/>
          <w:b/>
          <w:bCs/>
          <w:kern w:val="28"/>
        </w:rPr>
        <w:t>PP</w:t>
      </w:r>
      <w:r w:rsidRPr="002A194A">
        <w:rPr>
          <w:rFonts w:ascii="Arial" w:eastAsia="Times New Roman" w:hAnsi="Arial" w:cs="Arial"/>
          <w:b/>
          <w:bCs/>
          <w:kern w:val="28"/>
          <w:vertAlign w:val="subscript"/>
        </w:rPr>
        <w:t>Zarządca</w:t>
      </w:r>
      <w:proofErr w:type="spellEnd"/>
      <w:r w:rsidRPr="002A194A">
        <w:rPr>
          <w:rFonts w:ascii="Arial" w:eastAsia="Times New Roman" w:hAnsi="Arial" w:cs="Arial"/>
          <w:bCs/>
          <w:kern w:val="28"/>
        </w:rPr>
        <w:t xml:space="preserve"> –</w:t>
      </w:r>
      <w:r w:rsidR="00A25F44" w:rsidRPr="002A194A">
        <w:rPr>
          <w:rFonts w:ascii="Arial" w:eastAsia="Times New Roman" w:hAnsi="Arial" w:cs="Arial"/>
          <w:bCs/>
          <w:kern w:val="28"/>
        </w:rPr>
        <w:t xml:space="preserve"> </w:t>
      </w:r>
      <w:r w:rsidRPr="002A194A">
        <w:rPr>
          <w:rFonts w:ascii="Arial" w:eastAsia="Times New Roman" w:hAnsi="Arial" w:cs="Arial"/>
          <w:bCs/>
          <w:kern w:val="28"/>
        </w:rPr>
        <w:t>procent punktualności,</w:t>
      </w:r>
    </w:p>
    <w:p w14:paraId="472748EE" w14:textId="77777777" w:rsidR="00A94A14" w:rsidRPr="002A194A" w:rsidRDefault="00A94A14" w:rsidP="00A94A14">
      <w:pPr>
        <w:autoSpaceDE w:val="0"/>
        <w:autoSpaceDN w:val="0"/>
        <w:adjustRightInd w:val="0"/>
        <w:spacing w:before="0"/>
        <w:ind w:left="1134"/>
        <w:rPr>
          <w:rFonts w:ascii="Arial" w:eastAsia="Times New Roman" w:hAnsi="Arial" w:cs="Arial"/>
          <w:bCs/>
          <w:kern w:val="28"/>
        </w:rPr>
      </w:pPr>
      <w:proofErr w:type="spellStart"/>
      <w:r w:rsidRPr="002A194A">
        <w:rPr>
          <w:rFonts w:ascii="Arial" w:eastAsia="Times New Roman" w:hAnsi="Arial" w:cs="Arial"/>
          <w:b/>
          <w:bCs/>
          <w:kern w:val="28"/>
        </w:rPr>
        <w:t>K</w:t>
      </w:r>
      <w:r w:rsidRPr="002A194A">
        <w:rPr>
          <w:rFonts w:ascii="Arial" w:eastAsia="Times New Roman" w:hAnsi="Arial" w:cs="Arial"/>
          <w:b/>
          <w:bCs/>
          <w:kern w:val="28"/>
          <w:vertAlign w:val="subscript"/>
        </w:rPr>
        <w:t>ogółem</w:t>
      </w:r>
      <w:proofErr w:type="spellEnd"/>
      <w:r w:rsidRPr="002A194A">
        <w:rPr>
          <w:rFonts w:ascii="Arial" w:eastAsia="Times New Roman" w:hAnsi="Arial" w:cs="Arial"/>
          <w:bCs/>
          <w:kern w:val="28"/>
        </w:rPr>
        <w:t xml:space="preserve"> – liczba kursujących pociągów,</w:t>
      </w:r>
    </w:p>
    <w:p w14:paraId="4925A29F" w14:textId="77777777" w:rsidR="00A94A14" w:rsidRPr="002A194A" w:rsidRDefault="00A94A14" w:rsidP="00A94A14">
      <w:pPr>
        <w:autoSpaceDE w:val="0"/>
        <w:autoSpaceDN w:val="0"/>
        <w:adjustRightInd w:val="0"/>
        <w:spacing w:before="0"/>
        <w:ind w:left="1134"/>
        <w:rPr>
          <w:rFonts w:ascii="Arial" w:eastAsia="Times New Roman" w:hAnsi="Arial" w:cs="Arial"/>
          <w:bCs/>
          <w:kern w:val="28"/>
        </w:rPr>
      </w:pPr>
      <w:proofErr w:type="spellStart"/>
      <w:r w:rsidRPr="002A194A">
        <w:rPr>
          <w:rFonts w:ascii="Arial" w:eastAsia="Times New Roman" w:hAnsi="Arial" w:cs="Arial"/>
          <w:b/>
          <w:bCs/>
          <w:kern w:val="28"/>
        </w:rPr>
        <w:t>O</w:t>
      </w:r>
      <w:r w:rsidRPr="002A194A">
        <w:rPr>
          <w:rFonts w:ascii="Arial" w:eastAsia="Times New Roman" w:hAnsi="Arial" w:cs="Arial"/>
          <w:b/>
          <w:bCs/>
          <w:kern w:val="28"/>
          <w:vertAlign w:val="subscript"/>
        </w:rPr>
        <w:t>Zarządca</w:t>
      </w:r>
      <w:proofErr w:type="spellEnd"/>
      <w:r w:rsidRPr="002A194A">
        <w:rPr>
          <w:rFonts w:ascii="Arial" w:eastAsia="Times New Roman" w:hAnsi="Arial" w:cs="Arial"/>
          <w:bCs/>
          <w:kern w:val="28"/>
        </w:rPr>
        <w:t xml:space="preserve"> – liczba opóźnionych pociągów z przyczyn leżących po stronie Zarządcy.</w:t>
      </w:r>
    </w:p>
    <w:p w14:paraId="43DC89D9" w14:textId="77777777" w:rsidR="00A94A14" w:rsidRPr="002A194A" w:rsidRDefault="00A94A14" w:rsidP="00A94A14">
      <w:pPr>
        <w:autoSpaceDE w:val="0"/>
        <w:autoSpaceDN w:val="0"/>
        <w:adjustRightInd w:val="0"/>
        <w:spacing w:before="0"/>
        <w:ind w:left="2268"/>
        <w:rPr>
          <w:rFonts w:ascii="Arial" w:eastAsia="Times New Roman" w:hAnsi="Arial" w:cs="Arial"/>
          <w:bCs/>
          <w:kern w:val="28"/>
        </w:rPr>
      </w:pPr>
    </w:p>
    <w:p w14:paraId="7EA12CBC" w14:textId="77777777" w:rsidR="00A94A14" w:rsidRPr="002A194A" w:rsidRDefault="00A94A14" w:rsidP="006221F7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Źródła danych</w:t>
      </w:r>
    </w:p>
    <w:p w14:paraId="083E1F83" w14:textId="14274C17" w:rsidR="00A94A14" w:rsidRPr="002A194A" w:rsidRDefault="00A94A14" w:rsidP="00A94A14">
      <w:pPr>
        <w:pStyle w:val="Akapitzlist"/>
        <w:tabs>
          <w:tab w:val="left" w:pos="0"/>
        </w:tabs>
        <w:autoSpaceDE w:val="0"/>
        <w:autoSpaceDN w:val="0"/>
        <w:adjustRightInd w:val="0"/>
        <w:spacing w:before="480" w:after="480"/>
        <w:ind w:left="360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Calibri" w:hAnsi="Arial" w:cs="Arial"/>
        </w:rPr>
        <w:t xml:space="preserve">Dane wykorzystywane w obliczeniach Punktualności Kwalifikowanej, </w:t>
      </w:r>
      <w:r w:rsidR="003C490E" w:rsidRPr="002A194A">
        <w:rPr>
          <w:rFonts w:ascii="Arial" w:eastAsia="Calibri" w:hAnsi="Arial" w:cs="Arial"/>
        </w:rPr>
        <w:t>p</w:t>
      </w:r>
      <w:r w:rsidR="00932551">
        <w:rPr>
          <w:rFonts w:ascii="Arial" w:eastAsia="Calibri" w:hAnsi="Arial" w:cs="Arial"/>
        </w:rPr>
        <w:t>ozyskiwane od PKP </w:t>
      </w:r>
      <w:r w:rsidR="003C490E" w:rsidRPr="002A194A">
        <w:rPr>
          <w:rFonts w:ascii="Arial" w:eastAsia="Calibri" w:hAnsi="Arial" w:cs="Arial"/>
        </w:rPr>
        <w:t>PLK</w:t>
      </w:r>
      <w:r w:rsidR="00CF46F1" w:rsidRPr="002A194A">
        <w:rPr>
          <w:rFonts w:ascii="Arial" w:eastAsia="Calibri" w:hAnsi="Arial" w:cs="Arial"/>
        </w:rPr>
        <w:t xml:space="preserve"> S.A.</w:t>
      </w:r>
    </w:p>
    <w:p w14:paraId="524B97C4" w14:textId="77777777" w:rsidR="00A94A14" w:rsidRPr="002A194A" w:rsidRDefault="00A94A14" w:rsidP="006221F7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Wartość oczekiwana</w:t>
      </w:r>
    </w:p>
    <w:p w14:paraId="390A165E" w14:textId="77777777" w:rsidR="00A94A14" w:rsidRPr="002A194A" w:rsidRDefault="00A94A14" w:rsidP="006221F7">
      <w:pPr>
        <w:pStyle w:val="Akapitzlist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73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 podlega monitorowaniu w cyklu rocznym (wartość średnioroczna za okres styczeń – grudzień danego roku);</w:t>
      </w:r>
    </w:p>
    <w:p w14:paraId="5308D7A8" w14:textId="714AC289" w:rsidR="00A94A14" w:rsidRPr="002A194A" w:rsidRDefault="00A94A14" w:rsidP="006221F7">
      <w:pPr>
        <w:pStyle w:val="Akapitzlist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73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Wskaźnik określany jest na koniec roku sprawozdawczego z dokładnością do </w:t>
      </w:r>
      <w:r w:rsidR="00932551">
        <w:rPr>
          <w:rFonts w:ascii="Arial" w:eastAsia="Times New Roman" w:hAnsi="Arial" w:cs="Arial"/>
          <w:bCs/>
          <w:kern w:val="28"/>
          <w:lang w:eastAsia="pl-PL"/>
        </w:rPr>
        <w:t>1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%</w:t>
      </w:r>
      <w:r w:rsidR="00932551">
        <w:rPr>
          <w:rFonts w:ascii="Arial" w:eastAsia="Times New Roman" w:hAnsi="Arial" w:cs="Arial"/>
          <w:bCs/>
          <w:kern w:val="28"/>
          <w:lang w:eastAsia="pl-PL"/>
        </w:rPr>
        <w:t>;</w:t>
      </w:r>
    </w:p>
    <w:p w14:paraId="15463B20" w14:textId="77777777" w:rsidR="00A94A14" w:rsidRPr="002A194A" w:rsidRDefault="00A94A14" w:rsidP="006221F7">
      <w:pPr>
        <w:pStyle w:val="Akapitzlist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73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Zarządca zobowiązany jest zapewnić uzyskanie następujących wartości wskaźnika w poszczególnych latach obowiązywania Umowy:</w:t>
      </w:r>
    </w:p>
    <w:p w14:paraId="4256EE1A" w14:textId="77777777" w:rsidR="00A94A14" w:rsidRPr="002A194A" w:rsidRDefault="00A94A14" w:rsidP="00A94A14">
      <w:pPr>
        <w:tabs>
          <w:tab w:val="left" w:pos="0"/>
        </w:tabs>
        <w:autoSpaceDE w:val="0"/>
        <w:autoSpaceDN w:val="0"/>
        <w:adjustRightInd w:val="0"/>
        <w:spacing w:before="0"/>
        <w:ind w:left="-6"/>
        <w:rPr>
          <w:rFonts w:ascii="Arial" w:eastAsia="Times New Roman" w:hAnsi="Arial" w:cs="Arial"/>
          <w:bCs/>
          <w:kern w:val="28"/>
          <w:lang w:eastAsia="pl-PL"/>
        </w:rPr>
      </w:pPr>
    </w:p>
    <w:tbl>
      <w:tblPr>
        <w:tblStyle w:val="Tabela-Siatka1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80"/>
        <w:gridCol w:w="1001"/>
        <w:gridCol w:w="1001"/>
        <w:gridCol w:w="1001"/>
        <w:gridCol w:w="1001"/>
        <w:gridCol w:w="877"/>
        <w:gridCol w:w="839"/>
      </w:tblGrid>
      <w:tr w:rsidR="00C8583D" w:rsidRPr="002A194A" w14:paraId="035927EE" w14:textId="77777777" w:rsidTr="006B25FC">
        <w:trPr>
          <w:trHeight w:val="146"/>
        </w:trPr>
        <w:tc>
          <w:tcPr>
            <w:tcW w:w="1857" w:type="pct"/>
            <w:vMerge w:val="restart"/>
            <w:vAlign w:val="center"/>
          </w:tcPr>
          <w:p w14:paraId="1BF92D1F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Wskaźnik [%]</w:t>
            </w:r>
          </w:p>
        </w:tc>
        <w:tc>
          <w:tcPr>
            <w:tcW w:w="550" w:type="pct"/>
            <w:vAlign w:val="center"/>
          </w:tcPr>
          <w:p w14:paraId="4144B14A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Wartość bazowa</w:t>
            </w:r>
          </w:p>
        </w:tc>
        <w:tc>
          <w:tcPr>
            <w:tcW w:w="2594" w:type="pct"/>
            <w:gridSpan w:val="5"/>
            <w:vAlign w:val="center"/>
          </w:tcPr>
          <w:p w14:paraId="0352321D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Oczekiwana wartość wskaźnika w latach</w:t>
            </w:r>
          </w:p>
        </w:tc>
      </w:tr>
      <w:tr w:rsidR="00C8583D" w:rsidRPr="002A194A" w14:paraId="43C02A21" w14:textId="77777777" w:rsidTr="006B25FC">
        <w:trPr>
          <w:trHeight w:val="42"/>
        </w:trPr>
        <w:tc>
          <w:tcPr>
            <w:tcW w:w="1857" w:type="pct"/>
            <w:vMerge/>
            <w:vAlign w:val="center"/>
          </w:tcPr>
          <w:p w14:paraId="0E5D7B15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33477FC8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2018</w:t>
            </w:r>
          </w:p>
        </w:tc>
        <w:tc>
          <w:tcPr>
            <w:tcW w:w="550" w:type="pct"/>
            <w:vAlign w:val="center"/>
          </w:tcPr>
          <w:p w14:paraId="58FDD7DC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2019</w:t>
            </w:r>
          </w:p>
        </w:tc>
        <w:tc>
          <w:tcPr>
            <w:tcW w:w="550" w:type="pct"/>
            <w:vAlign w:val="center"/>
          </w:tcPr>
          <w:p w14:paraId="1D4EFDF6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2020</w:t>
            </w:r>
          </w:p>
        </w:tc>
        <w:tc>
          <w:tcPr>
            <w:tcW w:w="550" w:type="pct"/>
            <w:vAlign w:val="center"/>
          </w:tcPr>
          <w:p w14:paraId="7A7178DE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2021</w:t>
            </w:r>
          </w:p>
        </w:tc>
        <w:tc>
          <w:tcPr>
            <w:tcW w:w="482" w:type="pct"/>
            <w:vAlign w:val="center"/>
          </w:tcPr>
          <w:p w14:paraId="6E36C6D2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2022</w:t>
            </w:r>
          </w:p>
        </w:tc>
        <w:tc>
          <w:tcPr>
            <w:tcW w:w="461" w:type="pct"/>
            <w:vAlign w:val="center"/>
          </w:tcPr>
          <w:p w14:paraId="46764EF7" w14:textId="77777777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2023</w:t>
            </w:r>
          </w:p>
        </w:tc>
      </w:tr>
      <w:tr w:rsidR="00C8583D" w:rsidRPr="002A194A" w14:paraId="3D45CB3D" w14:textId="77777777" w:rsidTr="006B25FC">
        <w:trPr>
          <w:trHeight w:val="42"/>
        </w:trPr>
        <w:tc>
          <w:tcPr>
            <w:tcW w:w="1857" w:type="pct"/>
            <w:vAlign w:val="center"/>
          </w:tcPr>
          <w:p w14:paraId="3E1D0A02" w14:textId="4402716E" w:rsidR="00C8583D" w:rsidRPr="002A194A" w:rsidRDefault="00C8583D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Punktualność kwa</w:t>
            </w:r>
            <w:r w:rsidR="003C490E" w:rsidRPr="002A194A">
              <w:rPr>
                <w:rFonts w:ascii="Arial" w:eastAsia="Times New Roman" w:hAnsi="Arial" w:cs="Arial"/>
                <w:kern w:val="28"/>
                <w:lang w:eastAsia="pl-PL"/>
              </w:rPr>
              <w:t>lifikowana pociągów</w:t>
            </w:r>
          </w:p>
        </w:tc>
        <w:tc>
          <w:tcPr>
            <w:tcW w:w="550" w:type="pct"/>
            <w:vAlign w:val="center"/>
          </w:tcPr>
          <w:p w14:paraId="7B15B648" w14:textId="2CC6741C" w:rsidR="00C8583D" w:rsidRPr="002A194A" w:rsidRDefault="003C490E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90</w:t>
            </w:r>
          </w:p>
        </w:tc>
        <w:tc>
          <w:tcPr>
            <w:tcW w:w="550" w:type="pct"/>
            <w:vAlign w:val="center"/>
          </w:tcPr>
          <w:p w14:paraId="0AFED3E8" w14:textId="402DE52D" w:rsidR="00C8583D" w:rsidRPr="002A194A" w:rsidRDefault="003C490E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90</w:t>
            </w:r>
          </w:p>
        </w:tc>
        <w:tc>
          <w:tcPr>
            <w:tcW w:w="550" w:type="pct"/>
            <w:vAlign w:val="center"/>
          </w:tcPr>
          <w:p w14:paraId="6D14268C" w14:textId="31D71CCC" w:rsidR="00C8583D" w:rsidRPr="002A194A" w:rsidRDefault="003C490E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92</w:t>
            </w:r>
          </w:p>
        </w:tc>
        <w:tc>
          <w:tcPr>
            <w:tcW w:w="550" w:type="pct"/>
            <w:vAlign w:val="center"/>
          </w:tcPr>
          <w:p w14:paraId="3917BCB3" w14:textId="355B7455" w:rsidR="00C8583D" w:rsidRPr="002A194A" w:rsidRDefault="003C490E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94</w:t>
            </w:r>
          </w:p>
        </w:tc>
        <w:tc>
          <w:tcPr>
            <w:tcW w:w="482" w:type="pct"/>
            <w:vAlign w:val="center"/>
          </w:tcPr>
          <w:p w14:paraId="5EAEF1F9" w14:textId="0A30582E" w:rsidR="00C8583D" w:rsidRPr="002A194A" w:rsidRDefault="003C490E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96</w:t>
            </w:r>
          </w:p>
        </w:tc>
        <w:tc>
          <w:tcPr>
            <w:tcW w:w="461" w:type="pct"/>
            <w:vAlign w:val="center"/>
          </w:tcPr>
          <w:p w14:paraId="7885BA37" w14:textId="734DC94C" w:rsidR="00C8583D" w:rsidRPr="002A194A" w:rsidRDefault="003C490E" w:rsidP="006B25FC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97</w:t>
            </w:r>
          </w:p>
        </w:tc>
      </w:tr>
    </w:tbl>
    <w:p w14:paraId="7285C106" w14:textId="77777777" w:rsidR="00A94A14" w:rsidRDefault="00A94A14" w:rsidP="00A94A14">
      <w:pPr>
        <w:tabs>
          <w:tab w:val="left" w:pos="0"/>
        </w:tabs>
        <w:autoSpaceDE w:val="0"/>
        <w:autoSpaceDN w:val="0"/>
        <w:adjustRightInd w:val="0"/>
        <w:spacing w:before="480" w:after="480"/>
        <w:jc w:val="left"/>
        <w:rPr>
          <w:rFonts w:ascii="Arial" w:eastAsia="Times New Roman" w:hAnsi="Arial" w:cs="Arial"/>
          <w:bCs/>
          <w:kern w:val="28"/>
          <w:sz w:val="28"/>
          <w:szCs w:val="28"/>
          <w:u w:val="single"/>
        </w:rPr>
      </w:pPr>
    </w:p>
    <w:p w14:paraId="494E55A2" w14:textId="77777777" w:rsidR="006717EE" w:rsidRDefault="006717EE" w:rsidP="00A94A14">
      <w:pPr>
        <w:tabs>
          <w:tab w:val="left" w:pos="0"/>
        </w:tabs>
        <w:autoSpaceDE w:val="0"/>
        <w:autoSpaceDN w:val="0"/>
        <w:adjustRightInd w:val="0"/>
        <w:spacing w:before="480" w:after="480"/>
        <w:jc w:val="left"/>
        <w:rPr>
          <w:rFonts w:ascii="Arial" w:eastAsia="Times New Roman" w:hAnsi="Arial" w:cs="Arial"/>
          <w:bCs/>
          <w:kern w:val="28"/>
          <w:sz w:val="28"/>
          <w:szCs w:val="28"/>
          <w:u w:val="single"/>
        </w:rPr>
      </w:pPr>
    </w:p>
    <w:p w14:paraId="72A16444" w14:textId="77777777" w:rsidR="0054516C" w:rsidRPr="002A194A" w:rsidRDefault="0054516C" w:rsidP="00A94A14">
      <w:pPr>
        <w:tabs>
          <w:tab w:val="left" w:pos="0"/>
        </w:tabs>
        <w:autoSpaceDE w:val="0"/>
        <w:autoSpaceDN w:val="0"/>
        <w:adjustRightInd w:val="0"/>
        <w:spacing w:before="480" w:after="480"/>
        <w:jc w:val="left"/>
        <w:rPr>
          <w:rFonts w:ascii="Arial" w:eastAsia="Times New Roman" w:hAnsi="Arial" w:cs="Arial"/>
          <w:bCs/>
          <w:kern w:val="28"/>
          <w:sz w:val="28"/>
          <w:szCs w:val="28"/>
          <w:u w:val="single"/>
        </w:rPr>
      </w:pPr>
    </w:p>
    <w:p w14:paraId="104AF7EC" w14:textId="77777777" w:rsidR="000870A3" w:rsidRPr="002A194A" w:rsidRDefault="000870A3" w:rsidP="006717EE">
      <w:pPr>
        <w:pStyle w:val="Akapitzlist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before="480" w:after="480"/>
        <w:ind w:left="567" w:hanging="567"/>
        <w:jc w:val="left"/>
        <w:rPr>
          <w:rFonts w:ascii="Arial" w:eastAsia="Times New Roman" w:hAnsi="Arial" w:cs="Arial"/>
          <w:bCs/>
          <w:kern w:val="28"/>
          <w:sz w:val="28"/>
          <w:szCs w:val="28"/>
          <w:u w:val="single"/>
        </w:rPr>
      </w:pPr>
      <w:r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lastRenderedPageBreak/>
        <w:t>Efektywność kosztowa</w:t>
      </w:r>
    </w:p>
    <w:p w14:paraId="2715CC36" w14:textId="77777777" w:rsidR="000870A3" w:rsidRPr="002A194A" w:rsidRDefault="000870A3" w:rsidP="006221F7">
      <w:pPr>
        <w:numPr>
          <w:ilvl w:val="0"/>
          <w:numId w:val="15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Nazwa</w:t>
      </w:r>
    </w:p>
    <w:p w14:paraId="0A48054B" w14:textId="6F1234AC" w:rsidR="00BA3CC0" w:rsidRPr="002A194A" w:rsidRDefault="00A94A14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kern w:val="28"/>
          <w:lang w:eastAsia="pl-PL"/>
        </w:rPr>
      </w:pPr>
      <w:r w:rsidRPr="0041798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6A63E3" w:rsidRPr="00417980">
        <w:rPr>
          <w:rFonts w:ascii="Arial" w:eastAsia="Times New Roman" w:hAnsi="Arial" w:cs="Arial"/>
          <w:kern w:val="28"/>
          <w:lang w:eastAsia="pl-PL"/>
        </w:rPr>
        <w:t>„</w:t>
      </w:r>
      <w:r w:rsidR="000870A3" w:rsidRPr="00417980">
        <w:rPr>
          <w:rFonts w:ascii="Arial" w:eastAsia="Times New Roman" w:hAnsi="Arial" w:cs="Arial"/>
          <w:kern w:val="28"/>
          <w:lang w:eastAsia="pl-PL"/>
        </w:rPr>
        <w:t>Koszty działalności związanej z zarządzaniem infrast</w:t>
      </w:r>
      <w:r w:rsidR="00417980">
        <w:rPr>
          <w:rFonts w:ascii="Arial" w:eastAsia="Times New Roman" w:hAnsi="Arial" w:cs="Arial"/>
          <w:kern w:val="28"/>
          <w:lang w:eastAsia="pl-PL"/>
        </w:rPr>
        <w:t>rukturą kolejową</w:t>
      </w:r>
      <w:r w:rsidR="006B25FC">
        <w:rPr>
          <w:rFonts w:ascii="Arial" w:eastAsia="Times New Roman" w:hAnsi="Arial" w:cs="Arial"/>
          <w:kern w:val="28"/>
          <w:lang w:eastAsia="pl-PL"/>
        </w:rPr>
        <w:t xml:space="preserve"> linii 311</w:t>
      </w:r>
      <w:r w:rsidR="00417980">
        <w:rPr>
          <w:rFonts w:ascii="Arial" w:eastAsia="Times New Roman" w:hAnsi="Arial" w:cs="Arial"/>
          <w:kern w:val="28"/>
          <w:lang w:eastAsia="pl-PL"/>
        </w:rPr>
        <w:t xml:space="preserve"> ponoszone na </w:t>
      </w:r>
      <w:r w:rsidR="005B5FE1" w:rsidRPr="00417980">
        <w:rPr>
          <w:rFonts w:ascii="Arial" w:eastAsia="Times New Roman" w:hAnsi="Arial" w:cs="Arial"/>
          <w:kern w:val="28"/>
          <w:lang w:eastAsia="pl-PL"/>
        </w:rPr>
        <w:t>1 </w:t>
      </w:r>
      <w:r w:rsidR="000870A3" w:rsidRPr="00417980">
        <w:rPr>
          <w:rFonts w:ascii="Arial" w:eastAsia="Times New Roman" w:hAnsi="Arial" w:cs="Arial"/>
          <w:kern w:val="28"/>
          <w:lang w:eastAsia="pl-PL"/>
        </w:rPr>
        <w:t>km linii kolejow</w:t>
      </w:r>
      <w:r w:rsidR="00417980">
        <w:rPr>
          <w:rFonts w:ascii="Arial" w:eastAsia="Times New Roman" w:hAnsi="Arial" w:cs="Arial"/>
          <w:kern w:val="28"/>
          <w:lang w:eastAsia="pl-PL"/>
        </w:rPr>
        <w:t>ej</w:t>
      </w:r>
      <w:r w:rsidR="006A63E3" w:rsidRPr="00417980">
        <w:rPr>
          <w:rFonts w:ascii="Arial" w:eastAsia="Times New Roman" w:hAnsi="Arial" w:cs="Arial"/>
          <w:kern w:val="28"/>
          <w:lang w:eastAsia="pl-PL"/>
        </w:rPr>
        <w:t>”</w:t>
      </w:r>
      <w:r w:rsidR="00096EB2" w:rsidRPr="0041798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096EB2" w:rsidRPr="00417980">
        <w:rPr>
          <w:rFonts w:ascii="Arial" w:eastAsia="Times New Roman" w:hAnsi="Arial" w:cs="Arial"/>
          <w:b/>
          <w:kern w:val="28"/>
          <w:lang w:eastAsia="pl-PL"/>
        </w:rPr>
        <w:t>Wskaźnik obligatoryjny</w:t>
      </w:r>
    </w:p>
    <w:p w14:paraId="07FFC147" w14:textId="77777777" w:rsidR="000870A3" w:rsidRPr="002A194A" w:rsidRDefault="000870A3" w:rsidP="006221F7">
      <w:pPr>
        <w:numPr>
          <w:ilvl w:val="0"/>
          <w:numId w:val="15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Definicja</w:t>
      </w:r>
    </w:p>
    <w:p w14:paraId="79A668A7" w14:textId="275CAA67" w:rsidR="000870A3" w:rsidRPr="002A194A" w:rsidRDefault="00FB562F" w:rsidP="006221F7">
      <w:pPr>
        <w:pStyle w:val="Akapitzlist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before="0"/>
        <w:ind w:left="709" w:hanging="709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efektywności kosztowej</w:t>
      </w:r>
      <w:r w:rsidR="00E64BEA" w:rsidRPr="002A194A">
        <w:rPr>
          <w:rFonts w:ascii="Arial" w:eastAsia="Times New Roman" w:hAnsi="Arial" w:cs="Arial"/>
          <w:bCs/>
          <w:kern w:val="28"/>
          <w:lang w:eastAsia="pl-PL"/>
        </w:rPr>
        <w:t xml:space="preserve"> nr </w:t>
      </w:r>
      <w:r w:rsidR="00A94A14" w:rsidRPr="002A194A">
        <w:rPr>
          <w:rFonts w:ascii="Arial" w:eastAsia="Times New Roman" w:hAnsi="Arial" w:cs="Arial"/>
          <w:bCs/>
          <w:kern w:val="28"/>
          <w:lang w:eastAsia="pl-PL"/>
        </w:rPr>
        <w:t>4</w:t>
      </w:r>
      <w:r w:rsidR="00E64BEA" w:rsidRPr="002A194A">
        <w:rPr>
          <w:rFonts w:ascii="Arial" w:eastAsia="Times New Roman" w:hAnsi="Arial" w:cs="Arial"/>
          <w:bCs/>
          <w:kern w:val="28"/>
          <w:lang w:eastAsia="pl-PL"/>
        </w:rPr>
        <w:t>)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wymienion</w:t>
      </w:r>
      <w:r w:rsidR="00826683" w:rsidRPr="002A194A">
        <w:rPr>
          <w:rFonts w:ascii="Arial" w:eastAsia="Times New Roman" w:hAnsi="Arial" w:cs="Arial"/>
          <w:bCs/>
          <w:kern w:val="28"/>
          <w:lang w:eastAsia="pl-PL"/>
        </w:rPr>
        <w:t>y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w pkt 1, definiowan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y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jest jako</w:t>
      </w:r>
      <w:r w:rsidR="00670BFF" w:rsidRPr="002A194A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497F05" w:rsidRPr="002A194A">
        <w:rPr>
          <w:rFonts w:ascii="Arial" w:eastAsia="Times New Roman" w:hAnsi="Arial" w:cs="Arial"/>
          <w:kern w:val="28"/>
          <w:lang w:eastAsia="pl-PL"/>
        </w:rPr>
        <w:t>i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>loraz kosztów działalności związanej z zarządzaniem infrastrukturą kolejową i długości linii kolejow</w:t>
      </w:r>
      <w:r w:rsidR="00417980">
        <w:rPr>
          <w:rFonts w:ascii="Arial" w:eastAsia="Times New Roman" w:hAnsi="Arial" w:cs="Arial"/>
          <w:bCs/>
          <w:kern w:val="28"/>
          <w:lang w:eastAsia="pl-PL"/>
        </w:rPr>
        <w:t>ej 311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zarządzan</w:t>
      </w:r>
      <w:r w:rsidR="00417980">
        <w:rPr>
          <w:rFonts w:ascii="Arial" w:eastAsia="Times New Roman" w:hAnsi="Arial" w:cs="Arial"/>
          <w:bCs/>
          <w:kern w:val="28"/>
          <w:lang w:eastAsia="pl-PL"/>
        </w:rPr>
        <w:t>ej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przez </w:t>
      </w:r>
      <w:r w:rsidR="007A4A31" w:rsidRPr="002A194A">
        <w:rPr>
          <w:rFonts w:ascii="Arial" w:eastAsia="Times New Roman" w:hAnsi="Arial" w:cs="Arial"/>
          <w:bCs/>
          <w:kern w:val="28"/>
          <w:lang w:eastAsia="pl-PL"/>
        </w:rPr>
        <w:t>DSDiK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>;</w:t>
      </w:r>
    </w:p>
    <w:p w14:paraId="0009C0CA" w14:textId="77777777" w:rsidR="00497F05" w:rsidRPr="002A194A" w:rsidRDefault="00497F05" w:rsidP="0052545F">
      <w:pPr>
        <w:autoSpaceDE w:val="0"/>
        <w:autoSpaceDN w:val="0"/>
        <w:adjustRightInd w:val="0"/>
        <w:spacing w:before="0" w:after="240"/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</w:p>
    <w:p w14:paraId="1135AB13" w14:textId="68354AFE" w:rsidR="000870A3" w:rsidRPr="002A194A" w:rsidRDefault="000870A3" w:rsidP="001104BD">
      <w:pPr>
        <w:tabs>
          <w:tab w:val="left" w:pos="284"/>
        </w:tabs>
        <w:autoSpaceDE w:val="0"/>
        <w:autoSpaceDN w:val="0"/>
        <w:adjustRightInd w:val="0"/>
        <w:spacing w:before="0"/>
        <w:ind w:left="426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Wskaźnik wyznaczan</w:t>
      </w:r>
      <w:r w:rsidR="00826683" w:rsidRPr="002A194A">
        <w:rPr>
          <w:rFonts w:ascii="Arial" w:eastAsia="Times New Roman" w:hAnsi="Arial" w:cs="Arial"/>
          <w:bCs/>
          <w:kern w:val="28"/>
          <w:lang w:eastAsia="pl-PL"/>
        </w:rPr>
        <w:t>y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826683" w:rsidRPr="002A194A">
        <w:rPr>
          <w:rFonts w:ascii="Arial" w:eastAsia="Times New Roman" w:hAnsi="Arial" w:cs="Arial"/>
          <w:bCs/>
          <w:kern w:val="28"/>
          <w:lang w:eastAsia="pl-PL"/>
        </w:rPr>
        <w:t>jest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 dla rocznych kosztów działalności związanej z</w:t>
      </w:r>
      <w:r w:rsidR="001104B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zarządzaniem infrastrukturą kolejową (kosztów działalności </w:t>
      </w:r>
      <w:r w:rsidR="00743233" w:rsidRPr="002A194A">
        <w:rPr>
          <w:rFonts w:ascii="Arial" w:eastAsia="Times New Roman" w:hAnsi="Arial" w:cs="Arial"/>
          <w:bCs/>
          <w:kern w:val="28"/>
          <w:lang w:eastAsia="pl-PL"/>
        </w:rPr>
        <w:t>DSDiK</w:t>
      </w:r>
      <w:r w:rsidR="00FB562F" w:rsidRPr="002A194A">
        <w:rPr>
          <w:rFonts w:ascii="Arial" w:eastAsia="Times New Roman" w:hAnsi="Arial" w:cs="Arial"/>
          <w:bCs/>
          <w:kern w:val="28"/>
          <w:lang w:eastAsia="pl-PL"/>
        </w:rPr>
        <w:t xml:space="preserve">) 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oraz długości linii </w:t>
      </w:r>
      <w:r w:rsidR="006B25FC">
        <w:rPr>
          <w:rFonts w:ascii="Arial" w:eastAsia="Times New Roman" w:hAnsi="Arial" w:cs="Arial"/>
          <w:bCs/>
          <w:kern w:val="28"/>
          <w:lang w:eastAsia="pl-PL"/>
        </w:rPr>
        <w:t xml:space="preserve">311 zarządzanej 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 xml:space="preserve">przez </w:t>
      </w:r>
      <w:r w:rsidR="00743233" w:rsidRPr="002A194A">
        <w:rPr>
          <w:rFonts w:ascii="Arial" w:eastAsia="Times New Roman" w:hAnsi="Arial" w:cs="Arial"/>
          <w:bCs/>
          <w:kern w:val="28"/>
          <w:lang w:eastAsia="pl-PL"/>
        </w:rPr>
        <w:t>DSDiK</w:t>
      </w:r>
      <w:r w:rsidR="008A6C46" w:rsidRPr="002A194A">
        <w:rPr>
          <w:rFonts w:ascii="Arial" w:eastAsia="Times New Roman" w:hAnsi="Arial" w:cs="Arial"/>
          <w:bCs/>
          <w:kern w:val="28"/>
          <w:lang w:eastAsia="pl-PL"/>
        </w:rPr>
        <w:t xml:space="preserve"> wg stanu na dzień 31 grudnia danego roku</w:t>
      </w:r>
      <w:r w:rsidR="00E56649" w:rsidRPr="002A194A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52F0B964" w14:textId="77777777" w:rsidR="000870A3" w:rsidRPr="002A194A" w:rsidRDefault="000870A3" w:rsidP="006221F7">
      <w:pPr>
        <w:numPr>
          <w:ilvl w:val="0"/>
          <w:numId w:val="15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Źródła danych</w:t>
      </w:r>
    </w:p>
    <w:p w14:paraId="25DE110A" w14:textId="3752B444" w:rsidR="007A4A31" w:rsidRPr="002A194A" w:rsidRDefault="007A4A31" w:rsidP="007A4A31">
      <w:pPr>
        <w:spacing w:before="240" w:after="240"/>
        <w:ind w:left="360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Księgowość Dolnośląskiej Służby Dróg i Kolei we </w:t>
      </w:r>
      <w:r w:rsidR="00743233" w:rsidRPr="002A194A">
        <w:rPr>
          <w:rFonts w:ascii="Arial" w:hAnsi="Arial" w:cs="Arial"/>
        </w:rPr>
        <w:t>W</w:t>
      </w:r>
      <w:r w:rsidRPr="002A194A">
        <w:rPr>
          <w:rFonts w:ascii="Arial" w:hAnsi="Arial" w:cs="Arial"/>
        </w:rPr>
        <w:t>rocławiu</w:t>
      </w:r>
    </w:p>
    <w:p w14:paraId="752BF2FF" w14:textId="77777777" w:rsidR="000870A3" w:rsidRPr="002A194A" w:rsidRDefault="000870A3" w:rsidP="006221F7">
      <w:pPr>
        <w:numPr>
          <w:ilvl w:val="0"/>
          <w:numId w:val="15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Wartość oczekiwana</w:t>
      </w:r>
    </w:p>
    <w:p w14:paraId="32161D18" w14:textId="77777777" w:rsidR="000870A3" w:rsidRPr="002A194A" w:rsidRDefault="001950D7" w:rsidP="006221F7">
      <w:pPr>
        <w:pStyle w:val="Akapitzlist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before="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W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>skaźnik, wymienion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y</w:t>
      </w:r>
      <w:r w:rsidR="000870A3" w:rsidRPr="002A194A">
        <w:rPr>
          <w:rFonts w:ascii="Arial" w:eastAsia="Times New Roman" w:hAnsi="Arial" w:cs="Arial"/>
          <w:bCs/>
          <w:kern w:val="28"/>
          <w:lang w:eastAsia="pl-PL"/>
        </w:rPr>
        <w:t xml:space="preserve"> w pkt 1, podlega monitorowaniu w cyklu rocznym;</w:t>
      </w:r>
    </w:p>
    <w:p w14:paraId="1566F052" w14:textId="77777777" w:rsidR="000870A3" w:rsidRPr="002A194A" w:rsidRDefault="000870A3" w:rsidP="006221F7">
      <w:pPr>
        <w:pStyle w:val="Akapitzlist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before="0" w:after="120"/>
        <w:ind w:left="567" w:hanging="567"/>
        <w:rPr>
          <w:rFonts w:ascii="Arial" w:eastAsia="Times New Roman" w:hAnsi="Arial" w:cs="Arial"/>
          <w:kern w:val="28"/>
          <w:lang w:eastAsia="pl-PL"/>
        </w:rPr>
      </w:pPr>
      <w:r w:rsidRPr="002A194A">
        <w:rPr>
          <w:rFonts w:ascii="Arial" w:eastAsia="Times New Roman" w:hAnsi="Arial" w:cs="Arial"/>
          <w:bCs/>
          <w:kern w:val="28"/>
          <w:lang w:eastAsia="pl-PL"/>
        </w:rPr>
        <w:t>Zarządca zobowiązany jest zapewnić uzyskanie nast</w:t>
      </w:r>
      <w:r w:rsidR="00A543E4" w:rsidRPr="002A194A">
        <w:rPr>
          <w:rFonts w:ascii="Arial" w:eastAsia="Times New Roman" w:hAnsi="Arial" w:cs="Arial"/>
          <w:bCs/>
          <w:kern w:val="28"/>
          <w:lang w:eastAsia="pl-PL"/>
        </w:rPr>
        <w:t>ępujących wartości wskaźnik</w:t>
      </w:r>
      <w:r w:rsidR="001950D7" w:rsidRPr="002A194A">
        <w:rPr>
          <w:rFonts w:ascii="Arial" w:eastAsia="Times New Roman" w:hAnsi="Arial" w:cs="Arial"/>
          <w:bCs/>
          <w:kern w:val="28"/>
          <w:lang w:eastAsia="pl-PL"/>
        </w:rPr>
        <w:t>a</w:t>
      </w:r>
      <w:r w:rsidR="00A543E4" w:rsidRPr="002A194A">
        <w:rPr>
          <w:rFonts w:ascii="Arial" w:eastAsia="Times New Roman" w:hAnsi="Arial" w:cs="Arial"/>
          <w:bCs/>
          <w:kern w:val="28"/>
          <w:lang w:eastAsia="pl-PL"/>
        </w:rPr>
        <w:t xml:space="preserve"> w </w:t>
      </w:r>
      <w:r w:rsidRPr="002A194A">
        <w:rPr>
          <w:rFonts w:ascii="Arial" w:eastAsia="Times New Roman" w:hAnsi="Arial" w:cs="Arial"/>
          <w:bCs/>
          <w:kern w:val="28"/>
          <w:lang w:eastAsia="pl-PL"/>
        </w:rPr>
        <w:t>poszczególnych latach obowiązywania Umowy:</w:t>
      </w:r>
    </w:p>
    <w:tbl>
      <w:tblPr>
        <w:tblStyle w:val="Tabela-Siatka1"/>
        <w:tblW w:w="498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86"/>
        <w:gridCol w:w="1500"/>
        <w:gridCol w:w="700"/>
        <w:gridCol w:w="912"/>
        <w:gridCol w:w="912"/>
        <w:gridCol w:w="912"/>
        <w:gridCol w:w="912"/>
        <w:gridCol w:w="912"/>
        <w:gridCol w:w="912"/>
        <w:gridCol w:w="912"/>
      </w:tblGrid>
      <w:tr w:rsidR="001104BD" w:rsidRPr="002A194A" w14:paraId="7668320A" w14:textId="77777777" w:rsidTr="001104BD">
        <w:trPr>
          <w:trHeight w:val="140"/>
        </w:trPr>
        <w:tc>
          <w:tcPr>
            <w:tcW w:w="614" w:type="dxa"/>
            <w:vMerge w:val="restart"/>
            <w:vAlign w:val="center"/>
          </w:tcPr>
          <w:p w14:paraId="291E4206" w14:textId="77777777" w:rsidR="00255BBB" w:rsidRPr="002A194A" w:rsidRDefault="00255BBB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98" w:type="dxa"/>
            <w:vMerge w:val="restart"/>
            <w:vAlign w:val="center"/>
          </w:tcPr>
          <w:p w14:paraId="08D7978E" w14:textId="77777777" w:rsidR="00255BBB" w:rsidRPr="002A194A" w:rsidRDefault="00255BBB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Wskaźnik</w:t>
            </w:r>
          </w:p>
        </w:tc>
        <w:tc>
          <w:tcPr>
            <w:tcW w:w="736" w:type="dxa"/>
            <w:vMerge w:val="restart"/>
            <w:vAlign w:val="center"/>
          </w:tcPr>
          <w:p w14:paraId="51DDDEFA" w14:textId="77777777" w:rsidR="00255BBB" w:rsidRPr="002A194A" w:rsidRDefault="00255BBB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64" w:type="dxa"/>
            <w:vAlign w:val="center"/>
          </w:tcPr>
          <w:p w14:paraId="47C00618" w14:textId="77777777" w:rsidR="00255BBB" w:rsidRPr="002A194A" w:rsidRDefault="00255BBB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Wartość bazowa</w:t>
            </w:r>
          </w:p>
        </w:tc>
        <w:tc>
          <w:tcPr>
            <w:tcW w:w="964" w:type="dxa"/>
            <w:gridSpan w:val="6"/>
            <w:vAlign w:val="center"/>
          </w:tcPr>
          <w:p w14:paraId="2CB6A86D" w14:textId="77777777" w:rsidR="00255BBB" w:rsidRPr="002A194A" w:rsidRDefault="00255BBB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Oczekiwana maksymalna wartość wskaźnika w latach</w:t>
            </w:r>
          </w:p>
        </w:tc>
      </w:tr>
      <w:tr w:rsidR="001104BD" w:rsidRPr="002A194A" w14:paraId="2A77E0A6" w14:textId="77777777" w:rsidTr="001104BD">
        <w:trPr>
          <w:trHeight w:val="39"/>
        </w:trPr>
        <w:tc>
          <w:tcPr>
            <w:tcW w:w="614" w:type="dxa"/>
            <w:vMerge/>
            <w:vAlign w:val="center"/>
          </w:tcPr>
          <w:p w14:paraId="16549EAC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vMerge/>
            <w:vAlign w:val="center"/>
          </w:tcPr>
          <w:p w14:paraId="4757FBD5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vAlign w:val="center"/>
          </w:tcPr>
          <w:p w14:paraId="156501EF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F07E259" w14:textId="3A0E6708" w:rsidR="00C21A65" w:rsidRPr="002A194A" w:rsidRDefault="001104BD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64" w:type="dxa"/>
            <w:vAlign w:val="center"/>
          </w:tcPr>
          <w:p w14:paraId="4C8356D5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64" w:type="dxa"/>
            <w:vAlign w:val="center"/>
          </w:tcPr>
          <w:p w14:paraId="65A715CC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64" w:type="dxa"/>
            <w:vAlign w:val="center"/>
          </w:tcPr>
          <w:p w14:paraId="55FC2CF1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64" w:type="dxa"/>
            <w:vAlign w:val="center"/>
          </w:tcPr>
          <w:p w14:paraId="465500BA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64" w:type="dxa"/>
            <w:vAlign w:val="center"/>
          </w:tcPr>
          <w:p w14:paraId="4609BDFB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64" w:type="dxa"/>
            <w:vAlign w:val="center"/>
          </w:tcPr>
          <w:p w14:paraId="7ECA1AED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efekt Programu</w:t>
            </w:r>
          </w:p>
        </w:tc>
      </w:tr>
      <w:tr w:rsidR="001104BD" w:rsidRPr="002A194A" w14:paraId="7283F8CC" w14:textId="77777777" w:rsidTr="001104BD">
        <w:trPr>
          <w:trHeight w:val="1589"/>
        </w:trPr>
        <w:tc>
          <w:tcPr>
            <w:tcW w:w="614" w:type="dxa"/>
            <w:vAlign w:val="center"/>
          </w:tcPr>
          <w:p w14:paraId="53F1FF2B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98" w:type="dxa"/>
            <w:vAlign w:val="center"/>
          </w:tcPr>
          <w:p w14:paraId="05D6FDAD" w14:textId="1DFD711E" w:rsidR="00C21A65" w:rsidRPr="001104BD" w:rsidRDefault="00C21A65" w:rsidP="001104BD">
            <w:pPr>
              <w:ind w:left="-15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A19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działalności związanej z</w:t>
            </w:r>
            <w:r w:rsidR="0011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Pr="002A19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zarządzaniem infrastrukturą kolejową ponoszone na 1 km linii </w:t>
            </w:r>
            <w:r w:rsidR="0011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311 </w:t>
            </w:r>
            <w:r w:rsidRPr="002A19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będąc</w:t>
            </w:r>
            <w:r w:rsidR="00110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ej</w:t>
            </w:r>
            <w:r w:rsidRPr="002A19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zarządzie </w:t>
            </w:r>
            <w:r w:rsidR="00624704" w:rsidRPr="002A19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DSDiK</w:t>
            </w:r>
          </w:p>
        </w:tc>
        <w:tc>
          <w:tcPr>
            <w:tcW w:w="736" w:type="dxa"/>
            <w:vAlign w:val="center"/>
          </w:tcPr>
          <w:p w14:paraId="23CE7C4A" w14:textId="77777777" w:rsidR="00C21A65" w:rsidRPr="002A194A" w:rsidRDefault="00C21A65" w:rsidP="001104BD">
            <w:pPr>
              <w:jc w:val="center"/>
              <w:rPr>
                <w:rFonts w:ascii="Arial" w:eastAsia="Times New Roman" w:hAnsi="Arial" w:cs="Arial"/>
                <w:bCs/>
                <w:kern w:val="28"/>
                <w:sz w:val="16"/>
                <w:szCs w:val="16"/>
              </w:rPr>
            </w:pPr>
            <w:r w:rsidRPr="002A194A">
              <w:rPr>
                <w:rFonts w:ascii="Arial" w:eastAsia="Times New Roman" w:hAnsi="Arial" w:cs="Arial"/>
                <w:bCs/>
                <w:kern w:val="28"/>
                <w:sz w:val="16"/>
                <w:szCs w:val="16"/>
              </w:rPr>
              <w:t>tys. zł/1km</w:t>
            </w:r>
          </w:p>
        </w:tc>
        <w:tc>
          <w:tcPr>
            <w:tcW w:w="964" w:type="dxa"/>
            <w:vAlign w:val="center"/>
          </w:tcPr>
          <w:p w14:paraId="4382DD54" w14:textId="3A3B8558" w:rsidR="00C21A65" w:rsidRPr="002A194A" w:rsidRDefault="001104BD" w:rsidP="001104BD">
            <w:pPr>
              <w:jc w:val="center"/>
              <w:rPr>
                <w:rFonts w:ascii="Arial" w:eastAsia="Times New Roman" w:hAnsi="Arial" w:cs="Arial"/>
                <w:bCs/>
                <w:kern w:val="28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kern w:val="28"/>
                <w:sz w:val="16"/>
                <w:szCs w:val="16"/>
              </w:rPr>
              <w:t>91,71</w:t>
            </w:r>
          </w:p>
        </w:tc>
        <w:tc>
          <w:tcPr>
            <w:tcW w:w="964" w:type="dxa"/>
            <w:vAlign w:val="center"/>
          </w:tcPr>
          <w:p w14:paraId="0E71AD12" w14:textId="07ED72D3" w:rsidR="00C21A65" w:rsidRPr="002A194A" w:rsidRDefault="006B25FC" w:rsidP="00975171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1</w:t>
            </w:r>
            <w:r w:rsidR="00975171"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64" w:type="dxa"/>
            <w:vAlign w:val="center"/>
          </w:tcPr>
          <w:p w14:paraId="3A093EF1" w14:textId="23D04593" w:rsidR="00C21A65" w:rsidRPr="002A194A" w:rsidRDefault="00975171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119,50</w:t>
            </w:r>
          </w:p>
        </w:tc>
        <w:tc>
          <w:tcPr>
            <w:tcW w:w="964" w:type="dxa"/>
            <w:vAlign w:val="center"/>
          </w:tcPr>
          <w:p w14:paraId="0FC06E42" w14:textId="7E60200F" w:rsidR="00C21A65" w:rsidRPr="002A194A" w:rsidRDefault="00975171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120,00</w:t>
            </w:r>
          </w:p>
        </w:tc>
        <w:tc>
          <w:tcPr>
            <w:tcW w:w="964" w:type="dxa"/>
            <w:vAlign w:val="center"/>
          </w:tcPr>
          <w:p w14:paraId="6452911F" w14:textId="411ABE55" w:rsidR="00C21A65" w:rsidRPr="002A194A" w:rsidRDefault="00975171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122,00</w:t>
            </w:r>
          </w:p>
        </w:tc>
        <w:tc>
          <w:tcPr>
            <w:tcW w:w="964" w:type="dxa"/>
            <w:vAlign w:val="center"/>
          </w:tcPr>
          <w:p w14:paraId="4E96467A" w14:textId="4C1FED23" w:rsidR="00C21A65" w:rsidRPr="002A194A" w:rsidRDefault="00975171" w:rsidP="001104BD">
            <w:pPr>
              <w:jc w:val="center"/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sz w:val="16"/>
                <w:szCs w:val="16"/>
                <w:lang w:eastAsia="pl-PL"/>
              </w:rPr>
              <w:t>124,93</w:t>
            </w:r>
          </w:p>
        </w:tc>
        <w:tc>
          <w:tcPr>
            <w:tcW w:w="964" w:type="dxa"/>
            <w:vAlign w:val="center"/>
          </w:tcPr>
          <w:p w14:paraId="761A8597" w14:textId="4CEF87FF" w:rsidR="00C21A65" w:rsidRPr="002A194A" w:rsidRDefault="00975171" w:rsidP="001104BD">
            <w:pPr>
              <w:jc w:val="center"/>
              <w:rPr>
                <w:rFonts w:ascii="Arial" w:eastAsia="Times New Roman" w:hAnsi="Arial" w:cs="Arial"/>
                <w:bCs/>
                <w:kern w:val="28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kern w:val="28"/>
                <w:sz w:val="16"/>
                <w:szCs w:val="16"/>
              </w:rPr>
              <w:t>124,93</w:t>
            </w:r>
          </w:p>
        </w:tc>
      </w:tr>
    </w:tbl>
    <w:p w14:paraId="34908CC6" w14:textId="77777777" w:rsidR="0054516C" w:rsidRDefault="0054516C" w:rsidP="000870A3">
      <w:pPr>
        <w:rPr>
          <w:rFonts w:ascii="Arial" w:eastAsia="Times New Roman" w:hAnsi="Arial" w:cs="Arial"/>
          <w:kern w:val="28"/>
          <w:highlight w:val="lightGray"/>
          <w:lang w:eastAsia="pl-PL"/>
        </w:rPr>
      </w:pPr>
    </w:p>
    <w:p w14:paraId="4BECAF8E" w14:textId="77777777" w:rsidR="000870A3" w:rsidRPr="002A194A" w:rsidRDefault="000870A3" w:rsidP="000870A3">
      <w:pPr>
        <w:rPr>
          <w:rFonts w:ascii="Arial" w:eastAsia="Times New Roman" w:hAnsi="Arial" w:cs="Arial"/>
          <w:kern w:val="28"/>
          <w:highlight w:val="lightGray"/>
          <w:lang w:eastAsia="pl-PL"/>
        </w:rPr>
      </w:pPr>
      <w:r w:rsidRPr="002A194A">
        <w:rPr>
          <w:rFonts w:ascii="Arial" w:eastAsia="Times New Roman" w:hAnsi="Arial" w:cs="Arial"/>
          <w:kern w:val="28"/>
          <w:highlight w:val="lightGray"/>
          <w:lang w:eastAsia="pl-PL"/>
        </w:rPr>
        <w:br w:type="page"/>
      </w:r>
    </w:p>
    <w:p w14:paraId="13B7D4FC" w14:textId="77777777" w:rsidR="00274E57" w:rsidRPr="002A194A" w:rsidRDefault="00274E57" w:rsidP="0054516C">
      <w:pPr>
        <w:pStyle w:val="Akapitzlist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before="480" w:after="480"/>
        <w:ind w:left="567" w:hanging="567"/>
        <w:rPr>
          <w:rFonts w:ascii="Arial" w:eastAsia="Times New Roman" w:hAnsi="Arial" w:cs="Arial"/>
          <w:bCs/>
          <w:kern w:val="28"/>
          <w:sz w:val="28"/>
          <w:szCs w:val="28"/>
          <w:u w:val="single"/>
        </w:rPr>
      </w:pPr>
      <w:r w:rsidRPr="002A194A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lastRenderedPageBreak/>
        <w:t xml:space="preserve">Poprawa poziomu bezpieczeństwa i działania ukierunkowane na ochronę środowiska </w:t>
      </w:r>
    </w:p>
    <w:p w14:paraId="0E728BE3" w14:textId="77777777" w:rsidR="00274E57" w:rsidRPr="002A194A" w:rsidRDefault="00274E57" w:rsidP="00274E57">
      <w:pPr>
        <w:pStyle w:val="Akapitzlist"/>
        <w:tabs>
          <w:tab w:val="left" w:pos="0"/>
        </w:tabs>
        <w:autoSpaceDE w:val="0"/>
        <w:autoSpaceDN w:val="0"/>
        <w:adjustRightInd w:val="0"/>
        <w:spacing w:before="480" w:after="480"/>
        <w:ind w:left="502"/>
        <w:jc w:val="left"/>
        <w:rPr>
          <w:rFonts w:ascii="Arial" w:eastAsia="Times New Roman" w:hAnsi="Arial" w:cs="Arial"/>
          <w:bCs/>
          <w:kern w:val="28"/>
          <w:sz w:val="28"/>
          <w:szCs w:val="28"/>
          <w:u w:val="single"/>
        </w:rPr>
      </w:pPr>
    </w:p>
    <w:p w14:paraId="5B6D29C0" w14:textId="77777777" w:rsidR="00274E57" w:rsidRPr="002A194A" w:rsidRDefault="00274E57" w:rsidP="006221F7">
      <w:pPr>
        <w:pStyle w:val="Akapitzlist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Nazwa</w:t>
      </w:r>
    </w:p>
    <w:p w14:paraId="447FA679" w14:textId="361ED0A2" w:rsidR="006717EE" w:rsidRDefault="00274E57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b/>
          <w:kern w:val="28"/>
          <w:lang w:eastAsia="pl-PL"/>
        </w:rPr>
      </w:pPr>
      <w:r w:rsidRPr="006717EE">
        <w:rPr>
          <w:rFonts w:ascii="Arial" w:eastAsia="Times New Roman" w:hAnsi="Arial" w:cs="Arial"/>
          <w:kern w:val="28"/>
          <w:lang w:eastAsia="pl-PL"/>
        </w:rPr>
        <w:t xml:space="preserve"> „</w:t>
      </w:r>
      <w:r w:rsidR="00F54736">
        <w:rPr>
          <w:rFonts w:ascii="Arial" w:eastAsia="Times New Roman" w:hAnsi="Arial" w:cs="Arial"/>
          <w:kern w:val="28"/>
          <w:lang w:eastAsia="pl-PL"/>
        </w:rPr>
        <w:t>Liczba</w:t>
      </w:r>
      <w:r w:rsidRPr="006717EE">
        <w:rPr>
          <w:rFonts w:ascii="Arial" w:eastAsia="Times New Roman" w:hAnsi="Arial" w:cs="Arial"/>
          <w:kern w:val="28"/>
          <w:lang w:eastAsia="pl-PL"/>
        </w:rPr>
        <w:t xml:space="preserve"> </w:t>
      </w:r>
      <w:r w:rsidR="006717EE" w:rsidRPr="006717EE">
        <w:rPr>
          <w:rFonts w:ascii="Arial" w:eastAsia="Times New Roman" w:hAnsi="Arial" w:cs="Arial"/>
          <w:kern w:val="28"/>
          <w:lang w:eastAsia="pl-PL"/>
        </w:rPr>
        <w:t>wyremonto</w:t>
      </w:r>
      <w:r w:rsidRPr="006717EE">
        <w:rPr>
          <w:rFonts w:ascii="Arial" w:eastAsia="Times New Roman" w:hAnsi="Arial" w:cs="Arial"/>
          <w:kern w:val="28"/>
          <w:lang w:eastAsia="pl-PL"/>
        </w:rPr>
        <w:t>w</w:t>
      </w:r>
      <w:r w:rsidR="006717EE" w:rsidRPr="006717EE">
        <w:rPr>
          <w:rFonts w:ascii="Arial" w:eastAsia="Times New Roman" w:hAnsi="Arial" w:cs="Arial"/>
          <w:kern w:val="28"/>
          <w:lang w:eastAsia="pl-PL"/>
        </w:rPr>
        <w:t>anych</w:t>
      </w:r>
      <w:r w:rsidRPr="006717EE">
        <w:rPr>
          <w:rFonts w:ascii="Arial" w:eastAsia="Times New Roman" w:hAnsi="Arial" w:cs="Arial"/>
          <w:kern w:val="28"/>
          <w:lang w:eastAsia="pl-PL"/>
        </w:rPr>
        <w:t xml:space="preserve"> obiektów inżynieryjnych</w:t>
      </w:r>
      <w:r w:rsidR="006717EE" w:rsidRPr="006717EE">
        <w:rPr>
          <w:rFonts w:ascii="Arial" w:eastAsia="Times New Roman" w:hAnsi="Arial" w:cs="Arial"/>
          <w:kern w:val="28"/>
          <w:lang w:eastAsia="pl-PL"/>
        </w:rPr>
        <w:t xml:space="preserve"> na linii 311</w:t>
      </w:r>
      <w:r w:rsidRPr="006717EE">
        <w:rPr>
          <w:rFonts w:ascii="Arial" w:eastAsia="Times New Roman" w:hAnsi="Arial" w:cs="Arial"/>
          <w:kern w:val="28"/>
          <w:lang w:eastAsia="pl-PL"/>
        </w:rPr>
        <w:t xml:space="preserve">” </w:t>
      </w:r>
      <w:r w:rsidRPr="006717EE">
        <w:rPr>
          <w:rFonts w:ascii="Arial" w:eastAsia="Times New Roman" w:hAnsi="Arial" w:cs="Arial"/>
          <w:b/>
          <w:kern w:val="28"/>
          <w:lang w:eastAsia="pl-PL"/>
        </w:rPr>
        <w:t xml:space="preserve">Wskaźnik </w:t>
      </w:r>
      <w:r w:rsidR="006717EE" w:rsidRPr="006717EE">
        <w:rPr>
          <w:rFonts w:ascii="Arial" w:eastAsia="Times New Roman" w:hAnsi="Arial" w:cs="Arial"/>
          <w:b/>
          <w:kern w:val="28"/>
          <w:lang w:eastAsia="pl-PL"/>
        </w:rPr>
        <w:t>obligatoryjny</w:t>
      </w:r>
    </w:p>
    <w:p w14:paraId="10167BD3" w14:textId="4DA8F4CD" w:rsidR="002F68CB" w:rsidRPr="00174E1A" w:rsidRDefault="00DD499E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b/>
          <w:kern w:val="28"/>
          <w:lang w:eastAsia="pl-PL"/>
        </w:rPr>
      </w:pPr>
      <w:r w:rsidRPr="006717EE">
        <w:rPr>
          <w:rFonts w:ascii="Arial" w:eastAsia="Times New Roman" w:hAnsi="Arial" w:cs="Arial"/>
          <w:bCs/>
          <w:kern w:val="28"/>
          <w:lang w:eastAsia="pl-PL"/>
        </w:rPr>
        <w:t>„</w:t>
      </w:r>
      <w:r w:rsidR="00F54736">
        <w:rPr>
          <w:rFonts w:ascii="Arial" w:eastAsia="Times New Roman" w:hAnsi="Arial" w:cs="Arial"/>
          <w:bCs/>
          <w:kern w:val="28"/>
          <w:lang w:eastAsia="pl-PL"/>
        </w:rPr>
        <w:t>Długość</w:t>
      </w:r>
      <w:r w:rsidRPr="006717EE">
        <w:rPr>
          <w:rFonts w:ascii="Arial" w:eastAsia="Times New Roman" w:hAnsi="Arial" w:cs="Arial"/>
          <w:bCs/>
          <w:kern w:val="28"/>
          <w:lang w:eastAsia="pl-PL"/>
        </w:rPr>
        <w:t xml:space="preserve"> wyciętego obszaru zalesionego</w:t>
      </w:r>
      <w:r w:rsidR="006717EE" w:rsidRPr="006717EE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C3327">
        <w:rPr>
          <w:rFonts w:ascii="Arial" w:eastAsia="Times New Roman" w:hAnsi="Arial" w:cs="Arial"/>
          <w:bCs/>
          <w:kern w:val="28"/>
          <w:lang w:eastAsia="pl-PL"/>
        </w:rPr>
        <w:t>wzdłuż</w:t>
      </w:r>
      <w:r w:rsidR="006717EE" w:rsidRPr="006717EE">
        <w:rPr>
          <w:rFonts w:ascii="Arial" w:eastAsia="Times New Roman" w:hAnsi="Arial" w:cs="Arial"/>
          <w:bCs/>
          <w:kern w:val="28"/>
          <w:lang w:eastAsia="pl-PL"/>
        </w:rPr>
        <w:t xml:space="preserve"> linii 311”</w:t>
      </w:r>
      <w:r w:rsidRPr="006717EE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717EE" w:rsidRPr="006717EE">
        <w:rPr>
          <w:rFonts w:ascii="Arial" w:eastAsia="Times New Roman" w:hAnsi="Arial" w:cs="Arial"/>
          <w:b/>
          <w:bCs/>
          <w:kern w:val="28"/>
          <w:lang w:eastAsia="pl-PL"/>
        </w:rPr>
        <w:t>Wskaźnik obligatoryjny</w:t>
      </w:r>
    </w:p>
    <w:p w14:paraId="5D32C6D2" w14:textId="55FE6A0B" w:rsidR="00174E1A" w:rsidRDefault="00174E1A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b/>
          <w:kern w:val="28"/>
          <w:lang w:eastAsia="pl-PL"/>
        </w:rPr>
      </w:pPr>
      <w:r w:rsidRPr="00174E1A">
        <w:rPr>
          <w:rFonts w:ascii="Arial" w:eastAsia="Times New Roman" w:hAnsi="Arial" w:cs="Arial"/>
          <w:bCs/>
          <w:kern w:val="28"/>
          <w:lang w:eastAsia="pl-PL"/>
        </w:rPr>
        <w:t>„</w:t>
      </w:r>
      <w:r w:rsidR="00F54736">
        <w:rPr>
          <w:rFonts w:ascii="Arial" w:eastAsia="Times New Roman" w:hAnsi="Arial" w:cs="Arial"/>
          <w:bCs/>
          <w:kern w:val="28"/>
          <w:lang w:eastAsia="pl-PL"/>
        </w:rPr>
        <w:t xml:space="preserve">Długość </w:t>
      </w:r>
      <w:r w:rsidRPr="00174E1A">
        <w:rPr>
          <w:rFonts w:ascii="Arial" w:eastAsia="Times New Roman" w:hAnsi="Arial" w:cs="Arial"/>
          <w:bCs/>
          <w:kern w:val="28"/>
          <w:lang w:eastAsia="pl-PL"/>
        </w:rPr>
        <w:t xml:space="preserve">wyremontowanego odwodnienia </w:t>
      </w:r>
      <w:r w:rsidRPr="006717EE">
        <w:rPr>
          <w:rFonts w:ascii="Arial" w:eastAsia="Times New Roman" w:hAnsi="Arial" w:cs="Arial"/>
          <w:kern w:val="28"/>
          <w:lang w:eastAsia="pl-PL"/>
        </w:rPr>
        <w:t xml:space="preserve">na linii 311” </w:t>
      </w:r>
      <w:r w:rsidRPr="006717EE">
        <w:rPr>
          <w:rFonts w:ascii="Arial" w:eastAsia="Times New Roman" w:hAnsi="Arial" w:cs="Arial"/>
          <w:b/>
          <w:kern w:val="28"/>
          <w:lang w:eastAsia="pl-PL"/>
        </w:rPr>
        <w:t>Wskaźnik obligatoryjny</w:t>
      </w:r>
    </w:p>
    <w:p w14:paraId="228AD058" w14:textId="77777777" w:rsidR="00274E57" w:rsidRPr="002A194A" w:rsidRDefault="00274E57" w:rsidP="00274E57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Times New Roman" w:hAnsi="Arial" w:cs="Arial"/>
          <w:kern w:val="28"/>
          <w:lang w:eastAsia="pl-PL"/>
        </w:rPr>
      </w:pPr>
    </w:p>
    <w:p w14:paraId="4267729F" w14:textId="77777777" w:rsidR="00274E57" w:rsidRPr="002A194A" w:rsidRDefault="00274E57" w:rsidP="006221F7">
      <w:pPr>
        <w:pStyle w:val="Akapitzlist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Definicja</w:t>
      </w:r>
    </w:p>
    <w:p w14:paraId="039DF2BC" w14:textId="77777777" w:rsidR="00F54736" w:rsidRDefault="00274E57" w:rsidP="006221F7">
      <w:pPr>
        <w:pStyle w:val="Akapitzlist"/>
        <w:numPr>
          <w:ilvl w:val="1"/>
          <w:numId w:val="21"/>
        </w:numPr>
        <w:ind w:left="709" w:hanging="709"/>
        <w:rPr>
          <w:rFonts w:ascii="Arial" w:hAnsi="Arial" w:cs="Arial"/>
          <w:bCs/>
        </w:rPr>
      </w:pPr>
      <w:r w:rsidRPr="002A194A">
        <w:rPr>
          <w:rFonts w:ascii="Arial" w:hAnsi="Arial" w:cs="Arial"/>
          <w:bCs/>
        </w:rPr>
        <w:t xml:space="preserve">Wskaźnik </w:t>
      </w:r>
      <w:r w:rsidR="00DD499E" w:rsidRPr="002A194A">
        <w:rPr>
          <w:rFonts w:ascii="Arial" w:hAnsi="Arial" w:cs="Arial"/>
          <w:bCs/>
        </w:rPr>
        <w:t xml:space="preserve">5) </w:t>
      </w:r>
      <w:r w:rsidR="00482D76">
        <w:rPr>
          <w:rFonts w:ascii="Arial" w:hAnsi="Arial" w:cs="Arial"/>
          <w:bCs/>
        </w:rPr>
        <w:t xml:space="preserve">wyrażony jest jako </w:t>
      </w:r>
      <w:r w:rsidR="00F54736">
        <w:rPr>
          <w:rFonts w:ascii="Arial" w:hAnsi="Arial" w:cs="Arial"/>
          <w:bCs/>
        </w:rPr>
        <w:t>liczba</w:t>
      </w:r>
      <w:r w:rsidR="006717EE">
        <w:rPr>
          <w:rFonts w:ascii="Arial" w:hAnsi="Arial" w:cs="Arial"/>
          <w:bCs/>
        </w:rPr>
        <w:t xml:space="preserve"> </w:t>
      </w:r>
      <w:r w:rsidR="00F54736">
        <w:rPr>
          <w:rFonts w:ascii="Arial" w:hAnsi="Arial" w:cs="Arial"/>
          <w:bCs/>
        </w:rPr>
        <w:t xml:space="preserve">corocznie </w:t>
      </w:r>
      <w:r w:rsidR="006717EE">
        <w:rPr>
          <w:rFonts w:ascii="Arial" w:hAnsi="Arial" w:cs="Arial"/>
          <w:bCs/>
        </w:rPr>
        <w:t>wyremontowanych</w:t>
      </w:r>
      <w:r w:rsidR="00482D76">
        <w:rPr>
          <w:rFonts w:ascii="Arial" w:hAnsi="Arial" w:cs="Arial"/>
          <w:bCs/>
        </w:rPr>
        <w:t xml:space="preserve"> obiektów inżynieryjnych</w:t>
      </w:r>
      <w:r w:rsidR="00DE321A">
        <w:rPr>
          <w:rFonts w:ascii="Arial" w:hAnsi="Arial" w:cs="Arial"/>
          <w:bCs/>
        </w:rPr>
        <w:t xml:space="preserve"> </w:t>
      </w:r>
      <w:r w:rsidR="006717EE" w:rsidRPr="00F54736">
        <w:rPr>
          <w:rFonts w:ascii="Arial" w:hAnsi="Arial" w:cs="Arial"/>
          <w:bCs/>
        </w:rPr>
        <w:t>na linii kolejowej nr 311</w:t>
      </w:r>
      <w:r w:rsidR="00DE321A" w:rsidRPr="00F54736">
        <w:rPr>
          <w:rFonts w:ascii="Arial" w:hAnsi="Arial" w:cs="Arial"/>
          <w:bCs/>
        </w:rPr>
        <w:t>;</w:t>
      </w:r>
      <w:r w:rsidRPr="00F54736">
        <w:rPr>
          <w:rFonts w:ascii="Arial" w:hAnsi="Arial" w:cs="Arial"/>
          <w:bCs/>
        </w:rPr>
        <w:t xml:space="preserve"> </w:t>
      </w:r>
    </w:p>
    <w:p w14:paraId="6CC4CD36" w14:textId="2775EE51" w:rsidR="00F54736" w:rsidRPr="00F54736" w:rsidRDefault="00F54736" w:rsidP="006221F7">
      <w:pPr>
        <w:pStyle w:val="Akapitzlist"/>
        <w:numPr>
          <w:ilvl w:val="1"/>
          <w:numId w:val="21"/>
        </w:num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Jednostką miary wskaźnika 5</w:t>
      </w:r>
      <w:r w:rsidRPr="00F54736">
        <w:rPr>
          <w:rFonts w:ascii="Arial" w:hAnsi="Arial" w:cs="Arial"/>
          <w:bCs/>
        </w:rPr>
        <w:t xml:space="preserve">) jest </w:t>
      </w:r>
      <w:r>
        <w:rPr>
          <w:rFonts w:ascii="Arial" w:hAnsi="Arial" w:cs="Arial"/>
          <w:bCs/>
        </w:rPr>
        <w:t>1 szt.;</w:t>
      </w:r>
    </w:p>
    <w:p w14:paraId="7571925F" w14:textId="65C447C5" w:rsidR="00DE321A" w:rsidRDefault="00AC70BC" w:rsidP="006221F7">
      <w:pPr>
        <w:pStyle w:val="Akapitzlist"/>
        <w:numPr>
          <w:ilvl w:val="1"/>
          <w:numId w:val="21"/>
        </w:numPr>
        <w:ind w:left="709" w:hanging="709"/>
        <w:rPr>
          <w:rFonts w:ascii="Arial" w:hAnsi="Arial" w:cs="Arial"/>
          <w:bCs/>
        </w:rPr>
      </w:pPr>
      <w:r w:rsidRPr="00DE321A">
        <w:rPr>
          <w:rFonts w:ascii="Arial" w:hAnsi="Arial" w:cs="Arial"/>
          <w:bCs/>
        </w:rPr>
        <w:t xml:space="preserve">Wskaźnik 6) odnosi się do długości </w:t>
      </w:r>
      <w:r w:rsidR="00F54736">
        <w:rPr>
          <w:rFonts w:ascii="Arial" w:hAnsi="Arial" w:cs="Arial"/>
          <w:bCs/>
        </w:rPr>
        <w:t xml:space="preserve">corocznie wyciętego </w:t>
      </w:r>
      <w:r w:rsidRPr="00DE321A">
        <w:rPr>
          <w:rFonts w:ascii="Arial" w:hAnsi="Arial" w:cs="Arial"/>
          <w:bCs/>
        </w:rPr>
        <w:t>obszaru zalesionego</w:t>
      </w:r>
      <w:r w:rsidR="006C3327">
        <w:rPr>
          <w:rFonts w:ascii="Arial" w:hAnsi="Arial" w:cs="Arial"/>
          <w:bCs/>
        </w:rPr>
        <w:t xml:space="preserve"> wzdłuż</w:t>
      </w:r>
      <w:r w:rsidRPr="00DE321A">
        <w:rPr>
          <w:rFonts w:ascii="Arial" w:hAnsi="Arial" w:cs="Arial"/>
          <w:bCs/>
        </w:rPr>
        <w:t xml:space="preserve"> linii kolejowej nr 311. W celu zabezpieczenia terenu oraz ograniczenia ryzyka wypadków poprzez spadające na tory wiatrołomy. Długość całkowita obszaru zalesionego wynosi ok 11,200 co stanowi 84% całej długości linii. Obecnie wykonuje się na bieżąco, wycinkę pojedynczych drzew najbardzi</w:t>
      </w:r>
      <w:r w:rsidR="00DE321A">
        <w:rPr>
          <w:rFonts w:ascii="Arial" w:hAnsi="Arial" w:cs="Arial"/>
          <w:bCs/>
        </w:rPr>
        <w:t>ej zagrażających bezpieczeństwu;</w:t>
      </w:r>
    </w:p>
    <w:p w14:paraId="03AC6476" w14:textId="090FB50E" w:rsidR="00DE321A" w:rsidRDefault="00AC70BC" w:rsidP="006221F7">
      <w:pPr>
        <w:pStyle w:val="Akapitzlist"/>
        <w:numPr>
          <w:ilvl w:val="1"/>
          <w:numId w:val="21"/>
        </w:numPr>
        <w:ind w:left="709" w:hanging="709"/>
        <w:rPr>
          <w:rFonts w:ascii="Arial" w:hAnsi="Arial" w:cs="Arial"/>
          <w:bCs/>
        </w:rPr>
      </w:pPr>
      <w:r w:rsidRPr="00DE321A">
        <w:rPr>
          <w:rFonts w:ascii="Arial" w:hAnsi="Arial" w:cs="Arial"/>
          <w:bCs/>
        </w:rPr>
        <w:t xml:space="preserve">Wskaźnik 6) stanowi </w:t>
      </w:r>
      <w:r w:rsidR="006C3327">
        <w:rPr>
          <w:rFonts w:ascii="Arial" w:hAnsi="Arial" w:cs="Arial"/>
          <w:bCs/>
        </w:rPr>
        <w:t>długość</w:t>
      </w:r>
      <w:r w:rsidR="00F54736" w:rsidRPr="00DE321A">
        <w:rPr>
          <w:rFonts w:ascii="Arial" w:hAnsi="Arial" w:cs="Arial"/>
          <w:bCs/>
        </w:rPr>
        <w:t xml:space="preserve"> </w:t>
      </w:r>
      <w:r w:rsidR="00F54736">
        <w:rPr>
          <w:rFonts w:ascii="Arial" w:hAnsi="Arial" w:cs="Arial"/>
          <w:bCs/>
        </w:rPr>
        <w:t xml:space="preserve">corocznie wyciętego </w:t>
      </w:r>
      <w:r w:rsidR="00F54736" w:rsidRPr="00DE321A">
        <w:rPr>
          <w:rFonts w:ascii="Arial" w:hAnsi="Arial" w:cs="Arial"/>
          <w:bCs/>
        </w:rPr>
        <w:t>obszaru zalesionego</w:t>
      </w:r>
      <w:r w:rsidR="00F54736">
        <w:rPr>
          <w:rFonts w:ascii="Arial" w:hAnsi="Arial" w:cs="Arial"/>
          <w:bCs/>
        </w:rPr>
        <w:t xml:space="preserve"> </w:t>
      </w:r>
      <w:r w:rsidR="006C3327">
        <w:rPr>
          <w:rFonts w:ascii="Arial" w:hAnsi="Arial" w:cs="Arial"/>
          <w:bCs/>
        </w:rPr>
        <w:t>wzdłuż</w:t>
      </w:r>
      <w:r w:rsidR="00DE321A">
        <w:rPr>
          <w:rFonts w:ascii="Arial" w:hAnsi="Arial" w:cs="Arial"/>
          <w:bCs/>
        </w:rPr>
        <w:t xml:space="preserve"> linii kojowej nr 311;</w:t>
      </w:r>
    </w:p>
    <w:p w14:paraId="76C1B7A1" w14:textId="3AA193A2" w:rsidR="00CC3BE8" w:rsidRDefault="00DE321A" w:rsidP="006221F7">
      <w:pPr>
        <w:pStyle w:val="Akapitzlist"/>
        <w:numPr>
          <w:ilvl w:val="1"/>
          <w:numId w:val="21"/>
        </w:num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Jednostką miary wskaźnika 6) jest </w:t>
      </w:r>
      <w:r w:rsidR="00F54736">
        <w:rPr>
          <w:rFonts w:ascii="Arial" w:hAnsi="Arial" w:cs="Arial"/>
          <w:bCs/>
        </w:rPr>
        <w:t>m;</w:t>
      </w:r>
    </w:p>
    <w:p w14:paraId="7B307FA0" w14:textId="403E8E7D" w:rsidR="00174E1A" w:rsidRPr="00CC3BE8" w:rsidRDefault="00174E1A" w:rsidP="006221F7">
      <w:pPr>
        <w:pStyle w:val="Akapitzlist"/>
        <w:numPr>
          <w:ilvl w:val="1"/>
          <w:numId w:val="21"/>
        </w:numPr>
        <w:ind w:left="709" w:hanging="709"/>
        <w:rPr>
          <w:rFonts w:ascii="Arial" w:hAnsi="Arial" w:cs="Arial"/>
          <w:bCs/>
        </w:rPr>
      </w:pPr>
      <w:r w:rsidRPr="00CC3BE8">
        <w:rPr>
          <w:rFonts w:ascii="Arial" w:hAnsi="Arial" w:cs="Arial"/>
          <w:bCs/>
        </w:rPr>
        <w:t xml:space="preserve">Wskaźnik 7) wyrażony jest jako </w:t>
      </w:r>
      <w:r w:rsidR="00F54736" w:rsidRPr="00CC3BE8">
        <w:rPr>
          <w:rFonts w:ascii="Arial" w:hAnsi="Arial" w:cs="Arial"/>
          <w:bCs/>
        </w:rPr>
        <w:t>długość wyremontowanego odwodnienia</w:t>
      </w:r>
      <w:r w:rsidRPr="00CC3BE8">
        <w:rPr>
          <w:rFonts w:ascii="Arial" w:hAnsi="Arial" w:cs="Arial"/>
          <w:bCs/>
        </w:rPr>
        <w:t xml:space="preserve"> na linii kolejowej nr 311</w:t>
      </w:r>
      <w:r w:rsidR="00CC3BE8" w:rsidRPr="00CC3BE8">
        <w:rPr>
          <w:rFonts w:ascii="Arial" w:hAnsi="Arial" w:cs="Arial"/>
          <w:bCs/>
        </w:rPr>
        <w:t>. W celu poprawy bezpieczeństwa</w:t>
      </w:r>
      <w:r w:rsidR="00CC3BE8">
        <w:rPr>
          <w:rFonts w:ascii="Arial" w:hAnsi="Arial" w:cs="Arial"/>
          <w:bCs/>
        </w:rPr>
        <w:t xml:space="preserve"> należy systematycznie udrożniać</w:t>
      </w:r>
      <w:r w:rsidR="00CC3BE8">
        <w:rPr>
          <w:rFonts w:ascii="Arial" w:hAnsi="Arial" w:cs="Arial"/>
          <w:bCs/>
        </w:rPr>
        <w:br/>
      </w:r>
      <w:r w:rsidR="00CC3BE8" w:rsidRPr="00CC3BE8">
        <w:rPr>
          <w:rFonts w:ascii="Arial" w:hAnsi="Arial" w:cs="Arial"/>
          <w:bCs/>
        </w:rPr>
        <w:t>i remontować rowy boczne</w:t>
      </w:r>
      <w:r w:rsidR="00CC3BE8">
        <w:rPr>
          <w:rFonts w:ascii="Arial" w:hAnsi="Arial" w:cs="Arial"/>
          <w:bCs/>
        </w:rPr>
        <w:t>,</w:t>
      </w:r>
      <w:r w:rsidR="00CC3BE8" w:rsidRPr="00CC3BE8">
        <w:rPr>
          <w:rFonts w:ascii="Arial" w:hAnsi="Arial" w:cs="Arial"/>
          <w:bCs/>
        </w:rPr>
        <w:t xml:space="preserve"> których większości stan j</w:t>
      </w:r>
      <w:r w:rsidR="00CC3BE8">
        <w:rPr>
          <w:rFonts w:ascii="Arial" w:hAnsi="Arial" w:cs="Arial"/>
          <w:bCs/>
        </w:rPr>
        <w:t>est uznany jako „do renowacji”. Do tej pory zostały wykonane</w:t>
      </w:r>
      <w:r w:rsidR="00CC3BE8" w:rsidRPr="00CC3BE8">
        <w:rPr>
          <w:rFonts w:ascii="Arial" w:hAnsi="Arial" w:cs="Arial"/>
          <w:bCs/>
        </w:rPr>
        <w:t xml:space="preserve"> prace dora</w:t>
      </w:r>
      <w:r w:rsidR="00CC3BE8">
        <w:rPr>
          <w:rFonts w:ascii="Arial" w:hAnsi="Arial" w:cs="Arial"/>
          <w:bCs/>
        </w:rPr>
        <w:t>źne zabezpieczające przed dalszą</w:t>
      </w:r>
      <w:r w:rsidR="00A70821">
        <w:rPr>
          <w:rFonts w:ascii="Arial" w:hAnsi="Arial" w:cs="Arial"/>
          <w:bCs/>
        </w:rPr>
        <w:t xml:space="preserve"> degradacją;</w:t>
      </w:r>
    </w:p>
    <w:p w14:paraId="0E9D0EFB" w14:textId="046205E0" w:rsidR="00174E1A" w:rsidRDefault="00174E1A" w:rsidP="006221F7">
      <w:pPr>
        <w:pStyle w:val="Akapitzlist"/>
        <w:numPr>
          <w:ilvl w:val="1"/>
          <w:numId w:val="19"/>
        </w:num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Jednostką miary wskaźnika 7) jest </w:t>
      </w:r>
      <w:proofErr w:type="spellStart"/>
      <w:r w:rsidR="00F54736">
        <w:rPr>
          <w:rFonts w:ascii="Arial" w:hAnsi="Arial" w:cs="Arial"/>
          <w:bCs/>
        </w:rPr>
        <w:t>mb</w:t>
      </w:r>
      <w:proofErr w:type="spellEnd"/>
      <w:r>
        <w:rPr>
          <w:rFonts w:ascii="Arial" w:hAnsi="Arial" w:cs="Arial"/>
          <w:bCs/>
        </w:rPr>
        <w:t>;</w:t>
      </w:r>
    </w:p>
    <w:p w14:paraId="4167A4DC" w14:textId="77777777" w:rsidR="00003DAC" w:rsidRDefault="00003DAC" w:rsidP="00003DAC">
      <w:pPr>
        <w:pStyle w:val="Akapitzlist"/>
        <w:ind w:left="709"/>
        <w:rPr>
          <w:rFonts w:ascii="Arial" w:hAnsi="Arial" w:cs="Arial"/>
          <w:bCs/>
        </w:rPr>
      </w:pPr>
    </w:p>
    <w:p w14:paraId="4D15D45F" w14:textId="77777777" w:rsidR="00274E57" w:rsidRPr="002A194A" w:rsidRDefault="00274E57" w:rsidP="006221F7">
      <w:pPr>
        <w:pStyle w:val="Akapitzlist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Źródła danych</w:t>
      </w:r>
    </w:p>
    <w:p w14:paraId="59811FF8" w14:textId="1C73391A" w:rsidR="00274E57" w:rsidRPr="002A194A" w:rsidRDefault="00DE321A" w:rsidP="00274E57">
      <w:pPr>
        <w:pStyle w:val="Akapitzlist"/>
        <w:spacing w:before="240"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>Protokoły z okresowych kontroli obiektów inżynieryjnych, raporty z okresowych obchodów linii 311.</w:t>
      </w:r>
    </w:p>
    <w:p w14:paraId="49B456AB" w14:textId="77777777" w:rsidR="00274E57" w:rsidRPr="002A194A" w:rsidRDefault="00274E57" w:rsidP="00274E57">
      <w:pPr>
        <w:pStyle w:val="Akapitzlist"/>
        <w:spacing w:before="240" w:after="240"/>
        <w:ind w:left="360"/>
        <w:rPr>
          <w:rFonts w:ascii="Arial" w:hAnsi="Arial" w:cs="Arial"/>
        </w:rPr>
      </w:pPr>
    </w:p>
    <w:p w14:paraId="266DB557" w14:textId="77777777" w:rsidR="00274E57" w:rsidRDefault="00274E57" w:rsidP="006221F7">
      <w:pPr>
        <w:pStyle w:val="Akapitzlist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Wartość oczekiwana</w:t>
      </w:r>
    </w:p>
    <w:p w14:paraId="21F37FE4" w14:textId="0E884D23" w:rsidR="0076475D" w:rsidRDefault="0076475D" w:rsidP="006221F7">
      <w:pPr>
        <w:pStyle w:val="Akapitzlist"/>
        <w:numPr>
          <w:ilvl w:val="1"/>
          <w:numId w:val="22"/>
        </w:numPr>
        <w:tabs>
          <w:tab w:val="left" w:pos="0"/>
        </w:tabs>
        <w:autoSpaceDE w:val="0"/>
        <w:autoSpaceDN w:val="0"/>
        <w:adjustRightInd w:val="0"/>
        <w:spacing w:before="0"/>
        <w:rPr>
          <w:rFonts w:ascii="Arial" w:eastAsia="Times New Roman" w:hAnsi="Arial" w:cs="Arial"/>
          <w:bCs/>
          <w:kern w:val="28"/>
          <w:lang w:eastAsia="pl-PL"/>
        </w:rPr>
      </w:pPr>
      <w:r w:rsidRPr="0076475D">
        <w:rPr>
          <w:rFonts w:ascii="Arial" w:eastAsia="Times New Roman" w:hAnsi="Arial" w:cs="Arial"/>
          <w:bCs/>
          <w:kern w:val="28"/>
          <w:lang w:eastAsia="pl-PL"/>
        </w:rPr>
        <w:t>Wskaźnik</w:t>
      </w:r>
      <w:r>
        <w:rPr>
          <w:rFonts w:ascii="Arial" w:eastAsia="Times New Roman" w:hAnsi="Arial" w:cs="Arial"/>
          <w:bCs/>
          <w:kern w:val="28"/>
          <w:lang w:eastAsia="pl-PL"/>
        </w:rPr>
        <w:t>i</w:t>
      </w:r>
      <w:r w:rsidRPr="0076475D">
        <w:rPr>
          <w:rFonts w:ascii="Arial" w:eastAsia="Times New Roman" w:hAnsi="Arial" w:cs="Arial"/>
          <w:bCs/>
          <w:kern w:val="28"/>
          <w:lang w:eastAsia="pl-PL"/>
        </w:rPr>
        <w:t xml:space="preserve"> podlega</w:t>
      </w:r>
      <w:r>
        <w:rPr>
          <w:rFonts w:ascii="Arial" w:eastAsia="Times New Roman" w:hAnsi="Arial" w:cs="Arial"/>
          <w:bCs/>
          <w:kern w:val="28"/>
          <w:lang w:eastAsia="pl-PL"/>
        </w:rPr>
        <w:t>ją</w:t>
      </w:r>
      <w:r w:rsidRPr="0076475D">
        <w:rPr>
          <w:rFonts w:ascii="Arial" w:eastAsia="Times New Roman" w:hAnsi="Arial" w:cs="Arial"/>
          <w:bCs/>
          <w:kern w:val="28"/>
          <w:lang w:eastAsia="pl-PL"/>
        </w:rPr>
        <w:t xml:space="preserve"> monitorowaniu w cyklu rocznym;</w:t>
      </w:r>
    </w:p>
    <w:p w14:paraId="399C4A17" w14:textId="50A32F5B" w:rsidR="003617DE" w:rsidRPr="0076475D" w:rsidRDefault="00274E57" w:rsidP="006221F7">
      <w:pPr>
        <w:pStyle w:val="Akapitzlist"/>
        <w:numPr>
          <w:ilvl w:val="1"/>
          <w:numId w:val="22"/>
        </w:numPr>
        <w:tabs>
          <w:tab w:val="left" w:pos="0"/>
        </w:tabs>
        <w:autoSpaceDE w:val="0"/>
        <w:autoSpaceDN w:val="0"/>
        <w:adjustRightInd w:val="0"/>
        <w:spacing w:before="0"/>
        <w:rPr>
          <w:rFonts w:ascii="Arial" w:eastAsia="Times New Roman" w:hAnsi="Arial" w:cs="Arial"/>
          <w:bCs/>
          <w:kern w:val="28"/>
          <w:lang w:eastAsia="pl-PL"/>
        </w:rPr>
      </w:pPr>
      <w:r w:rsidRPr="0076475D">
        <w:rPr>
          <w:rFonts w:ascii="Arial" w:hAnsi="Arial" w:cs="Arial"/>
          <w:bCs/>
        </w:rPr>
        <w:t>Wskaźnik</w:t>
      </w:r>
      <w:r w:rsidR="0076475D">
        <w:rPr>
          <w:rFonts w:ascii="Arial" w:hAnsi="Arial" w:cs="Arial"/>
          <w:bCs/>
        </w:rPr>
        <w:t>i</w:t>
      </w:r>
      <w:r w:rsidRPr="0076475D">
        <w:rPr>
          <w:rFonts w:ascii="Arial" w:hAnsi="Arial" w:cs="Arial"/>
          <w:bCs/>
        </w:rPr>
        <w:t xml:space="preserve"> będ</w:t>
      </w:r>
      <w:r w:rsidR="0076475D">
        <w:rPr>
          <w:rFonts w:ascii="Arial" w:hAnsi="Arial" w:cs="Arial"/>
          <w:bCs/>
        </w:rPr>
        <w:t>ą</w:t>
      </w:r>
      <w:r w:rsidRPr="0076475D">
        <w:rPr>
          <w:rFonts w:ascii="Arial" w:hAnsi="Arial" w:cs="Arial"/>
          <w:bCs/>
        </w:rPr>
        <w:t xml:space="preserve"> przyjmował</w:t>
      </w:r>
      <w:r w:rsidR="0076475D">
        <w:rPr>
          <w:rFonts w:ascii="Arial" w:hAnsi="Arial" w:cs="Arial"/>
          <w:bCs/>
        </w:rPr>
        <w:t>y następujące</w:t>
      </w:r>
      <w:r w:rsidRPr="0076475D">
        <w:rPr>
          <w:rFonts w:ascii="Arial" w:hAnsi="Arial" w:cs="Arial"/>
          <w:bCs/>
        </w:rPr>
        <w:t xml:space="preserve"> wartości w kolejnych latach</w:t>
      </w:r>
      <w:r w:rsidR="0076475D" w:rsidRPr="0076475D">
        <w:rPr>
          <w:rFonts w:ascii="Arial" w:hAnsi="Arial" w:cs="Arial"/>
          <w:bCs/>
        </w:rPr>
        <w:t>:</w:t>
      </w:r>
    </w:p>
    <w:p w14:paraId="3BD33683" w14:textId="77777777" w:rsidR="003617DE" w:rsidRDefault="003617DE" w:rsidP="00274E57">
      <w:pPr>
        <w:rPr>
          <w:rFonts w:ascii="Arial" w:hAnsi="Arial" w:cs="Arial"/>
          <w:bCs/>
        </w:rPr>
      </w:pPr>
    </w:p>
    <w:tbl>
      <w:tblPr>
        <w:tblStyle w:val="Tabela-Siatka1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80"/>
        <w:gridCol w:w="1001"/>
        <w:gridCol w:w="1001"/>
        <w:gridCol w:w="1001"/>
        <w:gridCol w:w="1001"/>
        <w:gridCol w:w="877"/>
        <w:gridCol w:w="839"/>
      </w:tblGrid>
      <w:tr w:rsidR="0076475D" w:rsidRPr="002A194A" w14:paraId="442D91DA" w14:textId="77777777" w:rsidTr="00A67ECA">
        <w:trPr>
          <w:trHeight w:val="146"/>
        </w:trPr>
        <w:tc>
          <w:tcPr>
            <w:tcW w:w="1857" w:type="pct"/>
            <w:vMerge w:val="restart"/>
            <w:vAlign w:val="center"/>
          </w:tcPr>
          <w:p w14:paraId="27E32315" w14:textId="209ED6A7" w:rsidR="0076475D" w:rsidRPr="002A194A" w:rsidRDefault="0076475D" w:rsidP="00F54736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 xml:space="preserve">Wskaźnik </w:t>
            </w:r>
          </w:p>
        </w:tc>
        <w:tc>
          <w:tcPr>
            <w:tcW w:w="550" w:type="pct"/>
            <w:vAlign w:val="center"/>
          </w:tcPr>
          <w:p w14:paraId="4FC5AC5A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Wartość bazowa</w:t>
            </w:r>
          </w:p>
        </w:tc>
        <w:tc>
          <w:tcPr>
            <w:tcW w:w="2594" w:type="pct"/>
            <w:gridSpan w:val="5"/>
            <w:vAlign w:val="center"/>
          </w:tcPr>
          <w:p w14:paraId="6D71DCB9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Oczekiwana wartość wskaźnika w latach</w:t>
            </w:r>
          </w:p>
        </w:tc>
      </w:tr>
      <w:tr w:rsidR="0076475D" w:rsidRPr="002A194A" w14:paraId="4A3A7412" w14:textId="77777777" w:rsidTr="00A67ECA">
        <w:trPr>
          <w:trHeight w:val="42"/>
        </w:trPr>
        <w:tc>
          <w:tcPr>
            <w:tcW w:w="1857" w:type="pct"/>
            <w:vMerge/>
            <w:vAlign w:val="center"/>
          </w:tcPr>
          <w:p w14:paraId="234140B9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195CBB99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2018</w:t>
            </w:r>
          </w:p>
        </w:tc>
        <w:tc>
          <w:tcPr>
            <w:tcW w:w="550" w:type="pct"/>
            <w:vAlign w:val="center"/>
          </w:tcPr>
          <w:p w14:paraId="15958D83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2019</w:t>
            </w:r>
          </w:p>
        </w:tc>
        <w:tc>
          <w:tcPr>
            <w:tcW w:w="550" w:type="pct"/>
            <w:vAlign w:val="center"/>
          </w:tcPr>
          <w:p w14:paraId="2562A585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2020</w:t>
            </w:r>
          </w:p>
        </w:tc>
        <w:tc>
          <w:tcPr>
            <w:tcW w:w="550" w:type="pct"/>
            <w:vAlign w:val="center"/>
          </w:tcPr>
          <w:p w14:paraId="5474AB5E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2021</w:t>
            </w:r>
          </w:p>
        </w:tc>
        <w:tc>
          <w:tcPr>
            <w:tcW w:w="482" w:type="pct"/>
            <w:vAlign w:val="center"/>
          </w:tcPr>
          <w:p w14:paraId="1ADF1D00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2022</w:t>
            </w:r>
          </w:p>
        </w:tc>
        <w:tc>
          <w:tcPr>
            <w:tcW w:w="461" w:type="pct"/>
            <w:vAlign w:val="center"/>
          </w:tcPr>
          <w:p w14:paraId="7C685965" w14:textId="77777777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2023</w:t>
            </w:r>
          </w:p>
        </w:tc>
      </w:tr>
      <w:tr w:rsidR="0076475D" w:rsidRPr="002A194A" w14:paraId="01149BC2" w14:textId="77777777" w:rsidTr="00A67ECA">
        <w:trPr>
          <w:trHeight w:val="42"/>
        </w:trPr>
        <w:tc>
          <w:tcPr>
            <w:tcW w:w="1857" w:type="pct"/>
            <w:vAlign w:val="center"/>
          </w:tcPr>
          <w:p w14:paraId="3F83C476" w14:textId="3C67CC72" w:rsidR="0076475D" w:rsidRPr="002A194A" w:rsidRDefault="00A70821" w:rsidP="00A70821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A70821">
              <w:rPr>
                <w:rFonts w:ascii="Arial" w:eastAsia="Times New Roman" w:hAnsi="Arial" w:cs="Arial"/>
                <w:kern w:val="28"/>
                <w:lang w:eastAsia="pl-PL"/>
              </w:rPr>
              <w:t>Liczba wyremontowanych obiektów inżynieryjnych na linii 311</w:t>
            </w:r>
          </w:p>
        </w:tc>
        <w:tc>
          <w:tcPr>
            <w:tcW w:w="550" w:type="pct"/>
            <w:vAlign w:val="center"/>
          </w:tcPr>
          <w:p w14:paraId="3D14A840" w14:textId="35C031C1" w:rsidR="0076475D" w:rsidRPr="002A194A" w:rsidRDefault="0076475D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0</w:t>
            </w:r>
          </w:p>
        </w:tc>
        <w:tc>
          <w:tcPr>
            <w:tcW w:w="550" w:type="pct"/>
            <w:vAlign w:val="center"/>
          </w:tcPr>
          <w:p w14:paraId="5C8780BB" w14:textId="29419234" w:rsidR="0076475D" w:rsidRPr="002A194A" w:rsidRDefault="00F54736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3</w:t>
            </w:r>
          </w:p>
        </w:tc>
        <w:tc>
          <w:tcPr>
            <w:tcW w:w="550" w:type="pct"/>
            <w:vAlign w:val="center"/>
          </w:tcPr>
          <w:p w14:paraId="55626BD6" w14:textId="5392AD9B" w:rsidR="0076475D" w:rsidRPr="002A194A" w:rsidRDefault="00F54736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3</w:t>
            </w:r>
          </w:p>
        </w:tc>
        <w:tc>
          <w:tcPr>
            <w:tcW w:w="550" w:type="pct"/>
            <w:vAlign w:val="center"/>
          </w:tcPr>
          <w:p w14:paraId="3BCFCBC8" w14:textId="3D1AEF8C" w:rsidR="0076475D" w:rsidRPr="002A194A" w:rsidRDefault="00F54736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3</w:t>
            </w:r>
          </w:p>
        </w:tc>
        <w:tc>
          <w:tcPr>
            <w:tcW w:w="482" w:type="pct"/>
            <w:vAlign w:val="center"/>
          </w:tcPr>
          <w:p w14:paraId="2DC985BC" w14:textId="4D649856" w:rsidR="0076475D" w:rsidRPr="002A194A" w:rsidRDefault="00F54736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3</w:t>
            </w:r>
          </w:p>
        </w:tc>
        <w:tc>
          <w:tcPr>
            <w:tcW w:w="461" w:type="pct"/>
            <w:vAlign w:val="center"/>
          </w:tcPr>
          <w:p w14:paraId="271C3B1D" w14:textId="27350A36" w:rsidR="0076475D" w:rsidRPr="002A194A" w:rsidRDefault="00F54736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3</w:t>
            </w:r>
          </w:p>
        </w:tc>
      </w:tr>
      <w:tr w:rsidR="00922034" w:rsidRPr="002A194A" w14:paraId="13021058" w14:textId="77777777" w:rsidTr="00A67ECA">
        <w:trPr>
          <w:trHeight w:val="42"/>
        </w:trPr>
        <w:tc>
          <w:tcPr>
            <w:tcW w:w="1857" w:type="pct"/>
            <w:vAlign w:val="center"/>
          </w:tcPr>
          <w:p w14:paraId="758179B6" w14:textId="76E78414" w:rsidR="00922034" w:rsidRDefault="00A70821" w:rsidP="006C3327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A70821">
              <w:rPr>
                <w:rFonts w:ascii="Arial" w:eastAsia="Times New Roman" w:hAnsi="Arial" w:cs="Arial"/>
                <w:kern w:val="28"/>
                <w:lang w:eastAsia="pl-PL"/>
              </w:rPr>
              <w:t xml:space="preserve">Długość wyciętego obszaru zalesionego </w:t>
            </w:r>
            <w:r w:rsidR="006C3327">
              <w:rPr>
                <w:rFonts w:ascii="Arial" w:eastAsia="Times New Roman" w:hAnsi="Arial" w:cs="Arial"/>
                <w:kern w:val="28"/>
                <w:lang w:eastAsia="pl-PL"/>
              </w:rPr>
              <w:t>wzdłuż</w:t>
            </w:r>
            <w:r w:rsidRPr="00A70821">
              <w:rPr>
                <w:rFonts w:ascii="Arial" w:eastAsia="Times New Roman" w:hAnsi="Arial" w:cs="Arial"/>
                <w:kern w:val="28"/>
                <w:lang w:eastAsia="pl-PL"/>
              </w:rPr>
              <w:t xml:space="preserve"> linii 311</w:t>
            </w:r>
          </w:p>
        </w:tc>
        <w:tc>
          <w:tcPr>
            <w:tcW w:w="550" w:type="pct"/>
            <w:vAlign w:val="center"/>
          </w:tcPr>
          <w:p w14:paraId="032727FE" w14:textId="0646DFDA" w:rsidR="00922034" w:rsidRDefault="00922034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0</w:t>
            </w:r>
          </w:p>
        </w:tc>
        <w:tc>
          <w:tcPr>
            <w:tcW w:w="550" w:type="pct"/>
            <w:vAlign w:val="center"/>
          </w:tcPr>
          <w:p w14:paraId="1035EBE8" w14:textId="2D7593C3" w:rsidR="00922034" w:rsidRPr="002A194A" w:rsidRDefault="002854D9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C363D7">
              <w:rPr>
                <w:rFonts w:ascii="Arial" w:eastAsia="Times New Roman" w:hAnsi="Arial" w:cs="Arial"/>
                <w:kern w:val="28"/>
                <w:lang w:eastAsia="pl-PL"/>
              </w:rPr>
              <w:t>473</w:t>
            </w:r>
          </w:p>
        </w:tc>
        <w:tc>
          <w:tcPr>
            <w:tcW w:w="550" w:type="pct"/>
            <w:vAlign w:val="center"/>
          </w:tcPr>
          <w:p w14:paraId="7FA7D256" w14:textId="544611B5" w:rsidR="00922034" w:rsidRPr="002A194A" w:rsidRDefault="006C3327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1 000</w:t>
            </w:r>
          </w:p>
        </w:tc>
        <w:tc>
          <w:tcPr>
            <w:tcW w:w="550" w:type="pct"/>
            <w:vAlign w:val="center"/>
          </w:tcPr>
          <w:p w14:paraId="643D20C8" w14:textId="256644C2" w:rsidR="00922034" w:rsidRPr="002A194A" w:rsidRDefault="006C3327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1 000</w:t>
            </w:r>
          </w:p>
        </w:tc>
        <w:tc>
          <w:tcPr>
            <w:tcW w:w="482" w:type="pct"/>
            <w:vAlign w:val="center"/>
          </w:tcPr>
          <w:p w14:paraId="181F7618" w14:textId="47FE4196" w:rsidR="00922034" w:rsidRPr="002A194A" w:rsidRDefault="006C3327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1 000</w:t>
            </w:r>
          </w:p>
        </w:tc>
        <w:tc>
          <w:tcPr>
            <w:tcW w:w="461" w:type="pct"/>
            <w:vAlign w:val="center"/>
          </w:tcPr>
          <w:p w14:paraId="0A023D9B" w14:textId="70AEDF6E" w:rsidR="00922034" w:rsidRPr="002A194A" w:rsidRDefault="006C3327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1 000</w:t>
            </w:r>
          </w:p>
        </w:tc>
      </w:tr>
      <w:tr w:rsidR="00003DAC" w:rsidRPr="002A194A" w14:paraId="588E4E63" w14:textId="77777777" w:rsidTr="00A67ECA">
        <w:trPr>
          <w:trHeight w:val="42"/>
        </w:trPr>
        <w:tc>
          <w:tcPr>
            <w:tcW w:w="1857" w:type="pct"/>
            <w:vAlign w:val="center"/>
          </w:tcPr>
          <w:p w14:paraId="21F59880" w14:textId="6C31848D" w:rsidR="00A70821" w:rsidRPr="00922034" w:rsidRDefault="00A70821" w:rsidP="00A70821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A70821">
              <w:rPr>
                <w:rFonts w:ascii="Arial" w:eastAsia="Times New Roman" w:hAnsi="Arial" w:cs="Arial"/>
                <w:kern w:val="28"/>
                <w:lang w:eastAsia="pl-PL"/>
              </w:rPr>
              <w:t>Długość wyremontowanego odwodnienia na linii 311</w:t>
            </w:r>
          </w:p>
        </w:tc>
        <w:tc>
          <w:tcPr>
            <w:tcW w:w="550" w:type="pct"/>
            <w:vAlign w:val="center"/>
          </w:tcPr>
          <w:p w14:paraId="65E827E9" w14:textId="53F4DB3B" w:rsidR="00003DAC" w:rsidRDefault="00CC3BE8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436</w:t>
            </w:r>
          </w:p>
        </w:tc>
        <w:tc>
          <w:tcPr>
            <w:tcW w:w="550" w:type="pct"/>
            <w:vAlign w:val="center"/>
          </w:tcPr>
          <w:p w14:paraId="16500571" w14:textId="3C9F0961" w:rsidR="00003DAC" w:rsidRPr="002A194A" w:rsidRDefault="00156711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700</w:t>
            </w:r>
          </w:p>
        </w:tc>
        <w:tc>
          <w:tcPr>
            <w:tcW w:w="550" w:type="pct"/>
            <w:vAlign w:val="center"/>
          </w:tcPr>
          <w:p w14:paraId="16ED73D4" w14:textId="3C379293" w:rsidR="00003DAC" w:rsidRPr="002A194A" w:rsidRDefault="00156711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700</w:t>
            </w:r>
          </w:p>
        </w:tc>
        <w:tc>
          <w:tcPr>
            <w:tcW w:w="550" w:type="pct"/>
            <w:vAlign w:val="center"/>
          </w:tcPr>
          <w:p w14:paraId="2E815333" w14:textId="3AFEDE0E" w:rsidR="00003DAC" w:rsidRPr="002A194A" w:rsidRDefault="00156711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700</w:t>
            </w:r>
          </w:p>
        </w:tc>
        <w:tc>
          <w:tcPr>
            <w:tcW w:w="482" w:type="pct"/>
            <w:vAlign w:val="center"/>
          </w:tcPr>
          <w:p w14:paraId="3261946F" w14:textId="5E9991F5" w:rsidR="00003DAC" w:rsidRPr="002A194A" w:rsidRDefault="00156711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700</w:t>
            </w:r>
          </w:p>
        </w:tc>
        <w:tc>
          <w:tcPr>
            <w:tcW w:w="461" w:type="pct"/>
            <w:vAlign w:val="center"/>
          </w:tcPr>
          <w:p w14:paraId="6488360C" w14:textId="448139CC" w:rsidR="00003DAC" w:rsidRPr="002A194A" w:rsidRDefault="00156711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700</w:t>
            </w:r>
          </w:p>
        </w:tc>
      </w:tr>
    </w:tbl>
    <w:p w14:paraId="77E6900C" w14:textId="77777777" w:rsidR="0076475D" w:rsidRDefault="0076475D" w:rsidP="00274E57">
      <w:pPr>
        <w:rPr>
          <w:rFonts w:ascii="Arial" w:hAnsi="Arial" w:cs="Arial"/>
          <w:bCs/>
        </w:rPr>
      </w:pPr>
    </w:p>
    <w:p w14:paraId="1786E84A" w14:textId="77777777" w:rsidR="0076475D" w:rsidRDefault="0076475D" w:rsidP="00274E57">
      <w:pPr>
        <w:rPr>
          <w:rFonts w:ascii="Arial" w:hAnsi="Arial" w:cs="Arial"/>
          <w:bCs/>
        </w:rPr>
      </w:pPr>
    </w:p>
    <w:p w14:paraId="2D8A2611" w14:textId="77777777" w:rsidR="0076475D" w:rsidRPr="002A194A" w:rsidRDefault="0076475D" w:rsidP="00274E57">
      <w:pPr>
        <w:rPr>
          <w:rFonts w:ascii="Arial" w:hAnsi="Arial" w:cs="Arial"/>
          <w:bCs/>
        </w:rPr>
      </w:pPr>
    </w:p>
    <w:p w14:paraId="33145F73" w14:textId="77777777" w:rsidR="00922034" w:rsidRDefault="00922034" w:rsidP="00176316">
      <w:pPr>
        <w:rPr>
          <w:rFonts w:ascii="Arial" w:hAnsi="Arial" w:cs="Arial"/>
          <w:bCs/>
        </w:rPr>
      </w:pPr>
    </w:p>
    <w:p w14:paraId="42B71786" w14:textId="77777777" w:rsidR="00A70821" w:rsidRPr="002A194A" w:rsidRDefault="00A70821" w:rsidP="00176316">
      <w:pPr>
        <w:rPr>
          <w:rFonts w:ascii="Arial" w:hAnsi="Arial" w:cs="Arial"/>
          <w:bCs/>
        </w:rPr>
      </w:pPr>
    </w:p>
    <w:p w14:paraId="339C2C51" w14:textId="77777777" w:rsidR="006F7413" w:rsidRPr="0054516C" w:rsidRDefault="006F7413" w:rsidP="00922034">
      <w:pPr>
        <w:pStyle w:val="Akapitzlist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before="480" w:after="480"/>
        <w:ind w:left="567" w:hanging="567"/>
        <w:jc w:val="left"/>
        <w:rPr>
          <w:rFonts w:ascii="Arial" w:eastAsia="Times New Roman" w:hAnsi="Arial" w:cs="Arial"/>
          <w:kern w:val="28"/>
          <w:sz w:val="28"/>
          <w:szCs w:val="28"/>
          <w:u w:val="single"/>
          <w:lang w:eastAsia="pl-PL"/>
        </w:rPr>
      </w:pPr>
      <w:r w:rsidRPr="0054516C">
        <w:rPr>
          <w:rFonts w:ascii="Arial" w:eastAsia="Times New Roman" w:hAnsi="Arial" w:cs="Arial"/>
          <w:bCs/>
          <w:kern w:val="28"/>
          <w:sz w:val="28"/>
          <w:szCs w:val="28"/>
          <w:u w:val="single"/>
        </w:rPr>
        <w:lastRenderedPageBreak/>
        <w:t>Niezawodność</w:t>
      </w:r>
    </w:p>
    <w:p w14:paraId="095CEB8E" w14:textId="77777777" w:rsidR="006F7413" w:rsidRPr="002A194A" w:rsidRDefault="006F7413" w:rsidP="006F7413">
      <w:pPr>
        <w:pStyle w:val="Akapitzlist"/>
        <w:spacing w:before="240" w:after="240"/>
        <w:ind w:left="360"/>
        <w:rPr>
          <w:rFonts w:ascii="Arial" w:hAnsi="Arial" w:cs="Arial"/>
        </w:rPr>
      </w:pPr>
    </w:p>
    <w:p w14:paraId="4CC56F0B" w14:textId="40EB3B65" w:rsidR="003C490E" w:rsidRPr="002A194A" w:rsidRDefault="006F7413" w:rsidP="006221F7">
      <w:pPr>
        <w:pStyle w:val="Akapitzlist"/>
        <w:numPr>
          <w:ilvl w:val="0"/>
          <w:numId w:val="20"/>
        </w:numPr>
        <w:spacing w:before="240" w:after="240"/>
        <w:rPr>
          <w:rFonts w:ascii="Arial" w:eastAsia="Times New Roman" w:hAnsi="Arial" w:cs="Arial"/>
          <w:bCs/>
          <w:kern w:val="28"/>
          <w:lang w:eastAsia="pl-PL"/>
        </w:rPr>
      </w:pPr>
      <w:r w:rsidRPr="002A194A">
        <w:rPr>
          <w:rFonts w:ascii="Arial" w:hAnsi="Arial" w:cs="Arial"/>
        </w:rPr>
        <w:t>Nazwa</w:t>
      </w:r>
    </w:p>
    <w:p w14:paraId="1B0C36B1" w14:textId="0D5C8A22" w:rsidR="008C3725" w:rsidRPr="002A194A" w:rsidRDefault="00922034" w:rsidP="006221F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28"/>
          <w:lang w:eastAsia="pl-PL"/>
        </w:rPr>
      </w:pPr>
      <w:r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84984" w:rsidRPr="002A194A">
        <w:rPr>
          <w:rFonts w:ascii="Arial" w:eastAsia="Times New Roman" w:hAnsi="Arial" w:cs="Arial"/>
          <w:bCs/>
          <w:kern w:val="28"/>
          <w:lang w:eastAsia="pl-PL"/>
        </w:rPr>
        <w:t>„</w:t>
      </w:r>
      <w:r>
        <w:rPr>
          <w:rFonts w:ascii="Arial" w:hAnsi="Arial" w:cs="Arial"/>
          <w:bCs/>
        </w:rPr>
        <w:t>Stan</w:t>
      </w:r>
      <w:r w:rsidR="00684984" w:rsidRPr="002A194A">
        <w:rPr>
          <w:rFonts w:ascii="Arial" w:hAnsi="Arial" w:cs="Arial"/>
          <w:bCs/>
        </w:rPr>
        <w:t xml:space="preserve"> </w:t>
      </w:r>
      <w:r w:rsidR="009E6C13">
        <w:rPr>
          <w:rFonts w:ascii="Arial" w:hAnsi="Arial" w:cs="Arial"/>
          <w:bCs/>
        </w:rPr>
        <w:t>techniczny</w:t>
      </w:r>
      <w:r w:rsidR="00684984" w:rsidRPr="002A194A">
        <w:rPr>
          <w:rFonts w:ascii="Arial" w:hAnsi="Arial" w:cs="Arial"/>
          <w:bCs/>
        </w:rPr>
        <w:t xml:space="preserve"> toru kolejowego”</w:t>
      </w:r>
      <w:r w:rsidR="00684984" w:rsidRPr="002A194A">
        <w:rPr>
          <w:rFonts w:ascii="Arial" w:eastAsia="Times New Roman" w:hAnsi="Arial" w:cs="Arial"/>
          <w:b/>
          <w:bCs/>
          <w:kern w:val="28"/>
          <w:lang w:eastAsia="pl-PL"/>
        </w:rPr>
        <w:t xml:space="preserve"> Wskaźnik obligatoryjny </w:t>
      </w:r>
    </w:p>
    <w:p w14:paraId="3E9AD514" w14:textId="77777777" w:rsidR="008C3725" w:rsidRPr="002A194A" w:rsidRDefault="008C3725" w:rsidP="006F7413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kern w:val="28"/>
          <w:lang w:eastAsia="pl-PL"/>
        </w:rPr>
      </w:pPr>
    </w:p>
    <w:p w14:paraId="54ED439F" w14:textId="77777777" w:rsidR="006F7413" w:rsidRPr="002A194A" w:rsidRDefault="008C3725" w:rsidP="006221F7">
      <w:pPr>
        <w:pStyle w:val="Akapitzlist"/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Definicja</w:t>
      </w:r>
    </w:p>
    <w:p w14:paraId="3E10A330" w14:textId="37392A43" w:rsidR="008C3725" w:rsidRPr="002A194A" w:rsidRDefault="008C3725" w:rsidP="00316104">
      <w:pPr>
        <w:pStyle w:val="Akapitzlist"/>
        <w:ind w:left="360"/>
        <w:rPr>
          <w:rFonts w:ascii="Arial" w:hAnsi="Arial" w:cs="Arial"/>
        </w:rPr>
      </w:pPr>
    </w:p>
    <w:p w14:paraId="0B0C739B" w14:textId="722E832F" w:rsidR="00470FB2" w:rsidRPr="009E6C13" w:rsidRDefault="00E63E5F" w:rsidP="006221F7">
      <w:pPr>
        <w:pStyle w:val="Akapitzlist"/>
        <w:numPr>
          <w:ilvl w:val="1"/>
          <w:numId w:val="23"/>
        </w:numPr>
        <w:ind w:left="709" w:hanging="709"/>
        <w:rPr>
          <w:rFonts w:ascii="Arial" w:hAnsi="Arial" w:cs="Arial"/>
        </w:rPr>
      </w:pPr>
      <w:r w:rsidRPr="00922034">
        <w:rPr>
          <w:rFonts w:ascii="Arial" w:hAnsi="Arial" w:cs="Arial"/>
          <w:bCs/>
        </w:rPr>
        <w:t>W</w:t>
      </w:r>
      <w:r w:rsidR="008C3725" w:rsidRPr="00922034">
        <w:rPr>
          <w:rFonts w:ascii="Arial" w:hAnsi="Arial" w:cs="Arial"/>
          <w:bCs/>
        </w:rPr>
        <w:t>skaźnik stanu</w:t>
      </w:r>
      <w:r w:rsidR="007A4A31" w:rsidRPr="00922034">
        <w:rPr>
          <w:rFonts w:ascii="Arial" w:hAnsi="Arial" w:cs="Arial"/>
          <w:bCs/>
        </w:rPr>
        <w:t xml:space="preserve"> </w:t>
      </w:r>
      <w:r w:rsidR="009E6C13">
        <w:rPr>
          <w:rFonts w:ascii="Arial" w:hAnsi="Arial" w:cs="Arial"/>
          <w:bCs/>
        </w:rPr>
        <w:t>technicznego</w:t>
      </w:r>
      <w:r w:rsidR="008C3725" w:rsidRPr="00922034">
        <w:rPr>
          <w:rFonts w:ascii="Arial" w:hAnsi="Arial" w:cs="Arial"/>
          <w:bCs/>
        </w:rPr>
        <w:t xml:space="preserve"> toru kolejowego w sposób obiektywny przedstawia stan techniczny nawierzchni torowej pod kątem </w:t>
      </w:r>
      <w:r w:rsidR="007A4A31" w:rsidRPr="00922034">
        <w:rPr>
          <w:rFonts w:ascii="Arial" w:hAnsi="Arial" w:cs="Arial"/>
          <w:bCs/>
        </w:rPr>
        <w:t>stanu szyn kolejowych</w:t>
      </w:r>
      <w:r w:rsidR="008C3725" w:rsidRPr="00922034">
        <w:rPr>
          <w:rFonts w:ascii="Arial" w:hAnsi="Arial" w:cs="Arial"/>
          <w:bCs/>
        </w:rPr>
        <w:t>. Za spełnienie warunku właściwego utrzymania ustala się, że Wskaźnik w kolejnych latach obowiązywania umowy osiągać będzie określone</w:t>
      </w:r>
      <w:r w:rsidR="00DA1918" w:rsidRPr="00922034">
        <w:rPr>
          <w:rFonts w:ascii="Arial" w:hAnsi="Arial" w:cs="Arial"/>
          <w:bCs/>
        </w:rPr>
        <w:t>,</w:t>
      </w:r>
      <w:r w:rsidR="008C3725" w:rsidRPr="00922034">
        <w:rPr>
          <w:rFonts w:ascii="Arial" w:hAnsi="Arial" w:cs="Arial"/>
          <w:bCs/>
        </w:rPr>
        <w:t xml:space="preserve"> </w:t>
      </w:r>
      <w:r w:rsidR="00DA1918" w:rsidRPr="00922034">
        <w:rPr>
          <w:rFonts w:ascii="Arial" w:hAnsi="Arial" w:cs="Arial"/>
          <w:bCs/>
        </w:rPr>
        <w:t xml:space="preserve">maksymalne </w:t>
      </w:r>
      <w:r w:rsidR="00F937F4">
        <w:rPr>
          <w:rFonts w:ascii="Arial" w:hAnsi="Arial" w:cs="Arial"/>
          <w:bCs/>
        </w:rPr>
        <w:t>wartości. Wskaźnik</w:t>
      </w:r>
      <w:r w:rsidR="00F937F4">
        <w:rPr>
          <w:rFonts w:ascii="Arial" w:hAnsi="Arial" w:cs="Arial"/>
          <w:bCs/>
        </w:rPr>
        <w:br/>
      </w:r>
      <w:r w:rsidR="008C3725" w:rsidRPr="00922034">
        <w:rPr>
          <w:rFonts w:ascii="Arial" w:hAnsi="Arial" w:cs="Arial"/>
          <w:bCs/>
        </w:rPr>
        <w:t xml:space="preserve">w każdym roku trwania umowy będzie </w:t>
      </w:r>
      <w:r w:rsidRPr="00922034">
        <w:rPr>
          <w:rFonts w:ascii="Arial" w:hAnsi="Arial" w:cs="Arial"/>
          <w:bCs/>
        </w:rPr>
        <w:t xml:space="preserve">wyliczany </w:t>
      </w:r>
      <w:r w:rsidR="007A4A31" w:rsidRPr="00922034">
        <w:rPr>
          <w:rFonts w:ascii="Arial" w:hAnsi="Arial" w:cs="Arial"/>
          <w:bCs/>
        </w:rPr>
        <w:t>po badaniu defe</w:t>
      </w:r>
      <w:r w:rsidR="00922034" w:rsidRPr="00922034">
        <w:rPr>
          <w:rFonts w:ascii="Arial" w:hAnsi="Arial" w:cs="Arial"/>
          <w:bCs/>
        </w:rPr>
        <w:t>k</w:t>
      </w:r>
      <w:r w:rsidR="007A4A31" w:rsidRPr="00922034">
        <w:rPr>
          <w:rFonts w:ascii="Arial" w:hAnsi="Arial" w:cs="Arial"/>
          <w:bCs/>
        </w:rPr>
        <w:t>toskopowym</w:t>
      </w:r>
      <w:r w:rsidRPr="00922034">
        <w:rPr>
          <w:rFonts w:ascii="Arial" w:hAnsi="Arial" w:cs="Arial"/>
          <w:bCs/>
        </w:rPr>
        <w:t xml:space="preserve"> szyn </w:t>
      </w:r>
      <w:r w:rsidR="0091039E" w:rsidRPr="00922034">
        <w:rPr>
          <w:rFonts w:ascii="Arial" w:hAnsi="Arial" w:cs="Arial"/>
          <w:bCs/>
        </w:rPr>
        <w:t xml:space="preserve">wykonywanym przez </w:t>
      </w:r>
      <w:r w:rsidR="007A4A31" w:rsidRPr="00922034">
        <w:rPr>
          <w:rFonts w:ascii="Arial" w:hAnsi="Arial" w:cs="Arial"/>
          <w:bCs/>
        </w:rPr>
        <w:t>pracowników centrum diagnostycznego</w:t>
      </w:r>
      <w:r w:rsidR="00431424">
        <w:rPr>
          <w:rFonts w:ascii="Arial" w:hAnsi="Arial" w:cs="Arial"/>
          <w:bCs/>
        </w:rPr>
        <w:t xml:space="preserve"> PKP PLK S.A.;</w:t>
      </w:r>
    </w:p>
    <w:p w14:paraId="6CE6FD88" w14:textId="252EA8E9" w:rsidR="009E6C13" w:rsidRPr="00431424" w:rsidRDefault="009E6C13" w:rsidP="006221F7">
      <w:pPr>
        <w:pStyle w:val="Akapitzlist"/>
        <w:numPr>
          <w:ilvl w:val="1"/>
          <w:numId w:val="23"/>
        </w:numPr>
        <w:ind w:left="709" w:hanging="709"/>
        <w:rPr>
          <w:rFonts w:ascii="Arial" w:hAnsi="Arial" w:cs="Arial"/>
        </w:rPr>
      </w:pPr>
      <w:r w:rsidRPr="00431424">
        <w:rPr>
          <w:rFonts w:ascii="Arial" w:hAnsi="Arial" w:cs="Arial"/>
          <w:bCs/>
        </w:rPr>
        <w:t>Wskaźnik określany jest jako liczba wykrytych</w:t>
      </w:r>
      <w:r w:rsidR="00431424" w:rsidRPr="00431424">
        <w:rPr>
          <w:rFonts w:ascii="Arial" w:hAnsi="Arial" w:cs="Arial"/>
          <w:bCs/>
        </w:rPr>
        <w:t xml:space="preserve"> wad w szynach.</w:t>
      </w:r>
    </w:p>
    <w:p w14:paraId="66B579A8" w14:textId="77777777" w:rsidR="00922034" w:rsidRPr="00922034" w:rsidRDefault="00922034" w:rsidP="00922034">
      <w:pPr>
        <w:pStyle w:val="Akapitzlist"/>
        <w:ind w:left="360"/>
        <w:rPr>
          <w:rFonts w:ascii="Arial" w:hAnsi="Arial" w:cs="Arial"/>
        </w:rPr>
      </w:pPr>
    </w:p>
    <w:p w14:paraId="77BBC51E" w14:textId="77777777" w:rsidR="008C3725" w:rsidRPr="002A194A" w:rsidRDefault="008C3725" w:rsidP="006221F7">
      <w:pPr>
        <w:pStyle w:val="Akapitzlist"/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2A194A">
        <w:rPr>
          <w:rFonts w:ascii="Arial" w:hAnsi="Arial" w:cs="Arial"/>
        </w:rPr>
        <w:t>Źródła danych</w:t>
      </w:r>
    </w:p>
    <w:p w14:paraId="1C7F5987" w14:textId="77777777" w:rsidR="00922034" w:rsidRDefault="00470FB2" w:rsidP="00922034">
      <w:pPr>
        <w:pStyle w:val="Akapitzlist"/>
        <w:spacing w:before="240" w:after="240"/>
        <w:ind w:left="360"/>
        <w:rPr>
          <w:rFonts w:ascii="Arial" w:hAnsi="Arial" w:cs="Arial"/>
        </w:rPr>
      </w:pPr>
      <w:r w:rsidRPr="002A194A">
        <w:rPr>
          <w:rFonts w:ascii="Arial" w:hAnsi="Arial" w:cs="Arial"/>
        </w:rPr>
        <w:t xml:space="preserve">Wskaźnik określany będzie na podstawie </w:t>
      </w:r>
      <w:r w:rsidR="007A4A31" w:rsidRPr="002A194A">
        <w:rPr>
          <w:rFonts w:ascii="Arial" w:hAnsi="Arial" w:cs="Arial"/>
        </w:rPr>
        <w:t xml:space="preserve">protokołu </w:t>
      </w:r>
      <w:r w:rsidR="00922034">
        <w:rPr>
          <w:rFonts w:ascii="Arial" w:hAnsi="Arial" w:cs="Arial"/>
        </w:rPr>
        <w:t>z przeprowadzonego badania defektoskopowego</w:t>
      </w:r>
    </w:p>
    <w:p w14:paraId="0772D64E" w14:textId="77777777" w:rsidR="009E6C13" w:rsidRDefault="009E6C13" w:rsidP="00922034">
      <w:pPr>
        <w:pStyle w:val="Akapitzlist"/>
        <w:spacing w:before="240" w:after="240"/>
        <w:ind w:left="360"/>
        <w:rPr>
          <w:rFonts w:ascii="Arial" w:hAnsi="Arial" w:cs="Arial"/>
        </w:rPr>
      </w:pPr>
    </w:p>
    <w:p w14:paraId="45EC1629" w14:textId="51E4D187" w:rsidR="00922034" w:rsidRDefault="00922034" w:rsidP="006221F7">
      <w:pPr>
        <w:pStyle w:val="Akapitzlist"/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922034">
        <w:rPr>
          <w:rFonts w:ascii="Arial" w:hAnsi="Arial" w:cs="Arial"/>
        </w:rPr>
        <w:t>Wartość oczekiwana</w:t>
      </w:r>
    </w:p>
    <w:p w14:paraId="1A22DF97" w14:textId="5147B6E1" w:rsidR="009E6C13" w:rsidRDefault="00922034" w:rsidP="0063290B">
      <w:pPr>
        <w:pStyle w:val="Akapitzlist"/>
        <w:autoSpaceDE w:val="0"/>
        <w:autoSpaceDN w:val="0"/>
        <w:adjustRightInd w:val="0"/>
        <w:spacing w:before="0"/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bCs/>
          <w:kern w:val="28"/>
          <w:lang w:eastAsia="pl-PL"/>
        </w:rPr>
        <w:t xml:space="preserve">4.1. </w:t>
      </w:r>
      <w:r w:rsidR="0063290B">
        <w:rPr>
          <w:rFonts w:ascii="Arial" w:eastAsia="Times New Roman" w:hAnsi="Arial" w:cs="Arial"/>
          <w:bCs/>
          <w:kern w:val="28"/>
          <w:lang w:eastAsia="pl-PL"/>
        </w:rPr>
        <w:t xml:space="preserve">  </w:t>
      </w:r>
      <w:r w:rsidR="00C55D63">
        <w:rPr>
          <w:rFonts w:ascii="Arial" w:eastAsia="Times New Roman" w:hAnsi="Arial" w:cs="Arial"/>
          <w:bCs/>
          <w:kern w:val="28"/>
          <w:lang w:eastAsia="pl-PL"/>
        </w:rPr>
        <w:t xml:space="preserve">  </w:t>
      </w:r>
      <w:r w:rsidRPr="0076475D">
        <w:rPr>
          <w:rFonts w:ascii="Arial" w:eastAsia="Times New Roman" w:hAnsi="Arial" w:cs="Arial"/>
          <w:bCs/>
          <w:kern w:val="28"/>
          <w:lang w:eastAsia="pl-PL"/>
        </w:rPr>
        <w:t>Wskaźnik</w:t>
      </w:r>
      <w:r>
        <w:rPr>
          <w:rFonts w:ascii="Arial" w:eastAsia="Times New Roman" w:hAnsi="Arial" w:cs="Arial"/>
          <w:bCs/>
          <w:kern w:val="28"/>
          <w:lang w:eastAsia="pl-PL"/>
        </w:rPr>
        <w:t>i</w:t>
      </w:r>
      <w:r w:rsidRPr="0076475D">
        <w:rPr>
          <w:rFonts w:ascii="Arial" w:eastAsia="Times New Roman" w:hAnsi="Arial" w:cs="Arial"/>
          <w:bCs/>
          <w:kern w:val="28"/>
          <w:lang w:eastAsia="pl-PL"/>
        </w:rPr>
        <w:t xml:space="preserve"> podlega</w:t>
      </w:r>
      <w:r>
        <w:rPr>
          <w:rFonts w:ascii="Arial" w:eastAsia="Times New Roman" w:hAnsi="Arial" w:cs="Arial"/>
          <w:bCs/>
          <w:kern w:val="28"/>
          <w:lang w:eastAsia="pl-PL"/>
        </w:rPr>
        <w:t>ją</w:t>
      </w:r>
      <w:r w:rsidRPr="0076475D">
        <w:rPr>
          <w:rFonts w:ascii="Arial" w:eastAsia="Times New Roman" w:hAnsi="Arial" w:cs="Arial"/>
          <w:bCs/>
          <w:kern w:val="28"/>
          <w:lang w:eastAsia="pl-PL"/>
        </w:rPr>
        <w:t xml:space="preserve"> monitorowaniu w cyklu rocznym;</w:t>
      </w:r>
    </w:p>
    <w:p w14:paraId="3914255F" w14:textId="473FBB7E" w:rsidR="00922034" w:rsidRPr="009E6C13" w:rsidRDefault="009E6C13" w:rsidP="0063290B">
      <w:pPr>
        <w:pStyle w:val="Akapitzlist"/>
        <w:tabs>
          <w:tab w:val="left" w:pos="0"/>
        </w:tabs>
        <w:autoSpaceDE w:val="0"/>
        <w:autoSpaceDN w:val="0"/>
        <w:adjustRightInd w:val="0"/>
        <w:spacing w:before="0"/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bCs/>
          <w:kern w:val="28"/>
          <w:lang w:eastAsia="pl-PL"/>
        </w:rPr>
        <w:t xml:space="preserve">4.2. </w:t>
      </w:r>
      <w:r w:rsidR="00C55D63">
        <w:rPr>
          <w:rFonts w:ascii="Arial" w:eastAsia="Times New Roman" w:hAnsi="Arial" w:cs="Arial"/>
          <w:bCs/>
          <w:kern w:val="28"/>
          <w:lang w:eastAsia="pl-PL"/>
        </w:rPr>
        <w:t xml:space="preserve">    </w:t>
      </w:r>
      <w:r w:rsidR="00922034" w:rsidRPr="009E6C13">
        <w:rPr>
          <w:rFonts w:ascii="Arial" w:hAnsi="Arial" w:cs="Arial"/>
          <w:bCs/>
        </w:rPr>
        <w:t>Wskaźniki będą przyjmowały następujące wartości w kolejnych latach:</w:t>
      </w:r>
    </w:p>
    <w:p w14:paraId="3C6F5777" w14:textId="77777777" w:rsidR="00922034" w:rsidRPr="00922034" w:rsidRDefault="00922034" w:rsidP="00922034">
      <w:pPr>
        <w:pStyle w:val="Akapitzlist"/>
        <w:spacing w:before="240" w:after="240"/>
        <w:ind w:left="360"/>
        <w:rPr>
          <w:rFonts w:ascii="Arial" w:hAnsi="Arial" w:cs="Arial"/>
        </w:rPr>
      </w:pPr>
    </w:p>
    <w:tbl>
      <w:tblPr>
        <w:tblStyle w:val="Tabela-Siatka1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80"/>
        <w:gridCol w:w="1001"/>
        <w:gridCol w:w="1001"/>
        <w:gridCol w:w="1001"/>
        <w:gridCol w:w="1001"/>
        <w:gridCol w:w="877"/>
        <w:gridCol w:w="839"/>
      </w:tblGrid>
      <w:tr w:rsidR="009E6C13" w:rsidRPr="002A194A" w14:paraId="7C9434EF" w14:textId="77777777" w:rsidTr="00A67ECA">
        <w:trPr>
          <w:trHeight w:val="146"/>
        </w:trPr>
        <w:tc>
          <w:tcPr>
            <w:tcW w:w="1857" w:type="pct"/>
            <w:vMerge w:val="restart"/>
            <w:vAlign w:val="center"/>
          </w:tcPr>
          <w:p w14:paraId="09256110" w14:textId="7EFC68E1" w:rsidR="009E6C13" w:rsidRPr="002A194A" w:rsidRDefault="009E6C13" w:rsidP="009E6C13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 xml:space="preserve">Wskaźnik </w:t>
            </w:r>
          </w:p>
        </w:tc>
        <w:tc>
          <w:tcPr>
            <w:tcW w:w="550" w:type="pct"/>
            <w:vAlign w:val="center"/>
          </w:tcPr>
          <w:p w14:paraId="7A0957C9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Wartość bazowa</w:t>
            </w:r>
          </w:p>
        </w:tc>
        <w:tc>
          <w:tcPr>
            <w:tcW w:w="2594" w:type="pct"/>
            <w:gridSpan w:val="5"/>
            <w:vAlign w:val="center"/>
          </w:tcPr>
          <w:p w14:paraId="5379A3F8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Oczekiwana wartość wskaźnika w latach</w:t>
            </w:r>
          </w:p>
        </w:tc>
      </w:tr>
      <w:tr w:rsidR="009E6C13" w:rsidRPr="002A194A" w14:paraId="21EF6967" w14:textId="77777777" w:rsidTr="00A67ECA">
        <w:trPr>
          <w:trHeight w:val="42"/>
        </w:trPr>
        <w:tc>
          <w:tcPr>
            <w:tcW w:w="1857" w:type="pct"/>
            <w:vMerge/>
            <w:vAlign w:val="center"/>
          </w:tcPr>
          <w:p w14:paraId="5CBFBED7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</w:p>
        </w:tc>
        <w:tc>
          <w:tcPr>
            <w:tcW w:w="550" w:type="pct"/>
            <w:vAlign w:val="center"/>
          </w:tcPr>
          <w:p w14:paraId="43092E6C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2018</w:t>
            </w:r>
          </w:p>
        </w:tc>
        <w:tc>
          <w:tcPr>
            <w:tcW w:w="550" w:type="pct"/>
            <w:vAlign w:val="center"/>
          </w:tcPr>
          <w:p w14:paraId="5246C9CA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2019</w:t>
            </w:r>
          </w:p>
        </w:tc>
        <w:tc>
          <w:tcPr>
            <w:tcW w:w="550" w:type="pct"/>
            <w:vAlign w:val="center"/>
          </w:tcPr>
          <w:p w14:paraId="00B81B16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2020</w:t>
            </w:r>
          </w:p>
        </w:tc>
        <w:tc>
          <w:tcPr>
            <w:tcW w:w="550" w:type="pct"/>
            <w:vAlign w:val="center"/>
          </w:tcPr>
          <w:p w14:paraId="31F3C028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2021</w:t>
            </w:r>
          </w:p>
        </w:tc>
        <w:tc>
          <w:tcPr>
            <w:tcW w:w="482" w:type="pct"/>
            <w:vAlign w:val="center"/>
          </w:tcPr>
          <w:p w14:paraId="6F1F9BF7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2022</w:t>
            </w:r>
          </w:p>
        </w:tc>
        <w:tc>
          <w:tcPr>
            <w:tcW w:w="461" w:type="pct"/>
            <w:vAlign w:val="center"/>
          </w:tcPr>
          <w:p w14:paraId="2AAF4B7B" w14:textId="77777777" w:rsidR="009E6C13" w:rsidRPr="002A194A" w:rsidRDefault="009E6C13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 w:rsidRPr="002A194A">
              <w:rPr>
                <w:rFonts w:ascii="Arial" w:eastAsia="Times New Roman" w:hAnsi="Arial" w:cs="Arial"/>
                <w:kern w:val="28"/>
                <w:lang w:eastAsia="pl-PL"/>
              </w:rPr>
              <w:t>2023</w:t>
            </w:r>
          </w:p>
        </w:tc>
      </w:tr>
      <w:tr w:rsidR="009E6C13" w:rsidRPr="002A194A" w14:paraId="44BC1848" w14:textId="77777777" w:rsidTr="00A67ECA">
        <w:trPr>
          <w:trHeight w:val="42"/>
        </w:trPr>
        <w:tc>
          <w:tcPr>
            <w:tcW w:w="1857" w:type="pct"/>
            <w:vAlign w:val="center"/>
          </w:tcPr>
          <w:p w14:paraId="78AB6556" w14:textId="27EA5D3F" w:rsidR="009E6C13" w:rsidRPr="002A194A" w:rsidRDefault="009E6C13" w:rsidP="001E711B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 xml:space="preserve">Stan </w:t>
            </w:r>
            <w:r w:rsidR="001E711B">
              <w:rPr>
                <w:rFonts w:ascii="Arial" w:eastAsia="Times New Roman" w:hAnsi="Arial" w:cs="Arial"/>
                <w:kern w:val="28"/>
                <w:lang w:eastAsia="pl-PL"/>
              </w:rPr>
              <w:t>techniczny toru kolejowego</w:t>
            </w:r>
            <w:r>
              <w:rPr>
                <w:rFonts w:ascii="Arial" w:eastAsia="Times New Roman" w:hAnsi="Arial" w:cs="Arial"/>
                <w:kern w:val="28"/>
                <w:lang w:eastAsia="pl-PL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625B9B09" w14:textId="7E23C3B1" w:rsidR="009E6C13" w:rsidRPr="002A194A" w:rsidRDefault="001E711B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110</w:t>
            </w:r>
          </w:p>
        </w:tc>
        <w:tc>
          <w:tcPr>
            <w:tcW w:w="550" w:type="pct"/>
            <w:vAlign w:val="center"/>
          </w:tcPr>
          <w:p w14:paraId="6F579FC7" w14:textId="6D04736F" w:rsidR="009E6C13" w:rsidRPr="002A194A" w:rsidRDefault="001E711B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95</w:t>
            </w:r>
          </w:p>
        </w:tc>
        <w:tc>
          <w:tcPr>
            <w:tcW w:w="550" w:type="pct"/>
            <w:vAlign w:val="center"/>
          </w:tcPr>
          <w:p w14:paraId="0F998AA2" w14:textId="672D2D20" w:rsidR="009E6C13" w:rsidRPr="002A194A" w:rsidRDefault="001E711B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85</w:t>
            </w:r>
          </w:p>
        </w:tc>
        <w:tc>
          <w:tcPr>
            <w:tcW w:w="550" w:type="pct"/>
            <w:vAlign w:val="center"/>
          </w:tcPr>
          <w:p w14:paraId="10682DB7" w14:textId="0268A25C" w:rsidR="009E6C13" w:rsidRPr="002A194A" w:rsidRDefault="001E711B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75</w:t>
            </w:r>
          </w:p>
        </w:tc>
        <w:tc>
          <w:tcPr>
            <w:tcW w:w="482" w:type="pct"/>
            <w:vAlign w:val="center"/>
          </w:tcPr>
          <w:p w14:paraId="07AE7630" w14:textId="61EF3EA3" w:rsidR="009E6C13" w:rsidRPr="002A194A" w:rsidRDefault="001E711B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65</w:t>
            </w:r>
          </w:p>
        </w:tc>
        <w:tc>
          <w:tcPr>
            <w:tcW w:w="461" w:type="pct"/>
            <w:vAlign w:val="center"/>
          </w:tcPr>
          <w:p w14:paraId="4AF8C576" w14:textId="47EF33AF" w:rsidR="009E6C13" w:rsidRPr="002A194A" w:rsidRDefault="001E711B" w:rsidP="00A67ECA">
            <w:pPr>
              <w:spacing w:before="0"/>
              <w:jc w:val="center"/>
              <w:rPr>
                <w:rFonts w:ascii="Arial" w:eastAsia="Times New Roman" w:hAnsi="Arial" w:cs="Arial"/>
                <w:kern w:val="28"/>
                <w:lang w:eastAsia="pl-PL"/>
              </w:rPr>
            </w:pPr>
            <w:r>
              <w:rPr>
                <w:rFonts w:ascii="Arial" w:eastAsia="Times New Roman" w:hAnsi="Arial" w:cs="Arial"/>
                <w:kern w:val="28"/>
                <w:lang w:eastAsia="pl-PL"/>
              </w:rPr>
              <w:t>55</w:t>
            </w:r>
          </w:p>
        </w:tc>
      </w:tr>
    </w:tbl>
    <w:p w14:paraId="146EB706" w14:textId="77777777" w:rsidR="00922034" w:rsidRPr="002A194A" w:rsidRDefault="00922034" w:rsidP="00922034">
      <w:pPr>
        <w:pStyle w:val="Akapitzlist"/>
        <w:spacing w:before="240" w:after="240"/>
        <w:ind w:left="360"/>
        <w:rPr>
          <w:rFonts w:ascii="Arial" w:hAnsi="Arial" w:cs="Arial"/>
        </w:rPr>
      </w:pPr>
    </w:p>
    <w:p w14:paraId="460F2D0E" w14:textId="77777777" w:rsidR="00470FB2" w:rsidRPr="002A194A" w:rsidRDefault="00470FB2" w:rsidP="00470FB2">
      <w:pPr>
        <w:rPr>
          <w:rFonts w:ascii="Arial" w:hAnsi="Arial" w:cs="Arial"/>
          <w:bCs/>
          <w:sz w:val="18"/>
        </w:rPr>
      </w:pPr>
    </w:p>
    <w:sectPr w:rsidR="00470FB2" w:rsidRPr="002A194A" w:rsidSect="002222DD"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47C80" w14:textId="77777777" w:rsidR="00EC5DC3" w:rsidRDefault="00EC5DC3">
      <w:pPr>
        <w:spacing w:before="0"/>
      </w:pPr>
      <w:r>
        <w:separator/>
      </w:r>
    </w:p>
  </w:endnote>
  <w:endnote w:type="continuationSeparator" w:id="0">
    <w:p w14:paraId="01CDB375" w14:textId="77777777" w:rsidR="00EC5DC3" w:rsidRDefault="00EC5D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0"/>
        <w:szCs w:val="20"/>
      </w:rPr>
      <w:id w:val="-14844494"/>
      <w:docPartObj>
        <w:docPartGallery w:val="Page Numbers (Bottom of Page)"/>
        <w:docPartUnique/>
      </w:docPartObj>
    </w:sdtPr>
    <w:sdtEndPr/>
    <w:sdtContent>
      <w:p w14:paraId="46870ABC" w14:textId="77777777" w:rsidR="008C3725" w:rsidRPr="00F726A4" w:rsidRDefault="008C3725" w:rsidP="00F726A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726A4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856C24" w:rsidRPr="00F726A4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726A4">
          <w:rPr>
            <w:rFonts w:ascii="Arial" w:hAnsi="Arial" w:cs="Arial"/>
            <w:sz w:val="20"/>
            <w:szCs w:val="20"/>
          </w:rPr>
          <w:instrText>PAGE    \* MERGEFORMAT</w:instrText>
        </w:r>
        <w:r w:rsidR="00856C24" w:rsidRPr="00F726A4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309FC" w:rsidRPr="00B309FC">
          <w:rPr>
            <w:rFonts w:ascii="Arial" w:eastAsiaTheme="majorEastAsia" w:hAnsi="Arial" w:cs="Arial"/>
            <w:noProof/>
            <w:sz w:val="20"/>
            <w:szCs w:val="20"/>
          </w:rPr>
          <w:t>7</w:t>
        </w:r>
        <w:r w:rsidR="00856C24" w:rsidRPr="00F726A4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45B3AA3C" w14:textId="77777777" w:rsidR="008C3725" w:rsidRDefault="008C3725">
    <w:pPr>
      <w:pStyle w:val="Stopka1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CFAD" w14:textId="77777777" w:rsidR="00EC5DC3" w:rsidRDefault="00EC5DC3">
      <w:pPr>
        <w:spacing w:before="0"/>
      </w:pPr>
      <w:r>
        <w:separator/>
      </w:r>
    </w:p>
  </w:footnote>
  <w:footnote w:type="continuationSeparator" w:id="0">
    <w:p w14:paraId="3798A7B4" w14:textId="77777777" w:rsidR="00EC5DC3" w:rsidRDefault="00EC5DC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729"/>
      <w:gridCol w:w="4716"/>
    </w:tblGrid>
    <w:tr w:rsidR="008C3725" w:rsidRPr="00F726A4" w14:paraId="681E369A" w14:textId="77777777" w:rsidTr="00825794">
      <w:trPr>
        <w:jc w:val="center"/>
      </w:trPr>
      <w:tc>
        <w:tcPr>
          <w:tcW w:w="4686" w:type="dxa"/>
          <w:shd w:val="clear" w:color="auto" w:fill="C0504D" w:themeFill="accent2"/>
          <w:vAlign w:val="center"/>
        </w:tcPr>
        <w:p w14:paraId="63D5FC4A" w14:textId="77777777" w:rsidR="008C3725" w:rsidRPr="00F726A4" w:rsidRDefault="008C3725" w:rsidP="00F726A4">
          <w:pPr>
            <w:tabs>
              <w:tab w:val="center" w:pos="4536"/>
              <w:tab w:val="right" w:pos="9072"/>
            </w:tabs>
            <w:spacing w:before="0"/>
            <w:rPr>
              <w:rFonts w:ascii="Arial" w:hAnsi="Arial" w:cs="Arial"/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C0504D" w:themeFill="accent2"/>
          <w:vAlign w:val="center"/>
        </w:tcPr>
        <w:p w14:paraId="233CA1F7" w14:textId="77777777" w:rsidR="008C3725" w:rsidRPr="00F726A4" w:rsidRDefault="008C3725" w:rsidP="00F726A4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ascii="Arial" w:hAnsi="Arial" w:cs="Arial"/>
              <w:caps/>
              <w:color w:val="FFFFFF" w:themeColor="background1"/>
              <w:sz w:val="18"/>
              <w:szCs w:val="18"/>
            </w:rPr>
          </w:pPr>
        </w:p>
      </w:tc>
    </w:tr>
    <w:tr w:rsidR="008C3725" w:rsidRPr="00F726A4" w14:paraId="64C6AF1F" w14:textId="77777777" w:rsidTr="00825794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A21A2C9" w14:textId="77777777" w:rsidR="008C3725" w:rsidRPr="00F726A4" w:rsidRDefault="008C3725" w:rsidP="00F726A4">
          <w:pPr>
            <w:tabs>
              <w:tab w:val="center" w:pos="4536"/>
              <w:tab w:val="right" w:pos="9072"/>
            </w:tabs>
            <w:spacing w:before="0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276EE7FD" w14:textId="77777777" w:rsidR="008C3725" w:rsidRPr="00F726A4" w:rsidRDefault="008C3725" w:rsidP="00F726A4">
          <w:pPr>
            <w:tabs>
              <w:tab w:val="center" w:pos="4536"/>
              <w:tab w:val="right" w:pos="9072"/>
            </w:tabs>
            <w:spacing w:before="0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5392CC7" w14:textId="77777777" w:rsidR="008C3725" w:rsidRDefault="008C37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82"/>
    <w:multiLevelType w:val="multilevel"/>
    <w:tmpl w:val="215AF1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1" w15:restartNumberingAfterBreak="0">
    <w:nsid w:val="066C1C25"/>
    <w:multiLevelType w:val="multilevel"/>
    <w:tmpl w:val="89C27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2" w15:restartNumberingAfterBreak="0">
    <w:nsid w:val="1992349A"/>
    <w:multiLevelType w:val="multilevel"/>
    <w:tmpl w:val="40B24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ZPNaglowek1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D8A71D0"/>
    <w:multiLevelType w:val="multilevel"/>
    <w:tmpl w:val="1A14F59E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745587"/>
    <w:multiLevelType w:val="hybridMultilevel"/>
    <w:tmpl w:val="D0CA91C8"/>
    <w:lvl w:ilvl="0" w:tplc="FE92C24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03A85"/>
    <w:multiLevelType w:val="multilevel"/>
    <w:tmpl w:val="58E48592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lvlText w:val="2.%2."/>
      <w:lvlJc w:val="left"/>
      <w:pPr>
        <w:ind w:left="3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1E197C"/>
    <w:multiLevelType w:val="multilevel"/>
    <w:tmpl w:val="B3A40B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833D3"/>
    <w:multiLevelType w:val="hybridMultilevel"/>
    <w:tmpl w:val="BE4E5A44"/>
    <w:lvl w:ilvl="0" w:tplc="2938C98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B3E8A"/>
    <w:multiLevelType w:val="hybridMultilevel"/>
    <w:tmpl w:val="FFCA81EC"/>
    <w:lvl w:ilvl="0" w:tplc="84C02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831B9"/>
    <w:multiLevelType w:val="hybridMultilevel"/>
    <w:tmpl w:val="331294AA"/>
    <w:lvl w:ilvl="0" w:tplc="B85644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73C95"/>
    <w:multiLevelType w:val="hybridMultilevel"/>
    <w:tmpl w:val="8A043C36"/>
    <w:lvl w:ilvl="0" w:tplc="30DAA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4843EE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21EA"/>
    <w:multiLevelType w:val="hybridMultilevel"/>
    <w:tmpl w:val="8A043C36"/>
    <w:lvl w:ilvl="0" w:tplc="30DAA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4843EE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21B7"/>
    <w:multiLevelType w:val="multilevel"/>
    <w:tmpl w:val="7EEA36D2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lvlText w:val="4.%2."/>
      <w:lvlJc w:val="left"/>
      <w:pPr>
        <w:ind w:left="3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F27105"/>
    <w:multiLevelType w:val="multilevel"/>
    <w:tmpl w:val="17D25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2C1C4A"/>
    <w:multiLevelType w:val="hybridMultilevel"/>
    <w:tmpl w:val="0CDA4CEE"/>
    <w:lvl w:ilvl="0" w:tplc="30DAA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862B4DE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25E0720E">
      <w:start w:val="1"/>
      <w:numFmt w:val="upperLetter"/>
      <w:lvlText w:val="%3."/>
      <w:lvlJc w:val="left"/>
      <w:pPr>
        <w:ind w:left="502" w:hanging="360"/>
      </w:pPr>
      <w:rPr>
        <w:rFonts w:ascii="Arial Black" w:hAnsi="Arial Black" w:hint="default"/>
        <w:sz w:val="28"/>
        <w:u w:val="single"/>
      </w:rPr>
    </w:lvl>
    <w:lvl w:ilvl="3" w:tplc="9CE6BCE6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3D72"/>
    <w:multiLevelType w:val="multilevel"/>
    <w:tmpl w:val="F926B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AB267A"/>
    <w:multiLevelType w:val="hybridMultilevel"/>
    <w:tmpl w:val="8A043C36"/>
    <w:lvl w:ilvl="0" w:tplc="30DAA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4843EE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47914"/>
    <w:multiLevelType w:val="multilevel"/>
    <w:tmpl w:val="7EEA36D2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lvlText w:val="4.%2."/>
      <w:lvlJc w:val="left"/>
      <w:pPr>
        <w:ind w:left="3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CB19C1"/>
    <w:multiLevelType w:val="multilevel"/>
    <w:tmpl w:val="68DE8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216C73"/>
    <w:multiLevelType w:val="hybridMultilevel"/>
    <w:tmpl w:val="8A043C36"/>
    <w:lvl w:ilvl="0" w:tplc="30DAA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4843EE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47F5"/>
    <w:multiLevelType w:val="multilevel"/>
    <w:tmpl w:val="88747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312489E"/>
    <w:multiLevelType w:val="hybridMultilevel"/>
    <w:tmpl w:val="8A043C36"/>
    <w:lvl w:ilvl="0" w:tplc="30DAA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4843EE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4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6"/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17"/>
  </w:num>
  <w:num w:numId="15">
    <w:abstractNumId w:val="19"/>
  </w:num>
  <w:num w:numId="16">
    <w:abstractNumId w:val="3"/>
  </w:num>
  <w:num w:numId="17">
    <w:abstractNumId w:val="18"/>
  </w:num>
  <w:num w:numId="18">
    <w:abstractNumId w:val="20"/>
  </w:num>
  <w:num w:numId="19">
    <w:abstractNumId w:val="13"/>
  </w:num>
  <w:num w:numId="20">
    <w:abstractNumId w:val="1"/>
  </w:num>
  <w:num w:numId="21">
    <w:abstractNumId w:val="13"/>
  </w:num>
  <w:num w:numId="22">
    <w:abstractNumId w:val="6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B2"/>
    <w:rsid w:val="000008CA"/>
    <w:rsid w:val="00000C16"/>
    <w:rsid w:val="00003DAC"/>
    <w:rsid w:val="000044D3"/>
    <w:rsid w:val="00004625"/>
    <w:rsid w:val="00011445"/>
    <w:rsid w:val="00015D81"/>
    <w:rsid w:val="00016FBB"/>
    <w:rsid w:val="00024573"/>
    <w:rsid w:val="00026192"/>
    <w:rsid w:val="00031065"/>
    <w:rsid w:val="00033E5C"/>
    <w:rsid w:val="00042B77"/>
    <w:rsid w:val="00042F9A"/>
    <w:rsid w:val="00044750"/>
    <w:rsid w:val="00045886"/>
    <w:rsid w:val="000461FB"/>
    <w:rsid w:val="00046913"/>
    <w:rsid w:val="00047418"/>
    <w:rsid w:val="00052F81"/>
    <w:rsid w:val="00054916"/>
    <w:rsid w:val="00054AD2"/>
    <w:rsid w:val="00055BAD"/>
    <w:rsid w:val="000572D8"/>
    <w:rsid w:val="0006104A"/>
    <w:rsid w:val="00061143"/>
    <w:rsid w:val="00065114"/>
    <w:rsid w:val="00065318"/>
    <w:rsid w:val="0006643A"/>
    <w:rsid w:val="00066CEC"/>
    <w:rsid w:val="00066E2A"/>
    <w:rsid w:val="00070717"/>
    <w:rsid w:val="00071B87"/>
    <w:rsid w:val="00072264"/>
    <w:rsid w:val="00072D9F"/>
    <w:rsid w:val="00073CBA"/>
    <w:rsid w:val="00075094"/>
    <w:rsid w:val="00077491"/>
    <w:rsid w:val="000776B3"/>
    <w:rsid w:val="00077911"/>
    <w:rsid w:val="000806F7"/>
    <w:rsid w:val="000832F6"/>
    <w:rsid w:val="0008396B"/>
    <w:rsid w:val="00083D5B"/>
    <w:rsid w:val="00085DE4"/>
    <w:rsid w:val="00085ED4"/>
    <w:rsid w:val="000870A3"/>
    <w:rsid w:val="000876B8"/>
    <w:rsid w:val="00090859"/>
    <w:rsid w:val="00091F68"/>
    <w:rsid w:val="00093126"/>
    <w:rsid w:val="000965A4"/>
    <w:rsid w:val="00096EB2"/>
    <w:rsid w:val="00097C77"/>
    <w:rsid w:val="000A0943"/>
    <w:rsid w:val="000A0D36"/>
    <w:rsid w:val="000A31B2"/>
    <w:rsid w:val="000A45E1"/>
    <w:rsid w:val="000A5B4D"/>
    <w:rsid w:val="000A70D5"/>
    <w:rsid w:val="000B0FF6"/>
    <w:rsid w:val="000B1B9B"/>
    <w:rsid w:val="000B3D4B"/>
    <w:rsid w:val="000B5DA3"/>
    <w:rsid w:val="000C2704"/>
    <w:rsid w:val="000C41E1"/>
    <w:rsid w:val="000D204B"/>
    <w:rsid w:val="000D2DF6"/>
    <w:rsid w:val="000D4050"/>
    <w:rsid w:val="000D771C"/>
    <w:rsid w:val="000E1F22"/>
    <w:rsid w:val="000E5B8B"/>
    <w:rsid w:val="000E618D"/>
    <w:rsid w:val="000F3D98"/>
    <w:rsid w:val="000F4982"/>
    <w:rsid w:val="0010023F"/>
    <w:rsid w:val="00100CE5"/>
    <w:rsid w:val="001024F0"/>
    <w:rsid w:val="00107B1B"/>
    <w:rsid w:val="001104BD"/>
    <w:rsid w:val="0011273A"/>
    <w:rsid w:val="00117748"/>
    <w:rsid w:val="00117C0A"/>
    <w:rsid w:val="001246F2"/>
    <w:rsid w:val="00125A2D"/>
    <w:rsid w:val="00125AA6"/>
    <w:rsid w:val="00126A00"/>
    <w:rsid w:val="00132584"/>
    <w:rsid w:val="00134BA7"/>
    <w:rsid w:val="00140A6B"/>
    <w:rsid w:val="00141905"/>
    <w:rsid w:val="00142995"/>
    <w:rsid w:val="00145EDC"/>
    <w:rsid w:val="00151E82"/>
    <w:rsid w:val="0015657D"/>
    <w:rsid w:val="00156711"/>
    <w:rsid w:val="00157ABB"/>
    <w:rsid w:val="00157C8F"/>
    <w:rsid w:val="001626A6"/>
    <w:rsid w:val="001657CA"/>
    <w:rsid w:val="001735F5"/>
    <w:rsid w:val="001737CC"/>
    <w:rsid w:val="00174E1A"/>
    <w:rsid w:val="00176316"/>
    <w:rsid w:val="00180B5B"/>
    <w:rsid w:val="00182256"/>
    <w:rsid w:val="00182AA0"/>
    <w:rsid w:val="00185367"/>
    <w:rsid w:val="00185747"/>
    <w:rsid w:val="001867EE"/>
    <w:rsid w:val="00187F5B"/>
    <w:rsid w:val="00194F28"/>
    <w:rsid w:val="001950D7"/>
    <w:rsid w:val="001954D6"/>
    <w:rsid w:val="001954F6"/>
    <w:rsid w:val="001960AB"/>
    <w:rsid w:val="001A5A32"/>
    <w:rsid w:val="001B27EA"/>
    <w:rsid w:val="001B35A8"/>
    <w:rsid w:val="001B4B51"/>
    <w:rsid w:val="001B6955"/>
    <w:rsid w:val="001C29DD"/>
    <w:rsid w:val="001C3A1A"/>
    <w:rsid w:val="001C3B7A"/>
    <w:rsid w:val="001C47DB"/>
    <w:rsid w:val="001C4B00"/>
    <w:rsid w:val="001C5E39"/>
    <w:rsid w:val="001D3E8E"/>
    <w:rsid w:val="001D5811"/>
    <w:rsid w:val="001E5601"/>
    <w:rsid w:val="001E6679"/>
    <w:rsid w:val="001E67D2"/>
    <w:rsid w:val="001E711B"/>
    <w:rsid w:val="001F4107"/>
    <w:rsid w:val="001F7E09"/>
    <w:rsid w:val="00200C13"/>
    <w:rsid w:val="00201067"/>
    <w:rsid w:val="00204580"/>
    <w:rsid w:val="002077A1"/>
    <w:rsid w:val="00210690"/>
    <w:rsid w:val="002114EC"/>
    <w:rsid w:val="002151AD"/>
    <w:rsid w:val="0021617F"/>
    <w:rsid w:val="0021757C"/>
    <w:rsid w:val="002222DD"/>
    <w:rsid w:val="00223FA1"/>
    <w:rsid w:val="0022568C"/>
    <w:rsid w:val="00226C3B"/>
    <w:rsid w:val="002273DB"/>
    <w:rsid w:val="0023126E"/>
    <w:rsid w:val="002313C8"/>
    <w:rsid w:val="002323EB"/>
    <w:rsid w:val="00235630"/>
    <w:rsid w:val="00243290"/>
    <w:rsid w:val="00243DD8"/>
    <w:rsid w:val="0024598C"/>
    <w:rsid w:val="0025462E"/>
    <w:rsid w:val="00255BBB"/>
    <w:rsid w:val="00256CC6"/>
    <w:rsid w:val="00260999"/>
    <w:rsid w:val="002635CF"/>
    <w:rsid w:val="002735BE"/>
    <w:rsid w:val="00274E57"/>
    <w:rsid w:val="00276BB3"/>
    <w:rsid w:val="002833C3"/>
    <w:rsid w:val="002854D9"/>
    <w:rsid w:val="00286C09"/>
    <w:rsid w:val="00290741"/>
    <w:rsid w:val="00293688"/>
    <w:rsid w:val="00297C8A"/>
    <w:rsid w:val="002A194A"/>
    <w:rsid w:val="002A1CDD"/>
    <w:rsid w:val="002A4C68"/>
    <w:rsid w:val="002A5B37"/>
    <w:rsid w:val="002A5FFD"/>
    <w:rsid w:val="002A7742"/>
    <w:rsid w:val="002B1029"/>
    <w:rsid w:val="002B2A93"/>
    <w:rsid w:val="002B55BD"/>
    <w:rsid w:val="002C3D3E"/>
    <w:rsid w:val="002C5BEA"/>
    <w:rsid w:val="002C6866"/>
    <w:rsid w:val="002C71EA"/>
    <w:rsid w:val="002C740A"/>
    <w:rsid w:val="002D2C39"/>
    <w:rsid w:val="002E22C6"/>
    <w:rsid w:val="002E4797"/>
    <w:rsid w:val="002E4DEE"/>
    <w:rsid w:val="002E7E30"/>
    <w:rsid w:val="002F035B"/>
    <w:rsid w:val="002F33D3"/>
    <w:rsid w:val="002F4915"/>
    <w:rsid w:val="002F68CB"/>
    <w:rsid w:val="003122B3"/>
    <w:rsid w:val="00316104"/>
    <w:rsid w:val="0032019F"/>
    <w:rsid w:val="00323187"/>
    <w:rsid w:val="00327980"/>
    <w:rsid w:val="00330F89"/>
    <w:rsid w:val="00334FE2"/>
    <w:rsid w:val="0034234E"/>
    <w:rsid w:val="00344B09"/>
    <w:rsid w:val="00347137"/>
    <w:rsid w:val="00347FD2"/>
    <w:rsid w:val="0035315A"/>
    <w:rsid w:val="00353B8A"/>
    <w:rsid w:val="00355A6C"/>
    <w:rsid w:val="003575F4"/>
    <w:rsid w:val="00360321"/>
    <w:rsid w:val="003616A0"/>
    <w:rsid w:val="003617DE"/>
    <w:rsid w:val="003636F7"/>
    <w:rsid w:val="00366467"/>
    <w:rsid w:val="0038084F"/>
    <w:rsid w:val="00382C10"/>
    <w:rsid w:val="003915E1"/>
    <w:rsid w:val="00392EF2"/>
    <w:rsid w:val="00393E8C"/>
    <w:rsid w:val="003A34DC"/>
    <w:rsid w:val="003A3A2F"/>
    <w:rsid w:val="003A3BB7"/>
    <w:rsid w:val="003A4EAB"/>
    <w:rsid w:val="003B0C61"/>
    <w:rsid w:val="003B0DDD"/>
    <w:rsid w:val="003B1184"/>
    <w:rsid w:val="003B123B"/>
    <w:rsid w:val="003B4835"/>
    <w:rsid w:val="003B540C"/>
    <w:rsid w:val="003B6F01"/>
    <w:rsid w:val="003B6FAC"/>
    <w:rsid w:val="003C27F3"/>
    <w:rsid w:val="003C398B"/>
    <w:rsid w:val="003C490E"/>
    <w:rsid w:val="003D1B5E"/>
    <w:rsid w:val="003D74F3"/>
    <w:rsid w:val="003E2C92"/>
    <w:rsid w:val="003E2E9E"/>
    <w:rsid w:val="003E437C"/>
    <w:rsid w:val="003E5BCD"/>
    <w:rsid w:val="003F1E29"/>
    <w:rsid w:val="003F4287"/>
    <w:rsid w:val="003F5478"/>
    <w:rsid w:val="003F6202"/>
    <w:rsid w:val="003F67CB"/>
    <w:rsid w:val="003F6B81"/>
    <w:rsid w:val="003F7E47"/>
    <w:rsid w:val="00400498"/>
    <w:rsid w:val="0040110D"/>
    <w:rsid w:val="004012CA"/>
    <w:rsid w:val="00401998"/>
    <w:rsid w:val="00402394"/>
    <w:rsid w:val="0040289C"/>
    <w:rsid w:val="004039F5"/>
    <w:rsid w:val="00410E84"/>
    <w:rsid w:val="00412E4C"/>
    <w:rsid w:val="00416171"/>
    <w:rsid w:val="00417980"/>
    <w:rsid w:val="004221AE"/>
    <w:rsid w:val="00430636"/>
    <w:rsid w:val="00431424"/>
    <w:rsid w:val="00433696"/>
    <w:rsid w:val="00435DD2"/>
    <w:rsid w:val="00440DCE"/>
    <w:rsid w:val="00441497"/>
    <w:rsid w:val="00441C92"/>
    <w:rsid w:val="00441F67"/>
    <w:rsid w:val="004422C9"/>
    <w:rsid w:val="0044670E"/>
    <w:rsid w:val="00446F78"/>
    <w:rsid w:val="00451033"/>
    <w:rsid w:val="004519C6"/>
    <w:rsid w:val="004569F3"/>
    <w:rsid w:val="00461FF2"/>
    <w:rsid w:val="004669B3"/>
    <w:rsid w:val="004706B8"/>
    <w:rsid w:val="00470FB2"/>
    <w:rsid w:val="0047220D"/>
    <w:rsid w:val="00472BCD"/>
    <w:rsid w:val="004742A3"/>
    <w:rsid w:val="00476BA5"/>
    <w:rsid w:val="00482D76"/>
    <w:rsid w:val="0048369C"/>
    <w:rsid w:val="0048559F"/>
    <w:rsid w:val="004855B4"/>
    <w:rsid w:val="004944BC"/>
    <w:rsid w:val="00496AFF"/>
    <w:rsid w:val="00497F05"/>
    <w:rsid w:val="004A14C9"/>
    <w:rsid w:val="004A1CB2"/>
    <w:rsid w:val="004A3637"/>
    <w:rsid w:val="004A3725"/>
    <w:rsid w:val="004A43C3"/>
    <w:rsid w:val="004A67CB"/>
    <w:rsid w:val="004B0F13"/>
    <w:rsid w:val="004B1277"/>
    <w:rsid w:val="004B6195"/>
    <w:rsid w:val="004B6441"/>
    <w:rsid w:val="004C0E91"/>
    <w:rsid w:val="004C37A1"/>
    <w:rsid w:val="004D35BE"/>
    <w:rsid w:val="004D4BAE"/>
    <w:rsid w:val="004E0A49"/>
    <w:rsid w:val="004E43FF"/>
    <w:rsid w:val="004F1C37"/>
    <w:rsid w:val="004F2837"/>
    <w:rsid w:val="004F55F5"/>
    <w:rsid w:val="004F6096"/>
    <w:rsid w:val="00511585"/>
    <w:rsid w:val="00511EA4"/>
    <w:rsid w:val="005204BC"/>
    <w:rsid w:val="00523E26"/>
    <w:rsid w:val="00525321"/>
    <w:rsid w:val="0052545F"/>
    <w:rsid w:val="00525EC0"/>
    <w:rsid w:val="00532C00"/>
    <w:rsid w:val="00541C47"/>
    <w:rsid w:val="00542F02"/>
    <w:rsid w:val="005435C0"/>
    <w:rsid w:val="00543CE5"/>
    <w:rsid w:val="0054516C"/>
    <w:rsid w:val="005562CE"/>
    <w:rsid w:val="00557582"/>
    <w:rsid w:val="00561740"/>
    <w:rsid w:val="005629CD"/>
    <w:rsid w:val="00570D25"/>
    <w:rsid w:val="0057769B"/>
    <w:rsid w:val="00580525"/>
    <w:rsid w:val="005821C4"/>
    <w:rsid w:val="005826C5"/>
    <w:rsid w:val="0058415B"/>
    <w:rsid w:val="00585B57"/>
    <w:rsid w:val="00586BAD"/>
    <w:rsid w:val="00591048"/>
    <w:rsid w:val="00594F5D"/>
    <w:rsid w:val="00596939"/>
    <w:rsid w:val="00597DBC"/>
    <w:rsid w:val="005A0B32"/>
    <w:rsid w:val="005A782E"/>
    <w:rsid w:val="005B5FE1"/>
    <w:rsid w:val="005C1F17"/>
    <w:rsid w:val="005C72E1"/>
    <w:rsid w:val="005D0D43"/>
    <w:rsid w:val="005D1CD6"/>
    <w:rsid w:val="005D264A"/>
    <w:rsid w:val="005D509F"/>
    <w:rsid w:val="005D5507"/>
    <w:rsid w:val="005D5742"/>
    <w:rsid w:val="005E007F"/>
    <w:rsid w:val="005E2026"/>
    <w:rsid w:val="005E4919"/>
    <w:rsid w:val="005E6A5D"/>
    <w:rsid w:val="005F2B6D"/>
    <w:rsid w:val="005F2F8F"/>
    <w:rsid w:val="005F71DF"/>
    <w:rsid w:val="005F7DD6"/>
    <w:rsid w:val="0060281A"/>
    <w:rsid w:val="0060429B"/>
    <w:rsid w:val="00604BC3"/>
    <w:rsid w:val="00605CA7"/>
    <w:rsid w:val="00606D84"/>
    <w:rsid w:val="00613464"/>
    <w:rsid w:val="00613EAF"/>
    <w:rsid w:val="006174AF"/>
    <w:rsid w:val="0062163D"/>
    <w:rsid w:val="006221F7"/>
    <w:rsid w:val="00624704"/>
    <w:rsid w:val="00630219"/>
    <w:rsid w:val="0063290B"/>
    <w:rsid w:val="00636246"/>
    <w:rsid w:val="00637414"/>
    <w:rsid w:val="006424FC"/>
    <w:rsid w:val="00643C4F"/>
    <w:rsid w:val="006443B4"/>
    <w:rsid w:val="006447EB"/>
    <w:rsid w:val="006457EA"/>
    <w:rsid w:val="00651E8F"/>
    <w:rsid w:val="00652645"/>
    <w:rsid w:val="00660286"/>
    <w:rsid w:val="006658E0"/>
    <w:rsid w:val="00667C07"/>
    <w:rsid w:val="006706F3"/>
    <w:rsid w:val="00670BFF"/>
    <w:rsid w:val="006717EE"/>
    <w:rsid w:val="006823A4"/>
    <w:rsid w:val="00682B4B"/>
    <w:rsid w:val="00684984"/>
    <w:rsid w:val="00684A95"/>
    <w:rsid w:val="00691F19"/>
    <w:rsid w:val="00692FF4"/>
    <w:rsid w:val="00695336"/>
    <w:rsid w:val="006A0DBF"/>
    <w:rsid w:val="006A1478"/>
    <w:rsid w:val="006A63E3"/>
    <w:rsid w:val="006A67FA"/>
    <w:rsid w:val="006B07F7"/>
    <w:rsid w:val="006B25FC"/>
    <w:rsid w:val="006B2EF7"/>
    <w:rsid w:val="006B46C2"/>
    <w:rsid w:val="006B7EDE"/>
    <w:rsid w:val="006C1123"/>
    <w:rsid w:val="006C3327"/>
    <w:rsid w:val="006C382F"/>
    <w:rsid w:val="006C489C"/>
    <w:rsid w:val="006C5ECF"/>
    <w:rsid w:val="006D6836"/>
    <w:rsid w:val="006D7566"/>
    <w:rsid w:val="006E0207"/>
    <w:rsid w:val="006E3A87"/>
    <w:rsid w:val="006E5B55"/>
    <w:rsid w:val="006F5122"/>
    <w:rsid w:val="006F5727"/>
    <w:rsid w:val="006F7413"/>
    <w:rsid w:val="0070416A"/>
    <w:rsid w:val="00707BC6"/>
    <w:rsid w:val="00714BD1"/>
    <w:rsid w:val="0072172E"/>
    <w:rsid w:val="007236F7"/>
    <w:rsid w:val="00725313"/>
    <w:rsid w:val="00727EE4"/>
    <w:rsid w:val="007309DD"/>
    <w:rsid w:val="00741D92"/>
    <w:rsid w:val="00743233"/>
    <w:rsid w:val="00743C2A"/>
    <w:rsid w:val="007459AF"/>
    <w:rsid w:val="00747E03"/>
    <w:rsid w:val="00751539"/>
    <w:rsid w:val="00753A79"/>
    <w:rsid w:val="00757FBD"/>
    <w:rsid w:val="007616F7"/>
    <w:rsid w:val="00763852"/>
    <w:rsid w:val="0076475D"/>
    <w:rsid w:val="007722F9"/>
    <w:rsid w:val="007827E5"/>
    <w:rsid w:val="00783C04"/>
    <w:rsid w:val="00784B60"/>
    <w:rsid w:val="00787956"/>
    <w:rsid w:val="007A01A7"/>
    <w:rsid w:val="007A3378"/>
    <w:rsid w:val="007A49C4"/>
    <w:rsid w:val="007A4A31"/>
    <w:rsid w:val="007A516B"/>
    <w:rsid w:val="007A52A4"/>
    <w:rsid w:val="007B21EA"/>
    <w:rsid w:val="007B2247"/>
    <w:rsid w:val="007B50F4"/>
    <w:rsid w:val="007C3491"/>
    <w:rsid w:val="007D212C"/>
    <w:rsid w:val="007D3185"/>
    <w:rsid w:val="007D3ABF"/>
    <w:rsid w:val="007D5CE9"/>
    <w:rsid w:val="007D7446"/>
    <w:rsid w:val="007E0287"/>
    <w:rsid w:val="007E0742"/>
    <w:rsid w:val="007E1FFC"/>
    <w:rsid w:val="007F141E"/>
    <w:rsid w:val="007F1684"/>
    <w:rsid w:val="007F170B"/>
    <w:rsid w:val="007F6AEE"/>
    <w:rsid w:val="007F779B"/>
    <w:rsid w:val="008030B1"/>
    <w:rsid w:val="008034FA"/>
    <w:rsid w:val="008063F1"/>
    <w:rsid w:val="0080677F"/>
    <w:rsid w:val="00811840"/>
    <w:rsid w:val="00815929"/>
    <w:rsid w:val="00825794"/>
    <w:rsid w:val="00826683"/>
    <w:rsid w:val="00827F52"/>
    <w:rsid w:val="00832E30"/>
    <w:rsid w:val="00837767"/>
    <w:rsid w:val="00841EE8"/>
    <w:rsid w:val="008508BE"/>
    <w:rsid w:val="0085186B"/>
    <w:rsid w:val="00852AAF"/>
    <w:rsid w:val="008531C5"/>
    <w:rsid w:val="00854E75"/>
    <w:rsid w:val="00855638"/>
    <w:rsid w:val="00856C24"/>
    <w:rsid w:val="00857E01"/>
    <w:rsid w:val="008625B6"/>
    <w:rsid w:val="00870807"/>
    <w:rsid w:val="00871546"/>
    <w:rsid w:val="00872A35"/>
    <w:rsid w:val="00876EA0"/>
    <w:rsid w:val="00881537"/>
    <w:rsid w:val="00881A00"/>
    <w:rsid w:val="008845C8"/>
    <w:rsid w:val="008847F9"/>
    <w:rsid w:val="008851DC"/>
    <w:rsid w:val="008867E1"/>
    <w:rsid w:val="00893C92"/>
    <w:rsid w:val="00896CFE"/>
    <w:rsid w:val="008A171E"/>
    <w:rsid w:val="008A1A20"/>
    <w:rsid w:val="008A2B64"/>
    <w:rsid w:val="008A4C80"/>
    <w:rsid w:val="008A54B0"/>
    <w:rsid w:val="008A6C46"/>
    <w:rsid w:val="008B1992"/>
    <w:rsid w:val="008B37A2"/>
    <w:rsid w:val="008B4C70"/>
    <w:rsid w:val="008B7132"/>
    <w:rsid w:val="008B764A"/>
    <w:rsid w:val="008C1D98"/>
    <w:rsid w:val="008C2397"/>
    <w:rsid w:val="008C3725"/>
    <w:rsid w:val="008C3F26"/>
    <w:rsid w:val="008C59A3"/>
    <w:rsid w:val="008C5B81"/>
    <w:rsid w:val="008C71EE"/>
    <w:rsid w:val="008D0797"/>
    <w:rsid w:val="008D4659"/>
    <w:rsid w:val="008D4E87"/>
    <w:rsid w:val="008D6868"/>
    <w:rsid w:val="008D6B96"/>
    <w:rsid w:val="008E040A"/>
    <w:rsid w:val="008E1690"/>
    <w:rsid w:val="008F4B92"/>
    <w:rsid w:val="008F4BDD"/>
    <w:rsid w:val="008F5D3B"/>
    <w:rsid w:val="00900082"/>
    <w:rsid w:val="0090666C"/>
    <w:rsid w:val="0090768B"/>
    <w:rsid w:val="00907900"/>
    <w:rsid w:val="0091039E"/>
    <w:rsid w:val="009106DA"/>
    <w:rsid w:val="00922034"/>
    <w:rsid w:val="009234A1"/>
    <w:rsid w:val="009238A0"/>
    <w:rsid w:val="00930233"/>
    <w:rsid w:val="00931ADC"/>
    <w:rsid w:val="00932551"/>
    <w:rsid w:val="009413C9"/>
    <w:rsid w:val="00942AF7"/>
    <w:rsid w:val="00943174"/>
    <w:rsid w:val="00943D8F"/>
    <w:rsid w:val="009518B3"/>
    <w:rsid w:val="009525CC"/>
    <w:rsid w:val="009650E1"/>
    <w:rsid w:val="00970689"/>
    <w:rsid w:val="00971027"/>
    <w:rsid w:val="009712C7"/>
    <w:rsid w:val="00971A48"/>
    <w:rsid w:val="009749B4"/>
    <w:rsid w:val="00975171"/>
    <w:rsid w:val="00976193"/>
    <w:rsid w:val="00980472"/>
    <w:rsid w:val="00983BE2"/>
    <w:rsid w:val="0098759B"/>
    <w:rsid w:val="00996DB1"/>
    <w:rsid w:val="009B0729"/>
    <w:rsid w:val="009B1990"/>
    <w:rsid w:val="009B330B"/>
    <w:rsid w:val="009B346B"/>
    <w:rsid w:val="009B57CA"/>
    <w:rsid w:val="009B6B2D"/>
    <w:rsid w:val="009C277B"/>
    <w:rsid w:val="009D364E"/>
    <w:rsid w:val="009D53C2"/>
    <w:rsid w:val="009D5492"/>
    <w:rsid w:val="009D696B"/>
    <w:rsid w:val="009E1B59"/>
    <w:rsid w:val="009E2210"/>
    <w:rsid w:val="009E4981"/>
    <w:rsid w:val="009E4EF9"/>
    <w:rsid w:val="009E5A8A"/>
    <w:rsid w:val="009E687E"/>
    <w:rsid w:val="009E6942"/>
    <w:rsid w:val="009E6C13"/>
    <w:rsid w:val="009E75AB"/>
    <w:rsid w:val="009F2C35"/>
    <w:rsid w:val="009F3437"/>
    <w:rsid w:val="00A005B5"/>
    <w:rsid w:val="00A01486"/>
    <w:rsid w:val="00A03B4D"/>
    <w:rsid w:val="00A07EE7"/>
    <w:rsid w:val="00A1009B"/>
    <w:rsid w:val="00A129DB"/>
    <w:rsid w:val="00A153AE"/>
    <w:rsid w:val="00A15FBC"/>
    <w:rsid w:val="00A22009"/>
    <w:rsid w:val="00A25F44"/>
    <w:rsid w:val="00A279DE"/>
    <w:rsid w:val="00A304E6"/>
    <w:rsid w:val="00A30993"/>
    <w:rsid w:val="00A3574A"/>
    <w:rsid w:val="00A41E66"/>
    <w:rsid w:val="00A42834"/>
    <w:rsid w:val="00A45127"/>
    <w:rsid w:val="00A543E4"/>
    <w:rsid w:val="00A5524F"/>
    <w:rsid w:val="00A56B00"/>
    <w:rsid w:val="00A6278E"/>
    <w:rsid w:val="00A664F3"/>
    <w:rsid w:val="00A66F86"/>
    <w:rsid w:val="00A678D5"/>
    <w:rsid w:val="00A70821"/>
    <w:rsid w:val="00A7488B"/>
    <w:rsid w:val="00A81044"/>
    <w:rsid w:val="00A9069D"/>
    <w:rsid w:val="00A91F09"/>
    <w:rsid w:val="00A94A14"/>
    <w:rsid w:val="00A9786D"/>
    <w:rsid w:val="00A97FAC"/>
    <w:rsid w:val="00AA0466"/>
    <w:rsid w:val="00AA16EC"/>
    <w:rsid w:val="00AA2C04"/>
    <w:rsid w:val="00AA32D4"/>
    <w:rsid w:val="00AA523D"/>
    <w:rsid w:val="00AA6003"/>
    <w:rsid w:val="00AA7773"/>
    <w:rsid w:val="00AB07E9"/>
    <w:rsid w:val="00AB121D"/>
    <w:rsid w:val="00AB4C62"/>
    <w:rsid w:val="00AB74F1"/>
    <w:rsid w:val="00AC70BC"/>
    <w:rsid w:val="00AD35CB"/>
    <w:rsid w:val="00AD4537"/>
    <w:rsid w:val="00AD47C2"/>
    <w:rsid w:val="00AD7815"/>
    <w:rsid w:val="00AE45D1"/>
    <w:rsid w:val="00AE4A00"/>
    <w:rsid w:val="00AF3C97"/>
    <w:rsid w:val="00AF5731"/>
    <w:rsid w:val="00AF6835"/>
    <w:rsid w:val="00B00161"/>
    <w:rsid w:val="00B00A0B"/>
    <w:rsid w:val="00B07ABF"/>
    <w:rsid w:val="00B10B25"/>
    <w:rsid w:val="00B13877"/>
    <w:rsid w:val="00B15EDB"/>
    <w:rsid w:val="00B16150"/>
    <w:rsid w:val="00B17009"/>
    <w:rsid w:val="00B17541"/>
    <w:rsid w:val="00B1769E"/>
    <w:rsid w:val="00B17DB4"/>
    <w:rsid w:val="00B17FAA"/>
    <w:rsid w:val="00B2169D"/>
    <w:rsid w:val="00B2458A"/>
    <w:rsid w:val="00B24673"/>
    <w:rsid w:val="00B309FC"/>
    <w:rsid w:val="00B30B3D"/>
    <w:rsid w:val="00B30D46"/>
    <w:rsid w:val="00B332CF"/>
    <w:rsid w:val="00B3381D"/>
    <w:rsid w:val="00B34B82"/>
    <w:rsid w:val="00B35C76"/>
    <w:rsid w:val="00B37438"/>
    <w:rsid w:val="00B46603"/>
    <w:rsid w:val="00B5117C"/>
    <w:rsid w:val="00B5184F"/>
    <w:rsid w:val="00B5504E"/>
    <w:rsid w:val="00B62467"/>
    <w:rsid w:val="00B63335"/>
    <w:rsid w:val="00B63F05"/>
    <w:rsid w:val="00B66586"/>
    <w:rsid w:val="00B7247E"/>
    <w:rsid w:val="00B734DC"/>
    <w:rsid w:val="00B74A8F"/>
    <w:rsid w:val="00B7647B"/>
    <w:rsid w:val="00B765FB"/>
    <w:rsid w:val="00B7671E"/>
    <w:rsid w:val="00B823A9"/>
    <w:rsid w:val="00B8313F"/>
    <w:rsid w:val="00B860B8"/>
    <w:rsid w:val="00B87B00"/>
    <w:rsid w:val="00B90363"/>
    <w:rsid w:val="00B92C36"/>
    <w:rsid w:val="00BA3CB7"/>
    <w:rsid w:val="00BA3CC0"/>
    <w:rsid w:val="00BA6607"/>
    <w:rsid w:val="00BA6F68"/>
    <w:rsid w:val="00BA7DA3"/>
    <w:rsid w:val="00BB30A1"/>
    <w:rsid w:val="00BB3BAA"/>
    <w:rsid w:val="00BB405E"/>
    <w:rsid w:val="00BB5047"/>
    <w:rsid w:val="00BB54B5"/>
    <w:rsid w:val="00BB5DDA"/>
    <w:rsid w:val="00BC2279"/>
    <w:rsid w:val="00BC2491"/>
    <w:rsid w:val="00BC2B69"/>
    <w:rsid w:val="00BC2D38"/>
    <w:rsid w:val="00BC3D7F"/>
    <w:rsid w:val="00BC6856"/>
    <w:rsid w:val="00BC7694"/>
    <w:rsid w:val="00BC7B67"/>
    <w:rsid w:val="00BD0C16"/>
    <w:rsid w:val="00BD1502"/>
    <w:rsid w:val="00BD3D45"/>
    <w:rsid w:val="00BD7344"/>
    <w:rsid w:val="00BE5C49"/>
    <w:rsid w:val="00BE6AC0"/>
    <w:rsid w:val="00BF253E"/>
    <w:rsid w:val="00BF669F"/>
    <w:rsid w:val="00C002C4"/>
    <w:rsid w:val="00C02144"/>
    <w:rsid w:val="00C02B84"/>
    <w:rsid w:val="00C04152"/>
    <w:rsid w:val="00C1059A"/>
    <w:rsid w:val="00C13BC2"/>
    <w:rsid w:val="00C15260"/>
    <w:rsid w:val="00C21A65"/>
    <w:rsid w:val="00C23816"/>
    <w:rsid w:val="00C2451B"/>
    <w:rsid w:val="00C27B1E"/>
    <w:rsid w:val="00C30317"/>
    <w:rsid w:val="00C363D7"/>
    <w:rsid w:val="00C36C8E"/>
    <w:rsid w:val="00C371C6"/>
    <w:rsid w:val="00C41840"/>
    <w:rsid w:val="00C4443B"/>
    <w:rsid w:val="00C47D7B"/>
    <w:rsid w:val="00C505B5"/>
    <w:rsid w:val="00C513ED"/>
    <w:rsid w:val="00C5184F"/>
    <w:rsid w:val="00C55D63"/>
    <w:rsid w:val="00C579BF"/>
    <w:rsid w:val="00C57A87"/>
    <w:rsid w:val="00C61F83"/>
    <w:rsid w:val="00C61FA2"/>
    <w:rsid w:val="00C6618C"/>
    <w:rsid w:val="00C70EA9"/>
    <w:rsid w:val="00C73084"/>
    <w:rsid w:val="00C770F2"/>
    <w:rsid w:val="00C82F8A"/>
    <w:rsid w:val="00C83593"/>
    <w:rsid w:val="00C8583D"/>
    <w:rsid w:val="00C859DE"/>
    <w:rsid w:val="00C87F83"/>
    <w:rsid w:val="00C92C68"/>
    <w:rsid w:val="00C949B9"/>
    <w:rsid w:val="00C95263"/>
    <w:rsid w:val="00CA500B"/>
    <w:rsid w:val="00CB1256"/>
    <w:rsid w:val="00CC1541"/>
    <w:rsid w:val="00CC1D95"/>
    <w:rsid w:val="00CC312E"/>
    <w:rsid w:val="00CC3683"/>
    <w:rsid w:val="00CC3916"/>
    <w:rsid w:val="00CC3BE8"/>
    <w:rsid w:val="00CC5D10"/>
    <w:rsid w:val="00CC7FF7"/>
    <w:rsid w:val="00CD0F9B"/>
    <w:rsid w:val="00CD19FE"/>
    <w:rsid w:val="00CD4CBB"/>
    <w:rsid w:val="00CD5992"/>
    <w:rsid w:val="00CD5A6F"/>
    <w:rsid w:val="00CD717A"/>
    <w:rsid w:val="00CE2626"/>
    <w:rsid w:val="00CE313F"/>
    <w:rsid w:val="00CE60C4"/>
    <w:rsid w:val="00CF2042"/>
    <w:rsid w:val="00CF27BC"/>
    <w:rsid w:val="00CF42D9"/>
    <w:rsid w:val="00CF46F1"/>
    <w:rsid w:val="00CF5C98"/>
    <w:rsid w:val="00CF5F19"/>
    <w:rsid w:val="00D00FC5"/>
    <w:rsid w:val="00D01024"/>
    <w:rsid w:val="00D046F2"/>
    <w:rsid w:val="00D05B5D"/>
    <w:rsid w:val="00D06DD6"/>
    <w:rsid w:val="00D11E75"/>
    <w:rsid w:val="00D14A25"/>
    <w:rsid w:val="00D15A68"/>
    <w:rsid w:val="00D174B6"/>
    <w:rsid w:val="00D21006"/>
    <w:rsid w:val="00D226A1"/>
    <w:rsid w:val="00D267F5"/>
    <w:rsid w:val="00D33D97"/>
    <w:rsid w:val="00D3512B"/>
    <w:rsid w:val="00D35349"/>
    <w:rsid w:val="00D35948"/>
    <w:rsid w:val="00D36826"/>
    <w:rsid w:val="00D4178A"/>
    <w:rsid w:val="00D43968"/>
    <w:rsid w:val="00D448D7"/>
    <w:rsid w:val="00D44A9F"/>
    <w:rsid w:val="00D51DCD"/>
    <w:rsid w:val="00D530D5"/>
    <w:rsid w:val="00D539EE"/>
    <w:rsid w:val="00D61972"/>
    <w:rsid w:val="00D61FA5"/>
    <w:rsid w:val="00D667BA"/>
    <w:rsid w:val="00D66CFC"/>
    <w:rsid w:val="00D6782E"/>
    <w:rsid w:val="00D67F9B"/>
    <w:rsid w:val="00D70258"/>
    <w:rsid w:val="00D735F0"/>
    <w:rsid w:val="00D77FFC"/>
    <w:rsid w:val="00D818BC"/>
    <w:rsid w:val="00D85E37"/>
    <w:rsid w:val="00D903DD"/>
    <w:rsid w:val="00D90E6A"/>
    <w:rsid w:val="00D94EB7"/>
    <w:rsid w:val="00D95EE3"/>
    <w:rsid w:val="00D971AD"/>
    <w:rsid w:val="00DA008C"/>
    <w:rsid w:val="00DA1918"/>
    <w:rsid w:val="00DA2F64"/>
    <w:rsid w:val="00DA4659"/>
    <w:rsid w:val="00DA58DB"/>
    <w:rsid w:val="00DA5ED8"/>
    <w:rsid w:val="00DA6500"/>
    <w:rsid w:val="00DA651D"/>
    <w:rsid w:val="00DB01F1"/>
    <w:rsid w:val="00DB0469"/>
    <w:rsid w:val="00DB1EB2"/>
    <w:rsid w:val="00DB2BF8"/>
    <w:rsid w:val="00DB5E77"/>
    <w:rsid w:val="00DB5F63"/>
    <w:rsid w:val="00DB65E4"/>
    <w:rsid w:val="00DB6F4D"/>
    <w:rsid w:val="00DB71F8"/>
    <w:rsid w:val="00DC1F2C"/>
    <w:rsid w:val="00DC50E2"/>
    <w:rsid w:val="00DC6E2C"/>
    <w:rsid w:val="00DD0A3E"/>
    <w:rsid w:val="00DD499E"/>
    <w:rsid w:val="00DD7BA5"/>
    <w:rsid w:val="00DE1E06"/>
    <w:rsid w:val="00DE321A"/>
    <w:rsid w:val="00DE4156"/>
    <w:rsid w:val="00DE4339"/>
    <w:rsid w:val="00DE4383"/>
    <w:rsid w:val="00DE5CE4"/>
    <w:rsid w:val="00DE6CAC"/>
    <w:rsid w:val="00DF09FA"/>
    <w:rsid w:val="00DF5134"/>
    <w:rsid w:val="00DF6C7D"/>
    <w:rsid w:val="00E041D2"/>
    <w:rsid w:val="00E107B9"/>
    <w:rsid w:val="00E113F9"/>
    <w:rsid w:val="00E11BCC"/>
    <w:rsid w:val="00E11FF1"/>
    <w:rsid w:val="00E1272E"/>
    <w:rsid w:val="00E12A66"/>
    <w:rsid w:val="00E13E37"/>
    <w:rsid w:val="00E16579"/>
    <w:rsid w:val="00E212D7"/>
    <w:rsid w:val="00E22109"/>
    <w:rsid w:val="00E257B3"/>
    <w:rsid w:val="00E27C06"/>
    <w:rsid w:val="00E325AE"/>
    <w:rsid w:val="00E34277"/>
    <w:rsid w:val="00E35F98"/>
    <w:rsid w:val="00E422E5"/>
    <w:rsid w:val="00E47345"/>
    <w:rsid w:val="00E518B7"/>
    <w:rsid w:val="00E523D5"/>
    <w:rsid w:val="00E52AA5"/>
    <w:rsid w:val="00E54DA7"/>
    <w:rsid w:val="00E55A3A"/>
    <w:rsid w:val="00E56233"/>
    <w:rsid w:val="00E56649"/>
    <w:rsid w:val="00E63E5F"/>
    <w:rsid w:val="00E64BEA"/>
    <w:rsid w:val="00E67A3C"/>
    <w:rsid w:val="00E73490"/>
    <w:rsid w:val="00E73E2B"/>
    <w:rsid w:val="00E74566"/>
    <w:rsid w:val="00E83668"/>
    <w:rsid w:val="00E84755"/>
    <w:rsid w:val="00E84ED5"/>
    <w:rsid w:val="00E92D6B"/>
    <w:rsid w:val="00E94A6C"/>
    <w:rsid w:val="00E95A73"/>
    <w:rsid w:val="00EA0441"/>
    <w:rsid w:val="00EA0487"/>
    <w:rsid w:val="00EA29BE"/>
    <w:rsid w:val="00EA386B"/>
    <w:rsid w:val="00EA3CB8"/>
    <w:rsid w:val="00EA5A9C"/>
    <w:rsid w:val="00EB1221"/>
    <w:rsid w:val="00EB76F2"/>
    <w:rsid w:val="00EC1E55"/>
    <w:rsid w:val="00EC4917"/>
    <w:rsid w:val="00EC5DC3"/>
    <w:rsid w:val="00ED0899"/>
    <w:rsid w:val="00ED3B5D"/>
    <w:rsid w:val="00ED3F83"/>
    <w:rsid w:val="00ED5253"/>
    <w:rsid w:val="00EE1856"/>
    <w:rsid w:val="00EE19B5"/>
    <w:rsid w:val="00EE2479"/>
    <w:rsid w:val="00EE3392"/>
    <w:rsid w:val="00EE5224"/>
    <w:rsid w:val="00EE7164"/>
    <w:rsid w:val="00EF4803"/>
    <w:rsid w:val="00EF4B8A"/>
    <w:rsid w:val="00EF5328"/>
    <w:rsid w:val="00F00677"/>
    <w:rsid w:val="00F02039"/>
    <w:rsid w:val="00F0462A"/>
    <w:rsid w:val="00F06360"/>
    <w:rsid w:val="00F1243F"/>
    <w:rsid w:val="00F12FC9"/>
    <w:rsid w:val="00F13D89"/>
    <w:rsid w:val="00F15196"/>
    <w:rsid w:val="00F1523A"/>
    <w:rsid w:val="00F157AB"/>
    <w:rsid w:val="00F16F8A"/>
    <w:rsid w:val="00F170B0"/>
    <w:rsid w:val="00F245FB"/>
    <w:rsid w:val="00F24EA4"/>
    <w:rsid w:val="00F25483"/>
    <w:rsid w:val="00F2586E"/>
    <w:rsid w:val="00F30B38"/>
    <w:rsid w:val="00F3218D"/>
    <w:rsid w:val="00F32FE6"/>
    <w:rsid w:val="00F4166E"/>
    <w:rsid w:val="00F456BC"/>
    <w:rsid w:val="00F473AC"/>
    <w:rsid w:val="00F47D08"/>
    <w:rsid w:val="00F54736"/>
    <w:rsid w:val="00F54F87"/>
    <w:rsid w:val="00F6118F"/>
    <w:rsid w:val="00F67B8D"/>
    <w:rsid w:val="00F71568"/>
    <w:rsid w:val="00F726A4"/>
    <w:rsid w:val="00F7638B"/>
    <w:rsid w:val="00F77234"/>
    <w:rsid w:val="00F81FE2"/>
    <w:rsid w:val="00F8253A"/>
    <w:rsid w:val="00F826C9"/>
    <w:rsid w:val="00F826F0"/>
    <w:rsid w:val="00F829D0"/>
    <w:rsid w:val="00F82A89"/>
    <w:rsid w:val="00F82AC4"/>
    <w:rsid w:val="00F840EC"/>
    <w:rsid w:val="00F91060"/>
    <w:rsid w:val="00F937F4"/>
    <w:rsid w:val="00F94298"/>
    <w:rsid w:val="00F95AB4"/>
    <w:rsid w:val="00FA0723"/>
    <w:rsid w:val="00FA0B28"/>
    <w:rsid w:val="00FA4402"/>
    <w:rsid w:val="00FA5867"/>
    <w:rsid w:val="00FA7291"/>
    <w:rsid w:val="00FA78C2"/>
    <w:rsid w:val="00FB4111"/>
    <w:rsid w:val="00FB53F1"/>
    <w:rsid w:val="00FB562F"/>
    <w:rsid w:val="00FB6F8F"/>
    <w:rsid w:val="00FC383B"/>
    <w:rsid w:val="00FC3A31"/>
    <w:rsid w:val="00FC5500"/>
    <w:rsid w:val="00FC55EA"/>
    <w:rsid w:val="00FC7210"/>
    <w:rsid w:val="00FD370A"/>
    <w:rsid w:val="00FD49C5"/>
    <w:rsid w:val="00FE1459"/>
    <w:rsid w:val="00FE3741"/>
    <w:rsid w:val="00FE3FD2"/>
    <w:rsid w:val="00FE72E4"/>
    <w:rsid w:val="00FF0C25"/>
    <w:rsid w:val="00FF4673"/>
    <w:rsid w:val="00FF46BD"/>
    <w:rsid w:val="00FF5B5F"/>
    <w:rsid w:val="00FF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2EB29"/>
  <w15:docId w15:val="{1DF66F4C-53C5-41C5-A138-FC4E1945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47E"/>
    <w:pPr>
      <w:spacing w:before="120" w:after="0" w:line="240" w:lineRule="auto"/>
      <w:jc w:val="both"/>
    </w:pPr>
    <w:rPr>
      <w:rFonts w:ascii="Calibri" w:hAnsi="Calibri" w:cstheme="maj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5F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35F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35F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34FA"/>
    <w:pPr>
      <w:numPr>
        <w:ilvl w:val="6"/>
        <w:numId w:val="1"/>
      </w:numPr>
      <w:spacing w:before="240" w:after="60" w:line="360" w:lineRule="auto"/>
      <w:outlineLvl w:val="6"/>
    </w:pPr>
    <w:rPr>
      <w:rFonts w:ascii="Arial" w:eastAsia="Times New Roman" w:hAnsi="Arial" w:cs="Times New Roman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34FA"/>
    <w:pPr>
      <w:numPr>
        <w:ilvl w:val="7"/>
        <w:numId w:val="1"/>
      </w:numPr>
      <w:spacing w:before="240" w:after="60" w:line="360" w:lineRule="auto"/>
      <w:outlineLvl w:val="7"/>
    </w:pPr>
    <w:rPr>
      <w:rFonts w:ascii="Arial" w:eastAsia="Times New Roman" w:hAnsi="Arial" w:cs="Times New Roman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34FA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73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35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9"/>
    <w:rsid w:val="008034FA"/>
    <w:rPr>
      <w:rFonts w:ascii="Arial" w:eastAsia="Times New Roman" w:hAnsi="Arial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8034FA"/>
    <w:rPr>
      <w:rFonts w:ascii="Arial" w:eastAsia="Times New Roman" w:hAnsi="Arial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034FA"/>
    <w:rPr>
      <w:rFonts w:ascii="Arial" w:eastAsia="Times New Roman" w:hAnsi="Arial" w:cs="Arial"/>
      <w:lang w:eastAsia="ar-SA"/>
    </w:rPr>
  </w:style>
  <w:style w:type="paragraph" w:customStyle="1" w:styleId="Stopka1">
    <w:name w:val="Stopka1"/>
    <w:basedOn w:val="Normalny"/>
    <w:uiPriority w:val="99"/>
    <w:rsid w:val="00DB1EB2"/>
    <w:pPr>
      <w:widowControl w:val="0"/>
      <w:tabs>
        <w:tab w:val="right" w:pos="8505"/>
      </w:tabs>
      <w:autoSpaceDE w:val="0"/>
      <w:autoSpaceDN w:val="0"/>
      <w:adjustRightInd w:val="0"/>
      <w:spacing w:after="120"/>
    </w:pPr>
    <w:rPr>
      <w:rFonts w:eastAsia="Times New Roman" w:cs="Arial"/>
      <w:bCs/>
      <w:kern w:val="28"/>
      <w:sz w:val="12"/>
      <w:szCs w:val="12"/>
      <w:lang w:eastAsia="pl-PL"/>
    </w:rPr>
  </w:style>
  <w:style w:type="character" w:styleId="Numerstrony">
    <w:name w:val="page number"/>
    <w:basedOn w:val="Domylnaczcionkaakapitu"/>
    <w:rsid w:val="00DB1EB2"/>
  </w:style>
  <w:style w:type="paragraph" w:styleId="Akapitzlist">
    <w:name w:val="List Paragraph"/>
    <w:basedOn w:val="Normalny"/>
    <w:uiPriority w:val="34"/>
    <w:qFormat/>
    <w:rsid w:val="00751539"/>
    <w:pPr>
      <w:ind w:left="720"/>
      <w:contextualSpacing/>
    </w:pPr>
  </w:style>
  <w:style w:type="table" w:styleId="Tabela-Siatka">
    <w:name w:val="Table Grid"/>
    <w:basedOn w:val="Standardowy"/>
    <w:uiPriority w:val="59"/>
    <w:rsid w:val="007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43968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3968"/>
    <w:rPr>
      <w:rFonts w:ascii="Calibri" w:hAnsi="Calibri" w:cstheme="majorBidi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Times 10 Point,Exposant 3 Point,Ref,de nota al pie,note TESI,SUPERS,EN Footnote text,EN Footnote Reference,Voetnootverwijzing,Footnote number,fr,o,FR"/>
    <w:uiPriority w:val="99"/>
    <w:unhideWhenUsed/>
    <w:rsid w:val="00D4396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8034FA"/>
    <w:pPr>
      <w:spacing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4F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DZPNaglowek1">
    <w:name w:val="DZPNaglowek 1"/>
    <w:basedOn w:val="Normalny"/>
    <w:next w:val="Normalny"/>
    <w:autoRedefine/>
    <w:uiPriority w:val="99"/>
    <w:rsid w:val="008034FA"/>
    <w:pPr>
      <w:keepNext/>
      <w:keepLines/>
      <w:widowControl w:val="0"/>
      <w:numPr>
        <w:ilvl w:val="1"/>
        <w:numId w:val="2"/>
      </w:numPr>
      <w:suppressAutoHyphens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caps/>
      <w:kern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D8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D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8F4BD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BDD"/>
    <w:pPr>
      <w:spacing w:line="240" w:lineRule="auto"/>
    </w:pPr>
    <w:rPr>
      <w:rFonts w:ascii="Calibri" w:eastAsiaTheme="minorHAnsi" w:hAnsi="Calibri" w:cstheme="maj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BDD"/>
    <w:rPr>
      <w:rFonts w:ascii="Calibri" w:eastAsia="Times New Roman" w:hAnsi="Calibri" w:cstheme="majorBidi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29B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EA29BE"/>
    <w:rPr>
      <w:rFonts w:ascii="Calibri" w:hAnsi="Calibri" w:cstheme="majorBidi"/>
    </w:rPr>
  </w:style>
  <w:style w:type="paragraph" w:styleId="Stopka">
    <w:name w:val="footer"/>
    <w:basedOn w:val="Normalny"/>
    <w:link w:val="StopkaZnak"/>
    <w:uiPriority w:val="99"/>
    <w:unhideWhenUsed/>
    <w:rsid w:val="00EA29B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EA29BE"/>
    <w:rPr>
      <w:rFonts w:ascii="Calibri" w:hAnsi="Calibri" w:cstheme="majorBidi"/>
    </w:rPr>
  </w:style>
  <w:style w:type="table" w:customStyle="1" w:styleId="Zwykatabela51">
    <w:name w:val="Zwykła tabela 51"/>
    <w:basedOn w:val="Standardowy"/>
    <w:uiPriority w:val="45"/>
    <w:rsid w:val="00B138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4475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B35A8"/>
    <w:pPr>
      <w:spacing w:after="0" w:line="240" w:lineRule="auto"/>
    </w:pPr>
    <w:rPr>
      <w:rFonts w:ascii="Calibri" w:hAnsi="Calibri" w:cstheme="majorBidi"/>
    </w:rPr>
  </w:style>
  <w:style w:type="table" w:styleId="redniasiatka3akcent3">
    <w:name w:val="Medium Grid 3 Accent 3"/>
    <w:basedOn w:val="Standardowy"/>
    <w:uiPriority w:val="69"/>
    <w:rsid w:val="00D33D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paragraph" w:styleId="NormalnyWeb">
    <w:name w:val="Normal (Web)"/>
    <w:basedOn w:val="Normalny"/>
    <w:uiPriority w:val="99"/>
    <w:unhideWhenUsed/>
    <w:rsid w:val="002A1CDD"/>
    <w:pPr>
      <w:spacing w:before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90c09d-5b64-4959-95f9-23650bcbd207">4M5JP5TFURRC-623-30</_dlc_DocId>
    <_dlc_DocIdUrl xmlns="5790c09d-5b64-4959-95f9-23650bcbd207">
      <Url>http://e-plk.plk-sa.pl/IKF/_layouts/15/DocIdRedir.aspx?ID=4M5JP5TFURRC-623-30</Url>
      <Description>4M5JP5TFURRC-623-30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37FAB4BEF1044A5F7B6A3CB916EAC" ma:contentTypeVersion="0" ma:contentTypeDescription="Utwórz nowy dokument." ma:contentTypeScope="" ma:versionID="8807d0b104f3522ec81ce20e2a1850dd">
  <xsd:schema xmlns:xsd="http://www.w3.org/2001/XMLSchema" xmlns:xs="http://www.w3.org/2001/XMLSchema" xmlns:p="http://schemas.microsoft.com/office/2006/metadata/properties" xmlns:ns2="5790c09d-5b64-4959-95f9-23650bcbd207" targetNamespace="http://schemas.microsoft.com/office/2006/metadata/properties" ma:root="true" ma:fieldsID="967d39d7167160a3f34c95adddba83fb" ns2:_="">
    <xsd:import namespace="5790c09d-5b64-4959-95f9-23650bcbd2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c09d-5b64-4959-95f9-23650bcbd2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8D43-6F61-4DD7-AE24-56D6CB23AA6E}">
  <ds:schemaRefs>
    <ds:schemaRef ds:uri="http://schemas.microsoft.com/office/2006/metadata/properties"/>
    <ds:schemaRef ds:uri="http://schemas.microsoft.com/office/infopath/2007/PartnerControls"/>
    <ds:schemaRef ds:uri="5790c09d-5b64-4959-95f9-23650bcbd207"/>
  </ds:schemaRefs>
</ds:datastoreItem>
</file>

<file path=customXml/itemProps2.xml><?xml version="1.0" encoding="utf-8"?>
<ds:datastoreItem xmlns:ds="http://schemas.openxmlformats.org/officeDocument/2006/customXml" ds:itemID="{2ADAA6ED-5818-4A96-ADF2-EF5CA0937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C8166-E17D-427F-A6AF-A4BD91A8AF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8ABB71-1388-4712-8E1D-D1260C1FB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c09d-5b64-4959-95f9-23650bcbd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8F9BED-0E4D-4D98-B2BD-95451F16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9875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 Ryszard</dc:creator>
  <cp:lastModifiedBy>Ołdakowski Robert</cp:lastModifiedBy>
  <cp:revision>3</cp:revision>
  <cp:lastPrinted>2019-03-01T12:18:00Z</cp:lastPrinted>
  <dcterms:created xsi:type="dcterms:W3CDTF">2019-07-18T08:57:00Z</dcterms:created>
  <dcterms:modified xsi:type="dcterms:W3CDTF">2019-10-24T14:02:00Z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0x0101007F737FAB4BEF1044A5F7B6A3CB916EAC</vt:lpwstr>
  </property>
  <property fmtid="{D5CDD505-2E9C-101B-9397-08002B2CF9AE}" pid="3" name="_dlc_DocIdItemGuid">
    <vt:lpwstr>f358e756-1574-470a-9a2c-0cba714b4bda</vt:lpwstr>
  </property>
</Properties>
</file>