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C5" w:rsidRDefault="004734C5" w:rsidP="004734C5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  <w:bookmarkStart w:id="0" w:name="_GoBack"/>
      <w:bookmarkEnd w:id="0"/>
      <w:r w:rsidRPr="00FB326D">
        <w:rPr>
          <w:bCs/>
          <w:color w:val="000000"/>
          <w:sz w:val="22"/>
          <w:szCs w:val="22"/>
          <w:lang w:val="pl-PL"/>
        </w:rPr>
        <w:t>Załącznik B.5</w:t>
      </w:r>
      <w:r>
        <w:rPr>
          <w:bCs/>
          <w:color w:val="000000"/>
          <w:sz w:val="22"/>
          <w:szCs w:val="22"/>
          <w:lang w:val="pl-PL"/>
        </w:rPr>
        <w:t>5</w:t>
      </w:r>
      <w:r w:rsidRPr="00FB326D">
        <w:rPr>
          <w:bCs/>
          <w:color w:val="000000"/>
          <w:sz w:val="22"/>
          <w:szCs w:val="22"/>
          <w:lang w:val="pl-PL"/>
        </w:rPr>
        <w:t>.</w:t>
      </w:r>
    </w:p>
    <w:p w:rsidR="004734C5" w:rsidRPr="004734C5" w:rsidRDefault="004734C5" w:rsidP="004734C5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</w:p>
    <w:p w:rsidR="004C23D8" w:rsidRPr="00FB326D" w:rsidRDefault="00C45D26" w:rsidP="00FB326D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lang w:val="pl-PL"/>
        </w:rPr>
      </w:pPr>
      <w:r>
        <w:rPr>
          <w:b/>
          <w:bCs/>
          <w:color w:val="000000"/>
          <w:sz w:val="28"/>
          <w:lang w:val="pl-PL"/>
        </w:rPr>
        <w:t>LECZENIE</w:t>
      </w:r>
      <w:r w:rsidR="006B0BDA">
        <w:rPr>
          <w:b/>
          <w:bCs/>
          <w:color w:val="000000"/>
          <w:sz w:val="28"/>
          <w:lang w:val="pl-PL"/>
        </w:rPr>
        <w:t xml:space="preserve"> </w:t>
      </w:r>
      <w:r w:rsidR="007268F8">
        <w:rPr>
          <w:b/>
          <w:bCs/>
          <w:color w:val="000000"/>
          <w:sz w:val="28"/>
          <w:lang w:val="pl-PL"/>
        </w:rPr>
        <w:t xml:space="preserve">PACJENTÓW Z </w:t>
      </w:r>
      <w:r w:rsidR="006527D3" w:rsidRPr="00FB326D">
        <w:rPr>
          <w:b/>
          <w:bCs/>
          <w:color w:val="000000"/>
          <w:sz w:val="28"/>
          <w:lang w:val="pl-PL"/>
        </w:rPr>
        <w:t>WRZODZIEJĄC</w:t>
      </w:r>
      <w:r w:rsidR="007268F8">
        <w:rPr>
          <w:b/>
          <w:bCs/>
          <w:color w:val="000000"/>
          <w:sz w:val="28"/>
          <w:lang w:val="pl-PL"/>
        </w:rPr>
        <w:t>YM</w:t>
      </w:r>
      <w:r w:rsidR="00FB326D">
        <w:rPr>
          <w:b/>
          <w:bCs/>
          <w:color w:val="000000"/>
          <w:sz w:val="28"/>
          <w:lang w:val="pl-PL"/>
        </w:rPr>
        <w:t xml:space="preserve"> </w:t>
      </w:r>
      <w:r w:rsidR="006527D3" w:rsidRPr="00FB326D">
        <w:rPr>
          <w:b/>
          <w:bCs/>
          <w:color w:val="000000"/>
          <w:sz w:val="28"/>
          <w:lang w:val="pl-PL"/>
        </w:rPr>
        <w:t>ZAPALENI</w:t>
      </w:r>
      <w:r w:rsidR="007268F8">
        <w:rPr>
          <w:b/>
          <w:bCs/>
          <w:color w:val="000000"/>
          <w:sz w:val="28"/>
          <w:lang w:val="pl-PL"/>
        </w:rPr>
        <w:t>EM</w:t>
      </w:r>
      <w:r w:rsidR="006527D3" w:rsidRPr="00FB326D">
        <w:rPr>
          <w:b/>
          <w:bCs/>
          <w:color w:val="000000"/>
          <w:sz w:val="28"/>
          <w:lang w:val="pl-PL"/>
        </w:rPr>
        <w:t xml:space="preserve"> JELITA GRUBEGO (WZJG) (ICD-10</w:t>
      </w:r>
      <w:r w:rsidR="00FB326D">
        <w:rPr>
          <w:b/>
          <w:bCs/>
          <w:color w:val="000000"/>
          <w:sz w:val="28"/>
          <w:lang w:val="pl-PL"/>
        </w:rPr>
        <w:t xml:space="preserve"> </w:t>
      </w:r>
      <w:r w:rsidR="00906287">
        <w:rPr>
          <w:b/>
          <w:bCs/>
          <w:color w:val="000000"/>
          <w:sz w:val="28"/>
          <w:lang w:val="pl-PL"/>
        </w:rPr>
        <w:t xml:space="preserve"> K</w:t>
      </w:r>
      <w:r w:rsidR="006527D3" w:rsidRPr="00FB326D">
        <w:rPr>
          <w:b/>
          <w:bCs/>
          <w:color w:val="000000"/>
          <w:sz w:val="28"/>
          <w:lang w:val="pl-PL"/>
        </w:rPr>
        <w:t>5</w:t>
      </w:r>
      <w:r w:rsidR="00EE49C0" w:rsidRPr="00FB326D">
        <w:rPr>
          <w:b/>
          <w:bCs/>
          <w:color w:val="000000"/>
          <w:sz w:val="28"/>
          <w:lang w:val="pl-PL"/>
        </w:rPr>
        <w:t>1</w:t>
      </w:r>
      <w:r w:rsidR="006527D3" w:rsidRPr="00FB326D">
        <w:rPr>
          <w:b/>
          <w:bCs/>
          <w:color w:val="000000"/>
          <w:sz w:val="28"/>
          <w:lang w:val="pl-PL"/>
        </w:rPr>
        <w:t>)</w:t>
      </w:r>
      <w:r w:rsidR="0087243E">
        <w:rPr>
          <w:b/>
          <w:bCs/>
          <w:color w:val="000000"/>
          <w:sz w:val="28"/>
          <w:lang w:val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7"/>
        <w:gridCol w:w="4777"/>
        <w:gridCol w:w="5276"/>
      </w:tblGrid>
      <w:tr w:rsidR="004C23D8" w:rsidRPr="00FB326D" w:rsidTr="004D01DC">
        <w:trPr>
          <w:trHeight w:val="48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6E4F" w:rsidRPr="00FB326D" w:rsidRDefault="004C23D8" w:rsidP="00FB326D">
            <w:pPr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FB326D">
              <w:rPr>
                <w:b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4059C3" w:rsidRPr="007914B9" w:rsidTr="004D01DC">
        <w:trPr>
          <w:trHeight w:val="701"/>
        </w:trPr>
        <w:tc>
          <w:tcPr>
            <w:tcW w:w="1734" w:type="pct"/>
            <w:shd w:val="clear" w:color="auto" w:fill="auto"/>
            <w:vAlign w:val="center"/>
          </w:tcPr>
          <w:p w:rsidR="004C23D8" w:rsidRPr="00FB326D" w:rsidRDefault="004C23D8" w:rsidP="00FB32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FB326D">
              <w:rPr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4C23D8" w:rsidRPr="00FB326D" w:rsidRDefault="004C23D8" w:rsidP="00FB32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FB326D">
              <w:rPr>
                <w:b/>
                <w:sz w:val="20"/>
                <w:szCs w:val="20"/>
                <w:lang w:val="pl-PL"/>
              </w:rPr>
              <w:t>SCHEMAT DAWKOWANIA LEKU W PROGRAMIE</w:t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4C23D8" w:rsidRPr="00FB326D" w:rsidRDefault="004C23D8" w:rsidP="00FB32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FB326D">
              <w:rPr>
                <w:b/>
                <w:sz w:val="20"/>
                <w:szCs w:val="20"/>
                <w:lang w:val="pl-PL"/>
              </w:rPr>
              <w:t>BADANIA DIAGNOSTYCZNE WYKONYWANE W RAMACH PROGRAMU</w:t>
            </w:r>
          </w:p>
        </w:tc>
      </w:tr>
      <w:tr w:rsidR="004059C3" w:rsidRPr="007914B9" w:rsidTr="004D01DC">
        <w:tc>
          <w:tcPr>
            <w:tcW w:w="1734" w:type="pct"/>
            <w:shd w:val="clear" w:color="auto" w:fill="auto"/>
          </w:tcPr>
          <w:p w:rsidR="009F29C6" w:rsidRPr="005A684B" w:rsidRDefault="005D363E" w:rsidP="005A684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5A684B">
              <w:rPr>
                <w:b/>
                <w:bCs/>
                <w:color w:val="000000"/>
                <w:sz w:val="20"/>
                <w:szCs w:val="20"/>
                <w:lang w:val="pl-PL"/>
              </w:rPr>
              <w:t>Kryteria włączenia</w:t>
            </w:r>
          </w:p>
          <w:p w:rsidR="003611FF" w:rsidRPr="005A684B" w:rsidRDefault="003611FF" w:rsidP="005A684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612410" w:rsidRPr="005A684B" w:rsidRDefault="005D363E" w:rsidP="005A684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6F7D07">
              <w:rPr>
                <w:sz w:val="20"/>
                <w:szCs w:val="20"/>
                <w:lang w:val="pl-PL"/>
              </w:rPr>
              <w:t xml:space="preserve">Do </w:t>
            </w:r>
            <w:r w:rsidR="00155103" w:rsidRPr="009F29C6">
              <w:rPr>
                <w:sz w:val="20"/>
                <w:szCs w:val="20"/>
                <w:lang w:val="pl-PL"/>
              </w:rPr>
              <w:t xml:space="preserve">leczenia infliksymabem </w:t>
            </w:r>
            <w:r w:rsidRPr="009F29C6">
              <w:rPr>
                <w:sz w:val="20"/>
                <w:szCs w:val="20"/>
                <w:lang w:val="pl-PL"/>
              </w:rPr>
              <w:t xml:space="preserve">mogą zostać włączeni </w:t>
            </w:r>
            <w:r w:rsidR="00234B94" w:rsidRPr="009F29C6">
              <w:rPr>
                <w:sz w:val="20"/>
                <w:szCs w:val="20"/>
                <w:lang w:val="pl-PL"/>
              </w:rPr>
              <w:t>świadczeniobiorcy</w:t>
            </w:r>
            <w:r w:rsidR="00382823" w:rsidRPr="009F29C6">
              <w:rPr>
                <w:sz w:val="20"/>
                <w:szCs w:val="20"/>
                <w:lang w:val="pl-PL"/>
              </w:rPr>
              <w:t xml:space="preserve"> </w:t>
            </w:r>
            <w:r w:rsidR="00382823" w:rsidRPr="009F29C6">
              <w:rPr>
                <w:color w:val="000000"/>
                <w:sz w:val="20"/>
                <w:szCs w:val="20"/>
                <w:lang w:val="pl-PL"/>
              </w:rPr>
              <w:t xml:space="preserve">w wieku </w:t>
            </w:r>
            <w:r w:rsidR="00922C7C" w:rsidRPr="009F29C6">
              <w:rPr>
                <w:color w:val="000000"/>
                <w:sz w:val="20"/>
                <w:szCs w:val="20"/>
                <w:lang w:val="pl-PL"/>
              </w:rPr>
              <w:t xml:space="preserve">6 </w:t>
            </w:r>
            <w:r w:rsidR="00382823" w:rsidRPr="009F29C6">
              <w:rPr>
                <w:color w:val="000000"/>
                <w:sz w:val="20"/>
                <w:szCs w:val="20"/>
                <w:lang w:val="pl-PL"/>
              </w:rPr>
              <w:t>lat i powyżej</w:t>
            </w:r>
            <w:r w:rsidR="00C464E9" w:rsidRPr="009F29C6">
              <w:rPr>
                <w:sz w:val="20"/>
                <w:szCs w:val="20"/>
                <w:lang w:val="pl-PL"/>
              </w:rPr>
              <w:t>, z rozpoznaną</w:t>
            </w:r>
            <w:r w:rsidRPr="009F29C6">
              <w:rPr>
                <w:sz w:val="20"/>
                <w:szCs w:val="20"/>
                <w:lang w:val="pl-PL"/>
              </w:rPr>
              <w:t xml:space="preserve"> ciężk</w:t>
            </w:r>
            <w:r w:rsidR="00C464E9" w:rsidRPr="009F29C6">
              <w:rPr>
                <w:sz w:val="20"/>
                <w:szCs w:val="20"/>
                <w:lang w:val="pl-PL"/>
              </w:rPr>
              <w:t>ą</w:t>
            </w:r>
            <w:r w:rsidRPr="009F29C6">
              <w:rPr>
                <w:sz w:val="20"/>
                <w:szCs w:val="20"/>
                <w:lang w:val="pl-PL"/>
              </w:rPr>
              <w:t xml:space="preserve"> postacią wrzodziejącego zapalenia jelita grubego</w:t>
            </w:r>
            <w:r w:rsidR="00C464E9" w:rsidRPr="009F29C6">
              <w:rPr>
                <w:sz w:val="20"/>
                <w:szCs w:val="20"/>
                <w:lang w:val="pl-PL"/>
              </w:rPr>
              <w:t xml:space="preserve">, u których leczenie </w:t>
            </w:r>
            <w:proofErr w:type="spellStart"/>
            <w:r w:rsidR="00C464E9" w:rsidRPr="009F29C6">
              <w:rPr>
                <w:sz w:val="20"/>
                <w:szCs w:val="20"/>
                <w:lang w:val="pl-PL"/>
              </w:rPr>
              <w:t>cyklosporyną</w:t>
            </w:r>
            <w:proofErr w:type="spellEnd"/>
            <w:r w:rsidR="00C464E9" w:rsidRPr="009F29C6">
              <w:rPr>
                <w:sz w:val="20"/>
                <w:szCs w:val="20"/>
                <w:lang w:val="pl-PL"/>
              </w:rPr>
              <w:t xml:space="preserve"> jest niewskazane lub przeciwwskazane:</w:t>
            </w:r>
          </w:p>
          <w:p w:rsidR="00C464E9" w:rsidRPr="009F29C6" w:rsidRDefault="005D363E" w:rsidP="006F7D0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bCs/>
                <w:sz w:val="20"/>
                <w:szCs w:val="20"/>
                <w:lang w:val="pl-PL"/>
              </w:rPr>
            </w:pPr>
            <w:r w:rsidRPr="006F7D07">
              <w:rPr>
                <w:sz w:val="20"/>
                <w:szCs w:val="20"/>
                <w:lang w:val="pl-PL"/>
              </w:rPr>
              <w:t xml:space="preserve">z niedostateczną odpowiedzią na standardowe leczenie, </w:t>
            </w:r>
            <w:r w:rsidR="00C464E9" w:rsidRPr="006F7D07">
              <w:rPr>
                <w:sz w:val="20"/>
                <w:szCs w:val="20"/>
                <w:lang w:val="pl-PL"/>
              </w:rPr>
              <w:br/>
            </w:r>
            <w:r w:rsidRPr="009F29C6">
              <w:rPr>
                <w:sz w:val="20"/>
                <w:szCs w:val="20"/>
                <w:lang w:val="pl-PL"/>
              </w:rPr>
              <w:t>w tym na leczenie kortykosteroidami</w:t>
            </w:r>
            <w:r w:rsidR="00612410" w:rsidRPr="009F29C6">
              <w:rPr>
                <w:sz w:val="20"/>
                <w:szCs w:val="20"/>
                <w:lang w:val="pl-PL"/>
              </w:rPr>
              <w:t xml:space="preserve"> </w:t>
            </w:r>
            <w:r w:rsidRPr="009F29C6">
              <w:rPr>
                <w:sz w:val="20"/>
                <w:szCs w:val="20"/>
                <w:lang w:val="pl-PL"/>
              </w:rPr>
              <w:t>i 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merkaptopuryną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r w:rsidRPr="009F29C6">
              <w:rPr>
                <w:sz w:val="20"/>
                <w:szCs w:val="20"/>
                <w:lang w:val="pl-PL"/>
              </w:rPr>
              <w:t xml:space="preserve">MP) lub 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azatiopryną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(AZA), (ocena &gt; 6 punktów w skali Mayo</w:t>
            </w:r>
            <w:r w:rsidR="008F42F2" w:rsidRPr="009F29C6">
              <w:rPr>
                <w:sz w:val="20"/>
                <w:szCs w:val="20"/>
                <w:lang w:val="pl-PL"/>
              </w:rPr>
              <w:t xml:space="preserve"> u osób w wieku ≥ 18 r.ż. albo ocena ≥65 punktów w skali PUCAI u osób w wieku &lt; 18 r.ż.</w:t>
            </w:r>
            <w:r w:rsidRPr="009F29C6">
              <w:rPr>
                <w:sz w:val="20"/>
                <w:szCs w:val="20"/>
                <w:lang w:val="pl-PL"/>
              </w:rPr>
              <w:t>)</w:t>
            </w:r>
            <w:r w:rsidR="00A033D8" w:rsidRPr="009F29C6">
              <w:rPr>
                <w:sz w:val="20"/>
                <w:szCs w:val="20"/>
                <w:lang w:val="pl-PL"/>
              </w:rPr>
              <w:t>,</w:t>
            </w:r>
            <w:r w:rsidRPr="009F29C6">
              <w:rPr>
                <w:sz w:val="20"/>
                <w:szCs w:val="20"/>
                <w:lang w:val="pl-PL"/>
              </w:rPr>
              <w:t xml:space="preserve"> </w:t>
            </w:r>
            <w:r w:rsidRPr="009F29C6">
              <w:rPr>
                <w:bCs/>
                <w:sz w:val="20"/>
                <w:szCs w:val="20"/>
                <w:lang w:val="pl-PL"/>
              </w:rPr>
              <w:t>lub</w:t>
            </w:r>
          </w:p>
          <w:p w:rsidR="00C464E9" w:rsidRPr="009F29C6" w:rsidRDefault="005D363E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bCs/>
                <w:sz w:val="20"/>
                <w:szCs w:val="20"/>
                <w:lang w:val="pl-PL"/>
              </w:rPr>
            </w:pPr>
            <w:r w:rsidRPr="009F29C6">
              <w:rPr>
                <w:sz w:val="20"/>
                <w:szCs w:val="20"/>
                <w:lang w:val="pl-PL"/>
              </w:rPr>
              <w:t xml:space="preserve">nietolerujący leczenia kortykosteroidami i </w:t>
            </w:r>
            <w:r w:rsidR="006F067B" w:rsidRPr="009F29C6">
              <w:rPr>
                <w:sz w:val="20"/>
                <w:szCs w:val="20"/>
                <w:lang w:val="pl-PL"/>
              </w:rPr>
              <w:br/>
            </w:r>
            <w:r w:rsidRPr="009F29C6">
              <w:rPr>
                <w:sz w:val="20"/>
                <w:szCs w:val="20"/>
                <w:lang w:val="pl-PL"/>
              </w:rPr>
              <w:t>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proofErr w:type="spellStart"/>
            <w:r w:rsidR="00C464E9" w:rsidRPr="005A684B">
              <w:rPr>
                <w:rFonts w:eastAsia="MS Gothic"/>
                <w:sz w:val="20"/>
                <w:szCs w:val="20"/>
                <w:lang w:val="pl-PL"/>
              </w:rPr>
              <w:t>m</w:t>
            </w:r>
            <w:r w:rsidRPr="006F7D07">
              <w:rPr>
                <w:sz w:val="20"/>
                <w:szCs w:val="20"/>
                <w:lang w:val="pl-PL"/>
              </w:rPr>
              <w:t>erkaptopuryną</w:t>
            </w:r>
            <w:proofErr w:type="spellEnd"/>
            <w:r w:rsidRPr="006F7D07">
              <w:rPr>
                <w:sz w:val="20"/>
                <w:szCs w:val="20"/>
                <w:lang w:val="pl-PL"/>
              </w:rPr>
              <w:t xml:space="preserve"> (6</w:t>
            </w:r>
            <w:r w:rsidRPr="006F7D07">
              <w:rPr>
                <w:rFonts w:ascii="Cambria Math" w:eastAsia="MS Gothic" w:hAnsi="Cambria Math" w:cs="Cambria Math"/>
                <w:sz w:val="20"/>
                <w:szCs w:val="20"/>
                <w:lang w:val="pl-PL"/>
              </w:rPr>
              <w:t>‐</w:t>
            </w:r>
            <w:r w:rsidRPr="009F29C6">
              <w:rPr>
                <w:sz w:val="20"/>
                <w:szCs w:val="20"/>
                <w:lang w:val="pl-PL"/>
              </w:rPr>
              <w:t xml:space="preserve">MP) lub 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azatiopryną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(AZA)</w:t>
            </w:r>
            <w:r w:rsidR="00A033D8" w:rsidRPr="009F29C6">
              <w:rPr>
                <w:sz w:val="20"/>
                <w:szCs w:val="20"/>
                <w:lang w:val="pl-PL"/>
              </w:rPr>
              <w:t>,</w:t>
            </w:r>
            <w:r w:rsidRPr="009F29C6">
              <w:rPr>
                <w:sz w:val="20"/>
                <w:szCs w:val="20"/>
                <w:lang w:val="pl-PL"/>
              </w:rPr>
              <w:t xml:space="preserve"> </w:t>
            </w:r>
            <w:r w:rsidRPr="009F29C6">
              <w:rPr>
                <w:bCs/>
                <w:sz w:val="20"/>
                <w:szCs w:val="20"/>
                <w:lang w:val="pl-PL"/>
              </w:rPr>
              <w:t>lub</w:t>
            </w:r>
          </w:p>
          <w:p w:rsidR="005D363E" w:rsidRPr="009F29C6" w:rsidRDefault="005D363E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sz w:val="20"/>
                <w:szCs w:val="20"/>
                <w:lang w:val="pl-PL"/>
              </w:rPr>
            </w:pPr>
            <w:r w:rsidRPr="009F29C6">
              <w:rPr>
                <w:sz w:val="20"/>
                <w:szCs w:val="20"/>
                <w:lang w:val="pl-PL"/>
              </w:rPr>
              <w:t>mający przeciwwskazania do leczenia</w:t>
            </w:r>
            <w:r w:rsidR="00C464E9" w:rsidRPr="009F29C6">
              <w:rPr>
                <w:sz w:val="20"/>
                <w:szCs w:val="20"/>
                <w:lang w:val="pl-PL"/>
              </w:rPr>
              <w:t xml:space="preserve"> </w:t>
            </w:r>
            <w:r w:rsidRPr="009F29C6">
              <w:rPr>
                <w:sz w:val="20"/>
                <w:szCs w:val="20"/>
                <w:lang w:val="pl-PL"/>
              </w:rPr>
              <w:t xml:space="preserve"> </w:t>
            </w:r>
            <w:r w:rsidR="00C464E9" w:rsidRPr="009F29C6">
              <w:rPr>
                <w:sz w:val="20"/>
                <w:szCs w:val="20"/>
                <w:lang w:val="pl-PL"/>
              </w:rPr>
              <w:t>kortykosteroidami i 6</w:t>
            </w:r>
            <w:r w:rsidR="00C464E9"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proofErr w:type="spellStart"/>
            <w:r w:rsidR="00C464E9" w:rsidRPr="009F29C6">
              <w:rPr>
                <w:sz w:val="20"/>
                <w:szCs w:val="20"/>
                <w:lang w:val="pl-PL"/>
              </w:rPr>
              <w:t>merkaptopuryną</w:t>
            </w:r>
            <w:proofErr w:type="spellEnd"/>
            <w:r w:rsidR="00C464E9" w:rsidRPr="009F29C6">
              <w:rPr>
                <w:sz w:val="20"/>
                <w:szCs w:val="20"/>
                <w:lang w:val="pl-PL"/>
              </w:rPr>
              <w:t xml:space="preserve"> (6</w:t>
            </w:r>
            <w:r w:rsidR="00C464E9"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r w:rsidR="00C464E9" w:rsidRPr="009F29C6">
              <w:rPr>
                <w:sz w:val="20"/>
                <w:szCs w:val="20"/>
                <w:lang w:val="pl-PL"/>
              </w:rPr>
              <w:t xml:space="preserve">MP) lub </w:t>
            </w:r>
            <w:proofErr w:type="spellStart"/>
            <w:r w:rsidR="00C464E9" w:rsidRPr="009F29C6">
              <w:rPr>
                <w:sz w:val="20"/>
                <w:szCs w:val="20"/>
                <w:lang w:val="pl-PL"/>
              </w:rPr>
              <w:t>azatiopryną</w:t>
            </w:r>
            <w:proofErr w:type="spellEnd"/>
            <w:r w:rsidR="00C464E9" w:rsidRPr="009F29C6">
              <w:rPr>
                <w:sz w:val="20"/>
                <w:szCs w:val="20"/>
                <w:lang w:val="pl-PL"/>
              </w:rPr>
              <w:t xml:space="preserve"> (AZA)</w:t>
            </w:r>
            <w:r w:rsidR="00682E09" w:rsidRPr="009F29C6">
              <w:rPr>
                <w:sz w:val="20"/>
                <w:szCs w:val="20"/>
                <w:lang w:val="pl-PL"/>
              </w:rPr>
              <w:t>.</w:t>
            </w:r>
          </w:p>
          <w:p w:rsidR="009F29C6" w:rsidRPr="009F29C6" w:rsidRDefault="009F29C6" w:rsidP="005A684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57"/>
              <w:rPr>
                <w:sz w:val="20"/>
                <w:szCs w:val="20"/>
                <w:lang w:val="pl-PL"/>
              </w:rPr>
            </w:pPr>
          </w:p>
          <w:p w:rsidR="00155103" w:rsidRPr="005A684B" w:rsidRDefault="00155103" w:rsidP="005A684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sz w:val="20"/>
                <w:szCs w:val="20"/>
                <w:lang w:val="pl-PL"/>
              </w:rPr>
              <w:t xml:space="preserve">Do leczenia wedolizumabem mogą zostać włączeni świadczeniobiorcy 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w wieku od 18 roku życia </w:t>
            </w:r>
            <w:r w:rsidRPr="009F29C6">
              <w:rPr>
                <w:sz w:val="20"/>
                <w:szCs w:val="20"/>
                <w:lang w:val="pl-PL"/>
              </w:rPr>
              <w:t xml:space="preserve">z rozpoznaną ciężką postacią wrzodziejącego zapalenia jelita grubego, u których leczenie 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cyklosporyną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jest niewskazane lub przeciwwskazane:</w:t>
            </w:r>
          </w:p>
          <w:p w:rsidR="00155103" w:rsidRPr="009F29C6" w:rsidRDefault="00155103" w:rsidP="005A684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6F7D07">
              <w:rPr>
                <w:sz w:val="20"/>
                <w:szCs w:val="20"/>
                <w:lang w:val="pl-PL"/>
              </w:rPr>
              <w:t xml:space="preserve">z niedostateczną odpowiedzią na standardowe leczenie, </w:t>
            </w:r>
            <w:r w:rsidRPr="006F7D07">
              <w:rPr>
                <w:sz w:val="20"/>
                <w:szCs w:val="20"/>
                <w:lang w:val="pl-PL"/>
              </w:rPr>
              <w:br/>
            </w:r>
            <w:r w:rsidRPr="009F29C6">
              <w:rPr>
                <w:sz w:val="20"/>
                <w:szCs w:val="20"/>
                <w:lang w:val="pl-PL"/>
              </w:rPr>
              <w:t>w tym na leczenie kortykosteroidami i 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merkaptopuryną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r w:rsidRPr="009F29C6">
              <w:rPr>
                <w:sz w:val="20"/>
                <w:szCs w:val="20"/>
                <w:lang w:val="pl-PL"/>
              </w:rPr>
              <w:t xml:space="preserve">MP) lub 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azatiopryną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(AZA), (ocena &gt; 6 punktów w skali Mayo</w:t>
            </w:r>
            <w:r w:rsidR="009A4EB7" w:rsidRPr="009F29C6">
              <w:rPr>
                <w:sz w:val="20"/>
                <w:szCs w:val="20"/>
                <w:lang w:val="pl-PL"/>
              </w:rPr>
              <w:t xml:space="preserve"> u osób w wieku ≥ 18 r.ż.), </w:t>
            </w:r>
            <w:r w:rsidRPr="009F29C6">
              <w:rPr>
                <w:bCs/>
                <w:sz w:val="20"/>
                <w:szCs w:val="20"/>
                <w:lang w:val="pl-PL"/>
              </w:rPr>
              <w:t>lub</w:t>
            </w:r>
          </w:p>
          <w:p w:rsidR="00155103" w:rsidRPr="009F29C6" w:rsidRDefault="00155103" w:rsidP="005A684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bCs/>
                <w:sz w:val="20"/>
                <w:szCs w:val="20"/>
                <w:lang w:val="pl-PL"/>
              </w:rPr>
            </w:pPr>
            <w:r w:rsidRPr="009F29C6">
              <w:rPr>
                <w:sz w:val="20"/>
                <w:szCs w:val="20"/>
                <w:lang w:val="pl-PL"/>
              </w:rPr>
              <w:t xml:space="preserve">nietolerujący leczenia kortykosteroidami i </w:t>
            </w:r>
            <w:r w:rsidRPr="009F29C6">
              <w:rPr>
                <w:sz w:val="20"/>
                <w:szCs w:val="20"/>
                <w:lang w:val="pl-PL"/>
              </w:rPr>
              <w:br/>
              <w:t>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proofErr w:type="spellStart"/>
            <w:r w:rsidRPr="005A684B">
              <w:rPr>
                <w:rFonts w:eastAsia="MS Gothic"/>
                <w:sz w:val="20"/>
                <w:szCs w:val="20"/>
                <w:lang w:val="pl-PL"/>
              </w:rPr>
              <w:t>m</w:t>
            </w:r>
            <w:r w:rsidRPr="006F7D07">
              <w:rPr>
                <w:sz w:val="20"/>
                <w:szCs w:val="20"/>
                <w:lang w:val="pl-PL"/>
              </w:rPr>
              <w:t>erkaptopuryną</w:t>
            </w:r>
            <w:proofErr w:type="spellEnd"/>
            <w:r w:rsidRPr="006F7D07">
              <w:rPr>
                <w:sz w:val="20"/>
                <w:szCs w:val="20"/>
                <w:lang w:val="pl-PL"/>
              </w:rPr>
              <w:t xml:space="preserve"> (6</w:t>
            </w:r>
            <w:r w:rsidRPr="006F7D07">
              <w:rPr>
                <w:rFonts w:ascii="Cambria Math" w:eastAsia="MS Gothic" w:hAnsi="Cambria Math" w:cs="Cambria Math"/>
                <w:sz w:val="20"/>
                <w:szCs w:val="20"/>
                <w:lang w:val="pl-PL"/>
              </w:rPr>
              <w:t>‐</w:t>
            </w:r>
            <w:r w:rsidRPr="009F29C6">
              <w:rPr>
                <w:sz w:val="20"/>
                <w:szCs w:val="20"/>
                <w:lang w:val="pl-PL"/>
              </w:rPr>
              <w:t xml:space="preserve">MP) lub 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azatiopryną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(AZA), </w:t>
            </w:r>
            <w:r w:rsidRPr="009F29C6">
              <w:rPr>
                <w:bCs/>
                <w:sz w:val="20"/>
                <w:szCs w:val="20"/>
                <w:lang w:val="pl-PL"/>
              </w:rPr>
              <w:t>lub</w:t>
            </w:r>
          </w:p>
          <w:p w:rsidR="00155103" w:rsidRDefault="00155103" w:rsidP="005A684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sz w:val="20"/>
                <w:szCs w:val="20"/>
                <w:lang w:val="pl-PL"/>
              </w:rPr>
            </w:pPr>
            <w:r w:rsidRPr="009F29C6">
              <w:rPr>
                <w:sz w:val="20"/>
                <w:szCs w:val="20"/>
                <w:lang w:val="pl-PL"/>
              </w:rPr>
              <w:lastRenderedPageBreak/>
              <w:t>mający przeciwwskazania do leczenia  kortykosteroidami i 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merkaptopuryną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(6</w:t>
            </w:r>
            <w:r w:rsidRPr="009F29C6">
              <w:rPr>
                <w:rFonts w:ascii="Cambria Math" w:eastAsia="MS Gothic" w:hAnsi="Cambria Math" w:cs="Cambria Math" w:hint="eastAsia"/>
                <w:sz w:val="20"/>
                <w:szCs w:val="20"/>
                <w:lang w:val="pl-PL"/>
              </w:rPr>
              <w:t>‐</w:t>
            </w:r>
            <w:r w:rsidRPr="009F29C6">
              <w:rPr>
                <w:sz w:val="20"/>
                <w:szCs w:val="20"/>
                <w:lang w:val="pl-PL"/>
              </w:rPr>
              <w:t xml:space="preserve">MP) lub </w:t>
            </w:r>
            <w:proofErr w:type="spellStart"/>
            <w:r w:rsidRPr="009F29C6">
              <w:rPr>
                <w:sz w:val="20"/>
                <w:szCs w:val="20"/>
                <w:lang w:val="pl-PL"/>
              </w:rPr>
              <w:t>azatiopryną</w:t>
            </w:r>
            <w:proofErr w:type="spellEnd"/>
            <w:r w:rsidRPr="009F29C6">
              <w:rPr>
                <w:sz w:val="20"/>
                <w:szCs w:val="20"/>
                <w:lang w:val="pl-PL"/>
              </w:rPr>
              <w:t xml:space="preserve"> (AZA).</w:t>
            </w:r>
          </w:p>
          <w:p w:rsidR="009F29C6" w:rsidRPr="006F7D07" w:rsidRDefault="009F29C6" w:rsidP="005A684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57"/>
              <w:rPr>
                <w:sz w:val="20"/>
                <w:szCs w:val="20"/>
                <w:lang w:val="pl-PL"/>
              </w:rPr>
            </w:pPr>
          </w:p>
          <w:p w:rsidR="00041A95" w:rsidRPr="005A684B" w:rsidRDefault="00041A95" w:rsidP="005A684B">
            <w:pPr>
              <w:spacing w:line="276" w:lineRule="auto"/>
              <w:rPr>
                <w:sz w:val="20"/>
                <w:szCs w:val="20"/>
                <w:lang w:val="pl-PL"/>
              </w:rPr>
            </w:pPr>
            <w:r w:rsidRPr="005A684B">
              <w:rPr>
                <w:sz w:val="20"/>
                <w:szCs w:val="20"/>
                <w:lang w:val="pl-PL"/>
              </w:rPr>
              <w:t xml:space="preserve">Dopuszcza się zamianę leków </w:t>
            </w:r>
            <w:proofErr w:type="spellStart"/>
            <w:r w:rsidRPr="005A684B">
              <w:rPr>
                <w:sz w:val="20"/>
                <w:szCs w:val="20"/>
                <w:lang w:val="pl-PL"/>
              </w:rPr>
              <w:t>infliksymab</w:t>
            </w:r>
            <w:proofErr w:type="spellEnd"/>
            <w:r w:rsidRPr="005A684B">
              <w:rPr>
                <w:sz w:val="20"/>
                <w:szCs w:val="20"/>
                <w:lang w:val="pl-PL"/>
              </w:rPr>
              <w:t>/</w:t>
            </w:r>
            <w:proofErr w:type="spellStart"/>
            <w:r w:rsidRPr="005A684B">
              <w:rPr>
                <w:sz w:val="20"/>
                <w:szCs w:val="20"/>
                <w:lang w:val="pl-PL"/>
              </w:rPr>
              <w:t>wedolizumab</w:t>
            </w:r>
            <w:proofErr w:type="spellEnd"/>
            <w:r w:rsidRPr="005A684B">
              <w:rPr>
                <w:sz w:val="20"/>
                <w:szCs w:val="20"/>
                <w:lang w:val="pl-PL"/>
              </w:rPr>
              <w:t xml:space="preserve"> w  przypadku wystąpienia objawów niepożądanych lub częściowej nieskuteczności terapii definiowanej jako wystąpienie jednego z kryteriów wymienionych w punkcie 4.</w:t>
            </w:r>
          </w:p>
          <w:p w:rsidR="00041A95" w:rsidRPr="005A684B" w:rsidRDefault="00041A95" w:rsidP="005A684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pl-PL"/>
              </w:rPr>
            </w:pPr>
          </w:p>
          <w:p w:rsidR="009F29C6" w:rsidRDefault="005D363E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  <w:r w:rsidRPr="006F7D07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Nieskuteczność leczenia </w:t>
            </w:r>
            <w:r w:rsidR="0003087D" w:rsidRPr="009F29C6">
              <w:rPr>
                <w:bCs/>
                <w:iCs/>
                <w:color w:val="000000"/>
                <w:sz w:val="20"/>
                <w:szCs w:val="20"/>
                <w:lang w:val="pl-PL"/>
              </w:rPr>
              <w:t>standardowego</w:t>
            </w:r>
            <w:r w:rsidRPr="009F29C6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 ciężkiego rzutu WZJG określa się jako niepowodzenie zastosowania 3-5</w:t>
            </w:r>
            <w:r w:rsidR="00F321AA" w:rsidRPr="009F29C6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 dni</w:t>
            </w:r>
            <w:r w:rsidR="0099371D" w:rsidRPr="009F29C6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r w:rsidRPr="009F29C6">
              <w:rPr>
                <w:bCs/>
                <w:iCs/>
                <w:color w:val="000000"/>
                <w:sz w:val="20"/>
                <w:szCs w:val="20"/>
                <w:lang w:val="pl-PL"/>
              </w:rPr>
              <w:t>terapii steroidami dożylnymi</w:t>
            </w:r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.</w:t>
            </w:r>
          </w:p>
          <w:p w:rsidR="009F29C6" w:rsidRPr="006F7D07" w:rsidRDefault="009F29C6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</w:p>
          <w:p w:rsidR="00EC2311" w:rsidRDefault="00EC2311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Steroidooporność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 xml:space="preserve"> oznacza brak poprawy klinicznej pomimo zastosowania przez 4 tygodnie steroidu w dawce dobowej do 0,75 mg/kg </w:t>
            </w: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m.c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 xml:space="preserve">. w przeliczeniu na </w:t>
            </w: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prednizolon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.</w:t>
            </w:r>
          </w:p>
          <w:p w:rsidR="009F29C6" w:rsidRPr="006F7D07" w:rsidRDefault="009F29C6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</w:p>
          <w:p w:rsidR="00EC2311" w:rsidRDefault="00EC2311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Steroidozależność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 xml:space="preserve"> to brak możliwości redukcji dawki steroidów poniżej 10 mg/dobę w przeliczeniu na </w:t>
            </w: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prednizolon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 xml:space="preserve"> wciągu 3 miesięcy od rozpoczęcia </w:t>
            </w: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steroidoterapii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 xml:space="preserve"> lub nawrót dolegliwości w ciągu 3 miesięcy od odstawienia steroidów.</w:t>
            </w:r>
          </w:p>
          <w:p w:rsidR="009F29C6" w:rsidRPr="006F7D07" w:rsidRDefault="009F29C6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</w:p>
          <w:p w:rsidR="00EC2311" w:rsidRDefault="00EC2311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Oporność na leczenie immunosupresyjne (brak dostatecznej odpowiedzi) oznacza brak remisji lub nawrót dolegliwości pomimo stosowania leczenia immunosupresyjnego przez co najmniej 3 miesiące w odpowiednich dawkach (</w:t>
            </w: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azatiopryna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 xml:space="preserve"> 2-2,5 mg/kg </w:t>
            </w: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m.c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 xml:space="preserve">./dobę lub 6-merkaptopuryna w dawce 1-1,5 mg/kg </w:t>
            </w:r>
            <w:proofErr w:type="spellStart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m.c</w:t>
            </w:r>
            <w:proofErr w:type="spellEnd"/>
            <w:r w:rsidRPr="009F29C6">
              <w:rPr>
                <w:iCs/>
                <w:color w:val="000000"/>
                <w:sz w:val="20"/>
                <w:szCs w:val="20"/>
                <w:lang w:val="pl-PL"/>
              </w:rPr>
              <w:t>./dobę).</w:t>
            </w:r>
          </w:p>
          <w:p w:rsidR="009F29C6" w:rsidRPr="006F7D07" w:rsidRDefault="009F29C6" w:rsidP="005A684B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0"/>
                <w:szCs w:val="20"/>
                <w:lang w:val="pl-PL"/>
              </w:rPr>
            </w:pPr>
          </w:p>
          <w:p w:rsidR="005F1E21" w:rsidRPr="009F29C6" w:rsidRDefault="00B51DAF" w:rsidP="005A68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L</w:t>
            </w:r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eczenie </w:t>
            </w:r>
            <w:proofErr w:type="spellStart"/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>cyklosporyną</w:t>
            </w:r>
            <w:proofErr w:type="spellEnd"/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jest niewskazane w przypadku wystąpienia:</w:t>
            </w:r>
          </w:p>
          <w:p w:rsidR="005F1E21" w:rsidRPr="009F29C6" w:rsidRDefault="005F1E21" w:rsidP="006F7D0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ciężkiego rzutu WZJG w trakcie leczenia </w:t>
            </w:r>
            <w:proofErr w:type="spellStart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azatiopryną</w:t>
            </w:r>
            <w:proofErr w:type="spellEnd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(AZA) lub 6-merkaptopuryną (6-MP)</w:t>
            </w:r>
            <w:r w:rsidR="00F03992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E16C3" w:rsidRPr="009F29C6" w:rsidRDefault="008E16C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proofErr w:type="spellStart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hypomagnezemi</w:t>
            </w:r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>i</w:t>
            </w:r>
            <w:proofErr w:type="spellEnd"/>
            <w:r w:rsidR="00B70E1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  <w:r w:rsidR="00F03992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E16C3" w:rsidRPr="009F29C6" w:rsidRDefault="008E16C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potencjaln</w:t>
            </w:r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>ych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interakcj</w:t>
            </w:r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>i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lekow</w:t>
            </w:r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>ych</w:t>
            </w:r>
            <w:r w:rsidR="00B70E1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  <w:r w:rsidR="00F03992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E16C3" w:rsidRPr="009F29C6" w:rsidRDefault="00F0399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hiperkaliemii</w:t>
            </w:r>
            <w:r w:rsidR="00B70E1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6E50FA" w:rsidRPr="006E50FA" w:rsidRDefault="008E16C3" w:rsidP="006E50F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proofErr w:type="spellStart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hyperurikemi</w:t>
            </w:r>
            <w:r w:rsidR="00D95EC0" w:rsidRPr="009F29C6">
              <w:rPr>
                <w:bCs/>
                <w:color w:val="000000"/>
                <w:sz w:val="20"/>
                <w:szCs w:val="20"/>
                <w:lang w:val="pl-PL"/>
              </w:rPr>
              <w:t>i</w:t>
            </w:r>
            <w:proofErr w:type="spellEnd"/>
            <w:r w:rsidR="00B70E1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  <w:r w:rsidR="00C0172D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F03992" w:rsidRPr="006E50FA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lub </w:t>
            </w:r>
          </w:p>
          <w:p w:rsidR="005C467B" w:rsidRPr="006E50FA" w:rsidRDefault="00D95EC0" w:rsidP="006E50F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E50FA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u </w:t>
            </w:r>
            <w:r w:rsidR="007F642C" w:rsidRPr="006E50FA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pacjentów </w:t>
            </w:r>
            <w:r w:rsidRPr="006E50FA">
              <w:rPr>
                <w:bCs/>
                <w:iCs/>
                <w:color w:val="000000"/>
                <w:sz w:val="20"/>
                <w:szCs w:val="20"/>
                <w:lang w:val="pl-PL"/>
              </w:rPr>
              <w:t>w wieku</w:t>
            </w:r>
            <w:r w:rsidR="007F642C" w:rsidRPr="006E50FA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 powyżej 80 roku życia</w:t>
            </w:r>
            <w:r w:rsidRPr="006E50FA">
              <w:rPr>
                <w:bCs/>
                <w:iCs/>
                <w:color w:val="000000"/>
                <w:sz w:val="20"/>
                <w:szCs w:val="20"/>
                <w:lang w:val="pl-PL"/>
              </w:rPr>
              <w:t>.</w:t>
            </w:r>
            <w:r w:rsidR="00C554D2" w:rsidRPr="006E50FA">
              <w:rPr>
                <w:bCs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6E50FA" w:rsidRPr="009F29C6" w:rsidRDefault="006E50FA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Style w:val="Odwoaniedokomentarza"/>
                <w:bCs/>
                <w:iCs/>
                <w:color w:val="000000"/>
                <w:sz w:val="20"/>
                <w:szCs w:val="20"/>
                <w:lang w:val="pl-PL"/>
              </w:rPr>
            </w:pPr>
          </w:p>
          <w:p w:rsidR="005C467B" w:rsidRPr="009F29C6" w:rsidRDefault="005C467B" w:rsidP="005A68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Przeciwwskazania do zastosowania terapii </w:t>
            </w:r>
            <w:proofErr w:type="spellStart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cyklosporyną</w:t>
            </w:r>
            <w:proofErr w:type="spellEnd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zgodne z CHPL:</w:t>
            </w:r>
          </w:p>
          <w:p w:rsidR="005C467B" w:rsidRPr="009F29C6" w:rsidRDefault="00D95EC0" w:rsidP="006F7D0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z</w:t>
            </w:r>
            <w:r w:rsidR="005C467B" w:rsidRPr="009F29C6">
              <w:rPr>
                <w:bCs/>
                <w:color w:val="000000"/>
                <w:sz w:val="20"/>
                <w:szCs w:val="20"/>
                <w:lang w:val="pl-PL"/>
              </w:rPr>
              <w:t>aburzenia czynności nerek</w:t>
            </w:r>
            <w:r w:rsidR="00B70E1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</w:p>
          <w:p w:rsidR="005C467B" w:rsidRPr="009F29C6" w:rsidRDefault="00D95EC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n</w:t>
            </w:r>
            <w:r w:rsidR="005C467B" w:rsidRPr="009F29C6">
              <w:rPr>
                <w:bCs/>
                <w:color w:val="000000"/>
                <w:sz w:val="20"/>
                <w:szCs w:val="20"/>
                <w:lang w:val="pl-PL"/>
              </w:rPr>
              <w:t>iekontrolowane nadciśnienie tętnicze</w:t>
            </w:r>
            <w:r w:rsidR="00B70E1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</w:p>
          <w:p w:rsidR="005C467B" w:rsidRPr="009F29C6" w:rsidRDefault="00D95EC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t</w:t>
            </w:r>
            <w:r w:rsidR="005C467B" w:rsidRPr="009F29C6">
              <w:rPr>
                <w:bCs/>
                <w:color w:val="000000"/>
                <w:sz w:val="20"/>
                <w:szCs w:val="20"/>
                <w:lang w:val="pl-PL"/>
              </w:rPr>
              <w:t>rudne do opanowania zakażenia</w:t>
            </w:r>
            <w:r w:rsidR="00B70E1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</w:p>
          <w:p w:rsidR="00C0172D" w:rsidRPr="009F29C6" w:rsidRDefault="00D95EC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n</w:t>
            </w:r>
            <w:r w:rsidR="005C467B" w:rsidRPr="009F29C6">
              <w:rPr>
                <w:bCs/>
                <w:color w:val="000000"/>
                <w:sz w:val="20"/>
                <w:szCs w:val="20"/>
                <w:lang w:val="pl-PL"/>
              </w:rPr>
              <w:t>owotwory złośliwe</w:t>
            </w:r>
            <w:r w:rsidR="00C83FD1" w:rsidRPr="009F29C6">
              <w:rPr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:rsidR="00166E86" w:rsidRPr="009F29C6" w:rsidRDefault="00166E8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:rsidR="005D20BA" w:rsidRPr="009F29C6" w:rsidRDefault="005D20BA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lastRenderedPageBreak/>
              <w:t xml:space="preserve">W przypadku kobiet w okresie rozrodczym konieczne jest wyrażenie zgody na świadomą kontrolę urodzeń </w:t>
            </w:r>
            <w:r w:rsidR="00382823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w </w:t>
            </w:r>
            <w:r w:rsidR="00166E86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trakcie </w:t>
            </w:r>
            <w:r w:rsidR="00382823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leczenia i 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do 6 miesięcy po zastosowaniu ostatniej dawki </w:t>
            </w:r>
            <w:r w:rsidR="00B73CDF" w:rsidRPr="009F29C6">
              <w:rPr>
                <w:bCs/>
                <w:color w:val="000000"/>
                <w:sz w:val="20"/>
                <w:szCs w:val="20"/>
                <w:lang w:val="pl-PL"/>
              </w:rPr>
              <w:t>wedolizumabu.</w:t>
            </w:r>
          </w:p>
          <w:p w:rsidR="00922C7C" w:rsidRPr="009F29C6" w:rsidRDefault="00922C7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:rsidR="009D22C4" w:rsidRPr="009F29C6" w:rsidRDefault="00922C7C" w:rsidP="006E50F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pl-PL" w:eastAsia="pl-PL"/>
              </w:rPr>
            </w:pPr>
            <w:r w:rsidRPr="009F29C6">
              <w:rPr>
                <w:sz w:val="20"/>
                <w:szCs w:val="20"/>
                <w:lang w:val="pl-PL" w:eastAsia="pl-PL"/>
              </w:rPr>
              <w:t>Do programu kwalifikowani są również pacjenci</w:t>
            </w:r>
            <w:r w:rsidR="007268F8" w:rsidRPr="009F29C6">
              <w:rPr>
                <w:sz w:val="20"/>
                <w:szCs w:val="20"/>
                <w:lang w:val="pl-PL" w:eastAsia="pl-PL"/>
              </w:rPr>
              <w:t xml:space="preserve"> wymagający kontynuacji leczenia </w:t>
            </w:r>
            <w:proofErr w:type="spellStart"/>
            <w:r w:rsidR="007268F8" w:rsidRPr="009F29C6">
              <w:rPr>
                <w:sz w:val="20"/>
                <w:szCs w:val="20"/>
                <w:lang w:val="pl-PL" w:eastAsia="pl-PL"/>
              </w:rPr>
              <w:t>infliksimabem</w:t>
            </w:r>
            <w:proofErr w:type="spellEnd"/>
            <w:r w:rsidR="00C3445B">
              <w:rPr>
                <w:sz w:val="20"/>
                <w:szCs w:val="20"/>
                <w:lang w:val="pl-PL" w:eastAsia="pl-PL"/>
              </w:rPr>
              <w:t>/</w:t>
            </w:r>
            <w:proofErr w:type="spellStart"/>
            <w:r w:rsidR="00C3445B">
              <w:rPr>
                <w:sz w:val="20"/>
                <w:szCs w:val="20"/>
                <w:lang w:val="pl-PL" w:eastAsia="pl-PL"/>
              </w:rPr>
              <w:t>wedolizumabem</w:t>
            </w:r>
            <w:proofErr w:type="spellEnd"/>
            <w:r w:rsidR="007268F8" w:rsidRPr="009F29C6">
              <w:rPr>
                <w:sz w:val="20"/>
                <w:szCs w:val="20"/>
                <w:lang w:val="pl-PL" w:eastAsia="pl-PL"/>
              </w:rPr>
              <w:t xml:space="preserve">, a ich dotychczasowe leczenie </w:t>
            </w:r>
            <w:proofErr w:type="spellStart"/>
            <w:r w:rsidR="00864D3B" w:rsidRPr="009F29C6">
              <w:rPr>
                <w:sz w:val="20"/>
                <w:szCs w:val="20"/>
                <w:lang w:val="pl-PL" w:eastAsia="pl-PL"/>
              </w:rPr>
              <w:t>infliksimabem</w:t>
            </w:r>
            <w:proofErr w:type="spellEnd"/>
            <w:r w:rsidR="00C3445B">
              <w:rPr>
                <w:sz w:val="20"/>
                <w:szCs w:val="20"/>
                <w:lang w:val="pl-PL" w:eastAsia="pl-PL"/>
              </w:rPr>
              <w:t>/</w:t>
            </w:r>
            <w:proofErr w:type="spellStart"/>
            <w:r w:rsidR="00C3445B">
              <w:rPr>
                <w:sz w:val="20"/>
                <w:szCs w:val="20"/>
                <w:lang w:val="pl-PL" w:eastAsia="pl-PL"/>
              </w:rPr>
              <w:t>wedolizumabem</w:t>
            </w:r>
            <w:proofErr w:type="spellEnd"/>
            <w:r w:rsidR="006E50FA">
              <w:rPr>
                <w:sz w:val="20"/>
                <w:szCs w:val="20"/>
                <w:lang w:val="pl-PL" w:eastAsia="pl-PL"/>
              </w:rPr>
              <w:t xml:space="preserve"> </w:t>
            </w:r>
            <w:r w:rsidR="007268F8" w:rsidRPr="009F29C6">
              <w:rPr>
                <w:sz w:val="20"/>
                <w:szCs w:val="20"/>
                <w:lang w:val="pl-PL" w:eastAsia="pl-PL"/>
              </w:rPr>
              <w:t xml:space="preserve">było finansowane </w:t>
            </w:r>
            <w:r w:rsidRPr="009F29C6">
              <w:rPr>
                <w:sz w:val="20"/>
                <w:szCs w:val="20"/>
                <w:lang w:val="pl-PL" w:eastAsia="pl-PL"/>
              </w:rPr>
              <w:t>w</w:t>
            </w:r>
            <w:r w:rsidR="006E50FA">
              <w:rPr>
                <w:sz w:val="20"/>
                <w:szCs w:val="20"/>
                <w:lang w:val="pl-PL" w:eastAsia="pl-PL"/>
              </w:rPr>
              <w:t xml:space="preserve"> r</w:t>
            </w:r>
            <w:r w:rsidRPr="009F29C6">
              <w:rPr>
                <w:sz w:val="20"/>
                <w:szCs w:val="20"/>
                <w:lang w:val="pl-PL" w:eastAsia="pl-PL"/>
              </w:rPr>
              <w:t>amach hospitalizacji według jednorodnych grup</w:t>
            </w:r>
            <w:r w:rsidR="006E50FA">
              <w:rPr>
                <w:sz w:val="20"/>
                <w:szCs w:val="20"/>
                <w:lang w:val="pl-PL" w:eastAsia="pl-PL"/>
              </w:rPr>
              <w:t xml:space="preserve"> </w:t>
            </w:r>
            <w:r w:rsidRPr="009F29C6">
              <w:rPr>
                <w:sz w:val="20"/>
                <w:szCs w:val="20"/>
                <w:lang w:val="pl-PL" w:eastAsia="pl-PL"/>
              </w:rPr>
              <w:t>pacjentów (JGP) pod warunkiem, że</w:t>
            </w:r>
            <w:r w:rsidR="009D22C4" w:rsidRPr="009F29C6">
              <w:rPr>
                <w:sz w:val="20"/>
                <w:szCs w:val="20"/>
                <w:lang w:val="pl-PL" w:eastAsia="pl-PL"/>
              </w:rPr>
              <w:t xml:space="preserve">: </w:t>
            </w:r>
          </w:p>
          <w:p w:rsidR="009D22C4" w:rsidRPr="009F29C6" w:rsidRDefault="00922C7C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sz w:val="20"/>
                <w:szCs w:val="20"/>
                <w:lang w:val="pl-PL" w:eastAsia="pl-PL"/>
              </w:rPr>
            </w:pPr>
            <w:r w:rsidRPr="009F29C6">
              <w:rPr>
                <w:sz w:val="20"/>
                <w:szCs w:val="20"/>
                <w:lang w:val="pl-PL" w:eastAsia="pl-PL"/>
              </w:rPr>
              <w:t>przed rozpoczęciem</w:t>
            </w:r>
            <w:r w:rsidR="009D22C4" w:rsidRPr="009F29C6">
              <w:rPr>
                <w:sz w:val="20"/>
                <w:szCs w:val="20"/>
                <w:lang w:val="pl-PL" w:eastAsia="pl-PL"/>
              </w:rPr>
              <w:t xml:space="preserve"> </w:t>
            </w:r>
            <w:r w:rsidRPr="009F29C6">
              <w:rPr>
                <w:sz w:val="20"/>
                <w:szCs w:val="20"/>
                <w:lang w:val="pl-PL" w:eastAsia="pl-PL"/>
              </w:rPr>
              <w:t>terapii spełniali kryteria włączenia do programu</w:t>
            </w:r>
            <w:r w:rsidR="009D22C4" w:rsidRPr="009F29C6">
              <w:rPr>
                <w:sz w:val="20"/>
                <w:szCs w:val="20"/>
                <w:lang w:val="pl-PL" w:eastAsia="pl-PL"/>
              </w:rPr>
              <w:t xml:space="preserve">, </w:t>
            </w:r>
          </w:p>
          <w:p w:rsidR="009D22C4" w:rsidRPr="009F29C6" w:rsidRDefault="009D22C4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sz w:val="20"/>
                <w:szCs w:val="20"/>
                <w:lang w:val="pl-PL" w:eastAsia="pl-PL"/>
              </w:rPr>
            </w:pPr>
            <w:r w:rsidRPr="009F29C6">
              <w:rPr>
                <w:sz w:val="20"/>
                <w:szCs w:val="20"/>
                <w:lang w:val="pl-PL" w:eastAsia="pl-PL"/>
              </w:rPr>
              <w:t xml:space="preserve">łączny czas terapii </w:t>
            </w:r>
            <w:proofErr w:type="spellStart"/>
            <w:r w:rsidRPr="009F29C6">
              <w:rPr>
                <w:sz w:val="20"/>
                <w:szCs w:val="20"/>
                <w:lang w:val="pl-PL" w:eastAsia="pl-PL"/>
              </w:rPr>
              <w:t>infliksimabem</w:t>
            </w:r>
            <w:proofErr w:type="spellEnd"/>
            <w:r w:rsidR="004A62E5">
              <w:rPr>
                <w:sz w:val="20"/>
                <w:szCs w:val="20"/>
                <w:lang w:val="pl-PL" w:eastAsia="pl-PL"/>
              </w:rPr>
              <w:t>/</w:t>
            </w:r>
            <w:proofErr w:type="spellStart"/>
            <w:r w:rsidR="004A62E5">
              <w:rPr>
                <w:sz w:val="20"/>
                <w:szCs w:val="20"/>
                <w:lang w:val="pl-PL" w:eastAsia="pl-PL"/>
              </w:rPr>
              <w:t>wedolizumabem</w:t>
            </w:r>
            <w:proofErr w:type="spellEnd"/>
            <w:r w:rsidRPr="009F29C6">
              <w:rPr>
                <w:sz w:val="20"/>
                <w:szCs w:val="20"/>
                <w:lang w:val="pl-PL" w:eastAsia="pl-PL"/>
              </w:rPr>
              <w:t xml:space="preserve"> nie jest dłuższy od łącznego czasu terapii indukcyjnej i podtrzymującej określonego poniżej</w:t>
            </w:r>
            <w:r w:rsidR="006E50FA">
              <w:rPr>
                <w:sz w:val="20"/>
                <w:szCs w:val="20"/>
                <w:lang w:val="pl-PL" w:eastAsia="pl-PL"/>
              </w:rPr>
              <w:t>,</w:t>
            </w:r>
            <w:r w:rsidRPr="009F29C6">
              <w:rPr>
                <w:sz w:val="20"/>
                <w:szCs w:val="20"/>
                <w:lang w:val="pl-PL" w:eastAsia="pl-PL"/>
              </w:rPr>
              <w:t xml:space="preserve"> </w:t>
            </w:r>
          </w:p>
          <w:p w:rsidR="009D22C4" w:rsidRPr="009F29C6" w:rsidRDefault="009D22C4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sz w:val="20"/>
                <w:szCs w:val="20"/>
                <w:lang w:val="pl-PL" w:eastAsia="pl-PL"/>
              </w:rPr>
            </w:pPr>
            <w:r w:rsidRPr="009F29C6">
              <w:rPr>
                <w:sz w:val="20"/>
                <w:szCs w:val="20"/>
                <w:lang w:val="pl-PL" w:eastAsia="pl-PL"/>
              </w:rPr>
              <w:t>nie zachodzą kryteria stanowiące przeciwwskazania do udziału w programie</w:t>
            </w:r>
            <w:r w:rsidR="006E50FA">
              <w:rPr>
                <w:sz w:val="20"/>
                <w:szCs w:val="20"/>
                <w:lang w:val="pl-PL" w:eastAsia="pl-PL"/>
              </w:rPr>
              <w:t>,</w:t>
            </w:r>
            <w:r w:rsidRPr="009F29C6">
              <w:rPr>
                <w:sz w:val="20"/>
                <w:szCs w:val="20"/>
                <w:lang w:val="pl-PL" w:eastAsia="pl-PL"/>
              </w:rPr>
              <w:t xml:space="preserve"> </w:t>
            </w:r>
          </w:p>
          <w:p w:rsidR="009D22C4" w:rsidRPr="009F29C6" w:rsidRDefault="009D22C4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sz w:val="20"/>
                <w:szCs w:val="20"/>
                <w:lang w:val="pl-PL" w:eastAsia="pl-PL"/>
              </w:rPr>
            </w:pPr>
            <w:r w:rsidRPr="009F29C6">
              <w:rPr>
                <w:sz w:val="20"/>
                <w:szCs w:val="20"/>
                <w:lang w:val="pl-PL" w:eastAsia="pl-PL"/>
              </w:rPr>
              <w:t xml:space="preserve">nie zachodzą okoliczności o których mowa w </w:t>
            </w:r>
            <w:r w:rsidR="00955DAF" w:rsidRPr="009F29C6">
              <w:rPr>
                <w:sz w:val="20"/>
                <w:szCs w:val="20"/>
                <w:lang w:val="pl-PL" w:eastAsia="pl-PL"/>
              </w:rPr>
              <w:t>punkcie dotyczącym zakończenia leczenia</w:t>
            </w:r>
            <w:r w:rsidRPr="009F29C6">
              <w:rPr>
                <w:sz w:val="20"/>
                <w:szCs w:val="20"/>
                <w:lang w:val="pl-PL" w:eastAsia="pl-PL"/>
              </w:rPr>
              <w:t xml:space="preserve"> gdy kończy się udział pacjenta w programie. </w:t>
            </w:r>
          </w:p>
          <w:p w:rsidR="009D22C4" w:rsidRPr="009F29C6" w:rsidRDefault="009D22C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:rsidR="00166E86" w:rsidRPr="005A684B" w:rsidRDefault="00382823" w:rsidP="005A684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5A684B">
              <w:rPr>
                <w:b/>
                <w:bCs/>
                <w:color w:val="000000"/>
                <w:sz w:val="20"/>
                <w:szCs w:val="20"/>
                <w:lang w:val="pl-PL"/>
              </w:rPr>
              <w:t>Kryteria stanowiące przeciwwskazania do</w:t>
            </w:r>
            <w:r w:rsidR="007A04CF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udziału w programie</w:t>
            </w:r>
          </w:p>
          <w:p w:rsidR="005D363E" w:rsidRPr="009F29C6" w:rsidRDefault="005D363E" w:rsidP="006F7D0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F7D07">
              <w:rPr>
                <w:bCs/>
                <w:color w:val="000000"/>
                <w:sz w:val="20"/>
                <w:szCs w:val="20"/>
                <w:lang w:val="pl-PL"/>
              </w:rPr>
              <w:t>nadwrażliwo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ść na </w:t>
            </w:r>
            <w:r w:rsidR="00382823" w:rsidRPr="009F29C6">
              <w:rPr>
                <w:bCs/>
                <w:color w:val="000000"/>
                <w:sz w:val="20"/>
                <w:szCs w:val="20"/>
                <w:lang w:val="pl-PL"/>
              </w:rPr>
              <w:t>substancję czynną lub substancje pomocnicze;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ciężkie zakażenia wirusowe, grzybicze lub bakteryjne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umiarkowana lub ciężka niewydolność mięśnia sercowego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niestabilna choroba wieńcowa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przewlekła niewydolność oddechowa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przewlekła niewydolność nerek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przewlekła niewydolność wątroby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zespół demielinizacyjny lub objawy przypominające ten zespół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choroba alkoholowa, poalkoholowe uszkodzenie wątroby lub każda czynna postępująca choroba wątroby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Pr="009F29C6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ciąża lub karmienie piersią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5D363E" w:rsidRDefault="005D363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rozpoznanie stanów </w:t>
            </w:r>
            <w:proofErr w:type="spellStart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przednowotworowych</w:t>
            </w:r>
            <w:proofErr w:type="spellEnd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lub nowotworów złośliwych</w:t>
            </w:r>
            <w:r w:rsidR="00C0172D" w:rsidRPr="009F29C6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0172D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również 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w okresie 5 lat poprzedzających moment kwalifikowania do programu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;</w:t>
            </w:r>
          </w:p>
          <w:p w:rsidR="009F29C6" w:rsidRPr="009F29C6" w:rsidRDefault="005D363E" w:rsidP="006F7D0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powikłania wyma</w:t>
            </w:r>
            <w:r w:rsidR="004059C3" w:rsidRPr="009F29C6">
              <w:rPr>
                <w:bCs/>
                <w:color w:val="000000"/>
                <w:sz w:val="20"/>
                <w:szCs w:val="20"/>
                <w:lang w:val="pl-PL"/>
              </w:rPr>
              <w:t>gające innego postępowania (np. 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leczenia operacyjnego).</w:t>
            </w:r>
          </w:p>
          <w:p w:rsidR="00CB24C6" w:rsidRPr="009F29C6" w:rsidRDefault="00CB24C6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:rsidR="00CB24C6" w:rsidRPr="005A684B" w:rsidRDefault="00CB24C6" w:rsidP="005A684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5A684B">
              <w:rPr>
                <w:b/>
                <w:bCs/>
                <w:color w:val="000000"/>
                <w:sz w:val="20"/>
                <w:szCs w:val="20"/>
                <w:lang w:val="pl-PL"/>
              </w:rPr>
              <w:t>Określ</w:t>
            </w:r>
            <w:r w:rsidR="007A04CF">
              <w:rPr>
                <w:b/>
                <w:bCs/>
                <w:color w:val="000000"/>
                <w:sz w:val="20"/>
                <w:szCs w:val="20"/>
                <w:lang w:val="pl-PL"/>
              </w:rPr>
              <w:t>enie czasu leczenia w programie</w:t>
            </w:r>
          </w:p>
          <w:p w:rsidR="009F29C6" w:rsidRPr="006F7D07" w:rsidRDefault="00CB24C6" w:rsidP="005A684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6F7D07">
              <w:rPr>
                <w:color w:val="000000"/>
                <w:sz w:val="20"/>
                <w:szCs w:val="20"/>
                <w:lang w:val="pl-PL"/>
              </w:rPr>
              <w:t>t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erapia indukcyjna </w:t>
            </w:r>
            <w:r w:rsidR="003611FF" w:rsidRPr="009F29C6">
              <w:rPr>
                <w:color w:val="000000"/>
                <w:sz w:val="20"/>
                <w:szCs w:val="20"/>
                <w:lang w:val="pl-PL"/>
              </w:rPr>
              <w:t>–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3D0877">
              <w:rPr>
                <w:color w:val="000000"/>
                <w:sz w:val="20"/>
                <w:szCs w:val="20"/>
                <w:lang w:val="pl-PL"/>
              </w:rPr>
              <w:t>infuzja infliksy</w:t>
            </w:r>
            <w:r w:rsidR="003611FF" w:rsidRPr="009F29C6">
              <w:rPr>
                <w:color w:val="000000"/>
                <w:sz w:val="20"/>
                <w:szCs w:val="20"/>
                <w:lang w:val="pl-PL"/>
              </w:rPr>
              <w:t>mabu</w:t>
            </w:r>
            <w:r w:rsidR="0064453A" w:rsidRPr="009F29C6">
              <w:rPr>
                <w:color w:val="000000"/>
                <w:sz w:val="20"/>
                <w:szCs w:val="20"/>
                <w:lang w:val="pl-PL"/>
              </w:rPr>
              <w:t>/wedolizumabu</w:t>
            </w:r>
            <w:r w:rsidR="007A04CF">
              <w:rPr>
                <w:color w:val="000000"/>
                <w:sz w:val="20"/>
                <w:szCs w:val="20"/>
                <w:lang w:val="pl-PL"/>
              </w:rPr>
              <w:t xml:space="preserve"> w 0,2,6 tygodniu;</w:t>
            </w:r>
          </w:p>
          <w:p w:rsidR="009F29C6" w:rsidRPr="003D0877" w:rsidRDefault="00CB24C6" w:rsidP="003D087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leczenie podtrzymujące infliksymabem</w:t>
            </w:r>
            <w:r w:rsidR="0064453A" w:rsidRPr="009F29C6">
              <w:rPr>
                <w:color w:val="000000"/>
                <w:sz w:val="20"/>
                <w:szCs w:val="20"/>
                <w:lang w:val="pl-PL"/>
              </w:rPr>
              <w:t>/wedolizumabem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 powinno trwać aż do momentu stwierdzenia braku odpowiedzi na leczenie jednakże nie dłużej niż 12 miesięcy </w:t>
            </w:r>
            <w:r w:rsidR="005A684B">
              <w:rPr>
                <w:color w:val="000000"/>
                <w:sz w:val="20"/>
                <w:szCs w:val="20"/>
                <w:lang w:val="pl-PL"/>
              </w:rPr>
              <w:t xml:space="preserve">w przypadku infliksymabu oraz </w:t>
            </w:r>
            <w:r w:rsidR="00477B99">
              <w:rPr>
                <w:color w:val="000000"/>
                <w:sz w:val="20"/>
                <w:szCs w:val="20"/>
                <w:lang w:val="pl-PL"/>
              </w:rPr>
              <w:t>54 tygodni w przypadku wedolizumabu</w:t>
            </w:r>
            <w:r w:rsidR="005A684B">
              <w:rPr>
                <w:color w:val="000000"/>
                <w:sz w:val="20"/>
                <w:szCs w:val="20"/>
                <w:lang w:val="pl-PL"/>
              </w:rPr>
              <w:t>,</w:t>
            </w:r>
            <w:r w:rsidR="00477B99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>od momentu podania pierwszej dawki w terapii indukcyjnej. Odpowiedź definiowana jest jak</w:t>
            </w:r>
            <w:r w:rsidRPr="003D0877">
              <w:rPr>
                <w:color w:val="000000"/>
                <w:sz w:val="20"/>
                <w:szCs w:val="20"/>
                <w:lang w:val="pl-PL"/>
              </w:rPr>
              <w:t xml:space="preserve">o zmniejszenie aktywności </w:t>
            </w:r>
            <w:r w:rsidRPr="003D0877">
              <w:rPr>
                <w:color w:val="000000"/>
                <w:sz w:val="20"/>
                <w:szCs w:val="20"/>
                <w:lang w:val="pl-PL"/>
              </w:rPr>
              <w:lastRenderedPageBreak/>
              <w:t>choroby o co najmniej 3 punkty w sk</w:t>
            </w:r>
            <w:r w:rsidR="008F42F2" w:rsidRPr="003D0877">
              <w:rPr>
                <w:color w:val="000000"/>
                <w:sz w:val="20"/>
                <w:szCs w:val="20"/>
                <w:lang w:val="pl-PL"/>
              </w:rPr>
              <w:t>ali Mayo  albo o co na</w:t>
            </w:r>
            <w:r w:rsidR="007A04CF">
              <w:rPr>
                <w:color w:val="000000"/>
                <w:sz w:val="20"/>
                <w:szCs w:val="20"/>
                <w:lang w:val="pl-PL"/>
              </w:rPr>
              <w:t>jmniej 20 punktów w skali PUCAI;</w:t>
            </w:r>
          </w:p>
          <w:p w:rsidR="00CB24C6" w:rsidRPr="0002216C" w:rsidRDefault="00CB24C6" w:rsidP="006F7D0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color w:val="000000"/>
                <w:sz w:val="20"/>
                <w:szCs w:val="20"/>
                <w:lang w:val="pl-PL"/>
              </w:rPr>
            </w:pPr>
          </w:p>
          <w:p w:rsidR="00594E16" w:rsidRPr="005A684B" w:rsidRDefault="0015209C" w:rsidP="005A684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5A684B">
              <w:rPr>
                <w:b/>
                <w:bCs/>
                <w:color w:val="000000"/>
                <w:sz w:val="20"/>
                <w:szCs w:val="20"/>
                <w:lang w:val="pl-PL"/>
              </w:rPr>
              <w:t>Zakończenie leczenia</w:t>
            </w:r>
            <w:r w:rsidR="007A04CF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następuje w przypadku</w:t>
            </w:r>
          </w:p>
          <w:p w:rsidR="006951DD" w:rsidRPr="009F29C6" w:rsidRDefault="00C45D26" w:rsidP="005A684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F7D07">
              <w:rPr>
                <w:bCs/>
                <w:color w:val="000000"/>
                <w:sz w:val="20"/>
                <w:szCs w:val="20"/>
                <w:lang w:val="pl-PL"/>
              </w:rPr>
              <w:t>s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twierdzenia </w:t>
            </w:r>
            <w:r w:rsidR="00650558" w:rsidRPr="009F29C6">
              <w:rPr>
                <w:bCs/>
                <w:color w:val="000000"/>
                <w:sz w:val="20"/>
                <w:szCs w:val="20"/>
                <w:lang w:val="pl-PL"/>
              </w:rPr>
              <w:t>braku odpowiedzi na leczenie definiowanej jako</w:t>
            </w:r>
            <w:r w:rsidR="006951DD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A9597F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zmniejszenie </w:t>
            </w:r>
            <w:r w:rsidR="00A9597F" w:rsidRPr="009F29C6">
              <w:rPr>
                <w:color w:val="000000"/>
                <w:sz w:val="20"/>
                <w:szCs w:val="20"/>
                <w:lang w:val="pl-PL"/>
              </w:rPr>
              <w:t>aktywności choroby o co najmniej 3 punkty w skali Mayo</w:t>
            </w:r>
            <w:r w:rsidR="0005306A" w:rsidRPr="009F29C6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8F42F2" w:rsidRPr="009F29C6">
              <w:rPr>
                <w:color w:val="000000"/>
                <w:sz w:val="20"/>
                <w:szCs w:val="20"/>
                <w:lang w:val="pl-PL"/>
              </w:rPr>
              <w:t>albo o co najmniej 20 punktów w skali PUCAI lub</w:t>
            </w:r>
          </w:p>
          <w:p w:rsidR="0015209C" w:rsidRPr="009F29C6" w:rsidRDefault="0015209C" w:rsidP="006F7D0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wystąpieni</w:t>
            </w:r>
            <w:r w:rsidR="00795618" w:rsidRPr="009F29C6">
              <w:rPr>
                <w:bCs/>
                <w:color w:val="000000"/>
                <w:sz w:val="20"/>
                <w:szCs w:val="20"/>
                <w:lang w:val="pl-PL"/>
              </w:rPr>
              <w:t>a</w:t>
            </w: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działań niepożądanych leczenia</w:t>
            </w:r>
            <w:r w:rsidR="007A04CF">
              <w:rPr>
                <w:bCs/>
                <w:color w:val="000000"/>
                <w:sz w:val="20"/>
                <w:szCs w:val="20"/>
                <w:lang w:val="pl-PL"/>
              </w:rPr>
              <w:t>,</w:t>
            </w:r>
            <w:r w:rsidR="00795618"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4C23D8" w:rsidRPr="009F29C6" w:rsidRDefault="0015209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wystąpienia powikłań wymagających innego specyficznego leczenia.</w:t>
            </w:r>
          </w:p>
        </w:tc>
        <w:tc>
          <w:tcPr>
            <w:tcW w:w="1552" w:type="pct"/>
            <w:shd w:val="clear" w:color="auto" w:fill="auto"/>
          </w:tcPr>
          <w:p w:rsidR="009F29C6" w:rsidRPr="009F29C6" w:rsidRDefault="009F29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:rsidR="004C23D8" w:rsidRPr="009F29C6" w:rsidRDefault="00967A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pl-PL"/>
              </w:rPr>
            </w:pPr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>infliksimab</w:t>
            </w:r>
            <w:r w:rsidR="00A10343" w:rsidRPr="009F29C6">
              <w:rPr>
                <w:bCs/>
                <w:color w:val="000000"/>
                <w:sz w:val="20"/>
                <w:szCs w:val="20"/>
                <w:lang w:val="pl-PL"/>
              </w:rPr>
              <w:t>u</w:t>
            </w:r>
            <w:proofErr w:type="spellEnd"/>
            <w:r w:rsidR="00A10343" w:rsidRPr="009F29C6">
              <w:rPr>
                <w:bCs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="00A10343" w:rsidRPr="009F29C6">
              <w:rPr>
                <w:bCs/>
                <w:color w:val="000000"/>
                <w:sz w:val="20"/>
                <w:szCs w:val="20"/>
                <w:lang w:val="pl-PL"/>
              </w:rPr>
              <w:t>wedolizumabu</w:t>
            </w:r>
            <w:proofErr w:type="spellEnd"/>
            <w:r w:rsidRPr="009F29C6">
              <w:rPr>
                <w:bCs/>
                <w:color w:val="000000"/>
                <w:sz w:val="20"/>
                <w:szCs w:val="20"/>
                <w:lang w:val="pl-PL"/>
              </w:rPr>
              <w:t xml:space="preserve"> w terapii wrzodziejącego zapalenia jelita grubego – zgodnie z dawkowaniem określonym w Charakterystyce Produktu Leczniczego</w:t>
            </w:r>
          </w:p>
        </w:tc>
        <w:tc>
          <w:tcPr>
            <w:tcW w:w="1714" w:type="pct"/>
            <w:shd w:val="clear" w:color="auto" w:fill="auto"/>
          </w:tcPr>
          <w:p w:rsidR="004C23D8" w:rsidRPr="009F29C6" w:rsidRDefault="004C2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1. </w:t>
            </w:r>
            <w:r w:rsidR="00473C75"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>Badania przy k</w:t>
            </w:r>
            <w:r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>walifikacj</w:t>
            </w:r>
            <w:r w:rsidR="00473C75"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>i</w:t>
            </w:r>
          </w:p>
          <w:p w:rsidR="009F29C6" w:rsidRPr="009F29C6" w:rsidRDefault="009F29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473C75" w:rsidRPr="009F29C6" w:rsidRDefault="00473C75" w:rsidP="005A684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ilość krwinek białych;</w:t>
            </w:r>
          </w:p>
          <w:p w:rsidR="00473C75" w:rsidRPr="009F29C6" w:rsidRDefault="0099371D" w:rsidP="006F7D0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liczba 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>krwinek czerwonych;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poziom hemoglobiny;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płytki krwi;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odczyn Biernackiego;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aminotransferaza alaninowa;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aminotransferaza </w:t>
            </w:r>
            <w:proofErr w:type="spellStart"/>
            <w:r w:rsidRPr="009F29C6">
              <w:rPr>
                <w:color w:val="000000"/>
                <w:sz w:val="20"/>
                <w:szCs w:val="20"/>
                <w:lang w:val="pl-PL"/>
              </w:rPr>
              <w:t>asparaginianowa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poziom kreatyniny w surowicy;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białko C</w:t>
            </w:r>
            <w:r w:rsidRPr="009F29C6">
              <w:rPr>
                <w:rFonts w:ascii="Cambria Math" w:eastAsia="MS Gothic" w:hAnsi="Cambria Math" w:cs="Cambria Math" w:hint="eastAsia"/>
                <w:color w:val="000000"/>
                <w:sz w:val="20"/>
                <w:szCs w:val="20"/>
                <w:lang w:val="pl-PL"/>
              </w:rPr>
              <w:t>‐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>reaktywne;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badanie ogólne moczu;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próba tuberkulinowa</w:t>
            </w:r>
            <w:r w:rsidR="0099371D" w:rsidRPr="009F29C6">
              <w:rPr>
                <w:color w:val="000000"/>
                <w:sz w:val="20"/>
                <w:szCs w:val="20"/>
                <w:lang w:val="pl-PL"/>
              </w:rPr>
              <w:t xml:space="preserve"> lub test </w:t>
            </w:r>
            <w:proofErr w:type="spellStart"/>
            <w:r w:rsidR="0099371D" w:rsidRPr="009F29C6">
              <w:rPr>
                <w:color w:val="000000"/>
                <w:sz w:val="20"/>
                <w:szCs w:val="20"/>
                <w:lang w:val="pl-PL"/>
              </w:rPr>
              <w:t>Quantiferon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antygen </w:t>
            </w:r>
            <w:proofErr w:type="spellStart"/>
            <w:r w:rsidRPr="009F29C6">
              <w:rPr>
                <w:color w:val="000000"/>
                <w:sz w:val="20"/>
                <w:szCs w:val="20"/>
                <w:lang w:val="pl-PL"/>
              </w:rPr>
              <w:t>HBs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przeciwciała anty HCV;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9F29C6">
              <w:rPr>
                <w:color w:val="000000"/>
                <w:sz w:val="20"/>
                <w:szCs w:val="20"/>
                <w:lang w:val="de-DE"/>
              </w:rPr>
              <w:t>antygen</w:t>
            </w:r>
            <w:proofErr w:type="spellEnd"/>
            <w:r w:rsidRPr="009F29C6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F29C6">
              <w:rPr>
                <w:color w:val="000000"/>
                <w:sz w:val="20"/>
                <w:szCs w:val="20"/>
                <w:lang w:val="de-DE"/>
              </w:rPr>
              <w:t>wirusa</w:t>
            </w:r>
            <w:proofErr w:type="spellEnd"/>
            <w:r w:rsidRPr="009F29C6">
              <w:rPr>
                <w:color w:val="000000"/>
                <w:sz w:val="20"/>
                <w:szCs w:val="20"/>
                <w:lang w:val="de-DE"/>
              </w:rPr>
              <w:t xml:space="preserve"> HIV(HIV </w:t>
            </w:r>
            <w:proofErr w:type="spellStart"/>
            <w:r w:rsidRPr="009F29C6">
              <w:rPr>
                <w:color w:val="000000"/>
                <w:sz w:val="20"/>
                <w:szCs w:val="20"/>
                <w:lang w:val="de-DE"/>
              </w:rPr>
              <w:t>Ag</w:t>
            </w:r>
            <w:proofErr w:type="spellEnd"/>
            <w:r w:rsidRPr="009F29C6">
              <w:rPr>
                <w:color w:val="000000"/>
                <w:sz w:val="20"/>
                <w:szCs w:val="20"/>
                <w:lang w:val="de-DE"/>
              </w:rPr>
              <w:t>/Ab Combo);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stężenie elektrolitów w surowicy;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hematokryt;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RTG klatki piersiowej;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EKG z opisem;</w:t>
            </w:r>
          </w:p>
          <w:p w:rsidR="00473C75" w:rsidRPr="009F29C6" w:rsidRDefault="00473C7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badanie endoskopowe;</w:t>
            </w:r>
          </w:p>
          <w:p w:rsidR="00473C75" w:rsidRPr="009F29C6" w:rsidRDefault="004059C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p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>osiew kału w kierunku bakterii i grzybów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473C75" w:rsidRPr="009F29C6" w:rsidRDefault="004059C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b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 xml:space="preserve">adanie kału na toksynę Clostridium </w:t>
            </w:r>
            <w:proofErr w:type="spellStart"/>
            <w:r w:rsidR="00473C75" w:rsidRPr="009F29C6">
              <w:rPr>
                <w:color w:val="000000"/>
                <w:sz w:val="20"/>
                <w:szCs w:val="20"/>
                <w:lang w:val="pl-PL"/>
              </w:rPr>
              <w:t>difficile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:rsidR="003748DE" w:rsidRPr="009F29C6" w:rsidRDefault="003748DE" w:rsidP="005A684B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:rsidR="009F29C6" w:rsidRPr="009F29C6" w:rsidRDefault="00473C75" w:rsidP="005A6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>2</w:t>
            </w:r>
            <w:r w:rsidR="004C23D8"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>. Monitorowanie leczenia</w:t>
            </w:r>
          </w:p>
          <w:p w:rsidR="009F29C6" w:rsidRPr="009F29C6" w:rsidRDefault="009F29C6" w:rsidP="005A6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3748DE" w:rsidRPr="009F29C6" w:rsidRDefault="003748DE" w:rsidP="005A6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lastRenderedPageBreak/>
              <w:t>2.1. Monitorowanie leczenia infliksymabem</w:t>
            </w:r>
          </w:p>
          <w:p w:rsidR="00473C75" w:rsidRPr="009F29C6" w:rsidRDefault="00682E09" w:rsidP="005A6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W 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>celu monitorowania leczenia świadczeniodawca jest z</w:t>
            </w:r>
            <w:r w:rsidR="004059C3" w:rsidRPr="009F29C6">
              <w:rPr>
                <w:color w:val="000000"/>
                <w:sz w:val="20"/>
                <w:szCs w:val="20"/>
                <w:lang w:val="pl-PL"/>
              </w:rPr>
              <w:t>obowiązany wykonać nie rzadziej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 xml:space="preserve"> niż w 2, 6 i </w:t>
            </w:r>
            <w:r w:rsidR="00B30559" w:rsidRPr="009F29C6">
              <w:rPr>
                <w:color w:val="000000"/>
                <w:sz w:val="20"/>
                <w:szCs w:val="20"/>
                <w:lang w:val="pl-PL"/>
              </w:rPr>
              <w:t xml:space="preserve">14 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>tyg</w:t>
            </w:r>
            <w:r w:rsidR="004059C3" w:rsidRPr="009F29C6">
              <w:rPr>
                <w:color w:val="000000"/>
                <w:sz w:val="20"/>
                <w:szCs w:val="20"/>
                <w:lang w:val="pl-PL"/>
              </w:rPr>
              <w:t>odniu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 xml:space="preserve"> od podania </w:t>
            </w:r>
            <w:r w:rsidR="00D95EC0" w:rsidRPr="009F29C6">
              <w:rPr>
                <w:color w:val="000000"/>
                <w:sz w:val="20"/>
                <w:szCs w:val="20"/>
                <w:lang w:val="pl-PL"/>
              </w:rPr>
              <w:t>pierwszej</w:t>
            </w:r>
            <w:r w:rsidR="00473C75" w:rsidRPr="009F29C6">
              <w:rPr>
                <w:color w:val="000000"/>
                <w:sz w:val="20"/>
                <w:szCs w:val="20"/>
                <w:lang w:val="pl-PL"/>
              </w:rPr>
              <w:t xml:space="preserve"> dawki leku następujące badania:</w:t>
            </w:r>
          </w:p>
          <w:p w:rsidR="0026334D" w:rsidRDefault="007914B9" w:rsidP="0026334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6334D">
              <w:rPr>
                <w:color w:val="000000"/>
                <w:sz w:val="20"/>
                <w:szCs w:val="20"/>
                <w:lang w:val="pl-PL"/>
              </w:rPr>
              <w:t xml:space="preserve">ocena stopnia aktywności choroby w 2 i 6 tygodniu od podania pierwszej dawki w częściowej skali Mayo lub skali PUCAI, </w:t>
            </w:r>
          </w:p>
          <w:p w:rsidR="0026334D" w:rsidRDefault="0026334D" w:rsidP="0026334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6334D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7914B9" w:rsidRPr="0026334D">
              <w:rPr>
                <w:color w:val="000000"/>
                <w:sz w:val="20"/>
                <w:szCs w:val="20"/>
                <w:lang w:val="pl-PL"/>
              </w:rPr>
              <w:t>ocena stopnia aktywności choroby między 6 a 14 tygodniem od podania pierwszej dawki na podstawie pełnej oceny w skali Mayo lub w skali PUCAI</w:t>
            </w:r>
          </w:p>
          <w:p w:rsidR="0026334D" w:rsidRDefault="007914B9" w:rsidP="0026334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6334D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473C75" w:rsidRPr="0026334D">
              <w:rPr>
                <w:color w:val="000000"/>
                <w:sz w:val="20"/>
                <w:szCs w:val="20"/>
                <w:lang w:val="pl-PL"/>
              </w:rPr>
              <w:t>morfologia</w:t>
            </w:r>
            <w:r w:rsidR="00473C75" w:rsidRPr="002633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2FC2" w:rsidRPr="0026334D">
              <w:rPr>
                <w:color w:val="000000"/>
                <w:sz w:val="20"/>
                <w:szCs w:val="20"/>
              </w:rPr>
              <w:t>krwi</w:t>
            </w:r>
            <w:proofErr w:type="spellEnd"/>
            <w:r w:rsidR="00712FC2" w:rsidRPr="002633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2FC2" w:rsidRPr="0026334D">
              <w:rPr>
                <w:color w:val="000000"/>
                <w:sz w:val="20"/>
                <w:szCs w:val="20"/>
              </w:rPr>
              <w:t>obwodowej</w:t>
            </w:r>
            <w:proofErr w:type="spellEnd"/>
            <w:r w:rsidR="00C03A80" w:rsidRPr="0026334D">
              <w:rPr>
                <w:color w:val="000000"/>
                <w:sz w:val="20"/>
                <w:szCs w:val="20"/>
                <w:lang w:val="pl-PL"/>
              </w:rPr>
              <w:t>,</w:t>
            </w:r>
          </w:p>
          <w:p w:rsidR="00C03A80" w:rsidRPr="0026334D" w:rsidRDefault="00473C75" w:rsidP="0026334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6334D">
              <w:rPr>
                <w:color w:val="000000"/>
                <w:sz w:val="20"/>
                <w:szCs w:val="20"/>
              </w:rPr>
              <w:t>CRP</w:t>
            </w:r>
            <w:r w:rsidR="004059C3" w:rsidRPr="0026334D">
              <w:rPr>
                <w:color w:val="000000"/>
                <w:sz w:val="20"/>
                <w:szCs w:val="20"/>
              </w:rPr>
              <w:t>.</w:t>
            </w:r>
          </w:p>
          <w:p w:rsidR="00C03A80" w:rsidRPr="00C03A80" w:rsidRDefault="00C03A80" w:rsidP="00C03A80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  <w:p w:rsidR="003748DE" w:rsidRPr="009F29C6" w:rsidRDefault="00A959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W leczeniu podtrzymującym świadczeniodawca jest zobowiązany wykonywać morfologię krwi obwodowej, CRP, </w:t>
            </w:r>
            <w:proofErr w:type="spellStart"/>
            <w:r w:rsidRPr="009F29C6">
              <w:rPr>
                <w:color w:val="000000"/>
                <w:sz w:val="20"/>
                <w:szCs w:val="20"/>
                <w:lang w:val="pl-PL"/>
              </w:rPr>
              <w:t>AlAT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9F29C6">
              <w:rPr>
                <w:color w:val="000000"/>
                <w:sz w:val="20"/>
                <w:szCs w:val="20"/>
                <w:lang w:val="pl-PL"/>
              </w:rPr>
              <w:t>AspAT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 oraz ocenę Mayo bez endoskopii </w:t>
            </w:r>
            <w:r w:rsidR="008F42F2" w:rsidRPr="009F29C6">
              <w:rPr>
                <w:color w:val="000000"/>
                <w:sz w:val="20"/>
                <w:szCs w:val="20"/>
                <w:lang w:val="pl-PL"/>
              </w:rPr>
              <w:t xml:space="preserve">albo ocenę w skali PUCAI </w:t>
            </w:r>
            <w:r w:rsidRPr="009F29C6">
              <w:rPr>
                <w:color w:val="000000"/>
                <w:sz w:val="20"/>
                <w:szCs w:val="20"/>
                <w:lang w:val="pl-PL"/>
              </w:rPr>
              <w:t>przynajmniej co 8 tygodni.</w:t>
            </w:r>
          </w:p>
          <w:p w:rsidR="009F29C6" w:rsidRPr="009F29C6" w:rsidRDefault="009F29C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</w:p>
          <w:p w:rsidR="003748DE" w:rsidRPr="009F29C6" w:rsidRDefault="003748DE" w:rsidP="005A6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>2.2. Monitorowanie leczenia wedolizumabem</w:t>
            </w:r>
          </w:p>
          <w:p w:rsidR="003748DE" w:rsidRPr="009F29C6" w:rsidRDefault="003748DE" w:rsidP="005A684B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F29C6">
              <w:rPr>
                <w:sz w:val="20"/>
                <w:szCs w:val="20"/>
              </w:rPr>
              <w:t>W celu monitorowania leczenia świadczeniodawca jest zobowiązany wykonać nie rzadziej niż w 2, 6 i 1</w:t>
            </w:r>
            <w:r w:rsidR="005A684B">
              <w:rPr>
                <w:sz w:val="20"/>
                <w:szCs w:val="20"/>
              </w:rPr>
              <w:t>4</w:t>
            </w:r>
            <w:r w:rsidRPr="009F29C6">
              <w:rPr>
                <w:sz w:val="20"/>
                <w:szCs w:val="20"/>
              </w:rPr>
              <w:t xml:space="preserve"> tygodniu od podania pierwszej dawki leku następujące badania: </w:t>
            </w:r>
          </w:p>
          <w:p w:rsidR="003748DE" w:rsidRPr="009F29C6" w:rsidRDefault="003748DE" w:rsidP="005A684B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F29C6">
              <w:rPr>
                <w:sz w:val="20"/>
                <w:szCs w:val="20"/>
              </w:rPr>
              <w:t>1) ocena stopnia aktywności choroby w 2 i 6 tygodniu w częściowej skali Mayo</w:t>
            </w:r>
            <w:r w:rsidR="00C03A80">
              <w:rPr>
                <w:sz w:val="20"/>
                <w:szCs w:val="20"/>
              </w:rPr>
              <w:t>,</w:t>
            </w:r>
            <w:r w:rsidRPr="009F29C6">
              <w:rPr>
                <w:sz w:val="20"/>
                <w:szCs w:val="20"/>
              </w:rPr>
              <w:t xml:space="preserve"> </w:t>
            </w:r>
          </w:p>
          <w:p w:rsidR="003748DE" w:rsidRPr="009F29C6" w:rsidRDefault="003748DE" w:rsidP="005A684B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F29C6">
              <w:rPr>
                <w:sz w:val="20"/>
                <w:szCs w:val="20"/>
              </w:rPr>
              <w:t>2) ocena efektywności terapii indukcyjnej w 1</w:t>
            </w:r>
            <w:r w:rsidR="005A684B">
              <w:rPr>
                <w:sz w:val="20"/>
                <w:szCs w:val="20"/>
              </w:rPr>
              <w:t xml:space="preserve">4 </w:t>
            </w:r>
            <w:r w:rsidRPr="009F29C6">
              <w:rPr>
                <w:sz w:val="20"/>
                <w:szCs w:val="20"/>
              </w:rPr>
              <w:t>tygodniu od podania pierwszej dawki na podstawie pełnej oceny w ska</w:t>
            </w:r>
            <w:r w:rsidR="00C03A80">
              <w:rPr>
                <w:sz w:val="20"/>
                <w:szCs w:val="20"/>
              </w:rPr>
              <w:t>li Mayo,</w:t>
            </w:r>
          </w:p>
          <w:p w:rsidR="003748DE" w:rsidRPr="009F29C6" w:rsidRDefault="003748DE" w:rsidP="005A684B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F29C6">
              <w:rPr>
                <w:sz w:val="20"/>
                <w:szCs w:val="20"/>
              </w:rPr>
              <w:t>3) morfolog</w:t>
            </w:r>
            <w:r w:rsidR="00C03A80">
              <w:rPr>
                <w:sz w:val="20"/>
                <w:szCs w:val="20"/>
              </w:rPr>
              <w:t>ia z krwi obwodowej z rozmazem,</w:t>
            </w:r>
          </w:p>
          <w:p w:rsidR="00C03A80" w:rsidRDefault="00C03A80" w:rsidP="005A684B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CRP.</w:t>
            </w:r>
          </w:p>
          <w:p w:rsidR="00C03A80" w:rsidRPr="0002216C" w:rsidRDefault="00C03A80" w:rsidP="005A684B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606075" w:rsidRPr="00E13CFB" w:rsidRDefault="003748DE" w:rsidP="00E13CF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W leczeniu podtrzymującym świadczeniodawca jest zobowiązany wykonywać morfologię krwi obwodowej, CRP, </w:t>
            </w:r>
            <w:proofErr w:type="spellStart"/>
            <w:r w:rsidRPr="009F29C6">
              <w:rPr>
                <w:color w:val="000000"/>
                <w:sz w:val="20"/>
                <w:szCs w:val="20"/>
                <w:lang w:val="pl-PL"/>
              </w:rPr>
              <w:t>AlAT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9F29C6">
              <w:rPr>
                <w:color w:val="000000"/>
                <w:sz w:val="20"/>
                <w:szCs w:val="20"/>
                <w:lang w:val="pl-PL"/>
              </w:rPr>
              <w:t>AspAT</w:t>
            </w:r>
            <w:proofErr w:type="spellEnd"/>
            <w:r w:rsidRPr="009F29C6">
              <w:rPr>
                <w:color w:val="000000"/>
                <w:sz w:val="20"/>
                <w:szCs w:val="20"/>
                <w:lang w:val="pl-PL"/>
              </w:rPr>
              <w:t xml:space="preserve"> oraz ocenę Mayo bez endoskopii przynajmniej co 8 tygodni.</w:t>
            </w:r>
          </w:p>
          <w:p w:rsidR="00C03A80" w:rsidRPr="0002216C" w:rsidRDefault="00C03A80" w:rsidP="005A684B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606075" w:rsidRPr="009F29C6" w:rsidRDefault="00606075" w:rsidP="006F7D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b/>
                <w:bCs/>
                <w:color w:val="000000"/>
                <w:sz w:val="20"/>
                <w:szCs w:val="20"/>
                <w:lang w:val="pl-PL"/>
              </w:rPr>
              <w:t>3. Monitorowanie programu</w:t>
            </w:r>
          </w:p>
          <w:p w:rsidR="00606075" w:rsidRPr="009F29C6" w:rsidRDefault="00606075">
            <w:pPr>
              <w:autoSpaceDE w:val="0"/>
              <w:autoSpaceDN w:val="0"/>
              <w:adjustRightInd w:val="0"/>
              <w:spacing w:line="276" w:lineRule="auto"/>
              <w:ind w:left="369" w:hanging="369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606075" w:rsidRPr="009F29C6" w:rsidRDefault="0060607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606075" w:rsidRPr="009F29C6" w:rsidRDefault="0060607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4C23D8" w:rsidRPr="009F29C6" w:rsidRDefault="0060607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pl-PL" w:eastAsia="ar-SA"/>
              </w:rPr>
            </w:pPr>
            <w:r w:rsidRPr="009F29C6">
              <w:rPr>
                <w:color w:val="000000"/>
                <w:sz w:val="20"/>
                <w:szCs w:val="20"/>
                <w:lang w:val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4C23D8" w:rsidRPr="00FB326D" w:rsidRDefault="004C23D8" w:rsidP="00111C52">
      <w:pPr>
        <w:autoSpaceDE w:val="0"/>
        <w:autoSpaceDN w:val="0"/>
        <w:adjustRightInd w:val="0"/>
        <w:rPr>
          <w:b/>
          <w:bCs/>
          <w:color w:val="000000"/>
          <w:lang w:val="pl-PL"/>
        </w:rPr>
      </w:pPr>
    </w:p>
    <w:sectPr w:rsidR="004C23D8" w:rsidRPr="00FB326D" w:rsidSect="00BD1DB6"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7F3"/>
    <w:multiLevelType w:val="hybridMultilevel"/>
    <w:tmpl w:val="65142E5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EA2965"/>
    <w:multiLevelType w:val="hybridMultilevel"/>
    <w:tmpl w:val="A8A65D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0360F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6000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A008A"/>
    <w:multiLevelType w:val="hybridMultilevel"/>
    <w:tmpl w:val="9DB0E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6EC0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B717D"/>
    <w:multiLevelType w:val="hybridMultilevel"/>
    <w:tmpl w:val="A3800B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7" w15:restartNumberingAfterBreak="0">
    <w:nsid w:val="1AB13926"/>
    <w:multiLevelType w:val="hybridMultilevel"/>
    <w:tmpl w:val="54D023A0"/>
    <w:lvl w:ilvl="0" w:tplc="42702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C7168"/>
    <w:multiLevelType w:val="hybridMultilevel"/>
    <w:tmpl w:val="D180B35C"/>
    <w:lvl w:ilvl="0" w:tplc="973C5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7A99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B7F9C"/>
    <w:multiLevelType w:val="hybridMultilevel"/>
    <w:tmpl w:val="DD86E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F38EA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D7201"/>
    <w:multiLevelType w:val="hybridMultilevel"/>
    <w:tmpl w:val="661A50B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FB72B5"/>
    <w:multiLevelType w:val="hybridMultilevel"/>
    <w:tmpl w:val="F4C6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55335"/>
    <w:multiLevelType w:val="hybridMultilevel"/>
    <w:tmpl w:val="34B8C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267E5"/>
    <w:multiLevelType w:val="hybridMultilevel"/>
    <w:tmpl w:val="83B8C27E"/>
    <w:lvl w:ilvl="0" w:tplc="F81025C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172FF6"/>
    <w:multiLevelType w:val="hybridMultilevel"/>
    <w:tmpl w:val="9BD81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7110"/>
    <w:multiLevelType w:val="hybridMultilevel"/>
    <w:tmpl w:val="8D22F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64B37"/>
    <w:multiLevelType w:val="hybridMultilevel"/>
    <w:tmpl w:val="983EF582"/>
    <w:lvl w:ilvl="0" w:tplc="198A4814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02044BA"/>
    <w:multiLevelType w:val="hybridMultilevel"/>
    <w:tmpl w:val="C958D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B7832"/>
    <w:multiLevelType w:val="hybridMultilevel"/>
    <w:tmpl w:val="E0967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C02F6"/>
    <w:multiLevelType w:val="hybridMultilevel"/>
    <w:tmpl w:val="92208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024D9"/>
    <w:multiLevelType w:val="hybridMultilevel"/>
    <w:tmpl w:val="9B164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625C3"/>
    <w:multiLevelType w:val="hybridMultilevel"/>
    <w:tmpl w:val="33361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45662"/>
    <w:multiLevelType w:val="multilevel"/>
    <w:tmpl w:val="A21EEB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4C509D"/>
    <w:multiLevelType w:val="hybridMultilevel"/>
    <w:tmpl w:val="B92EA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E616E"/>
    <w:multiLevelType w:val="hybridMultilevel"/>
    <w:tmpl w:val="0E7AD1A6"/>
    <w:lvl w:ilvl="0" w:tplc="2C7A9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473BB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603D62"/>
    <w:multiLevelType w:val="hybridMultilevel"/>
    <w:tmpl w:val="2D14A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03678"/>
    <w:multiLevelType w:val="hybridMultilevel"/>
    <w:tmpl w:val="DC821A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A804D1"/>
    <w:multiLevelType w:val="hybridMultilevel"/>
    <w:tmpl w:val="011CF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50A23"/>
    <w:multiLevelType w:val="hybridMultilevel"/>
    <w:tmpl w:val="0324B434"/>
    <w:lvl w:ilvl="0" w:tplc="42702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C2DDB"/>
    <w:multiLevelType w:val="hybridMultilevel"/>
    <w:tmpl w:val="D714B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E6704"/>
    <w:multiLevelType w:val="hybridMultilevel"/>
    <w:tmpl w:val="C1600AEC"/>
    <w:lvl w:ilvl="0" w:tplc="BE2074B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E6B58"/>
    <w:multiLevelType w:val="hybridMultilevel"/>
    <w:tmpl w:val="A3CC5E78"/>
    <w:lvl w:ilvl="0" w:tplc="1B46C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032DB"/>
    <w:multiLevelType w:val="hybridMultilevel"/>
    <w:tmpl w:val="78F24CB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1A3561"/>
    <w:multiLevelType w:val="hybridMultilevel"/>
    <w:tmpl w:val="FF946AE2"/>
    <w:lvl w:ilvl="0" w:tplc="D43EE678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247DC"/>
    <w:multiLevelType w:val="hybridMultilevel"/>
    <w:tmpl w:val="47862DD8"/>
    <w:lvl w:ilvl="0" w:tplc="F68AAB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E01E2"/>
    <w:multiLevelType w:val="multilevel"/>
    <w:tmpl w:val="8D22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F549E"/>
    <w:multiLevelType w:val="hybridMultilevel"/>
    <w:tmpl w:val="83FA7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767"/>
    <w:multiLevelType w:val="hybridMultilevel"/>
    <w:tmpl w:val="20B41506"/>
    <w:lvl w:ilvl="0" w:tplc="E2940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0"/>
  </w:num>
  <w:num w:numId="4">
    <w:abstractNumId w:val="17"/>
  </w:num>
  <w:num w:numId="5">
    <w:abstractNumId w:val="38"/>
  </w:num>
  <w:num w:numId="6">
    <w:abstractNumId w:val="35"/>
  </w:num>
  <w:num w:numId="7">
    <w:abstractNumId w:val="12"/>
  </w:num>
  <w:num w:numId="8">
    <w:abstractNumId w:val="24"/>
  </w:num>
  <w:num w:numId="9">
    <w:abstractNumId w:val="0"/>
  </w:num>
  <w:num w:numId="10">
    <w:abstractNumId w:val="33"/>
  </w:num>
  <w:num w:numId="11">
    <w:abstractNumId w:val="23"/>
  </w:num>
  <w:num w:numId="12">
    <w:abstractNumId w:val="18"/>
  </w:num>
  <w:num w:numId="13">
    <w:abstractNumId w:val="6"/>
  </w:num>
  <w:num w:numId="14">
    <w:abstractNumId w:val="20"/>
  </w:num>
  <w:num w:numId="15">
    <w:abstractNumId w:val="7"/>
  </w:num>
  <w:num w:numId="16">
    <w:abstractNumId w:val="27"/>
  </w:num>
  <w:num w:numId="17">
    <w:abstractNumId w:val="37"/>
  </w:num>
  <w:num w:numId="18">
    <w:abstractNumId w:val="19"/>
  </w:num>
  <w:num w:numId="19">
    <w:abstractNumId w:val="4"/>
  </w:num>
  <w:num w:numId="20">
    <w:abstractNumId w:val="30"/>
  </w:num>
  <w:num w:numId="21">
    <w:abstractNumId w:val="14"/>
  </w:num>
  <w:num w:numId="22">
    <w:abstractNumId w:val="15"/>
  </w:num>
  <w:num w:numId="23">
    <w:abstractNumId w:val="39"/>
  </w:num>
  <w:num w:numId="24">
    <w:abstractNumId w:val="22"/>
  </w:num>
  <w:num w:numId="25">
    <w:abstractNumId w:val="16"/>
  </w:num>
  <w:num w:numId="26">
    <w:abstractNumId w:val="11"/>
  </w:num>
  <w:num w:numId="27">
    <w:abstractNumId w:val="3"/>
  </w:num>
  <w:num w:numId="28">
    <w:abstractNumId w:val="9"/>
  </w:num>
  <w:num w:numId="29">
    <w:abstractNumId w:val="13"/>
  </w:num>
  <w:num w:numId="30">
    <w:abstractNumId w:val="31"/>
  </w:num>
  <w:num w:numId="31">
    <w:abstractNumId w:val="2"/>
  </w:num>
  <w:num w:numId="32">
    <w:abstractNumId w:val="26"/>
  </w:num>
  <w:num w:numId="33">
    <w:abstractNumId w:val="8"/>
  </w:num>
  <w:num w:numId="34">
    <w:abstractNumId w:val="21"/>
  </w:num>
  <w:num w:numId="35">
    <w:abstractNumId w:val="32"/>
  </w:num>
  <w:num w:numId="36">
    <w:abstractNumId w:val="28"/>
  </w:num>
  <w:num w:numId="37">
    <w:abstractNumId w:val="29"/>
  </w:num>
  <w:num w:numId="38">
    <w:abstractNumId w:val="36"/>
  </w:num>
  <w:num w:numId="39">
    <w:abstractNumId w:val="40"/>
  </w:num>
  <w:num w:numId="40">
    <w:abstractNumId w:val="5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F"/>
    <w:rsid w:val="00001396"/>
    <w:rsid w:val="000070BF"/>
    <w:rsid w:val="00007B44"/>
    <w:rsid w:val="00020B7E"/>
    <w:rsid w:val="0002216C"/>
    <w:rsid w:val="00022187"/>
    <w:rsid w:val="0003087D"/>
    <w:rsid w:val="00032C3B"/>
    <w:rsid w:val="000376DC"/>
    <w:rsid w:val="00041A95"/>
    <w:rsid w:val="0005306A"/>
    <w:rsid w:val="000652C4"/>
    <w:rsid w:val="000A580D"/>
    <w:rsid w:val="000E3082"/>
    <w:rsid w:val="00111C52"/>
    <w:rsid w:val="00125985"/>
    <w:rsid w:val="00146F67"/>
    <w:rsid w:val="0015209C"/>
    <w:rsid w:val="00155103"/>
    <w:rsid w:val="00157202"/>
    <w:rsid w:val="00166E86"/>
    <w:rsid w:val="00174771"/>
    <w:rsid w:val="00175B0E"/>
    <w:rsid w:val="00177B3C"/>
    <w:rsid w:val="00190466"/>
    <w:rsid w:val="001C509E"/>
    <w:rsid w:val="001D4815"/>
    <w:rsid w:val="00234B94"/>
    <w:rsid w:val="00250D8C"/>
    <w:rsid w:val="00260517"/>
    <w:rsid w:val="0026334D"/>
    <w:rsid w:val="00270781"/>
    <w:rsid w:val="002779C8"/>
    <w:rsid w:val="0029475A"/>
    <w:rsid w:val="002A6281"/>
    <w:rsid w:val="002A750A"/>
    <w:rsid w:val="002B4F20"/>
    <w:rsid w:val="002C366A"/>
    <w:rsid w:val="002D0243"/>
    <w:rsid w:val="002D32E4"/>
    <w:rsid w:val="002E051C"/>
    <w:rsid w:val="003248D4"/>
    <w:rsid w:val="0035087F"/>
    <w:rsid w:val="003611FF"/>
    <w:rsid w:val="003748DE"/>
    <w:rsid w:val="00380B03"/>
    <w:rsid w:val="00382823"/>
    <w:rsid w:val="003C50F4"/>
    <w:rsid w:val="003D0877"/>
    <w:rsid w:val="00404A6A"/>
    <w:rsid w:val="004059C3"/>
    <w:rsid w:val="004120EE"/>
    <w:rsid w:val="00421F52"/>
    <w:rsid w:val="00455C0D"/>
    <w:rsid w:val="0046157E"/>
    <w:rsid w:val="004734C5"/>
    <w:rsid w:val="00473C75"/>
    <w:rsid w:val="00477B99"/>
    <w:rsid w:val="004A62E5"/>
    <w:rsid w:val="004C23D8"/>
    <w:rsid w:val="004C5180"/>
    <w:rsid w:val="004C7EF2"/>
    <w:rsid w:val="004D01DC"/>
    <w:rsid w:val="004E1B02"/>
    <w:rsid w:val="00520944"/>
    <w:rsid w:val="00536F1A"/>
    <w:rsid w:val="00594E16"/>
    <w:rsid w:val="005A662E"/>
    <w:rsid w:val="005A684B"/>
    <w:rsid w:val="005C467B"/>
    <w:rsid w:val="005D20BA"/>
    <w:rsid w:val="005D363E"/>
    <w:rsid w:val="005E41E9"/>
    <w:rsid w:val="005F1E21"/>
    <w:rsid w:val="00603D67"/>
    <w:rsid w:val="00606075"/>
    <w:rsid w:val="00607BD4"/>
    <w:rsid w:val="00612410"/>
    <w:rsid w:val="00640B38"/>
    <w:rsid w:val="00641008"/>
    <w:rsid w:val="0064453A"/>
    <w:rsid w:val="00650558"/>
    <w:rsid w:val="006527D3"/>
    <w:rsid w:val="0068241B"/>
    <w:rsid w:val="00682E09"/>
    <w:rsid w:val="006951DD"/>
    <w:rsid w:val="006B051A"/>
    <w:rsid w:val="006B0BDA"/>
    <w:rsid w:val="006E50FA"/>
    <w:rsid w:val="006F067B"/>
    <w:rsid w:val="006F7D07"/>
    <w:rsid w:val="00711B48"/>
    <w:rsid w:val="00712FC2"/>
    <w:rsid w:val="00724FF5"/>
    <w:rsid w:val="007268F8"/>
    <w:rsid w:val="00732028"/>
    <w:rsid w:val="00746C87"/>
    <w:rsid w:val="0074718E"/>
    <w:rsid w:val="007602E0"/>
    <w:rsid w:val="0076129B"/>
    <w:rsid w:val="007914B9"/>
    <w:rsid w:val="00795618"/>
    <w:rsid w:val="007A04CF"/>
    <w:rsid w:val="007B4EA1"/>
    <w:rsid w:val="007B77D6"/>
    <w:rsid w:val="007D1314"/>
    <w:rsid w:val="007E162F"/>
    <w:rsid w:val="007F6334"/>
    <w:rsid w:val="007F642C"/>
    <w:rsid w:val="00803A33"/>
    <w:rsid w:val="00821FD6"/>
    <w:rsid w:val="00827839"/>
    <w:rsid w:val="00836E4F"/>
    <w:rsid w:val="0084560D"/>
    <w:rsid w:val="00853997"/>
    <w:rsid w:val="00864D3B"/>
    <w:rsid w:val="0087243E"/>
    <w:rsid w:val="008B7F96"/>
    <w:rsid w:val="008D21C5"/>
    <w:rsid w:val="008E0459"/>
    <w:rsid w:val="008E16C3"/>
    <w:rsid w:val="008F388F"/>
    <w:rsid w:val="008F42F2"/>
    <w:rsid w:val="008F60C3"/>
    <w:rsid w:val="00906287"/>
    <w:rsid w:val="00922C7C"/>
    <w:rsid w:val="00927721"/>
    <w:rsid w:val="00952A9B"/>
    <w:rsid w:val="00955DAF"/>
    <w:rsid w:val="00967A50"/>
    <w:rsid w:val="00983208"/>
    <w:rsid w:val="0099103D"/>
    <w:rsid w:val="0099371D"/>
    <w:rsid w:val="009A0152"/>
    <w:rsid w:val="009A4EB7"/>
    <w:rsid w:val="009D22C4"/>
    <w:rsid w:val="009F29C6"/>
    <w:rsid w:val="00A033D8"/>
    <w:rsid w:val="00A0364E"/>
    <w:rsid w:val="00A10343"/>
    <w:rsid w:val="00A109EE"/>
    <w:rsid w:val="00A143F2"/>
    <w:rsid w:val="00A52A4F"/>
    <w:rsid w:val="00A74D2D"/>
    <w:rsid w:val="00A9597F"/>
    <w:rsid w:val="00AA2306"/>
    <w:rsid w:val="00AF45AA"/>
    <w:rsid w:val="00B112F7"/>
    <w:rsid w:val="00B21289"/>
    <w:rsid w:val="00B30559"/>
    <w:rsid w:val="00B475FE"/>
    <w:rsid w:val="00B51DAF"/>
    <w:rsid w:val="00B5392C"/>
    <w:rsid w:val="00B53D47"/>
    <w:rsid w:val="00B70E1F"/>
    <w:rsid w:val="00B73CDF"/>
    <w:rsid w:val="00B74284"/>
    <w:rsid w:val="00B867B4"/>
    <w:rsid w:val="00BB7A2D"/>
    <w:rsid w:val="00BD1DB6"/>
    <w:rsid w:val="00BD38C2"/>
    <w:rsid w:val="00BE05CB"/>
    <w:rsid w:val="00BF1F50"/>
    <w:rsid w:val="00C0172D"/>
    <w:rsid w:val="00C03A80"/>
    <w:rsid w:val="00C3445B"/>
    <w:rsid w:val="00C45D26"/>
    <w:rsid w:val="00C464E9"/>
    <w:rsid w:val="00C4717D"/>
    <w:rsid w:val="00C47741"/>
    <w:rsid w:val="00C554D2"/>
    <w:rsid w:val="00C83FD1"/>
    <w:rsid w:val="00CB24C6"/>
    <w:rsid w:val="00CB7953"/>
    <w:rsid w:val="00D37E56"/>
    <w:rsid w:val="00D441C1"/>
    <w:rsid w:val="00D52EE2"/>
    <w:rsid w:val="00D95EC0"/>
    <w:rsid w:val="00E059FF"/>
    <w:rsid w:val="00E13CFB"/>
    <w:rsid w:val="00E2295E"/>
    <w:rsid w:val="00E33AEA"/>
    <w:rsid w:val="00E67AA6"/>
    <w:rsid w:val="00EA6196"/>
    <w:rsid w:val="00EC2311"/>
    <w:rsid w:val="00ED0C7B"/>
    <w:rsid w:val="00EE427E"/>
    <w:rsid w:val="00EE49C0"/>
    <w:rsid w:val="00F03992"/>
    <w:rsid w:val="00F123B2"/>
    <w:rsid w:val="00F21873"/>
    <w:rsid w:val="00F321AA"/>
    <w:rsid w:val="00F565FC"/>
    <w:rsid w:val="00F645D8"/>
    <w:rsid w:val="00F9509B"/>
    <w:rsid w:val="00F9628E"/>
    <w:rsid w:val="00FA0137"/>
    <w:rsid w:val="00FB326D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556F61-169D-4041-8EAB-1EC974FE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D52EE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52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2EE2"/>
    <w:rPr>
      <w:b/>
      <w:bCs/>
    </w:rPr>
  </w:style>
  <w:style w:type="paragraph" w:styleId="Tekstdymka">
    <w:name w:val="Balloon Text"/>
    <w:basedOn w:val="Normalny"/>
    <w:semiHidden/>
    <w:rsid w:val="00D52EE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75B0E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C464E9"/>
    <w:pPr>
      <w:ind w:left="720"/>
      <w:contextualSpacing/>
    </w:pPr>
  </w:style>
  <w:style w:type="paragraph" w:customStyle="1" w:styleId="Default">
    <w:name w:val="Default"/>
    <w:rsid w:val="003748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7B9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CB2D-A596-4A01-AD9E-E6A7A50C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7188</Characters>
  <DocSecurity>4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2018-03-16T11:32:00Z</cp:lastPrinted>
  <dcterms:created xsi:type="dcterms:W3CDTF">2018-04-19T14:21:00Z</dcterms:created>
  <dcterms:modified xsi:type="dcterms:W3CDTF">2018-04-19T14:21:00Z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