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1D355" w14:textId="455E8847" w:rsidR="00564B01" w:rsidRPr="00DC40BE" w:rsidRDefault="00106880" w:rsidP="00615826">
      <w:pPr>
        <w:pStyle w:val="Pagedecouverture"/>
        <w:rPr>
          <w:noProof/>
          <w:lang w:val="pl-PL"/>
        </w:rPr>
      </w:pPr>
      <w:bookmarkStart w:id="0" w:name="LW_BM_COVERPAGE"/>
      <w:bookmarkStart w:id="1" w:name="_GoBack"/>
      <w:r>
        <w:rPr>
          <w:noProof/>
          <w:lang w:val="pl-PL"/>
        </w:rPr>
        <w:pict w14:anchorId="110C6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F72E7F8-96E5-495F-AB95-B210F98C7921" style="width:455.15pt;height:324.25pt">
            <v:imagedata r:id="rId15" o:title=""/>
          </v:shape>
        </w:pict>
      </w:r>
      <w:bookmarkEnd w:id="1"/>
    </w:p>
    <w:bookmarkEnd w:id="0"/>
    <w:p w14:paraId="7E344E33" w14:textId="77777777" w:rsidR="00564B01" w:rsidRPr="00DC40BE" w:rsidRDefault="00564B01" w:rsidP="00E8781C">
      <w:pPr>
        <w:spacing w:before="100" w:beforeAutospacing="1" w:after="100" w:afterAutospacing="1" w:line="276" w:lineRule="auto"/>
        <w:rPr>
          <w:noProof/>
          <w:lang w:val="pl-PL"/>
        </w:rPr>
        <w:sectPr w:rsidR="00564B01" w:rsidRPr="00DC40BE" w:rsidSect="00615826">
          <w:headerReference w:type="even" r:id="rId16"/>
          <w:headerReference w:type="default" r:id="rId17"/>
          <w:footerReference w:type="even" r:id="rId18"/>
          <w:footerReference w:type="default" r:id="rId19"/>
          <w:headerReference w:type="first" r:id="rId20"/>
          <w:footerReference w:type="first" r:id="rId21"/>
          <w:endnotePr>
            <w:numFmt w:val="lowerLetter"/>
          </w:endnotePr>
          <w:pgSz w:w="11906" w:h="16838"/>
          <w:pgMar w:top="1134" w:right="1417" w:bottom="1134" w:left="1417" w:header="709" w:footer="709" w:gutter="0"/>
          <w:pgNumType w:start="0"/>
          <w:cols w:space="720"/>
          <w:docGrid w:linePitch="326"/>
        </w:sectPr>
      </w:pPr>
    </w:p>
    <w:p w14:paraId="32A07D31" w14:textId="77777777" w:rsidR="005A4888" w:rsidRPr="00DC40BE" w:rsidRDefault="005A4888" w:rsidP="00E8781C">
      <w:pPr>
        <w:spacing w:before="100" w:beforeAutospacing="1" w:after="100" w:afterAutospacing="1" w:line="276" w:lineRule="auto"/>
        <w:jc w:val="center"/>
        <w:rPr>
          <w:b/>
          <w:noProof/>
          <w:lang w:val="pl-PL"/>
        </w:rPr>
      </w:pPr>
      <w:bookmarkStart w:id="2" w:name="_Toc2075805554"/>
      <w:bookmarkStart w:id="3" w:name="_Toc146296667"/>
      <w:r w:rsidRPr="00DC40BE">
        <w:rPr>
          <w:b/>
          <w:noProof/>
          <w:lang w:val="pl-PL"/>
        </w:rPr>
        <w:lastRenderedPageBreak/>
        <w:t xml:space="preserve">Sprawozdanie dotyczące stosowania rozporządzenia (UE) 2019/788 </w:t>
      </w:r>
    </w:p>
    <w:p w14:paraId="51EF8BCE" w14:textId="1612C35B" w:rsidR="005A4888" w:rsidRPr="00DC40BE" w:rsidRDefault="005A4888" w:rsidP="00E8781C">
      <w:pPr>
        <w:spacing w:before="100" w:beforeAutospacing="1" w:after="100" w:afterAutospacing="1" w:line="276" w:lineRule="auto"/>
        <w:jc w:val="center"/>
        <w:rPr>
          <w:b/>
          <w:noProof/>
          <w:lang w:val="pl-PL"/>
        </w:rPr>
      </w:pPr>
      <w:r w:rsidRPr="00DC40BE">
        <w:rPr>
          <w:b/>
          <w:noProof/>
          <w:lang w:val="pl-PL"/>
        </w:rPr>
        <w:t>w sprawie europejskiej inicjatywy obywatelskiej</w:t>
      </w:r>
    </w:p>
    <w:bookmarkEnd w:id="2"/>
    <w:bookmarkEnd w:id="3"/>
    <w:p w14:paraId="5A062549" w14:textId="347CF5AD" w:rsidR="005A4888" w:rsidRPr="00DC40BE" w:rsidRDefault="005A4888" w:rsidP="00E8781C">
      <w:pPr>
        <w:pStyle w:val="Nagwek1"/>
        <w:numPr>
          <w:ilvl w:val="0"/>
          <w:numId w:val="16"/>
        </w:numPr>
        <w:tabs>
          <w:tab w:val="clear" w:pos="7145"/>
          <w:tab w:val="num" w:pos="482"/>
        </w:tabs>
        <w:spacing w:before="100" w:beforeAutospacing="1" w:after="100" w:afterAutospacing="1" w:line="276" w:lineRule="auto"/>
        <w:ind w:left="482"/>
        <w:rPr>
          <w:noProof/>
          <w:lang w:val="pl-PL"/>
        </w:rPr>
      </w:pPr>
      <w:r w:rsidRPr="00DC40BE">
        <w:rPr>
          <w:noProof/>
          <w:lang w:val="pl-PL"/>
        </w:rPr>
        <w:t>WPROWADZENIE</w:t>
      </w:r>
    </w:p>
    <w:p w14:paraId="38D158BB" w14:textId="79F5D2F3" w:rsidR="005A4888" w:rsidRPr="00DC40BE" w:rsidRDefault="00106880" w:rsidP="00E8781C">
      <w:pPr>
        <w:spacing w:before="100" w:beforeAutospacing="1" w:after="100" w:afterAutospacing="1" w:line="276" w:lineRule="auto"/>
        <w:rPr>
          <w:noProof/>
          <w:lang w:val="pl-PL"/>
        </w:rPr>
      </w:pPr>
      <w:hyperlink r:id="rId22" w:history="1">
        <w:r w:rsidR="005A4888" w:rsidRPr="00DC40BE">
          <w:rPr>
            <w:rStyle w:val="Hipercze"/>
            <w:noProof/>
            <w:lang w:val="pl-PL"/>
          </w:rPr>
          <w:t>Rozporządzenie (UE) 2019/788</w:t>
        </w:r>
      </w:hyperlink>
      <w:r w:rsidR="00DC40BE" w:rsidRPr="00DC40BE">
        <w:rPr>
          <w:noProof/>
          <w:lang w:val="pl-PL"/>
        </w:rPr>
        <w:t xml:space="preserve"> w spr</w:t>
      </w:r>
      <w:r w:rsidR="005A4888" w:rsidRPr="00DC40BE">
        <w:rPr>
          <w:noProof/>
          <w:lang w:val="pl-PL"/>
        </w:rPr>
        <w:t>awie europejskiej inicjatywy obywatelskiej(</w:t>
      </w:r>
      <w:r w:rsidR="005A4888" w:rsidRPr="00DC40BE">
        <w:rPr>
          <w:rStyle w:val="Odwoanieprzypisudolnego"/>
          <w:noProof/>
          <w:lang w:val="pl-PL"/>
        </w:rPr>
        <w:footnoteReference w:id="2"/>
      </w:r>
      <w:r w:rsidR="005A4888" w:rsidRPr="00DC40BE">
        <w:rPr>
          <w:noProof/>
          <w:lang w:val="pl-PL"/>
        </w:rPr>
        <w:t>) (rozporządzenie</w:t>
      </w:r>
      <w:r w:rsidR="00DC40BE" w:rsidRPr="00DC40BE">
        <w:rPr>
          <w:noProof/>
          <w:lang w:val="pl-PL"/>
        </w:rPr>
        <w:t xml:space="preserve"> w spr</w:t>
      </w:r>
      <w:r w:rsidR="005A4888" w:rsidRPr="00DC40BE">
        <w:rPr>
          <w:noProof/>
          <w:lang w:val="pl-PL"/>
        </w:rPr>
        <w:t>awie EIO) weszło</w:t>
      </w:r>
      <w:r w:rsidR="00DC40BE" w:rsidRPr="00DC40BE">
        <w:rPr>
          <w:noProof/>
          <w:lang w:val="pl-PL"/>
        </w:rPr>
        <w:t xml:space="preserve"> w życ</w:t>
      </w:r>
      <w:r w:rsidR="005A4888" w:rsidRPr="00DC40BE">
        <w:rPr>
          <w:noProof/>
          <w:lang w:val="pl-PL"/>
        </w:rPr>
        <w:t>ie 1 stycznia 2020</w:t>
      </w:r>
      <w:r w:rsidR="00DC40BE" w:rsidRPr="00DC40BE">
        <w:rPr>
          <w:noProof/>
          <w:lang w:val="pl-PL"/>
        </w:rPr>
        <w:t> </w:t>
      </w:r>
      <w:r w:rsidR="005A4888" w:rsidRPr="00DC40BE">
        <w:rPr>
          <w:noProof/>
          <w:lang w:val="pl-PL"/>
        </w:rPr>
        <w:t>r. Drugie rozporządzenie</w:t>
      </w:r>
      <w:r w:rsidR="00DC40BE" w:rsidRPr="00DC40BE">
        <w:rPr>
          <w:noProof/>
          <w:lang w:val="pl-PL"/>
        </w:rPr>
        <w:t xml:space="preserve"> w spr</w:t>
      </w:r>
      <w:r w:rsidR="005A4888" w:rsidRPr="00DC40BE">
        <w:rPr>
          <w:noProof/>
          <w:lang w:val="pl-PL"/>
        </w:rPr>
        <w:t>awie EIO przyjęto</w:t>
      </w:r>
      <w:r w:rsidR="00DC40BE" w:rsidRPr="00DC40BE">
        <w:rPr>
          <w:noProof/>
          <w:lang w:val="pl-PL"/>
        </w:rPr>
        <w:t xml:space="preserve"> w nas</w:t>
      </w:r>
      <w:r w:rsidR="005A4888" w:rsidRPr="00DC40BE">
        <w:rPr>
          <w:noProof/>
          <w:lang w:val="pl-PL"/>
        </w:rPr>
        <w:t>tępstwie szeroko zakrojonej reformy legislacyjnej,</w:t>
      </w:r>
      <w:r w:rsidR="00DC40BE" w:rsidRPr="00DC40BE">
        <w:rPr>
          <w:noProof/>
          <w:lang w:val="pl-PL"/>
        </w:rPr>
        <w:t xml:space="preserve"> w któ</w:t>
      </w:r>
      <w:r w:rsidR="005A4888" w:rsidRPr="00DC40BE">
        <w:rPr>
          <w:noProof/>
          <w:lang w:val="pl-PL"/>
        </w:rPr>
        <w:t>rej dążono do wyeliminowania niedociągnięć związanych ze stosowaniem pierwszego rozporządzenia</w:t>
      </w:r>
      <w:r w:rsidR="00DC40BE" w:rsidRPr="00DC40BE">
        <w:rPr>
          <w:noProof/>
          <w:lang w:val="pl-PL"/>
        </w:rPr>
        <w:t xml:space="preserve"> w spr</w:t>
      </w:r>
      <w:r w:rsidR="005A4888" w:rsidRPr="00DC40BE">
        <w:rPr>
          <w:noProof/>
          <w:lang w:val="pl-PL"/>
        </w:rPr>
        <w:t>awie EIO (</w:t>
      </w:r>
      <w:hyperlink r:id="rId23" w:history="1">
        <w:r w:rsidR="005A4888" w:rsidRPr="00DC40BE">
          <w:rPr>
            <w:rStyle w:val="Hipercze"/>
            <w:noProof/>
            <w:color w:val="082B7A"/>
            <w:lang w:val="pl-PL"/>
          </w:rPr>
          <w:t>rozporządzenie (UE) nr</w:t>
        </w:r>
        <w:r w:rsidR="00DC40BE" w:rsidRPr="00DC40BE">
          <w:rPr>
            <w:rStyle w:val="Hipercze"/>
            <w:noProof/>
            <w:color w:val="082B7A"/>
            <w:lang w:val="pl-PL"/>
          </w:rPr>
          <w:t> </w:t>
        </w:r>
        <w:r w:rsidR="005A4888" w:rsidRPr="00DC40BE">
          <w:rPr>
            <w:rStyle w:val="Hipercze"/>
            <w:noProof/>
            <w:color w:val="082B7A"/>
            <w:lang w:val="pl-PL"/>
          </w:rPr>
          <w:t>211/2011</w:t>
        </w:r>
      </w:hyperlink>
      <w:r w:rsidR="005A4888" w:rsidRPr="00DC40BE">
        <w:rPr>
          <w:rStyle w:val="Hipercze"/>
          <w:noProof/>
          <w:color w:val="082B7A"/>
          <w:lang w:val="pl-PL"/>
        </w:rPr>
        <w:t>(</w:t>
      </w:r>
      <w:r w:rsidR="005A4888" w:rsidRPr="00DC40BE">
        <w:rPr>
          <w:rStyle w:val="Odwoanieprzypisudolnego"/>
          <w:noProof/>
          <w:lang w:val="pl-PL"/>
        </w:rPr>
        <w:footnoteReference w:id="3"/>
      </w:r>
      <w:r w:rsidR="005A4888" w:rsidRPr="00DC40BE">
        <w:rPr>
          <w:rStyle w:val="Hipercze"/>
          <w:noProof/>
          <w:color w:val="082B7A"/>
          <w:lang w:val="pl-PL"/>
        </w:rPr>
        <w:t>)</w:t>
      </w:r>
      <w:r w:rsidR="005A4888" w:rsidRPr="00DC40BE">
        <w:rPr>
          <w:noProof/>
          <w:lang w:val="pl-PL"/>
        </w:rPr>
        <w:t>). Zmienione przepisy zmierzają do „uczynienia europejskiej inicjatywy obywatelskiej bardziej dostępną, mniej obciążającą</w:t>
      </w:r>
      <w:r w:rsidR="00DC40BE" w:rsidRPr="00DC40BE">
        <w:rPr>
          <w:noProof/>
          <w:lang w:val="pl-PL"/>
        </w:rPr>
        <w:t xml:space="preserve"> i łat</w:t>
      </w:r>
      <w:r w:rsidR="005A4888" w:rsidRPr="00DC40BE">
        <w:rPr>
          <w:noProof/>
          <w:lang w:val="pl-PL"/>
        </w:rPr>
        <w:t>wiejszą</w:t>
      </w:r>
      <w:r w:rsidR="00DC40BE" w:rsidRPr="00DC40BE">
        <w:rPr>
          <w:noProof/>
          <w:lang w:val="pl-PL"/>
        </w:rPr>
        <w:t xml:space="preserve"> w kor</w:t>
      </w:r>
      <w:r w:rsidR="005A4888" w:rsidRPr="00DC40BE">
        <w:rPr>
          <w:noProof/>
          <w:lang w:val="pl-PL"/>
        </w:rPr>
        <w:t>zystaniu dla organizatorów</w:t>
      </w:r>
      <w:r w:rsidR="00DC40BE" w:rsidRPr="00DC40BE">
        <w:rPr>
          <w:noProof/>
          <w:lang w:val="pl-PL"/>
        </w:rPr>
        <w:t xml:space="preserve"> i zwo</w:t>
      </w:r>
      <w:r w:rsidR="005A4888" w:rsidRPr="00DC40BE">
        <w:rPr>
          <w:noProof/>
          <w:lang w:val="pl-PL"/>
        </w:rPr>
        <w:t>lenników,</w:t>
      </w:r>
      <w:r w:rsidR="00DC40BE" w:rsidRPr="00DC40BE">
        <w:rPr>
          <w:noProof/>
          <w:lang w:val="pl-PL"/>
        </w:rPr>
        <w:t xml:space="preserve"> a tak</w:t>
      </w:r>
      <w:r w:rsidR="005A4888" w:rsidRPr="00DC40BE">
        <w:rPr>
          <w:noProof/>
          <w:lang w:val="pl-PL"/>
        </w:rPr>
        <w:t>że do wzmocnienia jej monitorowania</w:t>
      </w:r>
      <w:r w:rsidR="00DC40BE" w:rsidRPr="00DC40BE">
        <w:rPr>
          <w:noProof/>
          <w:lang w:val="pl-PL"/>
        </w:rPr>
        <w:t xml:space="preserve"> w cel</w:t>
      </w:r>
      <w:r w:rsidR="005A4888" w:rsidRPr="00DC40BE">
        <w:rPr>
          <w:noProof/>
          <w:lang w:val="pl-PL"/>
        </w:rPr>
        <w:t>u realizacji jej pełnego potencjału jako narzędzia promowania debaty”(</w:t>
      </w:r>
      <w:r w:rsidR="005A4888" w:rsidRPr="00DC40BE">
        <w:rPr>
          <w:rStyle w:val="Odwoanieprzypisudolnego"/>
          <w:noProof/>
          <w:lang w:val="pl-PL"/>
        </w:rPr>
        <w:footnoteReference w:id="4"/>
      </w:r>
      <w:r w:rsidR="005A4888" w:rsidRPr="00DC40BE">
        <w:rPr>
          <w:noProof/>
          <w:lang w:val="pl-PL"/>
        </w:rPr>
        <w:t xml:space="preserve">). </w:t>
      </w:r>
    </w:p>
    <w:p w14:paraId="5245D766" w14:textId="2AB205F8" w:rsidR="005A4888" w:rsidRPr="00DC40BE" w:rsidRDefault="005A4888" w:rsidP="00E8781C">
      <w:pPr>
        <w:spacing w:before="100" w:beforeAutospacing="1" w:after="100" w:afterAutospacing="1" w:line="276" w:lineRule="auto"/>
        <w:rPr>
          <w:noProof/>
          <w:lang w:val="pl-PL"/>
        </w:rPr>
      </w:pPr>
      <w:r w:rsidRPr="00DC40BE">
        <w:rPr>
          <w:noProof/>
          <w:lang w:val="pl-PL"/>
        </w:rPr>
        <w:t>Zgodnie</w:t>
      </w:r>
      <w:r w:rsidR="00DC40BE" w:rsidRPr="00DC40BE">
        <w:rPr>
          <w:noProof/>
          <w:lang w:val="pl-PL"/>
        </w:rPr>
        <w:t xml:space="preserve"> z art</w:t>
      </w:r>
      <w:r w:rsidRPr="00DC40BE">
        <w:rPr>
          <w:noProof/>
          <w:lang w:val="pl-PL"/>
        </w:rPr>
        <w:t>.</w:t>
      </w:r>
      <w:r w:rsidR="00DC40BE" w:rsidRPr="00DC40BE">
        <w:rPr>
          <w:noProof/>
          <w:lang w:val="pl-PL"/>
        </w:rPr>
        <w:t> </w:t>
      </w:r>
      <w:r w:rsidRPr="00DC40BE">
        <w:rPr>
          <w:noProof/>
          <w:lang w:val="pl-PL"/>
        </w:rPr>
        <w:t>25 rozporządzenia</w:t>
      </w:r>
      <w:r w:rsidR="00DC40BE" w:rsidRPr="00DC40BE">
        <w:rPr>
          <w:noProof/>
          <w:lang w:val="pl-PL"/>
        </w:rPr>
        <w:t xml:space="preserve"> w spr</w:t>
      </w:r>
      <w:r w:rsidRPr="00DC40BE">
        <w:rPr>
          <w:noProof/>
          <w:lang w:val="pl-PL"/>
        </w:rPr>
        <w:t>awie EIO Komisja jest zobowiązana do dokonywania okresowego przeglądu funkcjonowania europejskiej inicjatywy obywatelskiej (EIO) oraz do przedstawienia Parlamentowi Europejskiemu</w:t>
      </w:r>
      <w:r w:rsidR="00DC40BE" w:rsidRPr="00DC40BE">
        <w:rPr>
          <w:noProof/>
          <w:lang w:val="pl-PL"/>
        </w:rPr>
        <w:t xml:space="preserve"> i Rad</w:t>
      </w:r>
      <w:r w:rsidRPr="00DC40BE">
        <w:rPr>
          <w:noProof/>
          <w:lang w:val="pl-PL"/>
        </w:rPr>
        <w:t xml:space="preserve">zie sprawozdania </w:t>
      </w:r>
      <w:r w:rsidRPr="00DC40BE">
        <w:rPr>
          <w:rStyle w:val="cf01"/>
          <w:rFonts w:ascii="Times New Roman" w:hAnsi="Times New Roman"/>
          <w:noProof/>
          <w:sz w:val="24"/>
          <w:lang w:val="pl-PL"/>
        </w:rPr>
        <w:t>dotyczącego stosowania rozporządzenia</w:t>
      </w:r>
      <w:r w:rsidR="00DC40BE" w:rsidRPr="00DC40BE">
        <w:rPr>
          <w:rStyle w:val="cf01"/>
          <w:rFonts w:ascii="Times New Roman" w:hAnsi="Times New Roman"/>
          <w:noProof/>
          <w:sz w:val="24"/>
          <w:lang w:val="pl-PL"/>
        </w:rPr>
        <w:t xml:space="preserve"> w spr</w:t>
      </w:r>
      <w:r w:rsidRPr="00DC40BE">
        <w:rPr>
          <w:rStyle w:val="cf01"/>
          <w:rFonts w:ascii="Times New Roman" w:hAnsi="Times New Roman"/>
          <w:noProof/>
          <w:sz w:val="24"/>
          <w:lang w:val="pl-PL"/>
        </w:rPr>
        <w:t>awie EIO nie później niż</w:t>
      </w:r>
      <w:r w:rsidR="00DC40BE" w:rsidRPr="00DC40BE">
        <w:rPr>
          <w:rStyle w:val="cf01"/>
          <w:rFonts w:ascii="Times New Roman" w:hAnsi="Times New Roman"/>
          <w:noProof/>
          <w:sz w:val="24"/>
          <w:lang w:val="pl-PL"/>
        </w:rPr>
        <w:t xml:space="preserve"> w dni</w:t>
      </w:r>
      <w:r w:rsidRPr="00DC40BE">
        <w:rPr>
          <w:rStyle w:val="cf01"/>
          <w:rFonts w:ascii="Times New Roman" w:hAnsi="Times New Roman"/>
          <w:noProof/>
          <w:sz w:val="24"/>
          <w:lang w:val="pl-PL"/>
        </w:rPr>
        <w:t>u 1 stycznia 2024</w:t>
      </w:r>
      <w:r w:rsidR="00DC40BE" w:rsidRPr="00DC40BE">
        <w:rPr>
          <w:rStyle w:val="cf01"/>
          <w:rFonts w:ascii="Times New Roman" w:hAnsi="Times New Roman"/>
          <w:noProof/>
          <w:sz w:val="24"/>
          <w:lang w:val="pl-PL"/>
        </w:rPr>
        <w:t> </w:t>
      </w:r>
      <w:r w:rsidRPr="00DC40BE">
        <w:rPr>
          <w:rStyle w:val="cf01"/>
          <w:rFonts w:ascii="Times New Roman" w:hAnsi="Times New Roman"/>
          <w:noProof/>
          <w:sz w:val="24"/>
          <w:lang w:val="pl-PL"/>
        </w:rPr>
        <w:t>r.,</w:t>
      </w:r>
      <w:r w:rsidR="00DC40BE" w:rsidRPr="00DC40BE">
        <w:rPr>
          <w:rStyle w:val="cf01"/>
          <w:rFonts w:ascii="Times New Roman" w:hAnsi="Times New Roman"/>
          <w:noProof/>
          <w:sz w:val="24"/>
          <w:lang w:val="pl-PL"/>
        </w:rPr>
        <w:t xml:space="preserve"> a nas</w:t>
      </w:r>
      <w:r w:rsidRPr="00DC40BE">
        <w:rPr>
          <w:rStyle w:val="cf01"/>
          <w:rFonts w:ascii="Times New Roman" w:hAnsi="Times New Roman"/>
          <w:noProof/>
          <w:sz w:val="24"/>
          <w:lang w:val="pl-PL"/>
        </w:rPr>
        <w:t>tępnie co cztery lata</w:t>
      </w:r>
      <w:r w:rsidR="00DC40BE" w:rsidRPr="00DC40BE">
        <w:rPr>
          <w:noProof/>
          <w:lang w:val="pl-PL"/>
        </w:rPr>
        <w:t>. W nin</w:t>
      </w:r>
      <w:r w:rsidRPr="00DC40BE">
        <w:rPr>
          <w:noProof/>
          <w:lang w:val="pl-PL"/>
        </w:rPr>
        <w:t>iejszym sprawozdaniu oceniono stosowanie rozporządzenia</w:t>
      </w:r>
      <w:r w:rsidR="00DC40BE" w:rsidRPr="00DC40BE">
        <w:rPr>
          <w:noProof/>
          <w:lang w:val="pl-PL"/>
        </w:rPr>
        <w:t xml:space="preserve"> w spr</w:t>
      </w:r>
      <w:r w:rsidRPr="00DC40BE">
        <w:rPr>
          <w:noProof/>
          <w:lang w:val="pl-PL"/>
        </w:rPr>
        <w:t>awie EIO</w:t>
      </w:r>
      <w:r w:rsidR="00DC40BE" w:rsidRPr="00DC40BE">
        <w:rPr>
          <w:noProof/>
          <w:lang w:val="pl-PL"/>
        </w:rPr>
        <w:t xml:space="preserve"> i fun</w:t>
      </w:r>
      <w:r w:rsidRPr="00DC40BE">
        <w:rPr>
          <w:noProof/>
          <w:lang w:val="pl-PL"/>
        </w:rPr>
        <w:t>kcjonowanie instrumentu EIO od</w:t>
      </w:r>
      <w:r w:rsidR="00DC40BE" w:rsidRPr="00DC40BE">
        <w:rPr>
          <w:noProof/>
          <w:lang w:val="pl-PL"/>
        </w:rPr>
        <w:t> </w:t>
      </w:r>
      <w:r w:rsidRPr="00DC40BE">
        <w:rPr>
          <w:noProof/>
          <w:lang w:val="pl-PL"/>
        </w:rPr>
        <w:t>1 stycznia 2020</w:t>
      </w:r>
      <w:r w:rsidR="00DC40BE" w:rsidRPr="00DC40BE">
        <w:rPr>
          <w:noProof/>
          <w:lang w:val="pl-PL"/>
        </w:rPr>
        <w:t> </w:t>
      </w:r>
      <w:r w:rsidRPr="00DC40BE">
        <w:rPr>
          <w:noProof/>
          <w:lang w:val="pl-PL"/>
        </w:rPr>
        <w:t>r. Przedstawiono</w:t>
      </w:r>
      <w:r w:rsidR="00DC40BE" w:rsidRPr="00DC40BE">
        <w:rPr>
          <w:noProof/>
          <w:lang w:val="pl-PL"/>
        </w:rPr>
        <w:t xml:space="preserve"> w nim</w:t>
      </w:r>
      <w:r w:rsidRPr="00DC40BE">
        <w:rPr>
          <w:noProof/>
          <w:lang w:val="pl-PL"/>
        </w:rPr>
        <w:t xml:space="preserve"> działania, jakie Komisja zamierza podjąć, aby usprawnić wdrażanie rozporządzenia</w:t>
      </w:r>
      <w:r w:rsidR="00DC40BE" w:rsidRPr="00DC40BE">
        <w:rPr>
          <w:noProof/>
          <w:lang w:val="pl-PL"/>
        </w:rPr>
        <w:t xml:space="preserve"> w spr</w:t>
      </w:r>
      <w:r w:rsidRPr="00DC40BE">
        <w:rPr>
          <w:noProof/>
          <w:lang w:val="pl-PL"/>
        </w:rPr>
        <w:t>awie EIO</w:t>
      </w:r>
      <w:r w:rsidR="00DC40BE" w:rsidRPr="00DC40BE">
        <w:rPr>
          <w:noProof/>
          <w:lang w:val="pl-PL"/>
        </w:rPr>
        <w:t xml:space="preserve"> i fun</w:t>
      </w:r>
      <w:r w:rsidRPr="00DC40BE">
        <w:rPr>
          <w:noProof/>
          <w:lang w:val="pl-PL"/>
        </w:rPr>
        <w:t>kcjonowanie EIO, biorąc pod uwagę ustalenia poczynione</w:t>
      </w:r>
      <w:r w:rsidR="00DC40BE" w:rsidRPr="00DC40BE">
        <w:rPr>
          <w:noProof/>
          <w:lang w:val="pl-PL"/>
        </w:rPr>
        <w:t xml:space="preserve"> w ram</w:t>
      </w:r>
      <w:r w:rsidRPr="00DC40BE">
        <w:rPr>
          <w:noProof/>
          <w:lang w:val="pl-PL"/>
        </w:rPr>
        <w:t>ach przeglądu</w:t>
      </w:r>
      <w:r w:rsidR="00DC40BE" w:rsidRPr="00DC40BE">
        <w:rPr>
          <w:noProof/>
          <w:lang w:val="pl-PL"/>
        </w:rPr>
        <w:t xml:space="preserve"> i uwa</w:t>
      </w:r>
      <w:r w:rsidRPr="00DC40BE">
        <w:rPr>
          <w:noProof/>
          <w:lang w:val="pl-PL"/>
        </w:rPr>
        <w:t>gi zainteresowanych stron</w:t>
      </w:r>
      <w:r w:rsidR="00DC40BE" w:rsidRPr="00DC40BE">
        <w:rPr>
          <w:noProof/>
          <w:lang w:val="pl-PL"/>
        </w:rPr>
        <w:t>. W nin</w:t>
      </w:r>
      <w:r w:rsidRPr="00DC40BE">
        <w:rPr>
          <w:noProof/>
          <w:lang w:val="pl-PL"/>
        </w:rPr>
        <w:t xml:space="preserve">iejszym sprawozdaniu odniesiono się również do różnych kwestii przedstawionych w </w:t>
      </w:r>
      <w:hyperlink r:id="rId24" w:history="1">
        <w:r w:rsidRPr="00DC40BE">
          <w:rPr>
            <w:rStyle w:val="Hipercze"/>
            <w:noProof/>
            <w:lang w:val="pl-PL"/>
          </w:rPr>
          <w:t>rezolucji</w:t>
        </w:r>
      </w:hyperlink>
      <w:r w:rsidRPr="00DC40BE">
        <w:rPr>
          <w:noProof/>
          <w:lang w:val="pl-PL"/>
        </w:rPr>
        <w:t xml:space="preserve"> Parlamentu Europejskiego</w:t>
      </w:r>
      <w:r w:rsidR="00DC40BE" w:rsidRPr="00DC40BE">
        <w:rPr>
          <w:noProof/>
          <w:lang w:val="pl-PL"/>
        </w:rPr>
        <w:t xml:space="preserve"> z dni</w:t>
      </w:r>
      <w:r w:rsidRPr="00DC40BE">
        <w:rPr>
          <w:noProof/>
          <w:lang w:val="pl-PL"/>
        </w:rPr>
        <w:t>a 13 czerwca 2023</w:t>
      </w:r>
      <w:r w:rsidR="00DC40BE" w:rsidRPr="00DC40BE">
        <w:rPr>
          <w:noProof/>
          <w:lang w:val="pl-PL"/>
        </w:rPr>
        <w:t> </w:t>
      </w:r>
      <w:r w:rsidRPr="00DC40BE">
        <w:rPr>
          <w:noProof/>
          <w:lang w:val="pl-PL"/>
        </w:rPr>
        <w:t>r.</w:t>
      </w:r>
      <w:r w:rsidR="00DC40BE" w:rsidRPr="00DC40BE">
        <w:rPr>
          <w:noProof/>
          <w:lang w:val="pl-PL"/>
        </w:rPr>
        <w:t xml:space="preserve"> w spr</w:t>
      </w:r>
      <w:r w:rsidRPr="00DC40BE">
        <w:rPr>
          <w:noProof/>
          <w:lang w:val="pl-PL"/>
        </w:rPr>
        <w:t>awie wdrożenia rozporządzeń dotyczących europejskiej inicjatywy obywatelskiej(</w:t>
      </w:r>
      <w:r w:rsidRPr="00DC40BE">
        <w:rPr>
          <w:rStyle w:val="Odwoanieprzypisudolnego"/>
          <w:noProof/>
          <w:lang w:val="pl-PL"/>
        </w:rPr>
        <w:footnoteReference w:id="5"/>
      </w:r>
      <w:r w:rsidRPr="00DC40BE">
        <w:rPr>
          <w:noProof/>
          <w:lang w:val="pl-PL"/>
        </w:rPr>
        <w:t>) oraz uzupełniono odpowiedź Komisji na wspomnianą rezolucję Parlamentu Europejskiego(</w:t>
      </w:r>
      <w:r w:rsidRPr="00DC40BE">
        <w:rPr>
          <w:rStyle w:val="Odwoanieprzypisudolnego"/>
          <w:noProof/>
          <w:lang w:val="pl-PL"/>
        </w:rPr>
        <w:footnoteReference w:id="6"/>
      </w:r>
      <w:r w:rsidRPr="00DC40BE">
        <w:rPr>
          <w:noProof/>
          <w:lang w:val="pl-PL"/>
        </w:rPr>
        <w:t>).</w:t>
      </w:r>
    </w:p>
    <w:p w14:paraId="5C65393F" w14:textId="5F40BEBD" w:rsidR="005A4888" w:rsidRPr="00DC40BE" w:rsidRDefault="005A4888" w:rsidP="00E8781C">
      <w:pPr>
        <w:spacing w:before="100" w:beforeAutospacing="1" w:after="100" w:afterAutospacing="1" w:line="276" w:lineRule="auto"/>
        <w:rPr>
          <w:noProof/>
          <w:lang w:val="pl-PL"/>
        </w:rPr>
      </w:pPr>
      <w:r w:rsidRPr="00DC40BE">
        <w:rPr>
          <w:noProof/>
          <w:lang w:val="pl-PL"/>
        </w:rPr>
        <w:t>Aby ocenić skuteczność zmienionych przepisów, Komisja przeprowadziła szereg konsultacji, których wyniki mają posłużyć jako baza dowodowa na potrzeby niniejszego sprawozdania(</w:t>
      </w:r>
      <w:r w:rsidRPr="00DC40BE">
        <w:rPr>
          <w:rStyle w:val="Odwoanieprzypisudolnego"/>
          <w:noProof/>
          <w:lang w:val="pl-PL"/>
        </w:rPr>
        <w:footnoteReference w:id="7"/>
      </w:r>
      <w:r w:rsidRPr="00DC40BE">
        <w:rPr>
          <w:noProof/>
          <w:lang w:val="pl-PL"/>
        </w:rPr>
        <w:t>): konsultacje</w:t>
      </w:r>
      <w:r w:rsidR="00DC40BE" w:rsidRPr="00DC40BE">
        <w:rPr>
          <w:noProof/>
          <w:lang w:val="pl-PL"/>
        </w:rPr>
        <w:t xml:space="preserve"> z org</w:t>
      </w:r>
      <w:r w:rsidRPr="00DC40BE">
        <w:rPr>
          <w:noProof/>
          <w:lang w:val="pl-PL"/>
        </w:rPr>
        <w:t>anizatorami EIO (ankieta internetowa</w:t>
      </w:r>
      <w:r w:rsidR="00DC40BE" w:rsidRPr="00DC40BE">
        <w:rPr>
          <w:noProof/>
          <w:lang w:val="pl-PL"/>
        </w:rPr>
        <w:t xml:space="preserve"> i roz</w:t>
      </w:r>
      <w:r w:rsidRPr="00DC40BE">
        <w:rPr>
          <w:noProof/>
          <w:lang w:val="pl-PL"/>
        </w:rPr>
        <w:t>mowy)(</w:t>
      </w:r>
      <w:r w:rsidRPr="00DC40BE">
        <w:rPr>
          <w:rStyle w:val="Odwoanieprzypisudolnego"/>
          <w:noProof/>
          <w:lang w:val="pl-PL"/>
        </w:rPr>
        <w:footnoteReference w:id="8"/>
      </w:r>
      <w:r w:rsidRPr="00DC40BE">
        <w:rPr>
          <w:noProof/>
          <w:lang w:val="pl-PL"/>
        </w:rPr>
        <w:t xml:space="preserve">); ankieta internetowa przeprowadzona wśród organów państw członkowskich odpowiedzialnych za wdrażanie </w:t>
      </w:r>
      <w:r w:rsidRPr="00DC40BE">
        <w:rPr>
          <w:noProof/>
          <w:lang w:val="pl-PL"/>
        </w:rPr>
        <w:lastRenderedPageBreak/>
        <w:t>rozporządzenia</w:t>
      </w:r>
      <w:r w:rsidR="00DC40BE" w:rsidRPr="00DC40BE">
        <w:rPr>
          <w:noProof/>
          <w:lang w:val="pl-PL"/>
        </w:rPr>
        <w:t xml:space="preserve"> w spr</w:t>
      </w:r>
      <w:r w:rsidRPr="00DC40BE">
        <w:rPr>
          <w:noProof/>
          <w:lang w:val="pl-PL"/>
        </w:rPr>
        <w:t>awie EIO(</w:t>
      </w:r>
      <w:r w:rsidRPr="00DC40BE">
        <w:rPr>
          <w:rStyle w:val="Odwoanieprzypisudolnego"/>
          <w:noProof/>
          <w:lang w:val="pl-PL"/>
        </w:rPr>
        <w:footnoteReference w:id="9"/>
      </w:r>
      <w:r w:rsidRPr="00DC40BE">
        <w:rPr>
          <w:noProof/>
          <w:lang w:val="pl-PL"/>
        </w:rPr>
        <w:t>); ankieta internetowa skierowana do obywateli(</w:t>
      </w:r>
      <w:r w:rsidRPr="00DC40BE">
        <w:rPr>
          <w:rStyle w:val="Odwoanieprzypisudolnego"/>
          <w:noProof/>
          <w:lang w:val="pl-PL"/>
        </w:rPr>
        <w:footnoteReference w:id="10"/>
      </w:r>
      <w:r w:rsidRPr="00DC40BE">
        <w:rPr>
          <w:noProof/>
          <w:lang w:val="pl-PL"/>
        </w:rPr>
        <w:t>) oraz ankieta wyjściowe skierowana do sygnatariuszy EIO, którzy korzystali</w:t>
      </w:r>
      <w:r w:rsidR="00DC40BE" w:rsidRPr="00DC40BE">
        <w:rPr>
          <w:noProof/>
          <w:lang w:val="pl-PL"/>
        </w:rPr>
        <w:t xml:space="preserve"> z cen</w:t>
      </w:r>
      <w:r w:rsidRPr="00DC40BE">
        <w:rPr>
          <w:noProof/>
          <w:lang w:val="pl-PL"/>
        </w:rPr>
        <w:t>tralnego systemu zbierania deklaracji online Komisji(</w:t>
      </w:r>
      <w:r w:rsidRPr="00DC40BE">
        <w:rPr>
          <w:rStyle w:val="Odwoanieprzypisudolnego"/>
          <w:noProof/>
          <w:lang w:val="pl-PL"/>
        </w:rPr>
        <w:footnoteReference w:id="11"/>
      </w:r>
      <w:r w:rsidRPr="00DC40BE">
        <w:rPr>
          <w:noProof/>
          <w:lang w:val="pl-PL"/>
        </w:rPr>
        <w:t>). Przy dokonywaniu przeglądu Komisja skupiła się na EIO zarejestrowanych od</w:t>
      </w:r>
      <w:r w:rsidR="00DC40BE" w:rsidRPr="00DC40BE">
        <w:rPr>
          <w:noProof/>
          <w:lang w:val="pl-PL"/>
        </w:rPr>
        <w:t> </w:t>
      </w:r>
      <w:r w:rsidRPr="00DC40BE">
        <w:rPr>
          <w:noProof/>
          <w:lang w:val="pl-PL"/>
        </w:rPr>
        <w:t>1 stycznia 2020</w:t>
      </w:r>
      <w:r w:rsidR="00DC40BE" w:rsidRPr="00DC40BE">
        <w:rPr>
          <w:noProof/>
          <w:lang w:val="pl-PL"/>
        </w:rPr>
        <w:t> </w:t>
      </w:r>
      <w:r w:rsidRPr="00DC40BE">
        <w:rPr>
          <w:noProof/>
          <w:lang w:val="pl-PL"/>
        </w:rPr>
        <w:t>r. oraz na EIO zarejestrowanych na podstawie pierwszego rozporządzenia</w:t>
      </w:r>
      <w:r w:rsidR="00DC40BE" w:rsidRPr="00DC40BE">
        <w:rPr>
          <w:noProof/>
          <w:lang w:val="pl-PL"/>
        </w:rPr>
        <w:t xml:space="preserve"> w spr</w:t>
      </w:r>
      <w:r w:rsidRPr="00DC40BE">
        <w:rPr>
          <w:noProof/>
          <w:lang w:val="pl-PL"/>
        </w:rPr>
        <w:t>awie EIO, które 1 stycznia 2020</w:t>
      </w:r>
      <w:r w:rsidR="00DC40BE" w:rsidRPr="00DC40BE">
        <w:rPr>
          <w:noProof/>
          <w:lang w:val="pl-PL"/>
        </w:rPr>
        <w:t> </w:t>
      </w:r>
      <w:r w:rsidRPr="00DC40BE">
        <w:rPr>
          <w:noProof/>
          <w:lang w:val="pl-PL"/>
        </w:rPr>
        <w:t>r.</w:t>
      </w:r>
      <w:r w:rsidR="00DC40BE" w:rsidRPr="00DC40BE">
        <w:rPr>
          <w:noProof/>
          <w:lang w:val="pl-PL"/>
        </w:rPr>
        <w:t xml:space="preserve"> w dal</w:t>
      </w:r>
      <w:r w:rsidRPr="00DC40BE">
        <w:rPr>
          <w:noProof/>
          <w:lang w:val="pl-PL"/>
        </w:rPr>
        <w:t>szym ciągu prowadziły działalność na różnych etapach procedury EIO.</w:t>
      </w:r>
    </w:p>
    <w:p w14:paraId="325213E2" w14:textId="424229AC" w:rsidR="005A4888" w:rsidRPr="00DC40BE" w:rsidRDefault="005A4888" w:rsidP="00E8781C">
      <w:pPr>
        <w:pStyle w:val="Nagwek1"/>
        <w:numPr>
          <w:ilvl w:val="0"/>
          <w:numId w:val="16"/>
        </w:numPr>
        <w:tabs>
          <w:tab w:val="clear" w:pos="7145"/>
          <w:tab w:val="num" w:pos="482"/>
        </w:tabs>
        <w:spacing w:before="100" w:beforeAutospacing="1" w:after="100" w:afterAutospacing="1" w:line="276" w:lineRule="auto"/>
        <w:ind w:left="482"/>
        <w:rPr>
          <w:noProof/>
          <w:lang w:val="pl-PL"/>
        </w:rPr>
      </w:pPr>
      <w:bookmarkStart w:id="4" w:name="_Toc1597267091"/>
      <w:bookmarkStart w:id="5" w:name="_Toc146296668"/>
      <w:r w:rsidRPr="00DC40BE">
        <w:rPr>
          <w:noProof/>
          <w:lang w:val="pl-PL"/>
        </w:rPr>
        <w:t>PODSUMOWANIE OKRESU SPRAWOZDAWCZEGO</w:t>
      </w:r>
      <w:bookmarkEnd w:id="4"/>
      <w:bookmarkEnd w:id="5"/>
    </w:p>
    <w:p w14:paraId="11D19175" w14:textId="7F9CDFF2" w:rsidR="005A4888" w:rsidRPr="00DC40BE" w:rsidRDefault="005A4888" w:rsidP="00E8781C">
      <w:pPr>
        <w:spacing w:before="100" w:beforeAutospacing="1" w:after="100" w:afterAutospacing="1" w:line="276" w:lineRule="auto"/>
        <w:rPr>
          <w:b/>
          <w:noProof/>
          <w:lang w:val="pl-PL"/>
        </w:rPr>
      </w:pPr>
      <w:r w:rsidRPr="00DC40BE">
        <w:rPr>
          <w:noProof/>
          <w:lang w:val="pl-PL"/>
        </w:rPr>
        <w:t>Choć</w:t>
      </w:r>
      <w:r w:rsidR="00DC40BE" w:rsidRPr="00DC40BE">
        <w:rPr>
          <w:noProof/>
          <w:lang w:val="pl-PL"/>
        </w:rPr>
        <w:t xml:space="preserve"> w chw</w:t>
      </w:r>
      <w:r w:rsidRPr="00DC40BE">
        <w:rPr>
          <w:noProof/>
          <w:lang w:val="pl-PL"/>
        </w:rPr>
        <w:t>ili wybuchu pandemii COVID-19 zmienione przepisy dopiero co zaczęły obowiązywać, pandemia poważnie utrudniła EIO, które funkcjonowały już</w:t>
      </w:r>
      <w:r w:rsidR="00DC40BE" w:rsidRPr="00DC40BE">
        <w:rPr>
          <w:noProof/>
          <w:lang w:val="pl-PL"/>
        </w:rPr>
        <w:t xml:space="preserve"> w tym</w:t>
      </w:r>
      <w:r w:rsidRPr="00DC40BE">
        <w:rPr>
          <w:noProof/>
          <w:lang w:val="pl-PL"/>
        </w:rPr>
        <w:t xml:space="preserve"> czasie, prowadzenie swoich kampanii w UE</w:t>
      </w:r>
      <w:r w:rsidR="00DC40BE" w:rsidRPr="00DC40BE">
        <w:rPr>
          <w:noProof/>
          <w:lang w:val="pl-PL"/>
        </w:rPr>
        <w:t>. W tab</w:t>
      </w:r>
      <w:r w:rsidRPr="00DC40BE">
        <w:rPr>
          <w:noProof/>
          <w:lang w:val="pl-PL"/>
        </w:rPr>
        <w:t>eli 1 przedstawiono negatywny wpływ pandemii COVID-19 na EIO. W 2020</w:t>
      </w:r>
      <w:r w:rsidR="00DC40BE" w:rsidRPr="00DC40BE">
        <w:rPr>
          <w:noProof/>
          <w:lang w:val="pl-PL"/>
        </w:rPr>
        <w:t> </w:t>
      </w:r>
      <w:r w:rsidRPr="00DC40BE">
        <w:rPr>
          <w:noProof/>
          <w:lang w:val="pl-PL"/>
        </w:rPr>
        <w:t>r.</w:t>
      </w:r>
      <w:r w:rsidRPr="00DC40BE">
        <w:rPr>
          <w:noProof/>
          <w:color w:val="000000" w:themeColor="text1"/>
          <w:lang w:val="pl-PL"/>
        </w:rPr>
        <w:t>,</w:t>
      </w:r>
      <w:r w:rsidRPr="00DC40BE">
        <w:rPr>
          <w:noProof/>
          <w:lang w:val="pl-PL"/>
        </w:rPr>
        <w:t xml:space="preserve"> kiedy zmienione przepisy zaczęły obowiązywać, wystąpiono</w:t>
      </w:r>
      <w:r w:rsidR="00DC40BE" w:rsidRPr="00DC40BE">
        <w:rPr>
          <w:noProof/>
          <w:lang w:val="pl-PL"/>
        </w:rPr>
        <w:t xml:space="preserve"> z wni</w:t>
      </w:r>
      <w:r w:rsidRPr="00DC40BE">
        <w:rPr>
          <w:noProof/>
          <w:lang w:val="pl-PL"/>
        </w:rPr>
        <w:t>oskiem</w:t>
      </w:r>
      <w:r w:rsidR="00DC40BE" w:rsidRPr="00DC40BE">
        <w:rPr>
          <w:noProof/>
          <w:lang w:val="pl-PL"/>
        </w:rPr>
        <w:t xml:space="preserve"> o zar</w:t>
      </w:r>
      <w:r w:rsidRPr="00DC40BE">
        <w:rPr>
          <w:noProof/>
          <w:lang w:val="pl-PL"/>
        </w:rPr>
        <w:t>ejestrowanie zaledwie pięciu nowych EIO. Środki tymczasowe(</w:t>
      </w:r>
      <w:r w:rsidRPr="00DC40BE">
        <w:rPr>
          <w:rStyle w:val="Odwoanieprzypisudolnego"/>
          <w:noProof/>
          <w:lang w:val="pl-PL"/>
        </w:rPr>
        <w:footnoteReference w:id="12"/>
      </w:r>
      <w:r w:rsidRPr="00DC40BE">
        <w:rPr>
          <w:noProof/>
          <w:lang w:val="pl-PL"/>
        </w:rPr>
        <w:t>) zaproponowane przez Komisję</w:t>
      </w:r>
      <w:r w:rsidR="00DC40BE" w:rsidRPr="00DC40BE">
        <w:rPr>
          <w:noProof/>
          <w:lang w:val="pl-PL"/>
        </w:rPr>
        <w:t xml:space="preserve"> i prz</w:t>
      </w:r>
      <w:r w:rsidRPr="00DC40BE">
        <w:rPr>
          <w:noProof/>
          <w:lang w:val="pl-PL"/>
        </w:rPr>
        <w:t>yjęte przez współprawodawców 15 lipca 2020</w:t>
      </w:r>
      <w:r w:rsidR="00DC40BE" w:rsidRPr="00DC40BE">
        <w:rPr>
          <w:noProof/>
          <w:lang w:val="pl-PL"/>
        </w:rPr>
        <w:t> </w:t>
      </w:r>
      <w:r w:rsidRPr="00DC40BE">
        <w:rPr>
          <w:noProof/>
          <w:lang w:val="pl-PL"/>
        </w:rPr>
        <w:t>r. ograniczyły wpływ pandemii na EIO</w:t>
      </w:r>
      <w:r w:rsidR="00DC40BE" w:rsidRPr="00DC40BE">
        <w:rPr>
          <w:noProof/>
          <w:lang w:val="pl-PL"/>
        </w:rPr>
        <w:t>. W mia</w:t>
      </w:r>
      <w:r w:rsidRPr="00DC40BE">
        <w:rPr>
          <w:noProof/>
          <w:lang w:val="pl-PL"/>
        </w:rPr>
        <w:t>rę poprawy sytuacji zdrowotnej zaczęto odnotowywać pewne pozytywne zmiany przejawiające się wzrostem liczby wniosków</w:t>
      </w:r>
      <w:r w:rsidR="00DC40BE" w:rsidRPr="00DC40BE">
        <w:rPr>
          <w:noProof/>
          <w:lang w:val="pl-PL"/>
        </w:rPr>
        <w:t xml:space="preserve"> o rej</w:t>
      </w:r>
      <w:r w:rsidRPr="00DC40BE">
        <w:rPr>
          <w:noProof/>
          <w:lang w:val="pl-PL"/>
        </w:rPr>
        <w:t>estrację oraz rekordową liczbą EIO, którym udało się zebrać co najmniej 1 mln podpisów, co</w:t>
      </w:r>
      <w:r w:rsidR="00DC40BE" w:rsidRPr="00DC40BE">
        <w:rPr>
          <w:noProof/>
          <w:lang w:val="pl-PL"/>
        </w:rPr>
        <w:t xml:space="preserve"> z kol</w:t>
      </w:r>
      <w:r w:rsidRPr="00DC40BE">
        <w:rPr>
          <w:noProof/>
          <w:lang w:val="pl-PL"/>
        </w:rPr>
        <w:t xml:space="preserve">ei przełożyło się na rekordową liczbę odpowiedzi Komisji kierowanych do EIO. </w:t>
      </w:r>
    </w:p>
    <w:p w14:paraId="2FC5EC81" w14:textId="3E9DF4A9" w:rsidR="005A4888" w:rsidRPr="00DC40BE" w:rsidRDefault="005A4888" w:rsidP="00E8781C">
      <w:pPr>
        <w:keepNext/>
        <w:spacing w:before="100" w:beforeAutospacing="1" w:after="100" w:afterAutospacing="1" w:line="276" w:lineRule="auto"/>
        <w:rPr>
          <w:b/>
          <w:noProof/>
          <w:lang w:val="pl-PL"/>
        </w:rPr>
      </w:pPr>
      <w:r w:rsidRPr="00DC40BE">
        <w:rPr>
          <w:b/>
          <w:noProof/>
          <w:lang w:val="pl-PL"/>
        </w:rPr>
        <w:t>Tabela 1: zestawienie informacji na temat EIO</w:t>
      </w:r>
      <w:r w:rsidR="00DC40BE" w:rsidRPr="00DC40BE">
        <w:rPr>
          <w:b/>
          <w:noProof/>
          <w:lang w:val="pl-PL"/>
        </w:rPr>
        <w:t xml:space="preserve"> w okr</w:t>
      </w:r>
      <w:r w:rsidRPr="00DC40BE">
        <w:rPr>
          <w:b/>
          <w:noProof/>
          <w:lang w:val="pl-PL"/>
        </w:rPr>
        <w:t>esie sprawozdawczym</w:t>
      </w:r>
    </w:p>
    <w:tbl>
      <w:tblPr>
        <w:tblStyle w:val="Tabela-Siatka"/>
        <w:tblW w:w="9112" w:type="dxa"/>
        <w:jc w:val="center"/>
        <w:shd w:val="clear" w:color="auto" w:fill="E7E6E6" w:themeFill="background2"/>
        <w:tblLook w:val="04A0" w:firstRow="1" w:lastRow="0" w:firstColumn="1" w:lastColumn="0" w:noHBand="0" w:noVBand="1"/>
      </w:tblPr>
      <w:tblGrid>
        <w:gridCol w:w="3952"/>
        <w:gridCol w:w="720"/>
        <w:gridCol w:w="840"/>
        <w:gridCol w:w="720"/>
        <w:gridCol w:w="720"/>
        <w:gridCol w:w="2160"/>
      </w:tblGrid>
      <w:tr w:rsidR="00B56B86" w:rsidRPr="00DC40BE" w14:paraId="53BECE95" w14:textId="77777777" w:rsidTr="00B56B86">
        <w:trPr>
          <w:trHeight w:val="300"/>
          <w:jc w:val="center"/>
        </w:trPr>
        <w:tc>
          <w:tcPr>
            <w:tcW w:w="3952" w:type="dxa"/>
            <w:shd w:val="clear" w:color="auto" w:fill="E7E6E6" w:themeFill="background2"/>
          </w:tcPr>
          <w:p w14:paraId="570ED0C7" w14:textId="77777777" w:rsidR="005A4888" w:rsidRPr="00DC40BE" w:rsidRDefault="005A4888" w:rsidP="00E8781C">
            <w:pPr>
              <w:spacing w:before="100" w:beforeAutospacing="1" w:after="100" w:afterAutospacing="1" w:line="276" w:lineRule="auto"/>
              <w:rPr>
                <w:b/>
                <w:noProof/>
                <w:lang w:val="pl-PL"/>
              </w:rPr>
            </w:pPr>
          </w:p>
        </w:tc>
        <w:tc>
          <w:tcPr>
            <w:tcW w:w="720" w:type="dxa"/>
            <w:shd w:val="clear" w:color="auto" w:fill="E7E6E6" w:themeFill="background2"/>
          </w:tcPr>
          <w:p w14:paraId="6E6C39CF" w14:textId="77777777" w:rsidR="005A4888" w:rsidRPr="00DC40BE" w:rsidRDefault="005A4888" w:rsidP="00E8781C">
            <w:pPr>
              <w:spacing w:before="100" w:beforeAutospacing="1" w:after="100" w:afterAutospacing="1" w:line="276" w:lineRule="auto"/>
              <w:rPr>
                <w:noProof/>
                <w:lang w:val="pl-PL"/>
              </w:rPr>
            </w:pPr>
            <w:r w:rsidRPr="00DC40BE">
              <w:rPr>
                <w:b/>
                <w:noProof/>
                <w:lang w:val="pl-PL"/>
              </w:rPr>
              <w:t>2020</w:t>
            </w:r>
          </w:p>
        </w:tc>
        <w:tc>
          <w:tcPr>
            <w:tcW w:w="840" w:type="dxa"/>
            <w:shd w:val="clear" w:color="auto" w:fill="E7E6E6" w:themeFill="background2"/>
          </w:tcPr>
          <w:p w14:paraId="48F29A08" w14:textId="77777777" w:rsidR="005A4888" w:rsidRPr="00DC40BE" w:rsidRDefault="005A4888" w:rsidP="00E8781C">
            <w:pPr>
              <w:spacing w:before="100" w:beforeAutospacing="1" w:after="100" w:afterAutospacing="1" w:line="276" w:lineRule="auto"/>
              <w:rPr>
                <w:noProof/>
                <w:lang w:val="pl-PL"/>
              </w:rPr>
            </w:pPr>
            <w:r w:rsidRPr="00DC40BE">
              <w:rPr>
                <w:b/>
                <w:noProof/>
                <w:lang w:val="pl-PL"/>
              </w:rPr>
              <w:t>2021</w:t>
            </w:r>
          </w:p>
        </w:tc>
        <w:tc>
          <w:tcPr>
            <w:tcW w:w="720" w:type="dxa"/>
            <w:shd w:val="clear" w:color="auto" w:fill="E7E6E6" w:themeFill="background2"/>
          </w:tcPr>
          <w:p w14:paraId="1E0C0B09" w14:textId="77777777" w:rsidR="005A4888" w:rsidRPr="00DC40BE" w:rsidRDefault="005A4888" w:rsidP="00E8781C">
            <w:pPr>
              <w:spacing w:before="100" w:beforeAutospacing="1" w:after="100" w:afterAutospacing="1" w:line="276" w:lineRule="auto"/>
              <w:rPr>
                <w:noProof/>
                <w:lang w:val="pl-PL"/>
              </w:rPr>
            </w:pPr>
            <w:r w:rsidRPr="00DC40BE">
              <w:rPr>
                <w:b/>
                <w:noProof/>
                <w:lang w:val="pl-PL"/>
              </w:rPr>
              <w:t>2022</w:t>
            </w:r>
          </w:p>
        </w:tc>
        <w:tc>
          <w:tcPr>
            <w:tcW w:w="720" w:type="dxa"/>
            <w:shd w:val="clear" w:color="auto" w:fill="E7E6E6" w:themeFill="background2"/>
          </w:tcPr>
          <w:p w14:paraId="4F1021D9" w14:textId="77777777" w:rsidR="005A4888" w:rsidRPr="00DC40BE" w:rsidRDefault="005A4888" w:rsidP="00E8781C">
            <w:pPr>
              <w:spacing w:before="100" w:beforeAutospacing="1" w:after="100" w:afterAutospacing="1" w:line="276" w:lineRule="auto"/>
              <w:rPr>
                <w:noProof/>
                <w:lang w:val="pl-PL"/>
              </w:rPr>
            </w:pPr>
            <w:r w:rsidRPr="00DC40BE">
              <w:rPr>
                <w:b/>
                <w:noProof/>
                <w:lang w:val="pl-PL"/>
              </w:rPr>
              <w:t>2023</w:t>
            </w:r>
          </w:p>
        </w:tc>
        <w:tc>
          <w:tcPr>
            <w:tcW w:w="2160" w:type="dxa"/>
            <w:shd w:val="clear" w:color="auto" w:fill="E7E6E6" w:themeFill="background2"/>
          </w:tcPr>
          <w:p w14:paraId="38EF69E8" w14:textId="77777777" w:rsidR="005A4888" w:rsidRPr="00DC40BE" w:rsidRDefault="005A4888" w:rsidP="00E8781C">
            <w:pPr>
              <w:spacing w:before="100" w:beforeAutospacing="1" w:after="100" w:afterAutospacing="1" w:line="276" w:lineRule="auto"/>
              <w:rPr>
                <w:noProof/>
                <w:lang w:val="pl-PL"/>
              </w:rPr>
            </w:pPr>
            <w:r w:rsidRPr="00DC40BE">
              <w:rPr>
                <w:b/>
                <w:noProof/>
                <w:lang w:val="pl-PL"/>
              </w:rPr>
              <w:t>OGÓŁEM 2020–2023</w:t>
            </w:r>
          </w:p>
        </w:tc>
      </w:tr>
      <w:tr w:rsidR="00B56B86" w:rsidRPr="00DC40BE" w14:paraId="6513177E" w14:textId="77777777" w:rsidTr="00B56B86">
        <w:trPr>
          <w:trHeight w:val="300"/>
          <w:jc w:val="center"/>
        </w:trPr>
        <w:tc>
          <w:tcPr>
            <w:tcW w:w="3952" w:type="dxa"/>
            <w:shd w:val="clear" w:color="auto" w:fill="E7E6E6" w:themeFill="background2"/>
          </w:tcPr>
          <w:p w14:paraId="5A081A25" w14:textId="1FFAAEB8" w:rsidR="005A4888" w:rsidRPr="00DC40BE" w:rsidRDefault="005A4888" w:rsidP="00E8781C">
            <w:pPr>
              <w:spacing w:before="100" w:beforeAutospacing="1" w:after="100" w:afterAutospacing="1" w:line="276" w:lineRule="auto"/>
              <w:rPr>
                <w:noProof/>
                <w:lang w:val="pl-PL"/>
              </w:rPr>
            </w:pPr>
            <w:r w:rsidRPr="00DC40BE">
              <w:rPr>
                <w:b/>
                <w:noProof/>
                <w:lang w:val="pl-PL"/>
              </w:rPr>
              <w:t>Wnioski</w:t>
            </w:r>
            <w:r w:rsidR="00DC40BE" w:rsidRPr="00DC40BE">
              <w:rPr>
                <w:b/>
                <w:noProof/>
                <w:lang w:val="pl-PL"/>
              </w:rPr>
              <w:t xml:space="preserve"> o rej</w:t>
            </w:r>
            <w:r w:rsidRPr="00DC40BE">
              <w:rPr>
                <w:b/>
                <w:noProof/>
                <w:lang w:val="pl-PL"/>
              </w:rPr>
              <w:t>estrację</w:t>
            </w:r>
          </w:p>
        </w:tc>
        <w:tc>
          <w:tcPr>
            <w:tcW w:w="720" w:type="dxa"/>
            <w:shd w:val="clear" w:color="auto" w:fill="E7E6E6" w:themeFill="background2"/>
            <w:vAlign w:val="center"/>
          </w:tcPr>
          <w:p w14:paraId="03DFEC7D" w14:textId="77777777" w:rsidR="005A4888" w:rsidRPr="00DC40BE" w:rsidRDefault="005A4888" w:rsidP="00E8781C">
            <w:pPr>
              <w:spacing w:before="100" w:beforeAutospacing="1" w:after="100" w:afterAutospacing="1" w:line="276" w:lineRule="auto"/>
              <w:jc w:val="center"/>
              <w:rPr>
                <w:noProof/>
                <w:lang w:val="pl-PL"/>
              </w:rPr>
            </w:pPr>
            <w:r w:rsidRPr="00DC40BE">
              <w:rPr>
                <w:noProof/>
                <w:lang w:val="pl-PL"/>
              </w:rPr>
              <w:t>5</w:t>
            </w:r>
          </w:p>
        </w:tc>
        <w:tc>
          <w:tcPr>
            <w:tcW w:w="840" w:type="dxa"/>
            <w:shd w:val="clear" w:color="auto" w:fill="E7E6E6" w:themeFill="background2"/>
            <w:vAlign w:val="center"/>
          </w:tcPr>
          <w:p w14:paraId="1113CB77" w14:textId="1FCD7565" w:rsidR="005A4888" w:rsidRPr="00DC40BE" w:rsidRDefault="005A4888" w:rsidP="00E8781C">
            <w:pPr>
              <w:spacing w:before="100" w:beforeAutospacing="1" w:after="100" w:afterAutospacing="1" w:line="276" w:lineRule="auto"/>
              <w:jc w:val="center"/>
              <w:rPr>
                <w:noProof/>
                <w:lang w:val="pl-PL"/>
              </w:rPr>
            </w:pPr>
            <w:r w:rsidRPr="00DC40BE">
              <w:rPr>
                <w:noProof/>
                <w:lang w:val="pl-PL"/>
              </w:rPr>
              <w:t>11</w:t>
            </w:r>
          </w:p>
        </w:tc>
        <w:tc>
          <w:tcPr>
            <w:tcW w:w="720" w:type="dxa"/>
            <w:shd w:val="clear" w:color="auto" w:fill="E7E6E6" w:themeFill="background2"/>
            <w:vAlign w:val="center"/>
          </w:tcPr>
          <w:p w14:paraId="3F715964" w14:textId="4B5124AD" w:rsidR="005A4888" w:rsidRPr="00DC40BE" w:rsidRDefault="005A4888" w:rsidP="00E8781C">
            <w:pPr>
              <w:spacing w:before="100" w:beforeAutospacing="1" w:after="100" w:afterAutospacing="1" w:line="276" w:lineRule="auto"/>
              <w:jc w:val="center"/>
              <w:rPr>
                <w:noProof/>
                <w:lang w:val="pl-PL"/>
              </w:rPr>
            </w:pPr>
            <w:r w:rsidRPr="00DC40BE">
              <w:rPr>
                <w:noProof/>
                <w:lang w:val="pl-PL"/>
              </w:rPr>
              <w:t>11</w:t>
            </w:r>
          </w:p>
        </w:tc>
        <w:tc>
          <w:tcPr>
            <w:tcW w:w="720" w:type="dxa"/>
            <w:shd w:val="clear" w:color="auto" w:fill="E7E6E6" w:themeFill="background2"/>
            <w:vAlign w:val="center"/>
          </w:tcPr>
          <w:p w14:paraId="7A7F1DE7" w14:textId="53EAF7F9" w:rsidR="005A4888" w:rsidRPr="00DC40BE" w:rsidRDefault="008238AB" w:rsidP="00E8781C">
            <w:pPr>
              <w:spacing w:before="100" w:beforeAutospacing="1" w:after="100" w:afterAutospacing="1" w:line="276" w:lineRule="auto"/>
              <w:jc w:val="center"/>
              <w:rPr>
                <w:noProof/>
                <w:lang w:val="pl-PL"/>
              </w:rPr>
            </w:pPr>
            <w:r w:rsidRPr="00DC40BE">
              <w:rPr>
                <w:noProof/>
                <w:lang w:val="pl-PL"/>
              </w:rPr>
              <w:t>13</w:t>
            </w:r>
          </w:p>
        </w:tc>
        <w:tc>
          <w:tcPr>
            <w:tcW w:w="2160" w:type="dxa"/>
            <w:shd w:val="clear" w:color="auto" w:fill="E7E6E6" w:themeFill="background2"/>
            <w:vAlign w:val="center"/>
          </w:tcPr>
          <w:p w14:paraId="33F1FA10" w14:textId="15AECBE7" w:rsidR="005A4888" w:rsidRPr="00DC40BE" w:rsidRDefault="004726BD" w:rsidP="00E8781C">
            <w:pPr>
              <w:spacing w:before="100" w:beforeAutospacing="1" w:after="100" w:afterAutospacing="1" w:line="276" w:lineRule="auto"/>
              <w:jc w:val="center"/>
              <w:rPr>
                <w:noProof/>
                <w:lang w:val="pl-PL"/>
              </w:rPr>
            </w:pPr>
            <w:r w:rsidRPr="00DC40BE">
              <w:rPr>
                <w:noProof/>
                <w:lang w:val="pl-PL"/>
              </w:rPr>
              <w:t>40</w:t>
            </w:r>
          </w:p>
        </w:tc>
      </w:tr>
      <w:tr w:rsidR="00B56B86" w:rsidRPr="00DC40BE" w14:paraId="5E4ACAAE" w14:textId="77777777" w:rsidTr="00B56B86">
        <w:trPr>
          <w:trHeight w:val="300"/>
          <w:jc w:val="center"/>
        </w:trPr>
        <w:tc>
          <w:tcPr>
            <w:tcW w:w="3952" w:type="dxa"/>
            <w:shd w:val="clear" w:color="auto" w:fill="E7E6E6" w:themeFill="background2"/>
          </w:tcPr>
          <w:p w14:paraId="28793B41" w14:textId="3F0E1AF6" w:rsidR="005A4888" w:rsidRPr="00DC40BE" w:rsidRDefault="005A4888" w:rsidP="00E8781C">
            <w:pPr>
              <w:spacing w:before="100" w:beforeAutospacing="1" w:after="100" w:afterAutospacing="1" w:line="276" w:lineRule="auto"/>
              <w:rPr>
                <w:noProof/>
                <w:lang w:val="pl-PL"/>
              </w:rPr>
            </w:pPr>
            <w:r w:rsidRPr="00DC40BE">
              <w:rPr>
                <w:b/>
                <w:noProof/>
                <w:lang w:val="pl-PL"/>
              </w:rPr>
              <w:t>Zarejestrowane EIO</w:t>
            </w:r>
          </w:p>
        </w:tc>
        <w:tc>
          <w:tcPr>
            <w:tcW w:w="720" w:type="dxa"/>
            <w:shd w:val="clear" w:color="auto" w:fill="E7E6E6" w:themeFill="background2"/>
            <w:vAlign w:val="center"/>
          </w:tcPr>
          <w:p w14:paraId="4DE2F777" w14:textId="77777777" w:rsidR="005A4888" w:rsidRPr="00DC40BE" w:rsidRDefault="005A4888" w:rsidP="00E8781C">
            <w:pPr>
              <w:spacing w:before="100" w:beforeAutospacing="1" w:after="100" w:afterAutospacing="1" w:line="276" w:lineRule="auto"/>
              <w:jc w:val="center"/>
              <w:rPr>
                <w:noProof/>
                <w:lang w:val="pl-PL"/>
              </w:rPr>
            </w:pPr>
            <w:r w:rsidRPr="00DC40BE">
              <w:rPr>
                <w:noProof/>
                <w:lang w:val="pl-PL"/>
              </w:rPr>
              <w:t>5</w:t>
            </w:r>
          </w:p>
        </w:tc>
        <w:tc>
          <w:tcPr>
            <w:tcW w:w="840" w:type="dxa"/>
            <w:shd w:val="clear" w:color="auto" w:fill="E7E6E6" w:themeFill="background2"/>
            <w:vAlign w:val="center"/>
          </w:tcPr>
          <w:p w14:paraId="066187D3" w14:textId="786BDA53" w:rsidR="005A4888" w:rsidRPr="00DC40BE" w:rsidRDefault="005A4888" w:rsidP="00E8781C">
            <w:pPr>
              <w:spacing w:before="100" w:beforeAutospacing="1" w:after="100" w:afterAutospacing="1" w:line="276" w:lineRule="auto"/>
              <w:jc w:val="center"/>
              <w:rPr>
                <w:noProof/>
                <w:lang w:val="pl-PL"/>
              </w:rPr>
            </w:pPr>
            <w:r w:rsidRPr="00DC40BE">
              <w:rPr>
                <w:noProof/>
                <w:lang w:val="pl-PL"/>
              </w:rPr>
              <w:t>11</w:t>
            </w:r>
          </w:p>
        </w:tc>
        <w:tc>
          <w:tcPr>
            <w:tcW w:w="720" w:type="dxa"/>
            <w:shd w:val="clear" w:color="auto" w:fill="E7E6E6" w:themeFill="background2"/>
            <w:vAlign w:val="center"/>
          </w:tcPr>
          <w:p w14:paraId="66A4534F" w14:textId="77777777" w:rsidR="005A4888" w:rsidRPr="00DC40BE" w:rsidRDefault="005A4888" w:rsidP="00E8781C">
            <w:pPr>
              <w:spacing w:before="100" w:beforeAutospacing="1" w:after="100" w:afterAutospacing="1" w:line="276" w:lineRule="auto"/>
              <w:jc w:val="center"/>
              <w:rPr>
                <w:noProof/>
                <w:lang w:val="pl-PL"/>
              </w:rPr>
            </w:pPr>
            <w:r w:rsidRPr="00DC40BE">
              <w:rPr>
                <w:noProof/>
                <w:lang w:val="pl-PL"/>
              </w:rPr>
              <w:t>10</w:t>
            </w:r>
          </w:p>
        </w:tc>
        <w:tc>
          <w:tcPr>
            <w:tcW w:w="720" w:type="dxa"/>
            <w:shd w:val="clear" w:color="auto" w:fill="E7E6E6" w:themeFill="background2"/>
            <w:vAlign w:val="center"/>
          </w:tcPr>
          <w:p w14:paraId="491CFD9A" w14:textId="2C65F7DA" w:rsidR="005A4888" w:rsidRPr="00DC40BE" w:rsidRDefault="008238AB" w:rsidP="00E8781C">
            <w:pPr>
              <w:spacing w:before="100" w:beforeAutospacing="1" w:after="100" w:afterAutospacing="1" w:line="276" w:lineRule="auto"/>
              <w:jc w:val="center"/>
              <w:rPr>
                <w:noProof/>
                <w:lang w:val="pl-PL"/>
              </w:rPr>
            </w:pPr>
            <w:r w:rsidRPr="00DC40BE">
              <w:rPr>
                <w:noProof/>
                <w:lang w:val="pl-PL"/>
              </w:rPr>
              <w:t>11</w:t>
            </w:r>
          </w:p>
        </w:tc>
        <w:tc>
          <w:tcPr>
            <w:tcW w:w="2160" w:type="dxa"/>
            <w:shd w:val="clear" w:color="auto" w:fill="E7E6E6" w:themeFill="background2"/>
            <w:vAlign w:val="center"/>
          </w:tcPr>
          <w:p w14:paraId="7839D91B" w14:textId="141F66D6" w:rsidR="005A4888" w:rsidRPr="00DC40BE" w:rsidRDefault="005A4888" w:rsidP="00E8781C">
            <w:pPr>
              <w:spacing w:before="100" w:beforeAutospacing="1" w:after="100" w:afterAutospacing="1" w:line="276" w:lineRule="auto"/>
              <w:jc w:val="center"/>
              <w:rPr>
                <w:noProof/>
                <w:lang w:val="pl-PL"/>
              </w:rPr>
            </w:pPr>
            <w:r w:rsidRPr="00DC40BE">
              <w:rPr>
                <w:noProof/>
                <w:lang w:val="pl-PL"/>
              </w:rPr>
              <w:t>37(</w:t>
            </w:r>
            <w:r w:rsidRPr="00DC40BE">
              <w:rPr>
                <w:rStyle w:val="Odwoanieprzypisudolnego"/>
                <w:noProof/>
                <w:lang w:val="pl-PL"/>
              </w:rPr>
              <w:footnoteReference w:id="13"/>
            </w:r>
            <w:r w:rsidRPr="00DC40BE">
              <w:rPr>
                <w:noProof/>
                <w:lang w:val="pl-PL"/>
              </w:rPr>
              <w:t>)</w:t>
            </w:r>
          </w:p>
        </w:tc>
      </w:tr>
      <w:tr w:rsidR="000A6032" w:rsidRPr="00DC40BE" w14:paraId="2AE2E5A8" w14:textId="77777777" w:rsidTr="00B56B86">
        <w:trPr>
          <w:trHeight w:val="300"/>
          <w:jc w:val="center"/>
        </w:trPr>
        <w:tc>
          <w:tcPr>
            <w:tcW w:w="3952" w:type="dxa"/>
            <w:shd w:val="clear" w:color="auto" w:fill="E7E6E6" w:themeFill="background2"/>
          </w:tcPr>
          <w:p w14:paraId="78316CC0" w14:textId="2DD2A179" w:rsidR="000A6032" w:rsidRPr="00DC40BE" w:rsidRDefault="000A6032" w:rsidP="00E8781C">
            <w:pPr>
              <w:spacing w:before="100" w:beforeAutospacing="1" w:after="100" w:afterAutospacing="1" w:line="276" w:lineRule="auto"/>
              <w:rPr>
                <w:b/>
                <w:noProof/>
                <w:lang w:val="pl-PL"/>
              </w:rPr>
            </w:pPr>
            <w:r w:rsidRPr="00DC40BE">
              <w:rPr>
                <w:noProof/>
                <w:lang w:val="pl-PL"/>
              </w:rPr>
              <w:t>EIO, którym odmówiono rejestracji(</w:t>
            </w:r>
            <w:r w:rsidRPr="00DC40BE">
              <w:rPr>
                <w:rStyle w:val="Odwoanieprzypisudolnego"/>
                <w:noProof/>
                <w:lang w:val="pl-PL"/>
              </w:rPr>
              <w:footnoteReference w:id="14"/>
            </w:r>
            <w:r w:rsidRPr="00DC40BE">
              <w:rPr>
                <w:noProof/>
                <w:lang w:val="pl-PL"/>
              </w:rPr>
              <w:t>)</w:t>
            </w:r>
          </w:p>
        </w:tc>
        <w:tc>
          <w:tcPr>
            <w:tcW w:w="720" w:type="dxa"/>
            <w:shd w:val="clear" w:color="auto" w:fill="E7E6E6" w:themeFill="background2"/>
            <w:vAlign w:val="center"/>
          </w:tcPr>
          <w:p w14:paraId="1B25F957" w14:textId="1E5617DE" w:rsidR="000A6032" w:rsidRPr="00DC40BE" w:rsidRDefault="000A6032" w:rsidP="00E8781C">
            <w:pPr>
              <w:spacing w:before="100" w:beforeAutospacing="1" w:after="100" w:afterAutospacing="1" w:line="276" w:lineRule="auto"/>
              <w:jc w:val="center"/>
              <w:rPr>
                <w:noProof/>
                <w:lang w:val="pl-PL"/>
              </w:rPr>
            </w:pPr>
          </w:p>
        </w:tc>
        <w:tc>
          <w:tcPr>
            <w:tcW w:w="840" w:type="dxa"/>
            <w:shd w:val="clear" w:color="auto" w:fill="E7E6E6" w:themeFill="background2"/>
            <w:vAlign w:val="center"/>
          </w:tcPr>
          <w:p w14:paraId="1ADB2E30" w14:textId="3A9B67B6" w:rsidR="000A6032" w:rsidRPr="00DC40BE" w:rsidRDefault="000A6032" w:rsidP="00E8781C">
            <w:pPr>
              <w:spacing w:before="100" w:beforeAutospacing="1" w:after="100" w:afterAutospacing="1" w:line="276" w:lineRule="auto"/>
              <w:jc w:val="center"/>
              <w:rPr>
                <w:noProof/>
                <w:lang w:val="pl-PL"/>
              </w:rPr>
            </w:pPr>
            <w:r w:rsidRPr="00DC40BE">
              <w:rPr>
                <w:noProof/>
                <w:lang w:val="pl-PL"/>
              </w:rPr>
              <w:t>1</w:t>
            </w:r>
          </w:p>
        </w:tc>
        <w:tc>
          <w:tcPr>
            <w:tcW w:w="720" w:type="dxa"/>
            <w:shd w:val="clear" w:color="auto" w:fill="E7E6E6" w:themeFill="background2"/>
            <w:vAlign w:val="center"/>
          </w:tcPr>
          <w:p w14:paraId="6587A806" w14:textId="77777777" w:rsidR="000A6032" w:rsidRPr="00DC40BE" w:rsidRDefault="000A6032" w:rsidP="00E8781C">
            <w:pPr>
              <w:spacing w:before="100" w:beforeAutospacing="1" w:after="100" w:afterAutospacing="1" w:line="276" w:lineRule="auto"/>
              <w:jc w:val="center"/>
              <w:rPr>
                <w:noProof/>
                <w:lang w:val="pl-PL"/>
              </w:rPr>
            </w:pPr>
          </w:p>
        </w:tc>
        <w:tc>
          <w:tcPr>
            <w:tcW w:w="720" w:type="dxa"/>
            <w:shd w:val="clear" w:color="auto" w:fill="E7E6E6" w:themeFill="background2"/>
            <w:vAlign w:val="center"/>
          </w:tcPr>
          <w:p w14:paraId="2045DE0D" w14:textId="77777777" w:rsidR="000A6032" w:rsidRPr="00DC40BE" w:rsidRDefault="000A6032" w:rsidP="00E8781C">
            <w:pPr>
              <w:spacing w:before="100" w:beforeAutospacing="1" w:after="100" w:afterAutospacing="1" w:line="276" w:lineRule="auto"/>
              <w:jc w:val="center"/>
              <w:rPr>
                <w:noProof/>
                <w:lang w:val="pl-PL"/>
              </w:rPr>
            </w:pPr>
          </w:p>
        </w:tc>
        <w:tc>
          <w:tcPr>
            <w:tcW w:w="2160" w:type="dxa"/>
            <w:shd w:val="clear" w:color="auto" w:fill="E7E6E6" w:themeFill="background2"/>
            <w:vAlign w:val="center"/>
          </w:tcPr>
          <w:p w14:paraId="33645378" w14:textId="76E68AF4" w:rsidR="000A6032" w:rsidRPr="00DC40BE" w:rsidRDefault="000A6032" w:rsidP="00E8781C">
            <w:pPr>
              <w:spacing w:before="100" w:beforeAutospacing="1" w:after="100" w:afterAutospacing="1" w:line="276" w:lineRule="auto"/>
              <w:jc w:val="center"/>
              <w:rPr>
                <w:noProof/>
                <w:lang w:val="pl-PL"/>
              </w:rPr>
            </w:pPr>
            <w:r w:rsidRPr="00DC40BE">
              <w:rPr>
                <w:noProof/>
                <w:lang w:val="pl-PL"/>
              </w:rPr>
              <w:t>1</w:t>
            </w:r>
          </w:p>
        </w:tc>
      </w:tr>
      <w:tr w:rsidR="000A6032" w:rsidRPr="00DC40BE" w14:paraId="4DED0313" w14:textId="77777777" w:rsidTr="00B21995">
        <w:trPr>
          <w:trHeight w:val="300"/>
          <w:jc w:val="center"/>
        </w:trPr>
        <w:tc>
          <w:tcPr>
            <w:tcW w:w="3952" w:type="dxa"/>
            <w:shd w:val="clear" w:color="auto" w:fill="E7E6E6" w:themeFill="background2"/>
          </w:tcPr>
          <w:p w14:paraId="220B16FD" w14:textId="056DAAAE" w:rsidR="000A6032" w:rsidRPr="00DC40BE" w:rsidRDefault="000A6032" w:rsidP="00E8781C">
            <w:pPr>
              <w:spacing w:before="100" w:beforeAutospacing="1" w:after="100" w:afterAutospacing="1" w:line="276" w:lineRule="auto"/>
              <w:rPr>
                <w:b/>
                <w:noProof/>
                <w:lang w:val="pl-PL"/>
              </w:rPr>
            </w:pPr>
            <w:r w:rsidRPr="00DC40BE">
              <w:rPr>
                <w:noProof/>
                <w:lang w:val="pl-PL"/>
              </w:rPr>
              <w:t>EIO wycofane po wstępnej ocenie Komisji</w:t>
            </w:r>
          </w:p>
        </w:tc>
        <w:tc>
          <w:tcPr>
            <w:tcW w:w="720" w:type="dxa"/>
            <w:shd w:val="clear" w:color="auto" w:fill="E7E6E6" w:themeFill="background2"/>
          </w:tcPr>
          <w:p w14:paraId="1E7DABDF" w14:textId="77777777" w:rsidR="000A6032" w:rsidRPr="00DC40BE" w:rsidRDefault="000A6032" w:rsidP="00E8781C">
            <w:pPr>
              <w:spacing w:before="100" w:beforeAutospacing="1" w:after="100" w:afterAutospacing="1" w:line="276" w:lineRule="auto"/>
              <w:jc w:val="center"/>
              <w:rPr>
                <w:noProof/>
                <w:lang w:val="pl-PL"/>
              </w:rPr>
            </w:pPr>
          </w:p>
        </w:tc>
        <w:tc>
          <w:tcPr>
            <w:tcW w:w="840" w:type="dxa"/>
            <w:shd w:val="clear" w:color="auto" w:fill="E7E6E6" w:themeFill="background2"/>
          </w:tcPr>
          <w:p w14:paraId="56375A2F" w14:textId="77777777" w:rsidR="000A6032" w:rsidRPr="00DC40BE" w:rsidRDefault="000A6032" w:rsidP="00E8781C">
            <w:pPr>
              <w:spacing w:before="100" w:beforeAutospacing="1" w:after="100" w:afterAutospacing="1" w:line="276" w:lineRule="auto"/>
              <w:jc w:val="center"/>
              <w:rPr>
                <w:noProof/>
                <w:lang w:val="pl-PL"/>
              </w:rPr>
            </w:pPr>
          </w:p>
        </w:tc>
        <w:tc>
          <w:tcPr>
            <w:tcW w:w="720" w:type="dxa"/>
            <w:shd w:val="clear" w:color="auto" w:fill="E7E6E6" w:themeFill="background2"/>
          </w:tcPr>
          <w:p w14:paraId="248BA48D" w14:textId="77777777" w:rsidR="000A6032" w:rsidRPr="00DC40BE" w:rsidRDefault="000A6032" w:rsidP="00E8781C">
            <w:pPr>
              <w:spacing w:before="100" w:beforeAutospacing="1" w:after="100" w:afterAutospacing="1" w:line="276" w:lineRule="auto"/>
              <w:jc w:val="center"/>
              <w:rPr>
                <w:noProof/>
                <w:lang w:val="pl-PL"/>
              </w:rPr>
            </w:pPr>
          </w:p>
        </w:tc>
        <w:tc>
          <w:tcPr>
            <w:tcW w:w="720" w:type="dxa"/>
            <w:shd w:val="clear" w:color="auto" w:fill="E7E6E6" w:themeFill="background2"/>
          </w:tcPr>
          <w:p w14:paraId="1C348925" w14:textId="5B398863" w:rsidR="000A6032" w:rsidRPr="00DC40BE" w:rsidRDefault="000A6032" w:rsidP="00E8781C">
            <w:pPr>
              <w:spacing w:before="100" w:beforeAutospacing="1" w:after="100" w:afterAutospacing="1" w:line="276" w:lineRule="auto"/>
              <w:jc w:val="center"/>
              <w:rPr>
                <w:noProof/>
                <w:lang w:val="pl-PL"/>
              </w:rPr>
            </w:pPr>
            <w:r w:rsidRPr="00DC40BE">
              <w:rPr>
                <w:noProof/>
                <w:lang w:val="pl-PL"/>
              </w:rPr>
              <w:t>1</w:t>
            </w:r>
          </w:p>
        </w:tc>
        <w:tc>
          <w:tcPr>
            <w:tcW w:w="2160" w:type="dxa"/>
            <w:shd w:val="clear" w:color="auto" w:fill="E7E6E6" w:themeFill="background2"/>
          </w:tcPr>
          <w:p w14:paraId="267E14B4" w14:textId="49321A20" w:rsidR="000A6032" w:rsidRPr="00DC40BE" w:rsidRDefault="000A6032" w:rsidP="00E8781C">
            <w:pPr>
              <w:spacing w:before="100" w:beforeAutospacing="1" w:after="100" w:afterAutospacing="1" w:line="276" w:lineRule="auto"/>
              <w:jc w:val="center"/>
              <w:rPr>
                <w:noProof/>
                <w:lang w:val="pl-PL"/>
              </w:rPr>
            </w:pPr>
            <w:r w:rsidRPr="00DC40BE">
              <w:rPr>
                <w:noProof/>
                <w:lang w:val="pl-PL"/>
              </w:rPr>
              <w:t>1</w:t>
            </w:r>
          </w:p>
        </w:tc>
      </w:tr>
      <w:tr w:rsidR="00716FB7" w:rsidRPr="00DC40BE" w14:paraId="2F2DEB56" w14:textId="77777777" w:rsidTr="00522DB5">
        <w:trPr>
          <w:trHeight w:val="300"/>
          <w:jc w:val="center"/>
        </w:trPr>
        <w:tc>
          <w:tcPr>
            <w:tcW w:w="3952" w:type="dxa"/>
            <w:shd w:val="clear" w:color="auto" w:fill="E7E6E6" w:themeFill="background2"/>
          </w:tcPr>
          <w:p w14:paraId="220C2256" w14:textId="1A049811" w:rsidR="00716FB7" w:rsidRPr="00DC40BE" w:rsidRDefault="00716FB7" w:rsidP="00E8781C">
            <w:pPr>
              <w:spacing w:before="100" w:beforeAutospacing="1" w:after="100" w:afterAutospacing="1" w:line="276" w:lineRule="auto"/>
              <w:rPr>
                <w:noProof/>
                <w:lang w:val="pl-PL"/>
              </w:rPr>
            </w:pPr>
            <w:r w:rsidRPr="00DC40BE">
              <w:rPr>
                <w:b/>
                <w:noProof/>
                <w:lang w:val="pl-PL"/>
              </w:rPr>
              <w:t>Ważne</w:t>
            </w:r>
            <w:r w:rsidR="00DC40BE" w:rsidRPr="00DC40BE">
              <w:rPr>
                <w:b/>
                <w:noProof/>
                <w:lang w:val="pl-PL"/>
              </w:rPr>
              <w:t xml:space="preserve"> i prz</w:t>
            </w:r>
            <w:r w:rsidRPr="00DC40BE">
              <w:rPr>
                <w:b/>
                <w:noProof/>
                <w:lang w:val="pl-PL"/>
              </w:rPr>
              <w:t>edłożone</w:t>
            </w:r>
          </w:p>
        </w:tc>
        <w:tc>
          <w:tcPr>
            <w:tcW w:w="720" w:type="dxa"/>
            <w:shd w:val="clear" w:color="auto" w:fill="E7E6E6" w:themeFill="background2"/>
            <w:vAlign w:val="center"/>
          </w:tcPr>
          <w:p w14:paraId="468E0FF7" w14:textId="75F3F3AC" w:rsidR="00716FB7" w:rsidRPr="00DC40BE" w:rsidRDefault="00716FB7" w:rsidP="00E8781C">
            <w:pPr>
              <w:spacing w:before="100" w:beforeAutospacing="1" w:after="100" w:afterAutospacing="1" w:line="276" w:lineRule="auto"/>
              <w:jc w:val="center"/>
              <w:rPr>
                <w:noProof/>
                <w:lang w:val="pl-PL"/>
              </w:rPr>
            </w:pPr>
            <w:r w:rsidRPr="00DC40BE">
              <w:rPr>
                <w:noProof/>
                <w:lang w:val="pl-PL"/>
              </w:rPr>
              <w:t>2</w:t>
            </w:r>
          </w:p>
        </w:tc>
        <w:tc>
          <w:tcPr>
            <w:tcW w:w="840" w:type="dxa"/>
            <w:shd w:val="clear" w:color="auto" w:fill="E7E6E6" w:themeFill="background2"/>
            <w:vAlign w:val="center"/>
          </w:tcPr>
          <w:p w14:paraId="53073E96" w14:textId="77777777" w:rsidR="00716FB7" w:rsidRPr="00DC40BE" w:rsidRDefault="00716FB7" w:rsidP="00E8781C">
            <w:pPr>
              <w:spacing w:before="100" w:beforeAutospacing="1" w:after="100" w:afterAutospacing="1" w:line="276" w:lineRule="auto"/>
              <w:jc w:val="center"/>
              <w:rPr>
                <w:noProof/>
                <w:lang w:val="pl-PL"/>
              </w:rPr>
            </w:pPr>
          </w:p>
        </w:tc>
        <w:tc>
          <w:tcPr>
            <w:tcW w:w="720" w:type="dxa"/>
            <w:shd w:val="clear" w:color="auto" w:fill="E7E6E6" w:themeFill="background2"/>
            <w:vAlign w:val="center"/>
          </w:tcPr>
          <w:p w14:paraId="57F8E1BF" w14:textId="2AD80958" w:rsidR="00716FB7" w:rsidRPr="00DC40BE" w:rsidRDefault="00716FB7" w:rsidP="00E8781C">
            <w:pPr>
              <w:spacing w:before="100" w:beforeAutospacing="1" w:after="100" w:afterAutospacing="1" w:line="276" w:lineRule="auto"/>
              <w:jc w:val="center"/>
              <w:rPr>
                <w:noProof/>
                <w:lang w:val="pl-PL"/>
              </w:rPr>
            </w:pPr>
            <w:r w:rsidRPr="00DC40BE">
              <w:rPr>
                <w:noProof/>
                <w:lang w:val="pl-PL"/>
              </w:rPr>
              <w:t xml:space="preserve">1 </w:t>
            </w:r>
          </w:p>
        </w:tc>
        <w:tc>
          <w:tcPr>
            <w:tcW w:w="720" w:type="dxa"/>
            <w:shd w:val="clear" w:color="auto" w:fill="E7E6E6" w:themeFill="background2"/>
            <w:vAlign w:val="center"/>
          </w:tcPr>
          <w:p w14:paraId="01F953C0" w14:textId="3CEB3230" w:rsidR="00716FB7" w:rsidRPr="00DC40BE" w:rsidRDefault="00716FB7" w:rsidP="00E8781C">
            <w:pPr>
              <w:spacing w:before="100" w:beforeAutospacing="1" w:after="100" w:afterAutospacing="1" w:line="276" w:lineRule="auto"/>
              <w:jc w:val="center"/>
              <w:rPr>
                <w:noProof/>
                <w:lang w:val="pl-PL"/>
              </w:rPr>
            </w:pPr>
            <w:r w:rsidRPr="00DC40BE">
              <w:rPr>
                <w:noProof/>
                <w:lang w:val="pl-PL"/>
              </w:rPr>
              <w:t xml:space="preserve">3 </w:t>
            </w:r>
          </w:p>
        </w:tc>
        <w:tc>
          <w:tcPr>
            <w:tcW w:w="2160" w:type="dxa"/>
            <w:shd w:val="clear" w:color="auto" w:fill="E7E6E6" w:themeFill="background2"/>
            <w:vAlign w:val="center"/>
          </w:tcPr>
          <w:p w14:paraId="550EADC9" w14:textId="25F11E47" w:rsidR="00716FB7" w:rsidRPr="00DC40BE" w:rsidRDefault="00716FB7" w:rsidP="00E8781C">
            <w:pPr>
              <w:spacing w:before="100" w:beforeAutospacing="1" w:after="100" w:afterAutospacing="1" w:line="276" w:lineRule="auto"/>
              <w:jc w:val="center"/>
              <w:rPr>
                <w:noProof/>
                <w:lang w:val="pl-PL"/>
              </w:rPr>
            </w:pPr>
            <w:r w:rsidRPr="00DC40BE">
              <w:rPr>
                <w:noProof/>
                <w:lang w:val="pl-PL"/>
              </w:rPr>
              <w:t>6</w:t>
            </w:r>
          </w:p>
        </w:tc>
      </w:tr>
      <w:tr w:rsidR="00716FB7" w:rsidRPr="00DC40BE" w14:paraId="79DD762B" w14:textId="77777777" w:rsidTr="00B56B86">
        <w:trPr>
          <w:trHeight w:val="300"/>
          <w:jc w:val="center"/>
        </w:trPr>
        <w:tc>
          <w:tcPr>
            <w:tcW w:w="3952" w:type="dxa"/>
            <w:shd w:val="clear" w:color="auto" w:fill="E7E6E6" w:themeFill="background2"/>
          </w:tcPr>
          <w:p w14:paraId="14EB16E0" w14:textId="77777777" w:rsidR="00716FB7" w:rsidRPr="00DC40BE" w:rsidRDefault="00716FB7" w:rsidP="00E8781C">
            <w:pPr>
              <w:spacing w:before="100" w:beforeAutospacing="1" w:after="100" w:afterAutospacing="1" w:line="276" w:lineRule="auto"/>
              <w:rPr>
                <w:b/>
                <w:noProof/>
                <w:lang w:val="pl-PL"/>
              </w:rPr>
            </w:pPr>
            <w:r w:rsidRPr="00DC40BE">
              <w:rPr>
                <w:b/>
                <w:noProof/>
                <w:lang w:val="pl-PL"/>
              </w:rPr>
              <w:lastRenderedPageBreak/>
              <w:t>Weryfikacja zakończona pomyślnie, nie przedłożono jeszcze Komisji</w:t>
            </w:r>
          </w:p>
        </w:tc>
        <w:tc>
          <w:tcPr>
            <w:tcW w:w="720" w:type="dxa"/>
            <w:shd w:val="clear" w:color="auto" w:fill="D0CECE" w:themeFill="background2" w:themeFillShade="E6"/>
            <w:vAlign w:val="center"/>
          </w:tcPr>
          <w:p w14:paraId="19D95031" w14:textId="77777777" w:rsidR="00716FB7" w:rsidRPr="00DC40BE" w:rsidRDefault="00716FB7" w:rsidP="00E8781C">
            <w:pPr>
              <w:spacing w:before="100" w:beforeAutospacing="1" w:after="100" w:afterAutospacing="1" w:line="276" w:lineRule="auto"/>
              <w:rPr>
                <w:noProof/>
                <w:lang w:val="pl-PL"/>
              </w:rPr>
            </w:pPr>
          </w:p>
        </w:tc>
        <w:tc>
          <w:tcPr>
            <w:tcW w:w="840" w:type="dxa"/>
            <w:shd w:val="clear" w:color="auto" w:fill="D0CECE" w:themeFill="background2" w:themeFillShade="E6"/>
            <w:vAlign w:val="center"/>
          </w:tcPr>
          <w:p w14:paraId="40E61FD9" w14:textId="77777777" w:rsidR="00716FB7" w:rsidRPr="00DC40BE" w:rsidRDefault="00716FB7" w:rsidP="00E8781C">
            <w:pPr>
              <w:spacing w:before="100" w:beforeAutospacing="1" w:after="100" w:afterAutospacing="1" w:line="276" w:lineRule="auto"/>
              <w:rPr>
                <w:noProof/>
                <w:lang w:val="pl-PL"/>
              </w:rPr>
            </w:pPr>
          </w:p>
        </w:tc>
        <w:tc>
          <w:tcPr>
            <w:tcW w:w="720" w:type="dxa"/>
            <w:shd w:val="clear" w:color="auto" w:fill="D0CECE" w:themeFill="background2" w:themeFillShade="E6"/>
            <w:vAlign w:val="center"/>
          </w:tcPr>
          <w:p w14:paraId="57609C93" w14:textId="77777777" w:rsidR="00716FB7" w:rsidRPr="00DC40BE" w:rsidRDefault="00716FB7" w:rsidP="00E8781C">
            <w:pPr>
              <w:spacing w:before="100" w:beforeAutospacing="1" w:after="100" w:afterAutospacing="1" w:line="276" w:lineRule="auto"/>
              <w:rPr>
                <w:noProof/>
                <w:lang w:val="pl-PL"/>
              </w:rPr>
            </w:pPr>
          </w:p>
        </w:tc>
        <w:tc>
          <w:tcPr>
            <w:tcW w:w="720" w:type="dxa"/>
            <w:shd w:val="clear" w:color="auto" w:fill="D0CECE" w:themeFill="background2" w:themeFillShade="E6"/>
            <w:vAlign w:val="center"/>
          </w:tcPr>
          <w:p w14:paraId="30639DF4" w14:textId="77777777" w:rsidR="00716FB7" w:rsidRPr="00DC40BE" w:rsidRDefault="00716FB7" w:rsidP="00E8781C">
            <w:pPr>
              <w:spacing w:before="100" w:beforeAutospacing="1" w:after="100" w:afterAutospacing="1" w:line="276" w:lineRule="auto"/>
              <w:rPr>
                <w:noProof/>
                <w:lang w:val="pl-PL"/>
              </w:rPr>
            </w:pPr>
          </w:p>
        </w:tc>
        <w:tc>
          <w:tcPr>
            <w:tcW w:w="2160" w:type="dxa"/>
            <w:shd w:val="clear" w:color="auto" w:fill="E7E6E6" w:themeFill="background2"/>
            <w:vAlign w:val="center"/>
          </w:tcPr>
          <w:p w14:paraId="78AF585A" w14:textId="7B3ECF36" w:rsidR="00716FB7" w:rsidRPr="00DC40BE" w:rsidRDefault="00716FB7" w:rsidP="00E8781C">
            <w:pPr>
              <w:spacing w:before="100" w:beforeAutospacing="1" w:after="100" w:afterAutospacing="1" w:line="276" w:lineRule="auto"/>
              <w:jc w:val="center"/>
              <w:rPr>
                <w:noProof/>
                <w:lang w:val="pl-PL"/>
              </w:rPr>
            </w:pPr>
            <w:r w:rsidRPr="00DC40BE">
              <w:rPr>
                <w:noProof/>
                <w:lang w:val="pl-PL"/>
              </w:rPr>
              <w:t>2(</w:t>
            </w:r>
            <w:r w:rsidRPr="00DC40BE">
              <w:rPr>
                <w:rStyle w:val="Odwoanieprzypisudolnego"/>
                <w:noProof/>
                <w:lang w:val="pl-PL"/>
              </w:rPr>
              <w:footnoteReference w:id="15"/>
            </w:r>
            <w:r w:rsidRPr="00DC40BE">
              <w:rPr>
                <w:noProof/>
                <w:lang w:val="pl-PL"/>
              </w:rPr>
              <w:t>)</w:t>
            </w:r>
          </w:p>
        </w:tc>
      </w:tr>
      <w:tr w:rsidR="00716FB7" w:rsidRPr="00DC40BE" w14:paraId="5BBA10C0" w14:textId="77777777" w:rsidTr="00B56B86">
        <w:trPr>
          <w:trHeight w:val="300"/>
          <w:jc w:val="center"/>
        </w:trPr>
        <w:tc>
          <w:tcPr>
            <w:tcW w:w="3952" w:type="dxa"/>
            <w:shd w:val="clear" w:color="auto" w:fill="E7E6E6" w:themeFill="background2"/>
          </w:tcPr>
          <w:p w14:paraId="042C3BAA" w14:textId="77777777" w:rsidR="00716FB7" w:rsidRPr="00DC40BE" w:rsidRDefault="00716FB7" w:rsidP="00E8781C">
            <w:pPr>
              <w:spacing w:before="100" w:beforeAutospacing="1" w:after="100" w:afterAutospacing="1" w:line="276" w:lineRule="auto"/>
              <w:rPr>
                <w:b/>
                <w:noProof/>
                <w:lang w:val="pl-PL"/>
              </w:rPr>
            </w:pPr>
            <w:r w:rsidRPr="00DC40BE">
              <w:rPr>
                <w:b/>
                <w:noProof/>
                <w:lang w:val="pl-PL"/>
              </w:rPr>
              <w:t>EIO, na które udzielono odpowiedzi</w:t>
            </w:r>
          </w:p>
        </w:tc>
        <w:tc>
          <w:tcPr>
            <w:tcW w:w="720" w:type="dxa"/>
            <w:shd w:val="clear" w:color="auto" w:fill="E7E6E6" w:themeFill="background2"/>
            <w:vAlign w:val="center"/>
          </w:tcPr>
          <w:p w14:paraId="2FF9A3E1" w14:textId="67DE5BE4" w:rsidR="00716FB7" w:rsidRPr="00DC40BE" w:rsidRDefault="00716FB7" w:rsidP="00E8781C">
            <w:pPr>
              <w:spacing w:before="100" w:beforeAutospacing="1" w:after="100" w:afterAutospacing="1" w:line="276" w:lineRule="auto"/>
              <w:rPr>
                <w:noProof/>
                <w:lang w:val="pl-PL"/>
              </w:rPr>
            </w:pPr>
          </w:p>
        </w:tc>
        <w:tc>
          <w:tcPr>
            <w:tcW w:w="840" w:type="dxa"/>
            <w:shd w:val="clear" w:color="auto" w:fill="E7E6E6" w:themeFill="background2"/>
            <w:vAlign w:val="center"/>
          </w:tcPr>
          <w:p w14:paraId="1710AE48" w14:textId="77777777" w:rsidR="00716FB7" w:rsidRPr="00DC40BE" w:rsidRDefault="00716FB7" w:rsidP="00E8781C">
            <w:pPr>
              <w:spacing w:before="100" w:beforeAutospacing="1" w:after="100" w:afterAutospacing="1" w:line="276" w:lineRule="auto"/>
              <w:rPr>
                <w:noProof/>
                <w:lang w:val="pl-PL"/>
              </w:rPr>
            </w:pPr>
            <w:r w:rsidRPr="00DC40BE">
              <w:rPr>
                <w:noProof/>
                <w:lang w:val="pl-PL"/>
              </w:rPr>
              <w:t>2</w:t>
            </w:r>
          </w:p>
        </w:tc>
        <w:tc>
          <w:tcPr>
            <w:tcW w:w="720" w:type="dxa"/>
            <w:shd w:val="clear" w:color="auto" w:fill="E7E6E6" w:themeFill="background2"/>
            <w:vAlign w:val="center"/>
          </w:tcPr>
          <w:p w14:paraId="75FAB4D4" w14:textId="77777777" w:rsidR="00716FB7" w:rsidRPr="00DC40BE" w:rsidRDefault="00716FB7" w:rsidP="00E8781C">
            <w:pPr>
              <w:spacing w:before="100" w:beforeAutospacing="1" w:after="100" w:afterAutospacing="1" w:line="276" w:lineRule="auto"/>
              <w:rPr>
                <w:noProof/>
                <w:lang w:val="pl-PL"/>
              </w:rPr>
            </w:pPr>
          </w:p>
        </w:tc>
        <w:tc>
          <w:tcPr>
            <w:tcW w:w="720" w:type="dxa"/>
            <w:shd w:val="clear" w:color="auto" w:fill="E7E6E6" w:themeFill="background2"/>
            <w:vAlign w:val="center"/>
          </w:tcPr>
          <w:p w14:paraId="2DF81D75" w14:textId="27CCDFC7" w:rsidR="00716FB7" w:rsidRPr="00DC40BE" w:rsidRDefault="00716FB7" w:rsidP="00E8781C">
            <w:pPr>
              <w:spacing w:before="100" w:beforeAutospacing="1" w:after="100" w:afterAutospacing="1" w:line="276" w:lineRule="auto"/>
              <w:rPr>
                <w:noProof/>
                <w:lang w:val="pl-PL"/>
              </w:rPr>
            </w:pPr>
            <w:r w:rsidRPr="00DC40BE">
              <w:rPr>
                <w:noProof/>
                <w:lang w:val="pl-PL"/>
              </w:rPr>
              <w:t>4</w:t>
            </w:r>
          </w:p>
        </w:tc>
        <w:tc>
          <w:tcPr>
            <w:tcW w:w="2160" w:type="dxa"/>
            <w:shd w:val="clear" w:color="auto" w:fill="E7E6E6" w:themeFill="background2"/>
            <w:vAlign w:val="center"/>
          </w:tcPr>
          <w:p w14:paraId="228ECF79" w14:textId="65320BD2" w:rsidR="00716FB7" w:rsidRPr="00DC40BE" w:rsidRDefault="00716FB7" w:rsidP="00E8781C">
            <w:pPr>
              <w:spacing w:before="100" w:beforeAutospacing="1" w:after="100" w:afterAutospacing="1" w:line="276" w:lineRule="auto"/>
              <w:jc w:val="center"/>
              <w:rPr>
                <w:noProof/>
                <w:lang w:val="pl-PL"/>
              </w:rPr>
            </w:pPr>
            <w:r w:rsidRPr="00DC40BE">
              <w:rPr>
                <w:noProof/>
                <w:lang w:val="pl-PL"/>
              </w:rPr>
              <w:t>6(</w:t>
            </w:r>
            <w:r w:rsidRPr="00DC40BE">
              <w:rPr>
                <w:rStyle w:val="Odwoanieprzypisudolnego"/>
                <w:noProof/>
                <w:lang w:val="pl-PL"/>
              </w:rPr>
              <w:footnoteReference w:id="16"/>
            </w:r>
            <w:r w:rsidRPr="00DC40BE">
              <w:rPr>
                <w:noProof/>
                <w:lang w:val="pl-PL"/>
              </w:rPr>
              <w:t>)</w:t>
            </w:r>
          </w:p>
        </w:tc>
      </w:tr>
    </w:tbl>
    <w:p w14:paraId="14A1AABA" w14:textId="77777777" w:rsidR="00C347F4" w:rsidRPr="00DC40BE" w:rsidRDefault="00C347F4" w:rsidP="00E8781C">
      <w:pPr>
        <w:spacing w:before="100" w:beforeAutospacing="1" w:after="100" w:afterAutospacing="1" w:line="276" w:lineRule="auto"/>
        <w:rPr>
          <w:noProof/>
          <w:lang w:val="pl-PL"/>
        </w:rPr>
      </w:pPr>
    </w:p>
    <w:p w14:paraId="6D8DE3D4" w14:textId="6E17FF6E" w:rsidR="005A4888" w:rsidRPr="00DC40BE" w:rsidRDefault="005A4888" w:rsidP="00E8781C">
      <w:pPr>
        <w:spacing w:before="100" w:beforeAutospacing="1" w:after="100" w:afterAutospacing="1" w:line="276" w:lineRule="auto"/>
        <w:rPr>
          <w:noProof/>
          <w:color w:val="515560"/>
          <w:lang w:val="pl-PL"/>
        </w:rPr>
      </w:pPr>
      <w:r w:rsidRPr="00DC40BE">
        <w:rPr>
          <w:noProof/>
          <w:lang w:val="pl-PL"/>
        </w:rPr>
        <w:t>W okresie sprawozdawczym obywatele</w:t>
      </w:r>
      <w:r w:rsidR="00DC40BE" w:rsidRPr="00DC40BE">
        <w:rPr>
          <w:noProof/>
          <w:lang w:val="pl-PL"/>
        </w:rPr>
        <w:t xml:space="preserve"> i spo</w:t>
      </w:r>
      <w:r w:rsidRPr="00DC40BE">
        <w:rPr>
          <w:noProof/>
          <w:lang w:val="pl-PL"/>
        </w:rPr>
        <w:t>łeczeństwo mogli czerpać korzyści wynikające</w:t>
      </w:r>
      <w:r w:rsidR="00DC40BE" w:rsidRPr="00DC40BE">
        <w:rPr>
          <w:noProof/>
          <w:lang w:val="pl-PL"/>
        </w:rPr>
        <w:t xml:space="preserve"> z poz</w:t>
      </w:r>
      <w:r w:rsidRPr="00DC40BE">
        <w:rPr>
          <w:noProof/>
          <w:lang w:val="pl-PL"/>
        </w:rPr>
        <w:t>ytywnego wpływu wcześniejszych zrealizowanych</w:t>
      </w:r>
      <w:r w:rsidR="00DC40BE" w:rsidRPr="00DC40BE">
        <w:rPr>
          <w:noProof/>
          <w:lang w:val="pl-PL"/>
        </w:rPr>
        <w:t xml:space="preserve"> z pow</w:t>
      </w:r>
      <w:r w:rsidRPr="00DC40BE">
        <w:rPr>
          <w:noProof/>
          <w:lang w:val="pl-PL"/>
        </w:rPr>
        <w:t>odzeniem EIO. Zmieniona dyrektywa</w:t>
      </w:r>
      <w:r w:rsidR="00DC40BE" w:rsidRPr="00DC40BE">
        <w:rPr>
          <w:noProof/>
          <w:lang w:val="pl-PL"/>
        </w:rPr>
        <w:t xml:space="preserve"> w spr</w:t>
      </w:r>
      <w:r w:rsidRPr="00DC40BE">
        <w:rPr>
          <w:noProof/>
          <w:lang w:val="pl-PL"/>
        </w:rPr>
        <w:t>awie wody pitnej(</w:t>
      </w:r>
      <w:r w:rsidRPr="00DC40BE">
        <w:rPr>
          <w:rStyle w:val="Odwoanieprzypisudolnego"/>
          <w:noProof/>
          <w:lang w:val="pl-PL"/>
        </w:rPr>
        <w:footnoteReference w:id="17"/>
      </w:r>
      <w:r w:rsidRPr="00DC40BE">
        <w:rPr>
          <w:noProof/>
          <w:lang w:val="pl-PL"/>
        </w:rPr>
        <w:t>), która stanowi konkretne działanie następcze podjęte</w:t>
      </w:r>
      <w:r w:rsidR="00DC40BE" w:rsidRPr="00DC40BE">
        <w:rPr>
          <w:noProof/>
          <w:lang w:val="pl-PL"/>
        </w:rPr>
        <w:t xml:space="preserve"> w zwi</w:t>
      </w:r>
      <w:r w:rsidRPr="00DC40BE">
        <w:rPr>
          <w:noProof/>
          <w:lang w:val="pl-PL"/>
        </w:rPr>
        <w:t>ązku</w:t>
      </w:r>
      <w:r w:rsidR="00DC40BE" w:rsidRPr="00DC40BE">
        <w:rPr>
          <w:noProof/>
          <w:lang w:val="pl-PL"/>
        </w:rPr>
        <w:t xml:space="preserve"> z pie</w:t>
      </w:r>
      <w:r w:rsidRPr="00DC40BE">
        <w:rPr>
          <w:noProof/>
          <w:lang w:val="pl-PL"/>
        </w:rPr>
        <w:t>rwszą zakończoną powodzeniem EIO („Prawo do wody”)</w:t>
      </w:r>
      <w:r w:rsidR="00DC40BE" w:rsidRPr="00DC40BE">
        <w:rPr>
          <w:noProof/>
          <w:lang w:val="pl-PL"/>
        </w:rPr>
        <w:t xml:space="preserve"> i któ</w:t>
      </w:r>
      <w:r w:rsidRPr="00DC40BE">
        <w:rPr>
          <w:noProof/>
          <w:lang w:val="pl-PL"/>
        </w:rPr>
        <w:t>ra musiała zostać transponowana do prawa krajowego państw członkowskich do</w:t>
      </w:r>
      <w:r w:rsidR="00DC40BE" w:rsidRPr="00DC40BE">
        <w:rPr>
          <w:noProof/>
          <w:lang w:val="pl-PL"/>
        </w:rPr>
        <w:t> </w:t>
      </w:r>
      <w:r w:rsidRPr="00DC40BE">
        <w:rPr>
          <w:noProof/>
          <w:lang w:val="pl-PL"/>
        </w:rPr>
        <w:t>12 stycznia 2023</w:t>
      </w:r>
      <w:r w:rsidR="00DC40BE" w:rsidRPr="00DC40BE">
        <w:rPr>
          <w:noProof/>
          <w:lang w:val="pl-PL"/>
        </w:rPr>
        <w:t> </w:t>
      </w:r>
      <w:r w:rsidRPr="00DC40BE">
        <w:rPr>
          <w:noProof/>
          <w:lang w:val="pl-PL"/>
        </w:rPr>
        <w:t>r., przyczynia się do poprawy dostępności wody m.in. dla przedstawicieli grup szczególnie wrażliwych</w:t>
      </w:r>
      <w:r w:rsidR="00DC40BE" w:rsidRPr="00DC40BE">
        <w:rPr>
          <w:noProof/>
          <w:lang w:val="pl-PL"/>
        </w:rPr>
        <w:t xml:space="preserve"> i gru</w:t>
      </w:r>
      <w:r w:rsidRPr="00DC40BE">
        <w:rPr>
          <w:noProof/>
          <w:lang w:val="pl-PL"/>
        </w:rPr>
        <w:t>p zmarginalizowanych</w:t>
      </w:r>
      <w:r w:rsidR="00DC40BE" w:rsidRPr="00DC40BE">
        <w:rPr>
          <w:noProof/>
          <w:lang w:val="pl-PL"/>
        </w:rPr>
        <w:t>. W odp</w:t>
      </w:r>
      <w:r w:rsidRPr="00DC40BE">
        <w:rPr>
          <w:noProof/>
          <w:lang w:val="pl-PL"/>
        </w:rPr>
        <w:t>owiedzi na pomyślną realizację EIO „Zakaz stosowania glifosatu” 27 marca 2021</w:t>
      </w:r>
      <w:r w:rsidR="00DC40BE" w:rsidRPr="00DC40BE">
        <w:rPr>
          <w:noProof/>
          <w:lang w:val="pl-PL"/>
        </w:rPr>
        <w:t> </w:t>
      </w:r>
      <w:r w:rsidRPr="00DC40BE">
        <w:rPr>
          <w:noProof/>
          <w:lang w:val="pl-PL"/>
        </w:rPr>
        <w:t>r. rozpoczęto stosowanie przepisów rozporządzenia</w:t>
      </w:r>
      <w:r w:rsidR="00DC40BE" w:rsidRPr="00DC40BE">
        <w:rPr>
          <w:noProof/>
          <w:lang w:val="pl-PL"/>
        </w:rPr>
        <w:t xml:space="preserve"> w spr</w:t>
      </w:r>
      <w:r w:rsidRPr="00DC40BE">
        <w:rPr>
          <w:noProof/>
          <w:lang w:val="pl-PL"/>
        </w:rPr>
        <w:t>awie przejrzystości</w:t>
      </w:r>
      <w:r w:rsidR="00DC40BE" w:rsidRPr="00DC40BE">
        <w:rPr>
          <w:noProof/>
          <w:lang w:val="pl-PL"/>
        </w:rPr>
        <w:t xml:space="preserve"> i zró</w:t>
      </w:r>
      <w:r w:rsidRPr="00DC40BE">
        <w:rPr>
          <w:noProof/>
          <w:lang w:val="pl-PL"/>
        </w:rPr>
        <w:t>wnoważonego charakteru unijnej oceny ryzyka</w:t>
      </w:r>
      <w:r w:rsidR="00DC40BE" w:rsidRPr="00DC40BE">
        <w:rPr>
          <w:noProof/>
          <w:lang w:val="pl-PL"/>
        </w:rPr>
        <w:t xml:space="preserve"> w łań</w:t>
      </w:r>
      <w:r w:rsidRPr="00DC40BE">
        <w:rPr>
          <w:noProof/>
          <w:lang w:val="pl-PL"/>
        </w:rPr>
        <w:t>cuchu żywnościowych(</w:t>
      </w:r>
      <w:r w:rsidRPr="00DC40BE">
        <w:rPr>
          <w:rStyle w:val="Odwoanieprzypisudolnego"/>
          <w:noProof/>
          <w:color w:val="082B7A"/>
          <w:lang w:val="pl-PL"/>
        </w:rPr>
        <w:footnoteReference w:id="18"/>
      </w:r>
      <w:r w:rsidRPr="00DC40BE">
        <w:rPr>
          <w:noProof/>
          <w:lang w:val="pl-PL"/>
        </w:rPr>
        <w:t>),</w:t>
      </w:r>
      <w:r w:rsidRPr="00DC40BE">
        <w:rPr>
          <w:rStyle w:val="Pogrubienie"/>
          <w:noProof/>
          <w:lang w:val="pl-PL"/>
        </w:rPr>
        <w:t xml:space="preserve"> </w:t>
      </w:r>
      <w:r w:rsidRPr="00DC40BE">
        <w:rPr>
          <w:rStyle w:val="Pogrubienie"/>
          <w:b w:val="0"/>
          <w:noProof/>
          <w:lang w:val="pl-PL"/>
        </w:rPr>
        <w:t xml:space="preserve">które </w:t>
      </w:r>
      <w:r w:rsidRPr="00DC40BE">
        <w:rPr>
          <w:noProof/>
          <w:lang w:val="pl-PL"/>
        </w:rPr>
        <w:t>przyznaje obywatelom automatyczny dostęp do wszystkich badań</w:t>
      </w:r>
      <w:r w:rsidR="00DC40BE" w:rsidRPr="00DC40BE">
        <w:rPr>
          <w:noProof/>
          <w:lang w:val="pl-PL"/>
        </w:rPr>
        <w:t xml:space="preserve"> i inf</w:t>
      </w:r>
      <w:r w:rsidRPr="00DC40BE">
        <w:rPr>
          <w:noProof/>
          <w:lang w:val="pl-PL"/>
        </w:rPr>
        <w:t>ormacji przekazywanych przez przemysł</w:t>
      </w:r>
      <w:r w:rsidR="00DC40BE" w:rsidRPr="00DC40BE">
        <w:rPr>
          <w:noProof/>
          <w:lang w:val="pl-PL"/>
        </w:rPr>
        <w:t xml:space="preserve"> w pro</w:t>
      </w:r>
      <w:r w:rsidRPr="00DC40BE">
        <w:rPr>
          <w:noProof/>
          <w:lang w:val="pl-PL"/>
        </w:rPr>
        <w:t>cesie oceny ryzyka.</w:t>
      </w:r>
    </w:p>
    <w:p w14:paraId="776A2942" w14:textId="354F2ADF" w:rsidR="005A4888" w:rsidRPr="00DC40BE" w:rsidRDefault="005A4888" w:rsidP="00E8781C">
      <w:pPr>
        <w:spacing w:before="100" w:beforeAutospacing="1" w:after="100" w:afterAutospacing="1" w:line="276" w:lineRule="auto"/>
        <w:rPr>
          <w:noProof/>
          <w:lang w:val="pl-PL"/>
        </w:rPr>
      </w:pPr>
      <w:r w:rsidRPr="00DC40BE">
        <w:rPr>
          <w:noProof/>
          <w:lang w:val="pl-PL"/>
        </w:rPr>
        <w:t>Drugiemu rozporządzeniu</w:t>
      </w:r>
      <w:r w:rsidR="00DC40BE" w:rsidRPr="00DC40BE">
        <w:rPr>
          <w:noProof/>
          <w:lang w:val="pl-PL"/>
        </w:rPr>
        <w:t xml:space="preserve"> w spr</w:t>
      </w:r>
      <w:r w:rsidRPr="00DC40BE">
        <w:rPr>
          <w:noProof/>
          <w:lang w:val="pl-PL"/>
        </w:rPr>
        <w:t>awie EIO towarzyszyło wprowadzenie systemów IT nowej generacji wspierających funkcjonowanie EIO: centralnego systemu zbierania deklaracji online, usługi wymiany plików(</w:t>
      </w:r>
      <w:r w:rsidRPr="00DC40BE">
        <w:rPr>
          <w:rStyle w:val="Odwoanieprzypisudolnego"/>
          <w:noProof/>
          <w:lang w:val="pl-PL"/>
        </w:rPr>
        <w:footnoteReference w:id="19"/>
      </w:r>
      <w:r w:rsidRPr="00DC40BE">
        <w:rPr>
          <w:noProof/>
          <w:lang w:val="pl-PL"/>
        </w:rPr>
        <w:t>), udoskonalonego forum europejskiej inicjatywy obywatelskiej oraz nowego rejestru EIO</w:t>
      </w:r>
      <w:r w:rsidR="00DC40BE" w:rsidRPr="00DC40BE">
        <w:rPr>
          <w:noProof/>
          <w:lang w:val="pl-PL"/>
        </w:rPr>
        <w:t xml:space="preserve"> i now</w:t>
      </w:r>
      <w:r w:rsidRPr="00DC40BE">
        <w:rPr>
          <w:noProof/>
          <w:lang w:val="pl-PL"/>
        </w:rPr>
        <w:t>ej publicznej strony internetowej poświęconej EIO(</w:t>
      </w:r>
      <w:r w:rsidRPr="00DC40BE">
        <w:rPr>
          <w:rStyle w:val="Odwoanieprzypisudolnego"/>
          <w:noProof/>
          <w:lang w:val="pl-PL"/>
        </w:rPr>
        <w:footnoteReference w:id="20"/>
      </w:r>
      <w:r w:rsidRPr="00DC40BE">
        <w:rPr>
          <w:noProof/>
          <w:lang w:val="pl-PL"/>
        </w:rPr>
        <w:t>). Na przestrzeni okresu sprawozdawczego wspomniane systemy były</w:t>
      </w:r>
      <w:r w:rsidR="00DC40BE" w:rsidRPr="00DC40BE">
        <w:rPr>
          <w:noProof/>
          <w:lang w:val="pl-PL"/>
        </w:rPr>
        <w:t xml:space="preserve"> w dal</w:t>
      </w:r>
      <w:r w:rsidRPr="00DC40BE">
        <w:rPr>
          <w:noProof/>
          <w:lang w:val="pl-PL"/>
        </w:rPr>
        <w:t>szym ciągu udoskonalane</w:t>
      </w:r>
      <w:r w:rsidR="00DC40BE" w:rsidRPr="00DC40BE">
        <w:rPr>
          <w:noProof/>
          <w:lang w:val="pl-PL"/>
        </w:rPr>
        <w:t xml:space="preserve"> w por</w:t>
      </w:r>
      <w:r w:rsidRPr="00DC40BE">
        <w:rPr>
          <w:noProof/>
          <w:lang w:val="pl-PL"/>
        </w:rPr>
        <w:t>ozumieniu</w:t>
      </w:r>
      <w:r w:rsidR="00DC40BE" w:rsidRPr="00DC40BE">
        <w:rPr>
          <w:noProof/>
          <w:lang w:val="pl-PL"/>
        </w:rPr>
        <w:t xml:space="preserve"> z uży</w:t>
      </w:r>
      <w:r w:rsidRPr="00DC40BE">
        <w:rPr>
          <w:noProof/>
          <w:lang w:val="pl-PL"/>
        </w:rPr>
        <w:t>tkownikami</w:t>
      </w:r>
      <w:r w:rsidR="00DC40BE" w:rsidRPr="00DC40BE">
        <w:rPr>
          <w:noProof/>
          <w:lang w:val="pl-PL"/>
        </w:rPr>
        <w:t xml:space="preserve"> i zai</w:t>
      </w:r>
      <w:r w:rsidRPr="00DC40BE">
        <w:rPr>
          <w:noProof/>
          <w:lang w:val="pl-PL"/>
        </w:rPr>
        <w:t>nteresowanymi stronami. Zgodnie</w:t>
      </w:r>
      <w:r w:rsidR="00DC40BE" w:rsidRPr="00DC40BE">
        <w:rPr>
          <w:noProof/>
          <w:lang w:val="pl-PL"/>
        </w:rPr>
        <w:t xml:space="preserve"> z dec</w:t>
      </w:r>
      <w:r w:rsidRPr="00DC40BE">
        <w:rPr>
          <w:noProof/>
          <w:lang w:val="pl-PL"/>
        </w:rPr>
        <w:t>yzją podjętą przez współprawodawców</w:t>
      </w:r>
      <w:r w:rsidR="00DC40BE" w:rsidRPr="00DC40BE">
        <w:rPr>
          <w:noProof/>
          <w:lang w:val="pl-PL"/>
        </w:rPr>
        <w:t xml:space="preserve"> w ram</w:t>
      </w:r>
      <w:r w:rsidRPr="00DC40BE">
        <w:rPr>
          <w:noProof/>
          <w:lang w:val="pl-PL"/>
        </w:rPr>
        <w:t>ach reformy EIO indywidualne systemy zbierania deklaracji online – których używano</w:t>
      </w:r>
      <w:r w:rsidR="00DC40BE" w:rsidRPr="00DC40BE">
        <w:rPr>
          <w:noProof/>
          <w:lang w:val="pl-PL"/>
        </w:rPr>
        <w:t xml:space="preserve"> w okr</w:t>
      </w:r>
      <w:r w:rsidRPr="00DC40BE">
        <w:rPr>
          <w:noProof/>
          <w:lang w:val="pl-PL"/>
        </w:rPr>
        <w:t>esie, gdy</w:t>
      </w:r>
      <w:r w:rsidR="00DC40BE" w:rsidRPr="00DC40BE">
        <w:rPr>
          <w:noProof/>
          <w:lang w:val="pl-PL"/>
        </w:rPr>
        <w:t xml:space="preserve"> w peł</w:t>
      </w:r>
      <w:r w:rsidRPr="00DC40BE">
        <w:rPr>
          <w:noProof/>
          <w:lang w:val="pl-PL"/>
        </w:rPr>
        <w:t>ni rozwinięty system centralny nie był dostępny – były stopniowo wycofywane(</w:t>
      </w:r>
      <w:r w:rsidRPr="00DC40BE">
        <w:rPr>
          <w:rStyle w:val="Odwoanieprzypisudolnego"/>
          <w:noProof/>
          <w:lang w:val="pl-PL"/>
        </w:rPr>
        <w:footnoteReference w:id="21"/>
      </w:r>
      <w:r w:rsidRPr="00DC40BE">
        <w:rPr>
          <w:noProof/>
          <w:lang w:val="pl-PL"/>
        </w:rPr>
        <w:t xml:space="preserve">). </w:t>
      </w:r>
    </w:p>
    <w:p w14:paraId="3EBDC2E3" w14:textId="65CD57C7" w:rsidR="005A4888" w:rsidRPr="00DC40BE" w:rsidRDefault="005A4888" w:rsidP="00E8781C">
      <w:pPr>
        <w:pStyle w:val="Nagwek1"/>
        <w:numPr>
          <w:ilvl w:val="0"/>
          <w:numId w:val="16"/>
        </w:numPr>
        <w:tabs>
          <w:tab w:val="clear" w:pos="7145"/>
          <w:tab w:val="num" w:pos="482"/>
        </w:tabs>
        <w:spacing w:before="100" w:beforeAutospacing="1" w:after="100" w:afterAutospacing="1" w:line="276" w:lineRule="auto"/>
        <w:ind w:left="482"/>
        <w:rPr>
          <w:noProof/>
          <w:lang w:val="pl-PL"/>
        </w:rPr>
      </w:pPr>
      <w:bookmarkStart w:id="6" w:name="_Toc2106056037"/>
      <w:bookmarkStart w:id="7" w:name="_Toc146296669"/>
      <w:r w:rsidRPr="00DC40BE">
        <w:rPr>
          <w:noProof/>
          <w:lang w:val="pl-PL"/>
        </w:rPr>
        <w:t>OCENA STOSOWANIA ROZPORZĄDZENIA W SPRAWIE EIO</w:t>
      </w:r>
      <w:bookmarkEnd w:id="6"/>
      <w:bookmarkEnd w:id="7"/>
    </w:p>
    <w:p w14:paraId="0CFB49A5" w14:textId="5C120104" w:rsidR="00B7433E" w:rsidRPr="00DC40BE" w:rsidRDefault="00B7433E" w:rsidP="00E8781C">
      <w:pPr>
        <w:pStyle w:val="Nagwek2"/>
        <w:numPr>
          <w:ilvl w:val="1"/>
          <w:numId w:val="16"/>
        </w:numPr>
        <w:spacing w:before="100" w:beforeAutospacing="1" w:after="100" w:afterAutospacing="1" w:line="276" w:lineRule="auto"/>
        <w:rPr>
          <w:noProof/>
          <w:lang w:val="pl-PL"/>
        </w:rPr>
      </w:pPr>
      <w:r w:rsidRPr="00DC40BE">
        <w:rPr>
          <w:noProof/>
          <w:lang w:val="pl-PL"/>
        </w:rPr>
        <w:t>Procedura EIO</w:t>
      </w:r>
      <w:r w:rsidR="00DC40BE" w:rsidRPr="00DC40BE">
        <w:rPr>
          <w:noProof/>
          <w:lang w:val="pl-PL"/>
        </w:rPr>
        <w:t xml:space="preserve"> w skr</w:t>
      </w:r>
      <w:r w:rsidRPr="00DC40BE">
        <w:rPr>
          <w:noProof/>
          <w:lang w:val="pl-PL"/>
        </w:rPr>
        <w:t>ócie</w:t>
      </w:r>
    </w:p>
    <w:p w14:paraId="25DE277B" w14:textId="2B43E792" w:rsidR="005859D0" w:rsidRPr="00DC40BE" w:rsidRDefault="005859D0" w:rsidP="00E8781C">
      <w:pPr>
        <w:pStyle w:val="pf0"/>
        <w:spacing w:line="276" w:lineRule="auto"/>
        <w:jc w:val="both"/>
        <w:rPr>
          <w:noProof/>
          <w:lang w:val="pl-PL"/>
        </w:rPr>
      </w:pPr>
      <w:r w:rsidRPr="00DC40BE">
        <w:rPr>
          <w:noProof/>
          <w:lang w:val="pl-PL"/>
        </w:rPr>
        <w:t>Procedura EIO składa się</w:t>
      </w:r>
      <w:r w:rsidR="00DC40BE" w:rsidRPr="00DC40BE">
        <w:rPr>
          <w:noProof/>
          <w:lang w:val="pl-PL"/>
        </w:rPr>
        <w:t xml:space="preserve"> z kil</w:t>
      </w:r>
      <w:r w:rsidRPr="00DC40BE">
        <w:rPr>
          <w:noProof/>
          <w:lang w:val="pl-PL"/>
        </w:rPr>
        <w:t>ku etapów. Aby wystąpić</w:t>
      </w:r>
      <w:r w:rsidR="00DC40BE" w:rsidRPr="00DC40BE">
        <w:rPr>
          <w:noProof/>
          <w:lang w:val="pl-PL"/>
        </w:rPr>
        <w:t xml:space="preserve"> z ini</w:t>
      </w:r>
      <w:r w:rsidRPr="00DC40BE">
        <w:rPr>
          <w:noProof/>
          <w:lang w:val="pl-PL"/>
        </w:rPr>
        <w:t xml:space="preserve">cjatywą obywatelską, należy utworzyć „grupę organizatorów”. Zanim organizatorzy będą mogli przystąpić do zbierania </w:t>
      </w:r>
      <w:r w:rsidRPr="00DC40BE">
        <w:rPr>
          <w:noProof/>
          <w:lang w:val="pl-PL"/>
        </w:rPr>
        <w:lastRenderedPageBreak/>
        <w:t>deklaracji poparcia od obywateli, proponowana inicjatywa musi zostać przedłożona Komisji, która oceni, czy spełniono warunki wymagane do jej zarejestrowania. Po potwierdzeniu rejestracji inicjatywy organizatorzy muszą przystąpić do zbierania podpisów</w:t>
      </w:r>
      <w:r w:rsidR="00DC40BE" w:rsidRPr="00DC40BE">
        <w:rPr>
          <w:noProof/>
          <w:lang w:val="pl-PL"/>
        </w:rPr>
        <w:t xml:space="preserve"> w ter</w:t>
      </w:r>
      <w:r w:rsidRPr="00DC40BE">
        <w:rPr>
          <w:noProof/>
          <w:lang w:val="pl-PL"/>
        </w:rPr>
        <w:t>minie sześciu miesięcy. Organizatorzy są zobowiązani zebrać 1 mln podpisów</w:t>
      </w:r>
      <w:r w:rsidR="00DC40BE" w:rsidRPr="00DC40BE">
        <w:rPr>
          <w:noProof/>
          <w:lang w:val="pl-PL"/>
        </w:rPr>
        <w:t xml:space="preserve"> w cią</w:t>
      </w:r>
      <w:r w:rsidRPr="00DC40BE">
        <w:rPr>
          <w:noProof/>
          <w:lang w:val="pl-PL"/>
        </w:rPr>
        <w:t>gu 12 miesięcy</w:t>
      </w:r>
      <w:r w:rsidR="00DC40BE" w:rsidRPr="00DC40BE">
        <w:rPr>
          <w:noProof/>
          <w:lang w:val="pl-PL"/>
        </w:rPr>
        <w:t xml:space="preserve"> i osi</w:t>
      </w:r>
      <w:r w:rsidRPr="00DC40BE">
        <w:rPr>
          <w:noProof/>
          <w:lang w:val="pl-PL"/>
        </w:rPr>
        <w:t>ągnąć wymagane progi w co najmniej 7 państwach członkowskich. Po zgromadzeniu podpisów zweryfikowanych przez organy krajowe i po otrzymaniu informacji</w:t>
      </w:r>
      <w:r w:rsidR="00DC40BE" w:rsidRPr="00DC40BE">
        <w:rPr>
          <w:noProof/>
          <w:lang w:val="pl-PL"/>
        </w:rPr>
        <w:t xml:space="preserve"> o tym</w:t>
      </w:r>
      <w:r w:rsidRPr="00DC40BE">
        <w:rPr>
          <w:noProof/>
          <w:lang w:val="pl-PL"/>
        </w:rPr>
        <w:t>, że stosowne progi zostały osiągnięte, organizatorzy EIO mogą przedłożyć swoją inicjatywę Komisji do sprawdzenia</w:t>
      </w:r>
      <w:r w:rsidR="00DC40BE" w:rsidRPr="00DC40BE">
        <w:rPr>
          <w:noProof/>
          <w:lang w:val="pl-PL"/>
        </w:rPr>
        <w:t xml:space="preserve"> i wys</w:t>
      </w:r>
      <w:r w:rsidRPr="00DC40BE">
        <w:rPr>
          <w:noProof/>
          <w:lang w:val="pl-PL"/>
        </w:rPr>
        <w:t xml:space="preserve">tosowania oficjalnej odpowiedzi. </w:t>
      </w:r>
    </w:p>
    <w:p w14:paraId="10EA4653" w14:textId="22287E43" w:rsidR="005A4888" w:rsidRPr="00DC40BE" w:rsidRDefault="005A4888" w:rsidP="00E8781C">
      <w:pPr>
        <w:pStyle w:val="Nagwek2"/>
        <w:numPr>
          <w:ilvl w:val="1"/>
          <w:numId w:val="16"/>
        </w:numPr>
        <w:spacing w:before="100" w:beforeAutospacing="1" w:after="100" w:afterAutospacing="1" w:line="276" w:lineRule="auto"/>
        <w:rPr>
          <w:noProof/>
          <w:lang w:val="pl-PL"/>
        </w:rPr>
      </w:pPr>
      <w:bookmarkStart w:id="8" w:name="_Toc246802614"/>
      <w:bookmarkStart w:id="9" w:name="_Toc146296670"/>
      <w:r w:rsidRPr="00DC40BE">
        <w:rPr>
          <w:noProof/>
          <w:lang w:val="pl-PL"/>
        </w:rPr>
        <w:t>Prawo do poparcia EIO</w:t>
      </w:r>
      <w:bookmarkEnd w:id="8"/>
      <w:bookmarkEnd w:id="9"/>
      <w:r w:rsidRPr="00DC40BE">
        <w:rPr>
          <w:noProof/>
          <w:lang w:val="pl-PL"/>
        </w:rPr>
        <w:t xml:space="preserve"> </w:t>
      </w:r>
    </w:p>
    <w:p w14:paraId="0698990D" w14:textId="77777777" w:rsidR="005A4888" w:rsidRPr="00DC40BE" w:rsidRDefault="005A4888" w:rsidP="00E8781C">
      <w:pPr>
        <w:tabs>
          <w:tab w:val="left" w:pos="840"/>
        </w:tabs>
        <w:spacing w:before="100" w:beforeAutospacing="1" w:after="100" w:afterAutospacing="1" w:line="276" w:lineRule="auto"/>
        <w:rPr>
          <w:b/>
          <w:noProof/>
          <w:lang w:val="pl-PL"/>
        </w:rPr>
      </w:pPr>
      <w:r w:rsidRPr="00DC40BE">
        <w:rPr>
          <w:b/>
          <w:noProof/>
          <w:lang w:val="pl-PL"/>
        </w:rPr>
        <w:t>Minimalny wiek uprawniający do poparcia EIO</w:t>
      </w:r>
    </w:p>
    <w:p w14:paraId="2734325C" w14:textId="0CD12A35" w:rsidR="005A4888" w:rsidRPr="00DC40BE" w:rsidRDefault="4D51D9C3" w:rsidP="00E8781C">
      <w:pPr>
        <w:spacing w:before="100" w:beforeAutospacing="1" w:after="100" w:afterAutospacing="1" w:line="276" w:lineRule="auto"/>
        <w:rPr>
          <w:noProof/>
          <w:highlight w:val="yellow"/>
          <w:lang w:val="pl-PL"/>
        </w:rPr>
      </w:pPr>
      <w:r w:rsidRPr="00DC40BE">
        <w:rPr>
          <w:noProof/>
          <w:lang w:val="pl-PL"/>
        </w:rPr>
        <w:t>Przed 1 stycznia 2020</w:t>
      </w:r>
      <w:r w:rsidR="00DC40BE" w:rsidRPr="00DC40BE">
        <w:rPr>
          <w:noProof/>
          <w:lang w:val="pl-PL"/>
        </w:rPr>
        <w:t> </w:t>
      </w:r>
      <w:r w:rsidRPr="00DC40BE">
        <w:rPr>
          <w:noProof/>
          <w:lang w:val="pl-PL"/>
        </w:rPr>
        <w:t>r. minimalny wiek uprawniający do poparcia EIO był niższy niż 18 lat</w:t>
      </w:r>
      <w:r w:rsidR="00DC40BE" w:rsidRPr="00DC40BE">
        <w:rPr>
          <w:noProof/>
          <w:lang w:val="pl-PL"/>
        </w:rPr>
        <w:t xml:space="preserve"> w trz</w:t>
      </w:r>
      <w:r w:rsidRPr="00DC40BE">
        <w:rPr>
          <w:noProof/>
          <w:lang w:val="pl-PL"/>
        </w:rPr>
        <w:t>ech państwach członkowskich, zgodnie</w:t>
      </w:r>
      <w:r w:rsidR="00DC40BE" w:rsidRPr="00DC40BE">
        <w:rPr>
          <w:noProof/>
          <w:lang w:val="pl-PL"/>
        </w:rPr>
        <w:t xml:space="preserve"> z prz</w:t>
      </w:r>
      <w:r w:rsidRPr="00DC40BE">
        <w:rPr>
          <w:noProof/>
          <w:lang w:val="pl-PL"/>
        </w:rPr>
        <w:t>episami regulującymi kwestie związane</w:t>
      </w:r>
      <w:r w:rsidR="00DC40BE" w:rsidRPr="00DC40BE">
        <w:rPr>
          <w:noProof/>
          <w:lang w:val="pl-PL"/>
        </w:rPr>
        <w:t xml:space="preserve"> z wie</w:t>
      </w:r>
      <w:r w:rsidRPr="00DC40BE">
        <w:rPr>
          <w:noProof/>
          <w:lang w:val="pl-PL"/>
        </w:rPr>
        <w:t>kiem uprawniającym do głosowania</w:t>
      </w:r>
      <w:r w:rsidR="00DC40BE" w:rsidRPr="00DC40BE">
        <w:rPr>
          <w:noProof/>
          <w:lang w:val="pl-PL"/>
        </w:rPr>
        <w:t xml:space="preserve"> w wyb</w:t>
      </w:r>
      <w:r w:rsidRPr="00DC40BE">
        <w:rPr>
          <w:noProof/>
          <w:lang w:val="pl-PL"/>
        </w:rPr>
        <w:t>orach do Parlamentu Europejskiego (16 lat</w:t>
      </w:r>
      <w:r w:rsidR="00DC40BE" w:rsidRPr="00DC40BE">
        <w:rPr>
          <w:noProof/>
          <w:lang w:val="pl-PL"/>
        </w:rPr>
        <w:t xml:space="preserve"> w Aus</w:t>
      </w:r>
      <w:r w:rsidRPr="00DC40BE">
        <w:rPr>
          <w:noProof/>
          <w:lang w:val="pl-PL"/>
        </w:rPr>
        <w:t>trii i na Malcie</w:t>
      </w:r>
      <w:r w:rsidR="00DC40BE" w:rsidRPr="00DC40BE">
        <w:rPr>
          <w:noProof/>
          <w:lang w:val="pl-PL"/>
        </w:rPr>
        <w:t xml:space="preserve"> i 1</w:t>
      </w:r>
      <w:r w:rsidRPr="00DC40BE">
        <w:rPr>
          <w:noProof/>
          <w:lang w:val="pl-PL"/>
        </w:rPr>
        <w:t>7 lat</w:t>
      </w:r>
      <w:r w:rsidR="00DC40BE" w:rsidRPr="00DC40BE">
        <w:rPr>
          <w:noProof/>
          <w:lang w:val="pl-PL"/>
        </w:rPr>
        <w:t xml:space="preserve"> w Gre</w:t>
      </w:r>
      <w:r w:rsidRPr="00DC40BE">
        <w:rPr>
          <w:noProof/>
          <w:lang w:val="pl-PL"/>
        </w:rPr>
        <w:t>cji). Aby zwiększyć udział młodych obywateli</w:t>
      </w:r>
      <w:r w:rsidR="00DC40BE" w:rsidRPr="00DC40BE">
        <w:rPr>
          <w:noProof/>
          <w:lang w:val="pl-PL"/>
        </w:rPr>
        <w:t xml:space="preserve"> w życ</w:t>
      </w:r>
      <w:r w:rsidRPr="00DC40BE">
        <w:rPr>
          <w:noProof/>
          <w:lang w:val="pl-PL"/>
        </w:rPr>
        <w:t>iu demokratycznym Unii Europejskiej,</w:t>
      </w:r>
      <w:r w:rsidR="00DC40BE" w:rsidRPr="00DC40BE">
        <w:rPr>
          <w:noProof/>
          <w:lang w:val="pl-PL"/>
        </w:rPr>
        <w:t xml:space="preserve"> w roz</w:t>
      </w:r>
      <w:r w:rsidRPr="00DC40BE">
        <w:rPr>
          <w:noProof/>
          <w:lang w:val="pl-PL"/>
        </w:rPr>
        <w:t>porządzeniu</w:t>
      </w:r>
      <w:r w:rsidR="00DC40BE" w:rsidRPr="00DC40BE">
        <w:rPr>
          <w:noProof/>
          <w:lang w:val="pl-PL"/>
        </w:rPr>
        <w:t xml:space="preserve"> w spr</w:t>
      </w:r>
      <w:r w:rsidRPr="00DC40BE">
        <w:rPr>
          <w:noProof/>
          <w:lang w:val="pl-PL"/>
        </w:rPr>
        <w:t>awie EIO państwom członkowskim zapewniono możliwość obniżenia minimalnego wieku uprawniającego do poparcia EIO do</w:t>
      </w:r>
      <w:r w:rsidR="00DC40BE" w:rsidRPr="00DC40BE">
        <w:rPr>
          <w:noProof/>
          <w:lang w:val="pl-PL"/>
        </w:rPr>
        <w:t> </w:t>
      </w:r>
      <w:r w:rsidRPr="00DC40BE">
        <w:rPr>
          <w:noProof/>
          <w:lang w:val="pl-PL"/>
        </w:rPr>
        <w:t>16 lat zgodnie</w:t>
      </w:r>
      <w:r w:rsidR="00DC40BE" w:rsidRPr="00DC40BE">
        <w:rPr>
          <w:noProof/>
          <w:lang w:val="pl-PL"/>
        </w:rPr>
        <w:t xml:space="preserve"> z prz</w:t>
      </w:r>
      <w:r w:rsidRPr="00DC40BE">
        <w:rPr>
          <w:noProof/>
          <w:lang w:val="pl-PL"/>
        </w:rPr>
        <w:t>episami prawa krajowego. Od chwili wprowadzenia tego przepisu minimalny wiek uprawniający do poparcia EIO został obniżony do</w:t>
      </w:r>
      <w:r w:rsidR="00DC40BE" w:rsidRPr="00DC40BE">
        <w:rPr>
          <w:noProof/>
          <w:lang w:val="pl-PL"/>
        </w:rPr>
        <w:t> </w:t>
      </w:r>
      <w:r w:rsidRPr="00DC40BE">
        <w:rPr>
          <w:noProof/>
          <w:lang w:val="pl-PL"/>
        </w:rPr>
        <w:t>16 lat</w:t>
      </w:r>
      <w:r w:rsidR="00DC40BE" w:rsidRPr="00DC40BE">
        <w:rPr>
          <w:noProof/>
          <w:lang w:val="pl-PL"/>
        </w:rPr>
        <w:t xml:space="preserve"> w trz</w:t>
      </w:r>
      <w:r w:rsidRPr="00DC40BE">
        <w:rPr>
          <w:noProof/>
          <w:lang w:val="pl-PL"/>
        </w:rPr>
        <w:t>ech państwach członkowskich:</w:t>
      </w:r>
      <w:r w:rsidR="00DC40BE" w:rsidRPr="00DC40BE">
        <w:rPr>
          <w:noProof/>
          <w:lang w:val="pl-PL"/>
        </w:rPr>
        <w:t xml:space="preserve"> w Est</w:t>
      </w:r>
      <w:r w:rsidRPr="00DC40BE">
        <w:rPr>
          <w:noProof/>
          <w:lang w:val="pl-PL"/>
        </w:rPr>
        <w:t>onii (od</w:t>
      </w:r>
      <w:r w:rsidR="00DC40BE" w:rsidRPr="00DC40BE">
        <w:rPr>
          <w:noProof/>
          <w:lang w:val="pl-PL"/>
        </w:rPr>
        <w:t> </w:t>
      </w:r>
      <w:r w:rsidRPr="00DC40BE">
        <w:rPr>
          <w:noProof/>
          <w:lang w:val="pl-PL"/>
        </w:rPr>
        <w:t>1 stycznia 2020</w:t>
      </w:r>
      <w:r w:rsidR="00DC40BE" w:rsidRPr="00DC40BE">
        <w:rPr>
          <w:noProof/>
          <w:lang w:val="pl-PL"/>
        </w:rPr>
        <w:t> </w:t>
      </w:r>
      <w:r w:rsidRPr="00DC40BE">
        <w:rPr>
          <w:noProof/>
          <w:lang w:val="pl-PL"/>
        </w:rPr>
        <w:t>r.),</w:t>
      </w:r>
      <w:r w:rsidR="00DC40BE" w:rsidRPr="00DC40BE">
        <w:rPr>
          <w:noProof/>
          <w:lang w:val="pl-PL"/>
        </w:rPr>
        <w:t xml:space="preserve"> w Nie</w:t>
      </w:r>
      <w:r w:rsidRPr="00DC40BE">
        <w:rPr>
          <w:noProof/>
          <w:lang w:val="pl-PL"/>
        </w:rPr>
        <w:t>mczech (od</w:t>
      </w:r>
      <w:r w:rsidR="00DC40BE" w:rsidRPr="00DC40BE">
        <w:rPr>
          <w:noProof/>
          <w:lang w:val="pl-PL"/>
        </w:rPr>
        <w:t> </w:t>
      </w:r>
      <w:r w:rsidRPr="00DC40BE">
        <w:rPr>
          <w:noProof/>
          <w:lang w:val="pl-PL"/>
        </w:rPr>
        <w:t>1 stycznia 2023</w:t>
      </w:r>
      <w:r w:rsidR="00DC40BE" w:rsidRPr="00DC40BE">
        <w:rPr>
          <w:noProof/>
          <w:lang w:val="pl-PL"/>
        </w:rPr>
        <w:t> </w:t>
      </w:r>
      <w:r w:rsidRPr="00DC40BE">
        <w:rPr>
          <w:noProof/>
          <w:lang w:val="pl-PL"/>
        </w:rPr>
        <w:t>r.)</w:t>
      </w:r>
      <w:r w:rsidR="00DC40BE" w:rsidRPr="00DC40BE">
        <w:rPr>
          <w:noProof/>
          <w:lang w:val="pl-PL"/>
        </w:rPr>
        <w:t xml:space="preserve"> i w Bel</w:t>
      </w:r>
      <w:r w:rsidRPr="00DC40BE">
        <w:rPr>
          <w:noProof/>
          <w:lang w:val="pl-PL"/>
        </w:rPr>
        <w:t>gii (od</w:t>
      </w:r>
      <w:r w:rsidR="00DC40BE" w:rsidRPr="00DC40BE">
        <w:rPr>
          <w:noProof/>
          <w:lang w:val="pl-PL"/>
        </w:rPr>
        <w:t> </w:t>
      </w:r>
      <w:r w:rsidRPr="00DC40BE">
        <w:rPr>
          <w:noProof/>
          <w:lang w:val="pl-PL"/>
        </w:rPr>
        <w:t>1 maja 2023</w:t>
      </w:r>
      <w:r w:rsidR="00DC40BE" w:rsidRPr="00DC40BE">
        <w:rPr>
          <w:noProof/>
          <w:lang w:val="pl-PL"/>
        </w:rPr>
        <w:t> </w:t>
      </w:r>
      <w:r w:rsidRPr="00DC40BE">
        <w:rPr>
          <w:noProof/>
          <w:lang w:val="pl-PL"/>
        </w:rPr>
        <w:t>r.), co oznacza, że obecnie minimalny wiek uprawniający do poparcia EIO jest niższy niż 18 lat</w:t>
      </w:r>
      <w:r w:rsidR="00DC40BE" w:rsidRPr="00DC40BE">
        <w:rPr>
          <w:noProof/>
          <w:lang w:val="pl-PL"/>
        </w:rPr>
        <w:t xml:space="preserve"> w sze</w:t>
      </w:r>
      <w:r w:rsidRPr="00DC40BE">
        <w:rPr>
          <w:noProof/>
          <w:lang w:val="pl-PL"/>
        </w:rPr>
        <w:t>ściu państwach członkowskich. W Finlandii przewiduje się ponadto obniżenie minimalnego wieku uprawniającego do poparcia EIO do</w:t>
      </w:r>
      <w:r w:rsidR="00DC40BE" w:rsidRPr="00DC40BE">
        <w:rPr>
          <w:noProof/>
          <w:lang w:val="pl-PL"/>
        </w:rPr>
        <w:t> </w:t>
      </w:r>
      <w:r w:rsidRPr="00DC40BE">
        <w:rPr>
          <w:noProof/>
          <w:lang w:val="pl-PL"/>
        </w:rPr>
        <w:t>16 lat, natomiast</w:t>
      </w:r>
      <w:r w:rsidR="00DC40BE" w:rsidRPr="00DC40BE">
        <w:rPr>
          <w:noProof/>
          <w:lang w:val="pl-PL"/>
        </w:rPr>
        <w:t xml:space="preserve"> w Irl</w:t>
      </w:r>
      <w:r w:rsidRPr="00DC40BE">
        <w:rPr>
          <w:noProof/>
          <w:lang w:val="pl-PL"/>
        </w:rPr>
        <w:t>andii ogłoszono plany dotyczące zbadania możliwości obniżenia minimalnego wieku uprawniającego do głosowania</w:t>
      </w:r>
      <w:r w:rsidR="00DC40BE" w:rsidRPr="00DC40BE">
        <w:rPr>
          <w:noProof/>
          <w:lang w:val="pl-PL"/>
        </w:rPr>
        <w:t>. W tab</w:t>
      </w:r>
      <w:r w:rsidRPr="00DC40BE">
        <w:rPr>
          <w:noProof/>
          <w:lang w:val="pl-PL"/>
        </w:rPr>
        <w:t>eli 2 przedstawiono zestawienie informacji na temat minimalnego wieku uprawniającego do poparcia EIO</w:t>
      </w:r>
      <w:r w:rsidR="00DC40BE" w:rsidRPr="00DC40BE">
        <w:rPr>
          <w:noProof/>
          <w:lang w:val="pl-PL"/>
        </w:rPr>
        <w:t xml:space="preserve"> w 2</w:t>
      </w:r>
      <w:r w:rsidRPr="00DC40BE">
        <w:rPr>
          <w:noProof/>
          <w:lang w:val="pl-PL"/>
        </w:rPr>
        <w:t xml:space="preserve">7 państwach członkowskich UE. </w:t>
      </w:r>
    </w:p>
    <w:p w14:paraId="187CB476" w14:textId="03F87EC2" w:rsidR="005A4888" w:rsidRPr="00DC40BE" w:rsidRDefault="005A4888" w:rsidP="00E8781C">
      <w:pPr>
        <w:keepNext/>
        <w:spacing w:before="100" w:beforeAutospacing="1" w:after="100" w:afterAutospacing="1" w:line="276" w:lineRule="auto"/>
        <w:rPr>
          <w:b/>
          <w:noProof/>
          <w:lang w:val="pl-PL"/>
        </w:rPr>
      </w:pPr>
      <w:r w:rsidRPr="00DC40BE">
        <w:rPr>
          <w:b/>
          <w:noProof/>
          <w:lang w:val="pl-PL"/>
        </w:rPr>
        <w:t>Tabela 2: minimalny wiek uprawniający do poparcia EIO – aktualna sytuacja (czerwiec 2023</w:t>
      </w:r>
      <w:r w:rsidR="00DC40BE" w:rsidRPr="00DC40BE">
        <w:rPr>
          <w:b/>
          <w:noProof/>
          <w:lang w:val="pl-PL"/>
        </w:rPr>
        <w:t> </w:t>
      </w:r>
      <w:r w:rsidRPr="00DC40BE">
        <w:rPr>
          <w:b/>
          <w:noProof/>
          <w:lang w:val="pl-PL"/>
        </w:rPr>
        <w:t>r.)</w:t>
      </w:r>
    </w:p>
    <w:tbl>
      <w:tblPr>
        <w:tblStyle w:val="Tabela-Siatka"/>
        <w:tblW w:w="0" w:type="auto"/>
        <w:shd w:val="clear" w:color="auto" w:fill="E7E6E6" w:themeFill="background2"/>
        <w:tblLook w:val="04A0" w:firstRow="1" w:lastRow="0" w:firstColumn="1" w:lastColumn="0" w:noHBand="0" w:noVBand="1"/>
      </w:tblPr>
      <w:tblGrid>
        <w:gridCol w:w="2047"/>
        <w:gridCol w:w="7009"/>
      </w:tblGrid>
      <w:tr w:rsidR="005A4888" w:rsidRPr="00DC40BE" w14:paraId="5F86E2CB" w14:textId="77777777" w:rsidTr="00877DE6">
        <w:trPr>
          <w:trHeight w:val="300"/>
        </w:trPr>
        <w:tc>
          <w:tcPr>
            <w:tcW w:w="2093" w:type="dxa"/>
            <w:shd w:val="clear" w:color="auto" w:fill="E7E6E6" w:themeFill="background2"/>
          </w:tcPr>
          <w:p w14:paraId="0323DFD3" w14:textId="77777777" w:rsidR="005A4888" w:rsidRPr="00DC40BE" w:rsidRDefault="005A4888" w:rsidP="00E8781C">
            <w:pPr>
              <w:spacing w:before="100" w:beforeAutospacing="1" w:after="100" w:afterAutospacing="1" w:line="276" w:lineRule="auto"/>
              <w:rPr>
                <w:noProof/>
                <w:lang w:val="pl-PL"/>
              </w:rPr>
            </w:pPr>
            <w:r w:rsidRPr="00DC40BE">
              <w:rPr>
                <w:noProof/>
                <w:lang w:val="pl-PL"/>
              </w:rPr>
              <w:t>18 lat</w:t>
            </w:r>
          </w:p>
        </w:tc>
        <w:tc>
          <w:tcPr>
            <w:tcW w:w="7195" w:type="dxa"/>
            <w:shd w:val="clear" w:color="auto" w:fill="E7E6E6" w:themeFill="background2"/>
          </w:tcPr>
          <w:p w14:paraId="124E43AC" w14:textId="5712C8E7" w:rsidR="005A4888" w:rsidRPr="00DC40BE" w:rsidRDefault="005A4888" w:rsidP="00E8781C">
            <w:pPr>
              <w:spacing w:before="100" w:beforeAutospacing="1" w:after="100" w:afterAutospacing="1" w:line="276" w:lineRule="auto"/>
              <w:rPr>
                <w:noProof/>
                <w:lang w:val="pl-PL"/>
              </w:rPr>
            </w:pPr>
            <w:r w:rsidRPr="00DC40BE">
              <w:rPr>
                <w:noProof/>
                <w:lang w:val="pl-PL"/>
              </w:rPr>
              <w:t>BG, CZ, DK, IE, ES, FR, HR, IT, CY, LV, LT, LU, HU, NL, PL, PT, RO, SI, SK, FI, SE</w:t>
            </w:r>
          </w:p>
        </w:tc>
      </w:tr>
      <w:tr w:rsidR="005A4888" w:rsidRPr="00DC40BE" w14:paraId="19350D19" w14:textId="77777777" w:rsidTr="00877DE6">
        <w:trPr>
          <w:trHeight w:val="300"/>
        </w:trPr>
        <w:tc>
          <w:tcPr>
            <w:tcW w:w="2093" w:type="dxa"/>
            <w:shd w:val="clear" w:color="auto" w:fill="E7E6E6" w:themeFill="background2"/>
          </w:tcPr>
          <w:p w14:paraId="54B77743" w14:textId="77777777" w:rsidR="005A4888" w:rsidRPr="00DC40BE" w:rsidRDefault="005A4888" w:rsidP="00E8781C">
            <w:pPr>
              <w:spacing w:before="100" w:beforeAutospacing="1" w:after="100" w:afterAutospacing="1" w:line="276" w:lineRule="auto"/>
              <w:rPr>
                <w:noProof/>
                <w:lang w:val="pl-PL"/>
              </w:rPr>
            </w:pPr>
            <w:r w:rsidRPr="00DC40BE">
              <w:rPr>
                <w:noProof/>
                <w:lang w:val="pl-PL"/>
              </w:rPr>
              <w:t>17 lat</w:t>
            </w:r>
          </w:p>
        </w:tc>
        <w:tc>
          <w:tcPr>
            <w:tcW w:w="7195" w:type="dxa"/>
            <w:shd w:val="clear" w:color="auto" w:fill="E7E6E6" w:themeFill="background2"/>
          </w:tcPr>
          <w:p w14:paraId="1D67264D" w14:textId="74716C38" w:rsidR="005A4888" w:rsidRPr="00DC40BE" w:rsidRDefault="005A4888" w:rsidP="00E8781C">
            <w:pPr>
              <w:spacing w:before="100" w:beforeAutospacing="1" w:after="100" w:afterAutospacing="1" w:line="276" w:lineRule="auto"/>
              <w:rPr>
                <w:noProof/>
                <w:lang w:val="pl-PL"/>
              </w:rPr>
            </w:pPr>
            <w:r w:rsidRPr="00DC40BE">
              <w:rPr>
                <w:noProof/>
                <w:lang w:val="pl-PL"/>
              </w:rPr>
              <w:t>EL</w:t>
            </w:r>
          </w:p>
        </w:tc>
      </w:tr>
      <w:tr w:rsidR="005A4888" w:rsidRPr="00DC40BE" w14:paraId="6180314E" w14:textId="77777777" w:rsidTr="00877DE6">
        <w:trPr>
          <w:trHeight w:val="300"/>
        </w:trPr>
        <w:tc>
          <w:tcPr>
            <w:tcW w:w="2093" w:type="dxa"/>
            <w:shd w:val="clear" w:color="auto" w:fill="E7E6E6" w:themeFill="background2"/>
          </w:tcPr>
          <w:p w14:paraId="2344499B" w14:textId="77777777" w:rsidR="005A4888" w:rsidRPr="00DC40BE" w:rsidRDefault="005A4888" w:rsidP="00E8781C">
            <w:pPr>
              <w:spacing w:before="100" w:beforeAutospacing="1" w:after="100" w:afterAutospacing="1" w:line="276" w:lineRule="auto"/>
              <w:rPr>
                <w:noProof/>
                <w:lang w:val="pl-PL"/>
              </w:rPr>
            </w:pPr>
            <w:r w:rsidRPr="00DC40BE">
              <w:rPr>
                <w:noProof/>
                <w:lang w:val="pl-PL"/>
              </w:rPr>
              <w:t>16 lat</w:t>
            </w:r>
          </w:p>
        </w:tc>
        <w:tc>
          <w:tcPr>
            <w:tcW w:w="7195" w:type="dxa"/>
            <w:shd w:val="clear" w:color="auto" w:fill="E7E6E6" w:themeFill="background2"/>
          </w:tcPr>
          <w:p w14:paraId="0DC88AC4" w14:textId="24742E07" w:rsidR="005A4888" w:rsidRPr="00DC40BE" w:rsidRDefault="003D1577" w:rsidP="00E8781C">
            <w:pPr>
              <w:spacing w:before="100" w:beforeAutospacing="1" w:after="100" w:afterAutospacing="1" w:line="276" w:lineRule="auto"/>
              <w:rPr>
                <w:noProof/>
                <w:lang w:val="pl-PL"/>
              </w:rPr>
            </w:pPr>
            <w:r w:rsidRPr="00DC40BE">
              <w:rPr>
                <w:noProof/>
                <w:lang w:val="pl-PL"/>
              </w:rPr>
              <w:t xml:space="preserve">BE, DE, EE, MT, AT </w:t>
            </w:r>
          </w:p>
        </w:tc>
      </w:tr>
    </w:tbl>
    <w:p w14:paraId="0DF06EB5" w14:textId="77777777" w:rsidR="005A4888" w:rsidRPr="00DC40BE" w:rsidRDefault="005A4888" w:rsidP="00E8781C">
      <w:pPr>
        <w:spacing w:before="100" w:beforeAutospacing="1" w:after="100" w:afterAutospacing="1" w:line="276" w:lineRule="auto"/>
        <w:rPr>
          <w:noProof/>
          <w:lang w:val="pl-PL"/>
        </w:rPr>
      </w:pPr>
    </w:p>
    <w:p w14:paraId="5BD3C269" w14:textId="381F0D00" w:rsidR="005A4888" w:rsidRPr="00DC40BE" w:rsidRDefault="005A4888" w:rsidP="00E8781C">
      <w:pPr>
        <w:spacing w:before="100" w:beforeAutospacing="1" w:after="100" w:afterAutospacing="1" w:line="276" w:lineRule="auto"/>
        <w:rPr>
          <w:noProof/>
          <w:lang w:val="pl-PL"/>
        </w:rPr>
      </w:pPr>
      <w:r w:rsidRPr="00DC40BE">
        <w:rPr>
          <w:noProof/>
          <w:lang w:val="pl-PL"/>
        </w:rPr>
        <w:t>W przekazywanych informacjach zwrotnych 15 państw członkowskich zgłosiło, że nie planuje obecnie obniżenia minimalnego wieku uprawniającego do poparcia EIO do</w:t>
      </w:r>
      <w:r w:rsidR="00DC40BE" w:rsidRPr="00DC40BE">
        <w:rPr>
          <w:noProof/>
          <w:lang w:val="pl-PL"/>
        </w:rPr>
        <w:t> </w:t>
      </w:r>
      <w:r w:rsidRPr="00DC40BE">
        <w:rPr>
          <w:noProof/>
          <w:lang w:val="pl-PL"/>
        </w:rPr>
        <w:t>16 lat, natomiast</w:t>
      </w:r>
      <w:r w:rsidR="00DC40BE" w:rsidRPr="00DC40BE">
        <w:rPr>
          <w:noProof/>
          <w:lang w:val="pl-PL"/>
        </w:rPr>
        <w:t xml:space="preserve"> w kol</w:t>
      </w:r>
      <w:r w:rsidRPr="00DC40BE">
        <w:rPr>
          <w:noProof/>
          <w:lang w:val="pl-PL"/>
        </w:rPr>
        <w:t>ejnych trzech (Łotwa, Słowenia</w:t>
      </w:r>
      <w:r w:rsidR="00DC40BE" w:rsidRPr="00DC40BE">
        <w:rPr>
          <w:noProof/>
          <w:lang w:val="pl-PL"/>
        </w:rPr>
        <w:t xml:space="preserve"> i Sło</w:t>
      </w:r>
      <w:r w:rsidRPr="00DC40BE">
        <w:rPr>
          <w:noProof/>
          <w:lang w:val="pl-PL"/>
        </w:rPr>
        <w:t>wacja) nie podjęto jeszcze żadnej decyzji</w:t>
      </w:r>
      <w:r w:rsidR="00DC40BE" w:rsidRPr="00DC40BE">
        <w:rPr>
          <w:noProof/>
          <w:lang w:val="pl-PL"/>
        </w:rPr>
        <w:t xml:space="preserve"> w tej</w:t>
      </w:r>
      <w:r w:rsidRPr="00DC40BE">
        <w:rPr>
          <w:noProof/>
          <w:lang w:val="pl-PL"/>
        </w:rPr>
        <w:t xml:space="preserve"> kwestii.</w:t>
      </w:r>
    </w:p>
    <w:p w14:paraId="65D619DF" w14:textId="2F0DCCB8" w:rsidR="005A4888" w:rsidRPr="00DC40BE" w:rsidRDefault="009C37C0" w:rsidP="00E8781C">
      <w:pPr>
        <w:spacing w:before="100" w:beforeAutospacing="1" w:after="100" w:afterAutospacing="1" w:line="276" w:lineRule="auto"/>
        <w:rPr>
          <w:rStyle w:val="eop"/>
          <w:noProof/>
          <w:shd w:val="clear" w:color="auto" w:fill="FFFFFF"/>
          <w:lang w:val="pl-PL"/>
        </w:rPr>
      </w:pPr>
      <w:r w:rsidRPr="00DC40BE">
        <w:rPr>
          <w:noProof/>
          <w:lang w:val="pl-PL"/>
        </w:rPr>
        <w:lastRenderedPageBreak/>
        <w:t>75</w:t>
      </w:r>
      <w:r w:rsidR="00DC40BE" w:rsidRPr="00DC40BE">
        <w:rPr>
          <w:noProof/>
          <w:lang w:val="pl-PL"/>
        </w:rPr>
        <w:t> </w:t>
      </w:r>
      <w:r w:rsidRPr="00DC40BE">
        <w:rPr>
          <w:noProof/>
          <w:lang w:val="pl-PL"/>
        </w:rPr>
        <w:t>% organizatorów EIO, którzy wzięli udział</w:t>
      </w:r>
      <w:r w:rsidR="00DC40BE" w:rsidRPr="00DC40BE">
        <w:rPr>
          <w:noProof/>
          <w:lang w:val="pl-PL"/>
        </w:rPr>
        <w:t xml:space="preserve"> w ank</w:t>
      </w:r>
      <w:r w:rsidRPr="00DC40BE">
        <w:rPr>
          <w:noProof/>
          <w:lang w:val="pl-PL"/>
        </w:rPr>
        <w:t>iecie(</w:t>
      </w:r>
      <w:r w:rsidRPr="00DC40BE">
        <w:rPr>
          <w:rStyle w:val="Odwoanieprzypisudolnego"/>
          <w:noProof/>
          <w:lang w:val="pl-PL"/>
        </w:rPr>
        <w:footnoteReference w:id="22"/>
      </w:r>
      <w:r w:rsidRPr="00DC40BE">
        <w:rPr>
          <w:noProof/>
          <w:lang w:val="pl-PL"/>
        </w:rPr>
        <w:t>), uznało, że obniżenie minimalnego wieku uprawniającego do poparcia EIO do</w:t>
      </w:r>
      <w:r w:rsidR="00DC40BE" w:rsidRPr="00DC40BE">
        <w:rPr>
          <w:noProof/>
          <w:lang w:val="pl-PL"/>
        </w:rPr>
        <w:t> </w:t>
      </w:r>
      <w:r w:rsidRPr="00DC40BE">
        <w:rPr>
          <w:noProof/>
          <w:lang w:val="pl-PL"/>
        </w:rPr>
        <w:t>16 lat we wszystkich państwach członkowskich ma istotne znaczenie dla powodzenia EIO</w:t>
      </w:r>
      <w:r w:rsidR="00DC40BE" w:rsidRPr="00DC40BE">
        <w:rPr>
          <w:noProof/>
          <w:lang w:val="pl-PL"/>
        </w:rPr>
        <w:t>. Z kol</w:t>
      </w:r>
      <w:r w:rsidRPr="00DC40BE">
        <w:rPr>
          <w:noProof/>
          <w:lang w:val="pl-PL"/>
        </w:rPr>
        <w:t xml:space="preserve">ei </w:t>
      </w:r>
      <w:r w:rsidRPr="00DC40BE">
        <w:rPr>
          <w:rStyle w:val="normaltextrun"/>
          <w:noProof/>
          <w:shd w:val="clear" w:color="auto" w:fill="FFFFFF"/>
          <w:lang w:val="pl-PL"/>
        </w:rPr>
        <w:t>opinie obywateli</w:t>
      </w:r>
      <w:r w:rsidR="00DC40BE" w:rsidRPr="00DC40BE">
        <w:rPr>
          <w:rStyle w:val="normaltextrun"/>
          <w:noProof/>
          <w:shd w:val="clear" w:color="auto" w:fill="FFFFFF"/>
          <w:lang w:val="pl-PL"/>
        </w:rPr>
        <w:t xml:space="preserve"> w tej</w:t>
      </w:r>
      <w:r w:rsidRPr="00DC40BE">
        <w:rPr>
          <w:rStyle w:val="normaltextrun"/>
          <w:noProof/>
          <w:shd w:val="clear" w:color="auto" w:fill="FFFFFF"/>
          <w:lang w:val="pl-PL"/>
        </w:rPr>
        <w:t xml:space="preserve"> kwestii wyrażone</w:t>
      </w:r>
      <w:r w:rsidR="00DC40BE" w:rsidRPr="00DC40BE">
        <w:rPr>
          <w:rStyle w:val="normaltextrun"/>
          <w:noProof/>
          <w:shd w:val="clear" w:color="auto" w:fill="FFFFFF"/>
          <w:lang w:val="pl-PL"/>
        </w:rPr>
        <w:t xml:space="preserve"> w ank</w:t>
      </w:r>
      <w:r w:rsidRPr="00DC40BE">
        <w:rPr>
          <w:rStyle w:val="normaltextrun"/>
          <w:noProof/>
          <w:shd w:val="clear" w:color="auto" w:fill="FFFFFF"/>
          <w:lang w:val="pl-PL"/>
        </w:rPr>
        <w:t>iecie internetowej były podzielone:</w:t>
      </w:r>
      <w:r w:rsidRPr="00DC40BE">
        <w:rPr>
          <w:noProof/>
          <w:lang w:val="pl-PL"/>
        </w:rPr>
        <w:t xml:space="preserve"> </w:t>
      </w:r>
      <w:r w:rsidRPr="00DC40BE">
        <w:rPr>
          <w:rStyle w:val="normaltextrun"/>
          <w:noProof/>
          <w:shd w:val="clear" w:color="auto" w:fill="FFFFFF"/>
          <w:lang w:val="pl-PL"/>
        </w:rPr>
        <w:t>choć 52</w:t>
      </w:r>
      <w:r w:rsidR="00DC40BE" w:rsidRPr="00DC40BE">
        <w:rPr>
          <w:rStyle w:val="normaltextrun"/>
          <w:noProof/>
          <w:shd w:val="clear" w:color="auto" w:fill="FFFFFF"/>
          <w:lang w:val="pl-PL"/>
        </w:rPr>
        <w:t> </w:t>
      </w:r>
      <w:r w:rsidRPr="00DC40BE">
        <w:rPr>
          <w:rStyle w:val="normaltextrun"/>
          <w:noProof/>
          <w:shd w:val="clear" w:color="auto" w:fill="FFFFFF"/>
          <w:lang w:val="pl-PL"/>
        </w:rPr>
        <w:t>%</w:t>
      </w:r>
      <w:r w:rsidR="00DC40BE" w:rsidRPr="00DC40BE">
        <w:rPr>
          <w:rStyle w:val="normaltextrun"/>
          <w:noProof/>
          <w:shd w:val="clear" w:color="auto" w:fill="FFFFFF"/>
          <w:lang w:val="pl-PL"/>
        </w:rPr>
        <w:t xml:space="preserve"> z nic</w:t>
      </w:r>
      <w:r w:rsidRPr="00DC40BE">
        <w:rPr>
          <w:rStyle w:val="normaltextrun"/>
          <w:noProof/>
          <w:shd w:val="clear" w:color="auto" w:fill="FFFFFF"/>
          <w:lang w:val="pl-PL"/>
        </w:rPr>
        <w:t>h opowiedziało się za obniżeniem minimalnego wieku uprawniającego do poparcia EIO do</w:t>
      </w:r>
      <w:r w:rsidR="00DC40BE" w:rsidRPr="00DC40BE">
        <w:rPr>
          <w:rStyle w:val="normaltextrun"/>
          <w:noProof/>
          <w:shd w:val="clear" w:color="auto" w:fill="FFFFFF"/>
          <w:lang w:val="pl-PL"/>
        </w:rPr>
        <w:t> </w:t>
      </w:r>
      <w:r w:rsidRPr="00DC40BE">
        <w:rPr>
          <w:rStyle w:val="normaltextrun"/>
          <w:noProof/>
          <w:shd w:val="clear" w:color="auto" w:fill="FFFFFF"/>
          <w:lang w:val="pl-PL"/>
        </w:rPr>
        <w:t>16 lat, 46</w:t>
      </w:r>
      <w:r w:rsidR="00DC40BE" w:rsidRPr="00DC40BE">
        <w:rPr>
          <w:rStyle w:val="normaltextrun"/>
          <w:noProof/>
          <w:shd w:val="clear" w:color="auto" w:fill="FFFFFF"/>
          <w:lang w:val="pl-PL"/>
        </w:rPr>
        <w:t> </w:t>
      </w:r>
      <w:r w:rsidRPr="00DC40BE">
        <w:rPr>
          <w:rStyle w:val="normaltextrun"/>
          <w:noProof/>
          <w:shd w:val="clear" w:color="auto" w:fill="FFFFFF"/>
          <w:lang w:val="pl-PL"/>
        </w:rPr>
        <w:t>% uznało, że 18 lat stanowi odpowiedni minimalny wiek uprawniający do poparcia EIO.</w:t>
      </w:r>
    </w:p>
    <w:p w14:paraId="61AB7725" w14:textId="0C64A35E" w:rsidR="005A4888" w:rsidRPr="00DC40BE" w:rsidRDefault="005A4888" w:rsidP="00E8781C">
      <w:pPr>
        <w:pStyle w:val="Nagwek2"/>
        <w:spacing w:before="100" w:beforeAutospacing="1" w:after="100" w:afterAutospacing="1" w:line="276" w:lineRule="auto"/>
        <w:rPr>
          <w:b w:val="0"/>
          <w:noProof/>
          <w:lang w:val="pl-PL"/>
        </w:rPr>
      </w:pPr>
      <w:bookmarkStart w:id="10" w:name="_Toc109672444"/>
      <w:bookmarkStart w:id="11" w:name="_Toc146296671"/>
      <w:r w:rsidRPr="00DC40BE">
        <w:rPr>
          <w:noProof/>
          <w:lang w:val="pl-PL"/>
        </w:rPr>
        <w:t>Grupa organizatorów</w:t>
      </w:r>
      <w:bookmarkEnd w:id="10"/>
      <w:bookmarkEnd w:id="11"/>
    </w:p>
    <w:p w14:paraId="67969092" w14:textId="024686F6" w:rsidR="00716FB7" w:rsidRPr="00DC40BE" w:rsidRDefault="005A4888" w:rsidP="00E8781C">
      <w:pPr>
        <w:spacing w:before="100" w:beforeAutospacing="1" w:after="100" w:afterAutospacing="1" w:line="276" w:lineRule="auto"/>
        <w:rPr>
          <w:noProof/>
          <w:lang w:val="pl-PL"/>
        </w:rPr>
      </w:pPr>
      <w:r w:rsidRPr="00DC40BE">
        <w:rPr>
          <w:noProof/>
          <w:lang w:val="pl-PL"/>
        </w:rPr>
        <w:t>Jednym</w:t>
      </w:r>
      <w:r w:rsidR="00DC40BE" w:rsidRPr="00DC40BE">
        <w:rPr>
          <w:noProof/>
          <w:lang w:val="pl-PL"/>
        </w:rPr>
        <w:t xml:space="preserve"> z war</w:t>
      </w:r>
      <w:r w:rsidRPr="00DC40BE">
        <w:rPr>
          <w:noProof/>
          <w:lang w:val="pl-PL"/>
        </w:rPr>
        <w:t xml:space="preserve">unków wystąpienia z EIO jest utworzenie </w:t>
      </w:r>
      <w:r w:rsidRPr="00DC40BE">
        <w:rPr>
          <w:b/>
          <w:noProof/>
          <w:lang w:val="pl-PL"/>
        </w:rPr>
        <w:t>grupy organizatorów</w:t>
      </w:r>
      <w:r w:rsidRPr="00DC40BE">
        <w:rPr>
          <w:noProof/>
          <w:lang w:val="pl-PL"/>
        </w:rPr>
        <w:t xml:space="preserve"> składającej się z co najmniej siedmiu obywateli UE, którzy muszą (i) mieć miejsce zamieszkania</w:t>
      </w:r>
      <w:r w:rsidR="00DC40BE" w:rsidRPr="00DC40BE">
        <w:rPr>
          <w:noProof/>
          <w:lang w:val="pl-PL"/>
        </w:rPr>
        <w:t xml:space="preserve"> w sie</w:t>
      </w:r>
      <w:r w:rsidRPr="00DC40BE">
        <w:rPr>
          <w:noProof/>
          <w:lang w:val="pl-PL"/>
        </w:rPr>
        <w:t>dmiu różnych państwach członkowskich UE oraz (ii) być</w:t>
      </w:r>
      <w:r w:rsidR="00DC40BE" w:rsidRPr="00DC40BE">
        <w:rPr>
          <w:noProof/>
          <w:lang w:val="pl-PL"/>
        </w:rPr>
        <w:t xml:space="preserve"> w wie</w:t>
      </w:r>
      <w:r w:rsidRPr="00DC40BE">
        <w:rPr>
          <w:noProof/>
          <w:lang w:val="pl-PL"/>
        </w:rPr>
        <w:t>ku uprawniającym ich do głosowania</w:t>
      </w:r>
      <w:r w:rsidR="00DC40BE" w:rsidRPr="00DC40BE">
        <w:rPr>
          <w:noProof/>
          <w:lang w:val="pl-PL"/>
        </w:rPr>
        <w:t xml:space="preserve"> w wyb</w:t>
      </w:r>
      <w:r w:rsidRPr="00DC40BE">
        <w:rPr>
          <w:noProof/>
          <w:lang w:val="pl-PL"/>
        </w:rPr>
        <w:t xml:space="preserve">orach do Parlamentu Europejskiego. </w:t>
      </w:r>
    </w:p>
    <w:p w14:paraId="1FF94DC0" w14:textId="0F52D720" w:rsidR="00716FB7" w:rsidRPr="00DC40BE" w:rsidRDefault="005A4888" w:rsidP="00E8781C">
      <w:pPr>
        <w:spacing w:before="100" w:beforeAutospacing="1" w:after="100" w:afterAutospacing="1" w:line="276" w:lineRule="auto"/>
        <w:rPr>
          <w:b/>
          <w:noProof/>
          <w:lang w:val="pl-PL"/>
        </w:rPr>
      </w:pPr>
      <w:r w:rsidRPr="00DC40BE">
        <w:rPr>
          <w:b/>
          <w:noProof/>
          <w:lang w:val="pl-PL"/>
        </w:rPr>
        <w:t xml:space="preserve">Wykres </w:t>
      </w:r>
      <w:r w:rsidRPr="00DC40BE">
        <w:rPr>
          <w:b/>
          <w:i/>
          <w:noProof/>
          <w:lang w:val="pl-PL"/>
        </w:rPr>
        <w:fldChar w:fldCharType="begin" w:fldLock="1"/>
      </w:r>
      <w:r w:rsidRPr="00DC40BE">
        <w:rPr>
          <w:b/>
          <w:noProof/>
          <w:lang w:val="pl-PL"/>
        </w:rPr>
        <w:instrText xml:space="preserve"> SEQ Chart \* ARABIC </w:instrText>
      </w:r>
      <w:r w:rsidRPr="00DC40BE">
        <w:rPr>
          <w:b/>
          <w:i/>
          <w:noProof/>
          <w:lang w:val="pl-PL"/>
        </w:rPr>
        <w:fldChar w:fldCharType="separate"/>
      </w:r>
      <w:r w:rsidRPr="00DC40BE">
        <w:rPr>
          <w:b/>
          <w:noProof/>
          <w:lang w:val="pl-PL"/>
        </w:rPr>
        <w:t>1</w:t>
      </w:r>
      <w:r w:rsidRPr="00DC40BE">
        <w:rPr>
          <w:b/>
          <w:i/>
          <w:noProof/>
          <w:lang w:val="pl-PL"/>
        </w:rPr>
        <w:fldChar w:fldCharType="end"/>
      </w:r>
      <w:r w:rsidRPr="00DC40BE">
        <w:rPr>
          <w:b/>
          <w:noProof/>
          <w:lang w:val="pl-PL"/>
        </w:rPr>
        <w:t>: podział organizatorów według obywatelstwa</w:t>
      </w:r>
      <w:r w:rsidR="00DC40BE" w:rsidRPr="00DC40BE">
        <w:rPr>
          <w:b/>
          <w:noProof/>
          <w:lang w:val="pl-PL"/>
        </w:rPr>
        <w:t xml:space="preserve"> i mie</w:t>
      </w:r>
      <w:r w:rsidRPr="00DC40BE">
        <w:rPr>
          <w:b/>
          <w:noProof/>
          <w:lang w:val="pl-PL"/>
        </w:rPr>
        <w:t>jsca zamieszkania (państwa członkowskie zajmujące pierwsze trzy miejsca)(</w:t>
      </w:r>
      <w:r w:rsidRPr="00DC40BE">
        <w:rPr>
          <w:rStyle w:val="Odwoanieprzypisudolnego"/>
          <w:b/>
          <w:noProof/>
          <w:lang w:val="pl-PL"/>
        </w:rPr>
        <w:footnoteReference w:id="23"/>
      </w:r>
      <w:r w:rsidRPr="00DC40BE">
        <w:rPr>
          <w:b/>
          <w:noProof/>
          <w:lang w:val="pl-PL"/>
        </w:rPr>
        <w:t>)</w:t>
      </w:r>
    </w:p>
    <w:p w14:paraId="152A22C0" w14:textId="5529986C" w:rsidR="00454B15" w:rsidRPr="00DC40BE" w:rsidRDefault="005A4888" w:rsidP="00E8781C">
      <w:pPr>
        <w:spacing w:before="100" w:beforeAutospacing="1" w:after="100" w:afterAutospacing="1" w:line="276" w:lineRule="auto"/>
        <w:rPr>
          <w:noProof/>
          <w:lang w:val="pl-PL"/>
        </w:rPr>
      </w:pPr>
      <w:r w:rsidRPr="00DC40BE">
        <w:rPr>
          <w:b/>
          <w:noProof/>
          <w:lang w:val="pl-PL"/>
        </w:rPr>
        <w:t xml:space="preserve"> </w:t>
      </w:r>
      <w:r w:rsidR="006476D4" w:rsidRPr="00DC40BE">
        <w:rPr>
          <w:noProof/>
          <w:lang w:val="pl-PL" w:eastAsia="pl-PL"/>
        </w:rPr>
        <w:drawing>
          <wp:inline distT="0" distB="0" distL="0" distR="0" wp14:anchorId="5C9928ED" wp14:editId="7AC3FF69">
            <wp:extent cx="4781550" cy="1137820"/>
            <wp:effectExtent l="0" t="0" r="0" b="5715"/>
            <wp:docPr id="618748406" name="Obraz 1" descr="Obraz zawierający tekst, Czcionka, lini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748406" name="Obraz 1" descr="Obraz zawierający tekst, Czcionka, linia, zrzut ekranu&#10;&#10;Opis wygenerowany automatycznie"/>
                    <pic:cNvPicPr/>
                  </pic:nvPicPr>
                  <pic:blipFill>
                    <a:blip r:embed="rId25"/>
                    <a:stretch>
                      <a:fillRect/>
                    </a:stretch>
                  </pic:blipFill>
                  <pic:spPr>
                    <a:xfrm>
                      <a:off x="0" y="0"/>
                      <a:ext cx="4808668" cy="1144273"/>
                    </a:xfrm>
                    <a:prstGeom prst="rect">
                      <a:avLst/>
                    </a:prstGeom>
                  </pic:spPr>
                </pic:pic>
              </a:graphicData>
            </a:graphic>
          </wp:inline>
        </w:drawing>
      </w:r>
    </w:p>
    <w:p w14:paraId="6CF4CC23" w14:textId="26F0CA13" w:rsidR="005A4888" w:rsidRPr="00DC40BE" w:rsidRDefault="005A4888" w:rsidP="00E8781C">
      <w:pPr>
        <w:spacing w:before="100" w:beforeAutospacing="1" w:after="100" w:afterAutospacing="1" w:line="276" w:lineRule="auto"/>
        <w:rPr>
          <w:i/>
          <w:noProof/>
          <w:lang w:val="pl-PL"/>
        </w:rPr>
      </w:pPr>
      <w:r w:rsidRPr="00DC40BE">
        <w:rPr>
          <w:noProof/>
          <w:lang w:val="pl-PL"/>
        </w:rPr>
        <w:t>Zestawienie</w:t>
      </w:r>
      <w:r w:rsidR="00DC40BE" w:rsidRPr="00DC40BE">
        <w:rPr>
          <w:noProof/>
          <w:lang w:val="pl-PL"/>
        </w:rPr>
        <w:t xml:space="preserve"> w pod</w:t>
      </w:r>
      <w:r w:rsidRPr="00DC40BE">
        <w:rPr>
          <w:noProof/>
          <w:lang w:val="pl-PL"/>
        </w:rPr>
        <w:t>ziale na grupy wiekowe (zob. wykres 5</w:t>
      </w:r>
      <w:r w:rsidR="00DC40BE" w:rsidRPr="00DC40BE">
        <w:rPr>
          <w:noProof/>
          <w:lang w:val="pl-PL"/>
        </w:rPr>
        <w:t xml:space="preserve"> w zał</w:t>
      </w:r>
      <w:r w:rsidRPr="00DC40BE">
        <w:rPr>
          <w:noProof/>
          <w:lang w:val="pl-PL"/>
        </w:rPr>
        <w:t>ączniku) pokazuje zrównoważoną reprezentację poszczególnych kategorii wiekowych</w:t>
      </w:r>
      <w:r w:rsidR="00DC40BE" w:rsidRPr="00DC40BE">
        <w:rPr>
          <w:noProof/>
          <w:lang w:val="pl-PL"/>
        </w:rPr>
        <w:t xml:space="preserve"> z sil</w:t>
      </w:r>
      <w:r w:rsidRPr="00DC40BE">
        <w:rPr>
          <w:noProof/>
          <w:lang w:val="pl-PL"/>
        </w:rPr>
        <w:t>ną reprezentacją osób młodych (21</w:t>
      </w:r>
      <w:r w:rsidR="00DC40BE" w:rsidRPr="00DC40BE">
        <w:rPr>
          <w:noProof/>
          <w:lang w:val="pl-PL"/>
        </w:rPr>
        <w:t> </w:t>
      </w:r>
      <w:r w:rsidRPr="00DC40BE">
        <w:rPr>
          <w:noProof/>
          <w:lang w:val="pl-PL"/>
        </w:rPr>
        <w:t>% organizatorów to osoby poniżej 30. roku życia, natomiast 50</w:t>
      </w:r>
      <w:r w:rsidR="00DC40BE" w:rsidRPr="00DC40BE">
        <w:rPr>
          <w:noProof/>
          <w:lang w:val="pl-PL"/>
        </w:rPr>
        <w:t> </w:t>
      </w:r>
      <w:r w:rsidRPr="00DC40BE">
        <w:rPr>
          <w:noProof/>
          <w:lang w:val="pl-PL"/>
        </w:rPr>
        <w:t>% to osoby powyżej 40. roku życia).</w:t>
      </w:r>
    </w:p>
    <w:p w14:paraId="1F566C65" w14:textId="5CB73928" w:rsidR="005A4888" w:rsidRPr="00DC40BE" w:rsidRDefault="00E87667" w:rsidP="00E8781C">
      <w:pPr>
        <w:keepNext/>
        <w:spacing w:before="100" w:beforeAutospacing="1" w:after="100" w:afterAutospacing="1" w:line="276" w:lineRule="auto"/>
        <w:rPr>
          <w:noProof/>
          <w:lang w:val="pl-PL"/>
        </w:rPr>
      </w:pPr>
      <w:r w:rsidRPr="00DC40BE">
        <w:rPr>
          <w:noProof/>
          <w:lang w:val="pl-PL"/>
        </w:rPr>
        <w:t>W nowym rozporządzeniu</w:t>
      </w:r>
      <w:r w:rsidR="00DC40BE" w:rsidRPr="00DC40BE">
        <w:rPr>
          <w:noProof/>
          <w:lang w:val="pl-PL"/>
        </w:rPr>
        <w:t xml:space="preserve"> w spr</w:t>
      </w:r>
      <w:r w:rsidRPr="00DC40BE">
        <w:rPr>
          <w:noProof/>
          <w:lang w:val="pl-PL"/>
        </w:rPr>
        <w:t xml:space="preserve">awie EIO dopuszcza się również możliwość utworzenia </w:t>
      </w:r>
      <w:r w:rsidRPr="00DC40BE">
        <w:rPr>
          <w:b/>
          <w:noProof/>
          <w:lang w:val="pl-PL"/>
        </w:rPr>
        <w:t>podmiotu prawnego</w:t>
      </w:r>
      <w:r w:rsidRPr="00DC40BE">
        <w:rPr>
          <w:noProof/>
          <w:lang w:val="pl-PL"/>
        </w:rPr>
        <w:t xml:space="preserve"> odpowiedzialnego za zarządzanie EIO; tylko dwóch organizatorów zgłosiło jednak, że zdecydowało się to zrobić – wspomniani organizatorzy uznali wprowadzenie możliwości utworzenia podmiotu prawnego za zasadniczo przydatne. Organizatorzy, którzy nie skorzystali</w:t>
      </w:r>
      <w:r w:rsidR="00DC40BE" w:rsidRPr="00DC40BE">
        <w:rPr>
          <w:noProof/>
          <w:lang w:val="pl-PL"/>
        </w:rPr>
        <w:t xml:space="preserve"> z tej</w:t>
      </w:r>
      <w:r w:rsidRPr="00DC40BE">
        <w:rPr>
          <w:noProof/>
          <w:lang w:val="pl-PL"/>
        </w:rPr>
        <w:t xml:space="preserve"> możliwości, wskazywali następujące powody: obciążenia administracyjne, powiązane koszty</w:t>
      </w:r>
      <w:r w:rsidR="00DC40BE" w:rsidRPr="00DC40BE">
        <w:rPr>
          <w:noProof/>
          <w:lang w:val="pl-PL"/>
        </w:rPr>
        <w:t xml:space="preserve"> i opó</w:t>
      </w:r>
      <w:r w:rsidRPr="00DC40BE">
        <w:rPr>
          <w:noProof/>
          <w:lang w:val="pl-PL"/>
        </w:rPr>
        <w:t>źnienia proceduralne przy tworzenia takich podmiotów prawnych.</w:t>
      </w:r>
    </w:p>
    <w:p w14:paraId="51892AAB" w14:textId="449DABB7" w:rsidR="005A4888" w:rsidRPr="00DC40BE" w:rsidRDefault="005A4888" w:rsidP="00E8781C">
      <w:pPr>
        <w:pStyle w:val="Nagwek2"/>
        <w:numPr>
          <w:ilvl w:val="1"/>
          <w:numId w:val="16"/>
        </w:numPr>
        <w:spacing w:before="100" w:beforeAutospacing="1" w:after="100" w:afterAutospacing="1" w:line="276" w:lineRule="auto"/>
        <w:rPr>
          <w:b w:val="0"/>
          <w:noProof/>
          <w:lang w:val="pl-PL"/>
        </w:rPr>
      </w:pPr>
      <w:bookmarkStart w:id="12" w:name="_Toc1999881956"/>
      <w:bookmarkStart w:id="13" w:name="_Toc146296672"/>
      <w:r w:rsidRPr="00DC40BE">
        <w:rPr>
          <w:noProof/>
          <w:lang w:val="pl-PL"/>
        </w:rPr>
        <w:t>Etap rejestracji</w:t>
      </w:r>
      <w:bookmarkEnd w:id="12"/>
      <w:bookmarkEnd w:id="13"/>
    </w:p>
    <w:p w14:paraId="1636C302" w14:textId="4CA486EA" w:rsidR="005A4888" w:rsidRPr="00DC40BE" w:rsidRDefault="00E87667" w:rsidP="00E8781C">
      <w:pPr>
        <w:spacing w:before="100" w:beforeAutospacing="1" w:after="100" w:afterAutospacing="1" w:line="276" w:lineRule="auto"/>
        <w:rPr>
          <w:noProof/>
          <w:lang w:val="pl-PL"/>
        </w:rPr>
      </w:pPr>
      <w:r w:rsidRPr="00DC40BE">
        <w:rPr>
          <w:noProof/>
          <w:lang w:val="pl-PL"/>
        </w:rPr>
        <w:t xml:space="preserve">Od chwili rozpoczęcia stosowania zmienionych przepisów Komisja otrzymała </w:t>
      </w:r>
      <w:r w:rsidRPr="00DC40BE">
        <w:rPr>
          <w:b/>
          <w:noProof/>
          <w:lang w:val="pl-PL"/>
        </w:rPr>
        <w:t>40</w:t>
      </w:r>
      <w:r w:rsidRPr="00DC40BE">
        <w:rPr>
          <w:noProof/>
          <w:lang w:val="pl-PL"/>
        </w:rPr>
        <w:t xml:space="preserve"> wniosków</w:t>
      </w:r>
      <w:r w:rsidR="00DC40BE" w:rsidRPr="00DC40BE">
        <w:rPr>
          <w:noProof/>
          <w:lang w:val="pl-PL"/>
        </w:rPr>
        <w:t xml:space="preserve"> o rej</w:t>
      </w:r>
      <w:r w:rsidRPr="00DC40BE">
        <w:rPr>
          <w:noProof/>
          <w:lang w:val="pl-PL"/>
        </w:rPr>
        <w:t>estrację EIO</w:t>
      </w:r>
      <w:r w:rsidR="00DC40BE" w:rsidRPr="00DC40BE">
        <w:rPr>
          <w:noProof/>
          <w:lang w:val="pl-PL"/>
        </w:rPr>
        <w:t>. W okr</w:t>
      </w:r>
      <w:r w:rsidRPr="00DC40BE">
        <w:rPr>
          <w:noProof/>
          <w:lang w:val="pl-PL"/>
        </w:rPr>
        <w:t xml:space="preserve">esie sprawozdawczym Komisja zarejestrowała </w:t>
      </w:r>
      <w:r w:rsidRPr="00DC40BE">
        <w:rPr>
          <w:b/>
          <w:noProof/>
          <w:lang w:val="pl-PL"/>
        </w:rPr>
        <w:t>37</w:t>
      </w:r>
      <w:r w:rsidRPr="00DC40BE">
        <w:rPr>
          <w:noProof/>
          <w:lang w:val="pl-PL"/>
        </w:rPr>
        <w:t xml:space="preserve"> EIO zgodnie</w:t>
      </w:r>
      <w:r w:rsidR="00DC40BE" w:rsidRPr="00DC40BE">
        <w:rPr>
          <w:noProof/>
          <w:lang w:val="pl-PL"/>
        </w:rPr>
        <w:t xml:space="preserve"> z art</w:t>
      </w:r>
      <w:r w:rsidRPr="00DC40BE">
        <w:rPr>
          <w:noProof/>
          <w:lang w:val="pl-PL"/>
        </w:rPr>
        <w:t>.</w:t>
      </w:r>
      <w:r w:rsidR="00DC40BE" w:rsidRPr="00DC40BE">
        <w:rPr>
          <w:noProof/>
          <w:lang w:val="pl-PL"/>
        </w:rPr>
        <w:t> </w:t>
      </w:r>
      <w:r w:rsidRPr="00DC40BE">
        <w:rPr>
          <w:noProof/>
          <w:lang w:val="pl-PL"/>
        </w:rPr>
        <w:t>6 ust.</w:t>
      </w:r>
      <w:r w:rsidR="00DC40BE" w:rsidRPr="00DC40BE">
        <w:rPr>
          <w:noProof/>
          <w:lang w:val="pl-PL"/>
        </w:rPr>
        <w:t> </w:t>
      </w:r>
      <w:r w:rsidRPr="00DC40BE">
        <w:rPr>
          <w:noProof/>
          <w:lang w:val="pl-PL"/>
        </w:rPr>
        <w:t>3 rozporządzenia</w:t>
      </w:r>
      <w:r w:rsidR="00DC40BE" w:rsidRPr="00DC40BE">
        <w:rPr>
          <w:noProof/>
          <w:lang w:val="pl-PL"/>
        </w:rPr>
        <w:t xml:space="preserve"> w spr</w:t>
      </w:r>
      <w:r w:rsidRPr="00DC40BE">
        <w:rPr>
          <w:noProof/>
          <w:lang w:val="pl-PL"/>
        </w:rPr>
        <w:t>awie EIO, m.in. dzięki dwuetapowej procedurze(</w:t>
      </w:r>
      <w:r w:rsidRPr="00DC40BE">
        <w:rPr>
          <w:rStyle w:val="Odwoanieprzypisudolnego"/>
          <w:noProof/>
          <w:lang w:val="pl-PL"/>
        </w:rPr>
        <w:footnoteReference w:id="24"/>
      </w:r>
      <w:r w:rsidRPr="00DC40BE">
        <w:rPr>
          <w:noProof/>
          <w:lang w:val="pl-PL"/>
        </w:rPr>
        <w:t xml:space="preserve">) umożliwiającej </w:t>
      </w:r>
      <w:r w:rsidRPr="00DC40BE">
        <w:rPr>
          <w:noProof/>
          <w:lang w:val="pl-PL"/>
        </w:rPr>
        <w:lastRenderedPageBreak/>
        <w:t>organizatorom wprowadzanie zmian</w:t>
      </w:r>
      <w:r w:rsidR="00DC40BE" w:rsidRPr="00DC40BE">
        <w:rPr>
          <w:noProof/>
          <w:lang w:val="pl-PL"/>
        </w:rPr>
        <w:t xml:space="preserve"> w </w:t>
      </w:r>
      <w:r w:rsidR="00DC40BE" w:rsidRPr="00DC40BE">
        <w:rPr>
          <w:rStyle w:val="cf01"/>
          <w:rFonts w:ascii="Times New Roman" w:hAnsi="Times New Roman"/>
          <w:noProof/>
          <w:sz w:val="24"/>
          <w:lang w:val="pl-PL"/>
        </w:rPr>
        <w:t>ini</w:t>
      </w:r>
      <w:r w:rsidRPr="00DC40BE">
        <w:rPr>
          <w:rStyle w:val="cf01"/>
          <w:rFonts w:ascii="Times New Roman" w:hAnsi="Times New Roman"/>
          <w:noProof/>
          <w:sz w:val="24"/>
          <w:lang w:val="pl-PL"/>
        </w:rPr>
        <w:t>cjatywach, które</w:t>
      </w:r>
      <w:r w:rsidR="00DC40BE" w:rsidRPr="00DC40BE">
        <w:rPr>
          <w:rStyle w:val="cf01"/>
          <w:rFonts w:ascii="Times New Roman" w:hAnsi="Times New Roman"/>
          <w:noProof/>
          <w:sz w:val="24"/>
          <w:lang w:val="pl-PL"/>
        </w:rPr>
        <w:t xml:space="preserve"> w prz</w:t>
      </w:r>
      <w:r w:rsidRPr="00DC40BE">
        <w:rPr>
          <w:rStyle w:val="cf01"/>
          <w:rFonts w:ascii="Times New Roman" w:hAnsi="Times New Roman"/>
          <w:noProof/>
          <w:sz w:val="24"/>
          <w:lang w:val="pl-PL"/>
        </w:rPr>
        <w:t>eciwnym wypadku nie mogłyby zostać zarejestrowane, ponieważ (częściowo) wykraczają poza zakres uprawnień Komisji</w:t>
      </w:r>
      <w:r w:rsidRPr="00DC40BE">
        <w:rPr>
          <w:noProof/>
          <w:lang w:val="pl-PL"/>
        </w:rPr>
        <w:t>. Procedura ta dowiodła swojej skuteczności, ponieważ doprowadziła</w:t>
      </w:r>
      <w:r w:rsidR="00DC40BE" w:rsidRPr="00DC40BE">
        <w:rPr>
          <w:noProof/>
          <w:lang w:val="pl-PL"/>
        </w:rPr>
        <w:t xml:space="preserve"> w koń</w:t>
      </w:r>
      <w:r w:rsidRPr="00DC40BE">
        <w:rPr>
          <w:noProof/>
          <w:lang w:val="pl-PL"/>
        </w:rPr>
        <w:t>cowym rozrachunku do pełnego zarejestrowania 8</w:t>
      </w:r>
      <w:r w:rsidRPr="00DC40BE">
        <w:rPr>
          <w:b/>
          <w:noProof/>
          <w:lang w:val="pl-PL"/>
        </w:rPr>
        <w:t xml:space="preserve"> </w:t>
      </w:r>
      <w:r w:rsidRPr="00DC40BE">
        <w:rPr>
          <w:noProof/>
          <w:lang w:val="pl-PL"/>
        </w:rPr>
        <w:t xml:space="preserve">EIO. Tylko </w:t>
      </w:r>
      <w:r w:rsidRPr="00DC40BE">
        <w:rPr>
          <w:b/>
          <w:noProof/>
          <w:lang w:val="pl-PL"/>
        </w:rPr>
        <w:t>1</w:t>
      </w:r>
      <w:r w:rsidRPr="00DC40BE">
        <w:rPr>
          <w:noProof/>
          <w:lang w:val="pl-PL"/>
        </w:rPr>
        <w:t xml:space="preserve"> wniosek</w:t>
      </w:r>
      <w:r w:rsidR="00DC40BE" w:rsidRPr="00DC40BE">
        <w:rPr>
          <w:noProof/>
          <w:lang w:val="pl-PL"/>
        </w:rPr>
        <w:t xml:space="preserve"> o rej</w:t>
      </w:r>
      <w:r w:rsidRPr="00DC40BE">
        <w:rPr>
          <w:noProof/>
          <w:lang w:val="pl-PL"/>
        </w:rPr>
        <w:t>estrację został ostatecznie odrzucony.</w:t>
      </w:r>
      <w:r w:rsidRPr="00DC40BE">
        <w:rPr>
          <w:b/>
          <w:noProof/>
          <w:lang w:val="pl-PL"/>
        </w:rPr>
        <w:t xml:space="preserve"> </w:t>
      </w:r>
      <w:r w:rsidRPr="00DC40BE">
        <w:rPr>
          <w:noProof/>
          <w:lang w:val="pl-PL"/>
        </w:rPr>
        <w:t xml:space="preserve">Inny wniosek został wycofany przez organizatorów po poddaniu go wstępnej ocenie przez Komisję. </w:t>
      </w:r>
    </w:p>
    <w:p w14:paraId="5BFFF7A7" w14:textId="45EC3154" w:rsidR="00E2509F" w:rsidRPr="00DC40BE" w:rsidRDefault="00E2509F" w:rsidP="00E8781C">
      <w:pPr>
        <w:spacing w:before="100" w:beforeAutospacing="1" w:after="100" w:afterAutospacing="1" w:line="276" w:lineRule="auto"/>
        <w:rPr>
          <w:noProof/>
          <w:lang w:val="pl-PL"/>
        </w:rPr>
      </w:pPr>
      <w:r w:rsidRPr="00DC40BE">
        <w:rPr>
          <w:noProof/>
          <w:lang w:val="pl-PL"/>
        </w:rPr>
        <w:t>Aby zapewnić sprawny przebieg procesu rejestracji</w:t>
      </w:r>
      <w:r w:rsidR="00DC40BE" w:rsidRPr="00DC40BE">
        <w:rPr>
          <w:noProof/>
          <w:lang w:val="pl-PL"/>
        </w:rPr>
        <w:t xml:space="preserve"> w świ</w:t>
      </w:r>
      <w:r w:rsidRPr="00DC40BE">
        <w:rPr>
          <w:noProof/>
          <w:lang w:val="pl-PL"/>
        </w:rPr>
        <w:t>etle rygorystycznych terminów wyznaczonych</w:t>
      </w:r>
      <w:r w:rsidR="00DC40BE" w:rsidRPr="00DC40BE">
        <w:rPr>
          <w:noProof/>
          <w:lang w:val="pl-PL"/>
        </w:rPr>
        <w:t xml:space="preserve"> w roz</w:t>
      </w:r>
      <w:r w:rsidRPr="00DC40BE">
        <w:rPr>
          <w:noProof/>
          <w:lang w:val="pl-PL"/>
        </w:rPr>
        <w:t>porządzeniu</w:t>
      </w:r>
      <w:r w:rsidR="00DC40BE" w:rsidRPr="00DC40BE">
        <w:rPr>
          <w:noProof/>
          <w:lang w:val="pl-PL"/>
        </w:rPr>
        <w:t xml:space="preserve"> w spr</w:t>
      </w:r>
      <w:r w:rsidRPr="00DC40BE">
        <w:rPr>
          <w:noProof/>
          <w:lang w:val="pl-PL"/>
        </w:rPr>
        <w:t>awie EIO, organizatorzy muszą przedstawić wyczerpujące potwierdzające spełnienie wymogów administracyjnych wraz ze swoim wnioskiem</w:t>
      </w:r>
      <w:r w:rsidR="00DC40BE" w:rsidRPr="00DC40BE">
        <w:rPr>
          <w:noProof/>
          <w:lang w:val="pl-PL"/>
        </w:rPr>
        <w:t xml:space="preserve"> o rej</w:t>
      </w:r>
      <w:r w:rsidRPr="00DC40BE">
        <w:rPr>
          <w:noProof/>
          <w:lang w:val="pl-PL"/>
        </w:rPr>
        <w:t xml:space="preserve">estrację. </w:t>
      </w:r>
    </w:p>
    <w:p w14:paraId="4DE3D1E2" w14:textId="012FB049" w:rsidR="005A4888" w:rsidRPr="00DC40BE" w:rsidRDefault="003301DF" w:rsidP="00E8781C">
      <w:pPr>
        <w:spacing w:before="100" w:beforeAutospacing="1" w:after="100" w:afterAutospacing="1" w:line="276" w:lineRule="auto"/>
        <w:rPr>
          <w:noProof/>
          <w:lang w:val="pl-PL"/>
        </w:rPr>
      </w:pPr>
      <w:r w:rsidRPr="00DC40BE">
        <w:rPr>
          <w:noProof/>
          <w:lang w:val="pl-PL"/>
        </w:rPr>
        <w:t>83</w:t>
      </w:r>
      <w:r w:rsidR="00DC40BE" w:rsidRPr="00DC40BE">
        <w:rPr>
          <w:noProof/>
          <w:lang w:val="pl-PL"/>
        </w:rPr>
        <w:t> </w:t>
      </w:r>
      <w:r w:rsidRPr="00DC40BE">
        <w:rPr>
          <w:noProof/>
          <w:lang w:val="pl-PL"/>
        </w:rPr>
        <w:t>% organizatorów, którzy wzięli udział</w:t>
      </w:r>
      <w:r w:rsidR="00DC40BE" w:rsidRPr="00DC40BE">
        <w:rPr>
          <w:noProof/>
          <w:lang w:val="pl-PL"/>
        </w:rPr>
        <w:t xml:space="preserve"> w ank</w:t>
      </w:r>
      <w:r w:rsidRPr="00DC40BE">
        <w:rPr>
          <w:noProof/>
          <w:lang w:val="pl-PL"/>
        </w:rPr>
        <w:t>iecie(</w:t>
      </w:r>
      <w:r w:rsidRPr="00DC40BE">
        <w:rPr>
          <w:rStyle w:val="Odwoanieprzypisudolnego"/>
          <w:noProof/>
          <w:lang w:val="pl-PL"/>
        </w:rPr>
        <w:footnoteReference w:id="25"/>
      </w:r>
      <w:r w:rsidRPr="00DC40BE">
        <w:rPr>
          <w:noProof/>
          <w:lang w:val="pl-PL"/>
        </w:rPr>
        <w:t>)</w:t>
      </w:r>
      <w:r w:rsidR="00DC40BE" w:rsidRPr="00DC40BE">
        <w:rPr>
          <w:noProof/>
          <w:lang w:val="pl-PL"/>
        </w:rPr>
        <w:t xml:space="preserve"> i któ</w:t>
      </w:r>
      <w:r w:rsidRPr="00DC40BE">
        <w:rPr>
          <w:noProof/>
          <w:lang w:val="pl-PL"/>
        </w:rPr>
        <w:t>rzy zostali objęci nowymi przepisami dotyczącymi rejestracji, stwierdziło, że – ogólnie rzecz biorąc – procedura rejestracji EIO przebiegała sprawnie</w:t>
      </w:r>
      <w:r w:rsidR="00DC40BE" w:rsidRPr="00DC40BE">
        <w:rPr>
          <w:noProof/>
          <w:lang w:val="pl-PL"/>
        </w:rPr>
        <w:t xml:space="preserve"> i nie</w:t>
      </w:r>
      <w:r w:rsidRPr="00DC40BE">
        <w:rPr>
          <w:noProof/>
          <w:lang w:val="pl-PL"/>
        </w:rPr>
        <w:t xml:space="preserve"> była nadmiernie złożona. </w:t>
      </w:r>
      <w:r w:rsidRPr="00DC40BE">
        <w:rPr>
          <w:rStyle w:val="normaltextrun"/>
          <w:noProof/>
          <w:shd w:val="clear" w:color="auto" w:fill="FFFFFF"/>
          <w:lang w:val="pl-PL"/>
        </w:rPr>
        <w:t>Tylko jeden respondent uznał procedurę za bardzo trudną do pomyślnego przeprowadzenia. Większość respondentów(</w:t>
      </w:r>
      <w:r w:rsidRPr="00DC40BE">
        <w:rPr>
          <w:rStyle w:val="Odwoanieprzypisudolnego"/>
          <w:noProof/>
          <w:shd w:val="clear" w:color="auto" w:fill="FFFFFF"/>
          <w:lang w:val="pl-PL"/>
        </w:rPr>
        <w:footnoteReference w:id="26"/>
      </w:r>
      <w:r w:rsidRPr="00DC40BE">
        <w:rPr>
          <w:rStyle w:val="normaltextrun"/>
          <w:noProof/>
          <w:shd w:val="clear" w:color="auto" w:fill="FFFFFF"/>
          <w:lang w:val="pl-PL"/>
        </w:rPr>
        <w:t>) stwierdziła, że wymogi dotyczące rejestracji EIO są przejrzyste,</w:t>
      </w:r>
      <w:r w:rsidR="00DC40BE" w:rsidRPr="00DC40BE">
        <w:rPr>
          <w:rStyle w:val="normaltextrun"/>
          <w:noProof/>
          <w:shd w:val="clear" w:color="auto" w:fill="FFFFFF"/>
          <w:lang w:val="pl-PL"/>
        </w:rPr>
        <w:t xml:space="preserve"> a pro</w:t>
      </w:r>
      <w:r w:rsidRPr="00DC40BE">
        <w:rPr>
          <w:rStyle w:val="normaltextrun"/>
          <w:noProof/>
          <w:shd w:val="clear" w:color="auto" w:fill="FFFFFF"/>
          <w:lang w:val="pl-PL"/>
        </w:rPr>
        <w:t xml:space="preserve">ces technicznego przedkładania stosownych dokumentów za pośrednictwem konta organizatora jest łatwy. </w:t>
      </w:r>
      <w:r w:rsidRPr="00DC40BE">
        <w:rPr>
          <w:rStyle w:val="normaltextrun"/>
          <w:noProof/>
          <w:color w:val="000000" w:themeColor="text1"/>
          <w:lang w:val="pl-PL"/>
        </w:rPr>
        <w:t>Choć większość</w:t>
      </w:r>
      <w:r w:rsidRPr="00DC40BE">
        <w:rPr>
          <w:rStyle w:val="normaltextrun"/>
          <w:noProof/>
          <w:shd w:val="clear" w:color="auto" w:fill="FFFFFF"/>
          <w:lang w:val="pl-PL"/>
        </w:rPr>
        <w:t xml:space="preserve"> respondentów uznała, że warunki rejestracji są stosunkowo łatwe do spełnienia,</w:t>
      </w:r>
      <w:r w:rsidR="00DC40BE" w:rsidRPr="00DC40BE">
        <w:rPr>
          <w:rStyle w:val="normaltextrun"/>
          <w:noProof/>
          <w:shd w:val="clear" w:color="auto" w:fill="FFFFFF"/>
          <w:lang w:val="pl-PL"/>
        </w:rPr>
        <w:t xml:space="preserve"> w opi</w:t>
      </w:r>
      <w:r w:rsidRPr="00DC40BE">
        <w:rPr>
          <w:rStyle w:val="normaltextrun"/>
          <w:noProof/>
          <w:shd w:val="clear" w:color="auto" w:fill="FFFFFF"/>
          <w:lang w:val="pl-PL"/>
        </w:rPr>
        <w:t>nii dwóch</w:t>
      </w:r>
      <w:r w:rsidR="00DC40BE" w:rsidRPr="00DC40BE">
        <w:rPr>
          <w:rStyle w:val="normaltextrun"/>
          <w:noProof/>
          <w:shd w:val="clear" w:color="auto" w:fill="FFFFFF"/>
          <w:lang w:val="pl-PL"/>
        </w:rPr>
        <w:t xml:space="preserve"> z nic</w:t>
      </w:r>
      <w:r w:rsidRPr="00DC40BE">
        <w:rPr>
          <w:rStyle w:val="normaltextrun"/>
          <w:noProof/>
          <w:shd w:val="clear" w:color="auto" w:fill="FFFFFF"/>
          <w:lang w:val="pl-PL"/>
        </w:rPr>
        <w:t>h (17</w:t>
      </w:r>
      <w:r w:rsidR="00DC40BE" w:rsidRPr="00DC40BE">
        <w:rPr>
          <w:rStyle w:val="normaltextrun"/>
          <w:noProof/>
          <w:shd w:val="clear" w:color="auto" w:fill="FFFFFF"/>
          <w:lang w:val="pl-PL"/>
        </w:rPr>
        <w:t> </w:t>
      </w:r>
      <w:r w:rsidRPr="00DC40BE">
        <w:rPr>
          <w:rStyle w:val="normaltextrun"/>
          <w:noProof/>
          <w:shd w:val="clear" w:color="auto" w:fill="FFFFFF"/>
          <w:lang w:val="pl-PL"/>
        </w:rPr>
        <w:t>%) były one relatywnie trudne do spełnienia – dotyczyło to</w:t>
      </w:r>
      <w:r w:rsidR="00DC40BE" w:rsidRPr="00DC40BE">
        <w:rPr>
          <w:rStyle w:val="normaltextrun"/>
          <w:noProof/>
          <w:shd w:val="clear" w:color="auto" w:fill="FFFFFF"/>
          <w:lang w:val="pl-PL"/>
        </w:rPr>
        <w:t xml:space="preserve"> w szc</w:t>
      </w:r>
      <w:r w:rsidRPr="00DC40BE">
        <w:rPr>
          <w:rStyle w:val="normaltextrun"/>
          <w:noProof/>
          <w:shd w:val="clear" w:color="auto" w:fill="FFFFFF"/>
          <w:lang w:val="pl-PL"/>
        </w:rPr>
        <w:t>zególności wymogów związanych</w:t>
      </w:r>
      <w:r w:rsidR="00DC40BE" w:rsidRPr="00DC40BE">
        <w:rPr>
          <w:rStyle w:val="normaltextrun"/>
          <w:noProof/>
          <w:shd w:val="clear" w:color="auto" w:fill="FFFFFF"/>
          <w:lang w:val="pl-PL"/>
        </w:rPr>
        <w:t xml:space="preserve"> z kon</w:t>
      </w:r>
      <w:r w:rsidRPr="00DC40BE">
        <w:rPr>
          <w:rStyle w:val="normaltextrun"/>
          <w:noProof/>
          <w:shd w:val="clear" w:color="auto" w:fill="FFFFFF"/>
          <w:lang w:val="pl-PL"/>
        </w:rPr>
        <w:t>trolami administracyjnymi dotyczącymi miejsca zamieszkania oraz konieczności zagwarantowania, aby żadna część EIO nie wykraczała</w:t>
      </w:r>
      <w:r w:rsidR="00DC40BE" w:rsidRPr="00DC40BE">
        <w:rPr>
          <w:rStyle w:val="normaltextrun"/>
          <w:noProof/>
          <w:shd w:val="clear" w:color="auto" w:fill="FFFFFF"/>
          <w:lang w:val="pl-PL"/>
        </w:rPr>
        <w:t xml:space="preserve"> w spo</w:t>
      </w:r>
      <w:r w:rsidRPr="00DC40BE">
        <w:rPr>
          <w:rStyle w:val="normaltextrun"/>
          <w:noProof/>
          <w:shd w:val="clear" w:color="auto" w:fill="FFFFFF"/>
          <w:lang w:val="pl-PL"/>
        </w:rPr>
        <w:t xml:space="preserve">sób oczywisty poza uprawnienia Komisji. </w:t>
      </w:r>
      <w:r w:rsidRPr="00DC40BE">
        <w:rPr>
          <w:noProof/>
          <w:lang w:val="pl-PL"/>
        </w:rPr>
        <w:t>Największe wyzwanie na etapie rejestracji, na które zwracali uwagę organizatorzy, było związane</w:t>
      </w:r>
      <w:r w:rsidR="00DC40BE" w:rsidRPr="00DC40BE">
        <w:rPr>
          <w:noProof/>
          <w:lang w:val="pl-PL"/>
        </w:rPr>
        <w:t xml:space="preserve"> z zas</w:t>
      </w:r>
      <w:r w:rsidRPr="00DC40BE">
        <w:rPr>
          <w:noProof/>
          <w:lang w:val="pl-PL"/>
        </w:rPr>
        <w:t>obami – czasem</w:t>
      </w:r>
      <w:r w:rsidR="00DC40BE" w:rsidRPr="00DC40BE">
        <w:rPr>
          <w:noProof/>
          <w:lang w:val="pl-PL"/>
        </w:rPr>
        <w:t xml:space="preserve"> i śro</w:t>
      </w:r>
      <w:r w:rsidRPr="00DC40BE">
        <w:rPr>
          <w:noProof/>
          <w:lang w:val="pl-PL"/>
        </w:rPr>
        <w:t>dkami finansowymi.</w:t>
      </w:r>
    </w:p>
    <w:p w14:paraId="37F7A0BF" w14:textId="078EAD29" w:rsidR="005A4888" w:rsidRPr="00DC40BE" w:rsidRDefault="00856C3A" w:rsidP="00E8781C">
      <w:pPr>
        <w:spacing w:before="100" w:beforeAutospacing="1" w:after="100" w:afterAutospacing="1" w:line="276" w:lineRule="auto"/>
        <w:rPr>
          <w:noProof/>
          <w:lang w:val="pl-PL"/>
        </w:rPr>
      </w:pPr>
      <w:r w:rsidRPr="00DC40BE">
        <w:rPr>
          <w:noProof/>
          <w:lang w:val="pl-PL"/>
        </w:rPr>
        <w:t>Organizatorzy, którzy wzięli udział</w:t>
      </w:r>
      <w:r w:rsidR="00DC40BE" w:rsidRPr="00DC40BE">
        <w:rPr>
          <w:noProof/>
          <w:lang w:val="pl-PL"/>
        </w:rPr>
        <w:t xml:space="preserve"> w ank</w:t>
      </w:r>
      <w:r w:rsidRPr="00DC40BE">
        <w:rPr>
          <w:noProof/>
          <w:lang w:val="pl-PL"/>
        </w:rPr>
        <w:t>iecie</w:t>
      </w:r>
      <w:r w:rsidR="00DC40BE" w:rsidRPr="00DC40BE">
        <w:rPr>
          <w:noProof/>
          <w:lang w:val="pl-PL"/>
        </w:rPr>
        <w:t xml:space="preserve"> i któ</w:t>
      </w:r>
      <w:r w:rsidRPr="00DC40BE">
        <w:rPr>
          <w:noProof/>
          <w:lang w:val="pl-PL"/>
        </w:rPr>
        <w:t>rzy przeszli dwuetapową procedurę rejestracji, uznali informacje przekazane przez Komisję</w:t>
      </w:r>
      <w:r w:rsidR="00DC40BE" w:rsidRPr="00DC40BE">
        <w:rPr>
          <w:noProof/>
          <w:lang w:val="pl-PL"/>
        </w:rPr>
        <w:t xml:space="preserve"> w pie</w:t>
      </w:r>
      <w:r w:rsidRPr="00DC40BE">
        <w:rPr>
          <w:noProof/>
          <w:lang w:val="pl-PL"/>
        </w:rPr>
        <w:t>rwotnej ocenie za przejrzyste. Korzystali oni</w:t>
      </w:r>
      <w:r w:rsidR="00DC40BE" w:rsidRPr="00DC40BE">
        <w:rPr>
          <w:noProof/>
          <w:lang w:val="pl-PL"/>
        </w:rPr>
        <w:t xml:space="preserve"> z wyt</w:t>
      </w:r>
      <w:r w:rsidRPr="00DC40BE">
        <w:rPr>
          <w:noProof/>
          <w:lang w:val="pl-PL"/>
        </w:rPr>
        <w:t>ycznych udzielanych przez forum europejskiej inicjatywy obywatelskiej, które wielu</w:t>
      </w:r>
      <w:r w:rsidR="00DC40BE" w:rsidRPr="00DC40BE">
        <w:rPr>
          <w:noProof/>
          <w:lang w:val="pl-PL"/>
        </w:rPr>
        <w:t xml:space="preserve"> z nic</w:t>
      </w:r>
      <w:r w:rsidRPr="00DC40BE">
        <w:rPr>
          <w:noProof/>
          <w:lang w:val="pl-PL"/>
        </w:rPr>
        <w:t>h uznało za nieodzowne dla pomyślnego zarejestrowania ich EIO. Tylko</w:t>
      </w:r>
      <w:r w:rsidR="00DC40BE" w:rsidRPr="00DC40BE">
        <w:rPr>
          <w:noProof/>
          <w:lang w:val="pl-PL"/>
        </w:rPr>
        <w:t xml:space="preserve"> w prz</w:t>
      </w:r>
      <w:r w:rsidRPr="00DC40BE">
        <w:rPr>
          <w:noProof/>
          <w:lang w:val="pl-PL"/>
        </w:rPr>
        <w:t>ypadku odmowy rejestracji EIO jej przedstawiciel poinformował, że uzasadnienie odmowy rejestracji inicjatywy nie było</w:t>
      </w:r>
      <w:r w:rsidR="00DC40BE" w:rsidRPr="00DC40BE">
        <w:rPr>
          <w:noProof/>
          <w:lang w:val="pl-PL"/>
        </w:rPr>
        <w:t xml:space="preserve"> w peł</w:t>
      </w:r>
      <w:r w:rsidRPr="00DC40BE">
        <w:rPr>
          <w:noProof/>
          <w:lang w:val="pl-PL"/>
        </w:rPr>
        <w:t>ni jasne(</w:t>
      </w:r>
      <w:r w:rsidRPr="00DC40BE">
        <w:rPr>
          <w:rStyle w:val="Odwoanieprzypisudolnego"/>
          <w:noProof/>
          <w:lang w:val="pl-PL"/>
        </w:rPr>
        <w:footnoteReference w:id="27"/>
      </w:r>
      <w:r w:rsidRPr="00DC40BE">
        <w:rPr>
          <w:noProof/>
          <w:lang w:val="pl-PL"/>
        </w:rPr>
        <w:t>).</w:t>
      </w:r>
    </w:p>
    <w:p w14:paraId="31DE8A77" w14:textId="3A1BD26D" w:rsidR="005A4888" w:rsidRPr="00DC40BE" w:rsidRDefault="005A4888" w:rsidP="00E8781C">
      <w:pPr>
        <w:pStyle w:val="Nagwek2"/>
        <w:numPr>
          <w:ilvl w:val="1"/>
          <w:numId w:val="16"/>
        </w:numPr>
        <w:spacing w:before="100" w:beforeAutospacing="1" w:after="100" w:afterAutospacing="1" w:line="276" w:lineRule="auto"/>
        <w:rPr>
          <w:noProof/>
          <w:lang w:val="pl-PL"/>
        </w:rPr>
      </w:pPr>
      <w:bookmarkStart w:id="14" w:name="_Toc1881950289"/>
      <w:bookmarkStart w:id="15" w:name="_Toc146296673"/>
      <w:r w:rsidRPr="00DC40BE">
        <w:rPr>
          <w:noProof/>
          <w:lang w:val="pl-PL"/>
        </w:rPr>
        <w:lastRenderedPageBreak/>
        <w:t>Etap zbierania deklaracji</w:t>
      </w:r>
      <w:bookmarkEnd w:id="14"/>
      <w:bookmarkEnd w:id="15"/>
    </w:p>
    <w:p w14:paraId="4172D138" w14:textId="7AA0E64D" w:rsidR="005A4888" w:rsidRPr="00DC40BE" w:rsidRDefault="009E46AE" w:rsidP="00E8781C">
      <w:pPr>
        <w:spacing w:before="100" w:beforeAutospacing="1" w:after="100" w:afterAutospacing="1" w:line="276" w:lineRule="auto"/>
        <w:rPr>
          <w:noProof/>
          <w:lang w:val="pl-PL"/>
        </w:rPr>
      </w:pPr>
      <w:r w:rsidRPr="00DC40BE">
        <w:rPr>
          <w:noProof/>
          <w:lang w:val="pl-PL"/>
        </w:rPr>
        <w:t>1 stycznia 2020</w:t>
      </w:r>
      <w:r w:rsidR="00DC40BE" w:rsidRPr="00DC40BE">
        <w:rPr>
          <w:noProof/>
          <w:lang w:val="pl-PL"/>
        </w:rPr>
        <w:t> </w:t>
      </w:r>
      <w:r w:rsidRPr="00DC40BE">
        <w:rPr>
          <w:noProof/>
          <w:lang w:val="pl-PL"/>
        </w:rPr>
        <w:t xml:space="preserve">r. 16 </w:t>
      </w:r>
      <w:r w:rsidRPr="00DC40BE">
        <w:rPr>
          <w:rStyle w:val="cf01"/>
          <w:rFonts w:ascii="Times New Roman" w:hAnsi="Times New Roman"/>
          <w:noProof/>
          <w:sz w:val="24"/>
          <w:lang w:val="pl-PL"/>
        </w:rPr>
        <w:t>EIO</w:t>
      </w:r>
      <w:r w:rsidRPr="00DC40BE">
        <w:rPr>
          <w:noProof/>
          <w:lang w:val="pl-PL"/>
        </w:rPr>
        <w:t xml:space="preserve"> zarejestrowanych na podstawie pierwszego rozporządzenia</w:t>
      </w:r>
      <w:r w:rsidR="00DC40BE" w:rsidRPr="00DC40BE">
        <w:rPr>
          <w:noProof/>
          <w:lang w:val="pl-PL"/>
        </w:rPr>
        <w:t xml:space="preserve"> w spr</w:t>
      </w:r>
      <w:r w:rsidRPr="00DC40BE">
        <w:rPr>
          <w:noProof/>
          <w:lang w:val="pl-PL"/>
        </w:rPr>
        <w:t>awie EIO</w:t>
      </w:r>
      <w:r w:rsidR="00DC40BE" w:rsidRPr="00DC40BE">
        <w:rPr>
          <w:noProof/>
          <w:lang w:val="pl-PL"/>
        </w:rPr>
        <w:t xml:space="preserve"> </w:t>
      </w:r>
      <w:r w:rsidR="00DC40BE" w:rsidRPr="00DC40BE">
        <w:rPr>
          <w:rStyle w:val="cf01"/>
          <w:rFonts w:ascii="Times New Roman" w:hAnsi="Times New Roman"/>
          <w:noProof/>
          <w:sz w:val="24"/>
          <w:lang w:val="pl-PL"/>
        </w:rPr>
        <w:t>w</w:t>
      </w:r>
      <w:r w:rsidR="00DC40BE" w:rsidRPr="00DC40BE">
        <w:rPr>
          <w:noProof/>
          <w:lang w:val="pl-PL"/>
        </w:rPr>
        <w:t> </w:t>
      </w:r>
      <w:r w:rsidR="00DC40BE" w:rsidRPr="00DC40BE">
        <w:rPr>
          <w:rStyle w:val="cf01"/>
          <w:rFonts w:ascii="Times New Roman" w:hAnsi="Times New Roman"/>
          <w:noProof/>
          <w:sz w:val="24"/>
          <w:lang w:val="pl-PL"/>
        </w:rPr>
        <w:t>dal</w:t>
      </w:r>
      <w:r w:rsidRPr="00DC40BE">
        <w:rPr>
          <w:rStyle w:val="cf01"/>
          <w:rFonts w:ascii="Times New Roman" w:hAnsi="Times New Roman"/>
          <w:noProof/>
          <w:sz w:val="24"/>
          <w:lang w:val="pl-PL"/>
        </w:rPr>
        <w:t>szym ciągu było na etapie zbierania deklaracji</w:t>
      </w:r>
      <w:r w:rsidRPr="00DC40BE">
        <w:rPr>
          <w:noProof/>
          <w:lang w:val="pl-PL"/>
        </w:rPr>
        <w:t xml:space="preserve">. Kolejne </w:t>
      </w:r>
      <w:r w:rsidRPr="00DC40BE">
        <w:rPr>
          <w:b/>
          <w:noProof/>
          <w:lang w:val="pl-PL"/>
        </w:rPr>
        <w:t xml:space="preserve">33 </w:t>
      </w:r>
      <w:r w:rsidRPr="00DC40BE">
        <w:rPr>
          <w:noProof/>
          <w:lang w:val="pl-PL"/>
        </w:rPr>
        <w:t>EIO zarejestrowane na podstawie zmienionego rozporządzenia</w:t>
      </w:r>
      <w:r w:rsidR="00DC40BE" w:rsidRPr="00DC40BE">
        <w:rPr>
          <w:noProof/>
          <w:lang w:val="pl-PL"/>
        </w:rPr>
        <w:t xml:space="preserve"> w spr</w:t>
      </w:r>
      <w:r w:rsidRPr="00DC40BE">
        <w:rPr>
          <w:noProof/>
          <w:lang w:val="pl-PL"/>
        </w:rPr>
        <w:t>awie EIO rozpoczęły etap zbierania deklaracji</w:t>
      </w:r>
      <w:r w:rsidR="00DC40BE" w:rsidRPr="00DC40BE">
        <w:rPr>
          <w:noProof/>
          <w:lang w:val="pl-PL"/>
        </w:rPr>
        <w:t xml:space="preserve"> w okr</w:t>
      </w:r>
      <w:r w:rsidRPr="00DC40BE">
        <w:rPr>
          <w:noProof/>
          <w:lang w:val="pl-PL"/>
        </w:rPr>
        <w:t>esie sprawozdawczym</w:t>
      </w:r>
      <w:r w:rsidR="00DC40BE" w:rsidRPr="00DC40BE">
        <w:rPr>
          <w:noProof/>
          <w:lang w:val="pl-PL"/>
        </w:rPr>
        <w:t>. W tab</w:t>
      </w:r>
      <w:r w:rsidRPr="00DC40BE">
        <w:rPr>
          <w:noProof/>
          <w:lang w:val="pl-PL"/>
        </w:rPr>
        <w:t>eli 3 przedstawiono zestawienie EIO znajdujących się na etapie zbierania deklaracji.</w:t>
      </w:r>
    </w:p>
    <w:p w14:paraId="6CD130F3" w14:textId="3549AEE0" w:rsidR="005A4888" w:rsidRPr="00DC40BE" w:rsidRDefault="005A4888" w:rsidP="00E8781C">
      <w:pPr>
        <w:spacing w:before="100" w:beforeAutospacing="1" w:after="100" w:afterAutospacing="1" w:line="276" w:lineRule="auto"/>
        <w:rPr>
          <w:rStyle w:val="Pogrubienie"/>
          <w:b w:val="0"/>
          <w:noProof/>
          <w:lang w:val="pl-PL"/>
        </w:rPr>
      </w:pPr>
      <w:r w:rsidRPr="00DC40BE">
        <w:rPr>
          <w:rStyle w:val="Pogrubienie"/>
          <w:b w:val="0"/>
          <w:noProof/>
          <w:lang w:val="pl-PL"/>
        </w:rPr>
        <w:t xml:space="preserve">W okresie sprawozdawczym rekordowa liczba </w:t>
      </w:r>
      <w:r w:rsidRPr="00DC40BE">
        <w:rPr>
          <w:rStyle w:val="Pogrubienie"/>
          <w:noProof/>
          <w:lang w:val="pl-PL"/>
        </w:rPr>
        <w:t>pięciu EIO</w:t>
      </w:r>
      <w:r w:rsidRPr="00DC40BE">
        <w:rPr>
          <w:rStyle w:val="Pogrubienie"/>
          <w:b w:val="0"/>
          <w:noProof/>
          <w:lang w:val="pl-PL"/>
        </w:rPr>
        <w:t xml:space="preserve"> zebrała ponad 1 mln deklaracji poparcia, przy czym trzy</w:t>
      </w:r>
      <w:r w:rsidR="00DC40BE" w:rsidRPr="00DC40BE">
        <w:rPr>
          <w:rStyle w:val="Pogrubienie"/>
          <w:b w:val="0"/>
          <w:noProof/>
          <w:lang w:val="pl-PL"/>
        </w:rPr>
        <w:t xml:space="preserve"> z nic</w:t>
      </w:r>
      <w:r w:rsidRPr="00DC40BE">
        <w:rPr>
          <w:rStyle w:val="Pogrubienie"/>
          <w:b w:val="0"/>
          <w:noProof/>
          <w:lang w:val="pl-PL"/>
        </w:rPr>
        <w:t>h zostały zarejestrowane na podstawie drugiego rozporządzenia</w:t>
      </w:r>
      <w:r w:rsidR="00DC40BE" w:rsidRPr="00DC40BE">
        <w:rPr>
          <w:rStyle w:val="Pogrubienie"/>
          <w:b w:val="0"/>
          <w:noProof/>
          <w:lang w:val="pl-PL"/>
        </w:rPr>
        <w:t xml:space="preserve"> w spr</w:t>
      </w:r>
      <w:r w:rsidRPr="00DC40BE">
        <w:rPr>
          <w:rStyle w:val="Pogrubienie"/>
          <w:b w:val="0"/>
          <w:noProof/>
          <w:lang w:val="pl-PL"/>
        </w:rPr>
        <w:t>awie EIO. Trzy</w:t>
      </w:r>
      <w:r w:rsidR="00DC40BE" w:rsidRPr="00DC40BE">
        <w:rPr>
          <w:rStyle w:val="Pogrubienie"/>
          <w:b w:val="0"/>
          <w:noProof/>
          <w:lang w:val="pl-PL"/>
        </w:rPr>
        <w:t xml:space="preserve"> z pię</w:t>
      </w:r>
      <w:r w:rsidRPr="00DC40BE">
        <w:rPr>
          <w:rStyle w:val="Pogrubienie"/>
          <w:b w:val="0"/>
          <w:noProof/>
          <w:lang w:val="pl-PL"/>
        </w:rPr>
        <w:t>ciu zrealizowanych</w:t>
      </w:r>
      <w:r w:rsidR="00DC40BE" w:rsidRPr="00DC40BE">
        <w:rPr>
          <w:rStyle w:val="Pogrubienie"/>
          <w:b w:val="0"/>
          <w:noProof/>
          <w:lang w:val="pl-PL"/>
        </w:rPr>
        <w:t xml:space="preserve"> z pow</w:t>
      </w:r>
      <w:r w:rsidRPr="00DC40BE">
        <w:rPr>
          <w:rStyle w:val="Pogrubienie"/>
          <w:b w:val="0"/>
          <w:noProof/>
          <w:lang w:val="pl-PL"/>
        </w:rPr>
        <w:t>odzeniem inicjatyw skorzystało ze środków tymczasowych wprowadzonych</w:t>
      </w:r>
      <w:r w:rsidR="00DC40BE" w:rsidRPr="00DC40BE">
        <w:rPr>
          <w:rStyle w:val="Pogrubienie"/>
          <w:b w:val="0"/>
          <w:noProof/>
          <w:lang w:val="pl-PL"/>
        </w:rPr>
        <w:t xml:space="preserve"> w zwi</w:t>
      </w:r>
      <w:r w:rsidRPr="00DC40BE">
        <w:rPr>
          <w:rStyle w:val="Pogrubienie"/>
          <w:b w:val="0"/>
          <w:noProof/>
          <w:lang w:val="pl-PL"/>
        </w:rPr>
        <w:t>ązku</w:t>
      </w:r>
      <w:r w:rsidR="00DC40BE" w:rsidRPr="00DC40BE">
        <w:rPr>
          <w:rStyle w:val="Pogrubienie"/>
          <w:b w:val="0"/>
          <w:noProof/>
          <w:lang w:val="pl-PL"/>
        </w:rPr>
        <w:t xml:space="preserve"> z pan</w:t>
      </w:r>
      <w:r w:rsidRPr="00DC40BE">
        <w:rPr>
          <w:rStyle w:val="Pogrubienie"/>
          <w:b w:val="0"/>
          <w:noProof/>
          <w:lang w:val="pl-PL"/>
        </w:rPr>
        <w:t>demią COVID-19. Szereg EIO, którym nie udało się osiągnąć progu 1 mln deklaracji poparcia, zebrało ponadto znaczną liczbę takich deklaracji, zwiększając tym samym swoją widoczność</w:t>
      </w:r>
      <w:r w:rsidR="00DC40BE" w:rsidRPr="00DC40BE">
        <w:rPr>
          <w:rStyle w:val="Pogrubienie"/>
          <w:b w:val="0"/>
          <w:noProof/>
          <w:lang w:val="pl-PL"/>
        </w:rPr>
        <w:t xml:space="preserve"> i ini</w:t>
      </w:r>
      <w:r w:rsidRPr="00DC40BE">
        <w:rPr>
          <w:rStyle w:val="Pogrubienie"/>
          <w:b w:val="0"/>
          <w:noProof/>
          <w:lang w:val="pl-PL"/>
        </w:rPr>
        <w:t>cjując debatę na szczeblu UE lub</w:t>
      </w:r>
      <w:r w:rsidR="00DC40BE" w:rsidRPr="00DC40BE">
        <w:rPr>
          <w:rStyle w:val="Pogrubienie"/>
          <w:b w:val="0"/>
          <w:noProof/>
          <w:lang w:val="pl-PL"/>
        </w:rPr>
        <w:t xml:space="preserve"> w okr</w:t>
      </w:r>
      <w:r w:rsidRPr="00DC40BE">
        <w:rPr>
          <w:rStyle w:val="Pogrubienie"/>
          <w:b w:val="0"/>
          <w:noProof/>
          <w:lang w:val="pl-PL"/>
        </w:rPr>
        <w:t>eślonych państwach członkowskich(</w:t>
      </w:r>
      <w:r w:rsidRPr="00DC40BE">
        <w:rPr>
          <w:rStyle w:val="Odwoanieprzypisudolnego"/>
          <w:noProof/>
          <w:lang w:val="pl-PL"/>
        </w:rPr>
        <w:footnoteReference w:id="28"/>
      </w:r>
      <w:r w:rsidRPr="00DC40BE">
        <w:rPr>
          <w:rStyle w:val="Pogrubienie"/>
          <w:b w:val="0"/>
          <w:noProof/>
          <w:lang w:val="pl-PL"/>
        </w:rPr>
        <w:t>). Jednocześnie 13 EIO zebrało niewielką liczbę podpisów (mniej niż 10 000).</w:t>
      </w:r>
      <w:r w:rsidRPr="00DC40BE">
        <w:rPr>
          <w:rStyle w:val="Pogrubienie"/>
          <w:noProof/>
          <w:lang w:val="pl-PL"/>
        </w:rPr>
        <w:t xml:space="preserve"> </w:t>
      </w:r>
      <w:r w:rsidRPr="00DC40BE">
        <w:rPr>
          <w:noProof/>
          <w:lang w:val="pl-PL"/>
        </w:rPr>
        <w:t>Może to wynikać</w:t>
      </w:r>
      <w:r w:rsidR="00DC40BE" w:rsidRPr="00DC40BE">
        <w:rPr>
          <w:noProof/>
          <w:lang w:val="pl-PL"/>
        </w:rPr>
        <w:t xml:space="preserve"> z kil</w:t>
      </w:r>
      <w:r w:rsidRPr="00DC40BE">
        <w:rPr>
          <w:noProof/>
          <w:lang w:val="pl-PL"/>
        </w:rPr>
        <w:t>ku przyczyn, które mogą się wzajemnie wzmacniać, m.in. atrakcyjności społecznej</w:t>
      </w:r>
      <w:r w:rsidR="00DC40BE" w:rsidRPr="00DC40BE">
        <w:rPr>
          <w:noProof/>
          <w:lang w:val="pl-PL"/>
        </w:rPr>
        <w:t xml:space="preserve"> i cha</w:t>
      </w:r>
      <w:r w:rsidRPr="00DC40BE">
        <w:rPr>
          <w:noProof/>
          <w:lang w:val="pl-PL"/>
        </w:rPr>
        <w:t>rakteru danego zagadnienia; poziomu przygotowania do kampanii zbierania deklaracji poparcia oraz sposobu zarządzania tą kampanią,</w:t>
      </w:r>
      <w:r w:rsidR="00DC40BE" w:rsidRPr="00DC40BE">
        <w:rPr>
          <w:noProof/>
          <w:lang w:val="pl-PL"/>
        </w:rPr>
        <w:t xml:space="preserve"> a tak</w:t>
      </w:r>
      <w:r w:rsidRPr="00DC40BE">
        <w:rPr>
          <w:noProof/>
          <w:lang w:val="pl-PL"/>
        </w:rPr>
        <w:t>że determinacji</w:t>
      </w:r>
      <w:r w:rsidR="00DC40BE" w:rsidRPr="00DC40BE">
        <w:rPr>
          <w:noProof/>
          <w:lang w:val="pl-PL"/>
        </w:rPr>
        <w:t xml:space="preserve"> i zaa</w:t>
      </w:r>
      <w:r w:rsidRPr="00DC40BE">
        <w:rPr>
          <w:noProof/>
          <w:lang w:val="pl-PL"/>
        </w:rPr>
        <w:t>ngażowania, jakimi organizatorzy EIO muszą wykazywać się</w:t>
      </w:r>
      <w:r w:rsidR="00DC40BE" w:rsidRPr="00DC40BE">
        <w:rPr>
          <w:noProof/>
          <w:lang w:val="pl-PL"/>
        </w:rPr>
        <w:t xml:space="preserve"> w dłu</w:t>
      </w:r>
      <w:r w:rsidRPr="00DC40BE">
        <w:rPr>
          <w:noProof/>
          <w:lang w:val="pl-PL"/>
        </w:rPr>
        <w:t xml:space="preserve">ższej perspektywie czasowej. Niektórzy organizatorzy wspomnieli, </w:t>
      </w:r>
      <w:r w:rsidRPr="00DC40BE">
        <w:rPr>
          <w:rStyle w:val="Pogrubienie"/>
          <w:b w:val="0"/>
          <w:noProof/>
          <w:lang w:val="pl-PL"/>
        </w:rPr>
        <w:t>że EIO, które nie dysponują wsparciem podmiotów takich jak NGO lub przedsiębiorstwa, borykają się</w:t>
      </w:r>
      <w:r w:rsidR="00DC40BE" w:rsidRPr="00DC40BE">
        <w:rPr>
          <w:rStyle w:val="Pogrubienie"/>
          <w:b w:val="0"/>
          <w:noProof/>
          <w:lang w:val="pl-PL"/>
        </w:rPr>
        <w:t xml:space="preserve"> z tru</w:t>
      </w:r>
      <w:r w:rsidRPr="00DC40BE">
        <w:rPr>
          <w:rStyle w:val="Pogrubienie"/>
          <w:b w:val="0"/>
          <w:noProof/>
          <w:lang w:val="pl-PL"/>
        </w:rPr>
        <w:t>dnościami</w:t>
      </w:r>
      <w:r w:rsidR="00DC40BE" w:rsidRPr="00DC40BE">
        <w:rPr>
          <w:rStyle w:val="Pogrubienie"/>
          <w:b w:val="0"/>
          <w:noProof/>
          <w:lang w:val="pl-PL"/>
        </w:rPr>
        <w:t xml:space="preserve"> w zeb</w:t>
      </w:r>
      <w:r w:rsidRPr="00DC40BE">
        <w:rPr>
          <w:rStyle w:val="Pogrubienie"/>
          <w:b w:val="0"/>
          <w:noProof/>
          <w:lang w:val="pl-PL"/>
        </w:rPr>
        <w:t xml:space="preserve">raniu znaczącej liczby podpisów. </w:t>
      </w:r>
    </w:p>
    <w:p w14:paraId="5573B4D8" w14:textId="62020EA2" w:rsidR="004C51DA" w:rsidRPr="00DC40BE" w:rsidRDefault="004C51DA" w:rsidP="00E8781C">
      <w:pPr>
        <w:spacing w:before="100" w:beforeAutospacing="1" w:after="100" w:afterAutospacing="1" w:line="276" w:lineRule="auto"/>
        <w:rPr>
          <w:b/>
          <w:noProof/>
          <w:lang w:val="pl-PL"/>
        </w:rPr>
      </w:pPr>
      <w:r w:rsidRPr="00DC40BE">
        <w:rPr>
          <w:b/>
          <w:noProof/>
          <w:lang w:val="pl-PL"/>
        </w:rPr>
        <w:t>Tabela 3: zestawienie EIO znajdujących się na etapie zbierania deklaracji(</w:t>
      </w:r>
      <w:r w:rsidRPr="00DC40BE">
        <w:rPr>
          <w:rStyle w:val="Odwoanieprzypisudolnego"/>
          <w:b/>
          <w:noProof/>
          <w:lang w:val="pl-PL"/>
        </w:rPr>
        <w:footnoteReference w:id="29"/>
      </w:r>
      <w:r w:rsidRPr="00DC40BE">
        <w:rPr>
          <w:b/>
          <w:noProof/>
          <w:lang w:val="pl-PL"/>
        </w:rPr>
        <w:t>) (listopad 2023</w:t>
      </w:r>
      <w:r w:rsidR="00DC40BE" w:rsidRPr="00DC40BE">
        <w:rPr>
          <w:b/>
          <w:noProof/>
          <w:lang w:val="pl-PL"/>
        </w:rPr>
        <w:t> </w:t>
      </w:r>
      <w:r w:rsidRPr="00DC40BE">
        <w:rPr>
          <w:b/>
          <w:noProof/>
          <w:lang w:val="pl-PL"/>
        </w:rPr>
        <w:t>r.)</w:t>
      </w:r>
    </w:p>
    <w:tbl>
      <w:tblPr>
        <w:tblStyle w:val="Tabela-Siatka"/>
        <w:tblW w:w="9097" w:type="dxa"/>
        <w:jc w:val="center"/>
        <w:shd w:val="clear" w:color="auto" w:fill="E7E6E6" w:themeFill="background2"/>
        <w:tblLook w:val="04A0" w:firstRow="1" w:lastRow="0" w:firstColumn="1" w:lastColumn="0" w:noHBand="0" w:noVBand="1"/>
      </w:tblPr>
      <w:tblGrid>
        <w:gridCol w:w="6937"/>
        <w:gridCol w:w="2160"/>
      </w:tblGrid>
      <w:tr w:rsidR="004C51DA" w:rsidRPr="00DC40BE" w14:paraId="38A9FCCA" w14:textId="77777777" w:rsidTr="00716FB7">
        <w:trPr>
          <w:trHeight w:val="300"/>
          <w:jc w:val="center"/>
        </w:trPr>
        <w:tc>
          <w:tcPr>
            <w:tcW w:w="6937" w:type="dxa"/>
            <w:shd w:val="clear" w:color="auto" w:fill="E7E6E6" w:themeFill="background2"/>
          </w:tcPr>
          <w:p w14:paraId="6F19C8F0" w14:textId="20AE7B2E" w:rsidR="004C51DA" w:rsidRPr="00DC40BE" w:rsidRDefault="00716FB7" w:rsidP="00E8781C">
            <w:pPr>
              <w:spacing w:before="100" w:beforeAutospacing="1" w:after="100" w:afterAutospacing="1" w:line="276" w:lineRule="auto"/>
              <w:rPr>
                <w:b/>
                <w:noProof/>
                <w:lang w:val="pl-PL"/>
              </w:rPr>
            </w:pPr>
            <w:r w:rsidRPr="00DC40BE">
              <w:rPr>
                <w:b/>
                <w:noProof/>
                <w:lang w:val="pl-PL"/>
              </w:rPr>
              <w:t>EIO, które zebrały ponad 1 mln ważnych deklaracji poparcia od</w:t>
            </w:r>
            <w:r w:rsidR="00DC40BE" w:rsidRPr="00DC40BE">
              <w:rPr>
                <w:b/>
                <w:noProof/>
                <w:lang w:val="pl-PL"/>
              </w:rPr>
              <w:t> </w:t>
            </w:r>
            <w:r w:rsidRPr="00DC40BE">
              <w:rPr>
                <w:b/>
                <w:noProof/>
                <w:lang w:val="pl-PL"/>
              </w:rPr>
              <w:t>1 stycznia 2020</w:t>
            </w:r>
            <w:r w:rsidR="00DC40BE" w:rsidRPr="00DC40BE">
              <w:rPr>
                <w:b/>
                <w:noProof/>
                <w:lang w:val="pl-PL"/>
              </w:rPr>
              <w:t> </w:t>
            </w:r>
            <w:r w:rsidRPr="00DC40BE">
              <w:rPr>
                <w:b/>
                <w:noProof/>
                <w:lang w:val="pl-PL"/>
              </w:rPr>
              <w:t>r.</w:t>
            </w:r>
          </w:p>
        </w:tc>
        <w:tc>
          <w:tcPr>
            <w:tcW w:w="2160" w:type="dxa"/>
            <w:shd w:val="clear" w:color="auto" w:fill="E7E6E6" w:themeFill="background2"/>
            <w:vAlign w:val="center"/>
          </w:tcPr>
          <w:p w14:paraId="4B3E8610" w14:textId="77777777" w:rsidR="004C51DA" w:rsidRPr="00DC40BE" w:rsidRDefault="004C51DA" w:rsidP="00E8781C">
            <w:pPr>
              <w:spacing w:before="100" w:beforeAutospacing="1" w:after="100" w:afterAutospacing="1" w:line="276" w:lineRule="auto"/>
              <w:jc w:val="center"/>
              <w:rPr>
                <w:noProof/>
                <w:lang w:val="pl-PL"/>
              </w:rPr>
            </w:pPr>
            <w:r w:rsidRPr="00DC40BE">
              <w:rPr>
                <w:noProof/>
                <w:lang w:val="pl-PL"/>
              </w:rPr>
              <w:t>5</w:t>
            </w:r>
          </w:p>
        </w:tc>
      </w:tr>
      <w:tr w:rsidR="004C51DA" w:rsidRPr="00DC40BE" w14:paraId="0205A0E6" w14:textId="77777777" w:rsidTr="00716FB7">
        <w:trPr>
          <w:trHeight w:val="620"/>
          <w:jc w:val="center"/>
        </w:trPr>
        <w:tc>
          <w:tcPr>
            <w:tcW w:w="6937" w:type="dxa"/>
            <w:shd w:val="clear" w:color="auto" w:fill="E7E6E6" w:themeFill="background2"/>
          </w:tcPr>
          <w:p w14:paraId="6C539737" w14:textId="163E7750" w:rsidR="004C51DA" w:rsidRPr="00DC40BE" w:rsidRDefault="004C51DA" w:rsidP="00E8781C">
            <w:pPr>
              <w:spacing w:before="100" w:beforeAutospacing="1" w:after="100" w:afterAutospacing="1" w:line="276" w:lineRule="auto"/>
              <w:rPr>
                <w:b/>
                <w:noProof/>
                <w:lang w:val="pl-PL"/>
              </w:rPr>
            </w:pPr>
            <w:r w:rsidRPr="00DC40BE">
              <w:rPr>
                <w:b/>
                <w:noProof/>
                <w:lang w:val="pl-PL"/>
              </w:rPr>
              <w:t>EIO wycofane lub zamknięte</w:t>
            </w:r>
            <w:r w:rsidR="00DC40BE" w:rsidRPr="00DC40BE">
              <w:rPr>
                <w:b/>
                <w:noProof/>
                <w:lang w:val="pl-PL"/>
              </w:rPr>
              <w:t xml:space="preserve"> z uwa</w:t>
            </w:r>
            <w:r w:rsidRPr="00DC40BE">
              <w:rPr>
                <w:b/>
                <w:noProof/>
                <w:lang w:val="pl-PL"/>
              </w:rPr>
              <w:t>gi na niedostateczne wsparcie,</w:t>
            </w:r>
            <w:r w:rsidR="00DC40BE" w:rsidRPr="00DC40BE">
              <w:rPr>
                <w:b/>
                <w:noProof/>
                <w:lang w:val="pl-PL"/>
              </w:rPr>
              <w:t xml:space="preserve"> w pod</w:t>
            </w:r>
            <w:r w:rsidRPr="00DC40BE">
              <w:rPr>
                <w:b/>
                <w:noProof/>
                <w:lang w:val="pl-PL"/>
              </w:rPr>
              <w:t>ziale na liczbę zebranych deklaracji poparcia</w:t>
            </w:r>
          </w:p>
        </w:tc>
        <w:tc>
          <w:tcPr>
            <w:tcW w:w="2160" w:type="dxa"/>
            <w:shd w:val="clear" w:color="auto" w:fill="E7E6E6" w:themeFill="background2"/>
            <w:vAlign w:val="center"/>
          </w:tcPr>
          <w:p w14:paraId="5DDCFDE8" w14:textId="4087EE7D" w:rsidR="004C51DA" w:rsidRPr="00DC40BE" w:rsidRDefault="003F32BC" w:rsidP="00E8781C">
            <w:pPr>
              <w:spacing w:before="100" w:beforeAutospacing="1" w:after="100" w:afterAutospacing="1" w:line="276" w:lineRule="auto"/>
              <w:jc w:val="center"/>
              <w:rPr>
                <w:noProof/>
                <w:lang w:val="pl-PL"/>
              </w:rPr>
            </w:pPr>
            <w:r w:rsidRPr="00DC40BE">
              <w:rPr>
                <w:noProof/>
                <w:lang w:val="pl-PL"/>
              </w:rPr>
              <w:t>29</w:t>
            </w:r>
          </w:p>
        </w:tc>
      </w:tr>
      <w:tr w:rsidR="004C51DA" w:rsidRPr="00DC40BE" w14:paraId="72F1F3F5" w14:textId="77777777" w:rsidTr="00716FB7">
        <w:trPr>
          <w:trHeight w:val="300"/>
          <w:jc w:val="center"/>
        </w:trPr>
        <w:tc>
          <w:tcPr>
            <w:tcW w:w="6937" w:type="dxa"/>
            <w:shd w:val="clear" w:color="auto" w:fill="E7E6E6" w:themeFill="background2"/>
          </w:tcPr>
          <w:p w14:paraId="2CFA5572" w14:textId="77777777" w:rsidR="004C51DA" w:rsidRPr="00DC40BE" w:rsidRDefault="004C51DA" w:rsidP="00E8781C">
            <w:pPr>
              <w:pStyle w:val="Akapitzlist"/>
              <w:numPr>
                <w:ilvl w:val="0"/>
                <w:numId w:val="31"/>
              </w:numPr>
              <w:spacing w:before="100" w:beforeAutospacing="1" w:after="100" w:afterAutospacing="1"/>
              <w:ind w:left="240" w:hanging="240"/>
              <w:jc w:val="both"/>
              <w:rPr>
                <w:rFonts w:ascii="Times New Roman" w:hAnsi="Times New Roman"/>
                <w:i/>
                <w:noProof/>
                <w:sz w:val="24"/>
                <w:lang w:val="pl-PL"/>
              </w:rPr>
            </w:pPr>
            <w:r w:rsidRPr="00DC40BE">
              <w:rPr>
                <w:rFonts w:ascii="Times New Roman" w:hAnsi="Times New Roman"/>
                <w:i/>
                <w:noProof/>
                <w:sz w:val="24"/>
                <w:lang w:val="pl-PL"/>
              </w:rPr>
              <w:t>Co najmniej 1 mln podpisów</w:t>
            </w:r>
          </w:p>
        </w:tc>
        <w:tc>
          <w:tcPr>
            <w:tcW w:w="2160" w:type="dxa"/>
            <w:shd w:val="clear" w:color="auto" w:fill="E7E6E6" w:themeFill="background2"/>
            <w:vAlign w:val="center"/>
          </w:tcPr>
          <w:p w14:paraId="1AACD19B" w14:textId="77777777" w:rsidR="004C51DA" w:rsidRPr="00DC40BE" w:rsidRDefault="004C51DA" w:rsidP="00E8781C">
            <w:pPr>
              <w:spacing w:before="100" w:beforeAutospacing="1" w:after="100" w:afterAutospacing="1" w:line="276" w:lineRule="auto"/>
              <w:jc w:val="center"/>
              <w:rPr>
                <w:noProof/>
                <w:lang w:val="pl-PL"/>
              </w:rPr>
            </w:pPr>
            <w:r w:rsidRPr="00DC40BE">
              <w:rPr>
                <w:noProof/>
                <w:lang w:val="pl-PL"/>
              </w:rPr>
              <w:t>1(</w:t>
            </w:r>
            <w:r w:rsidRPr="00DC40BE">
              <w:rPr>
                <w:rStyle w:val="Odwoanieprzypisudolnego"/>
                <w:noProof/>
                <w:lang w:val="pl-PL"/>
              </w:rPr>
              <w:footnoteReference w:id="30"/>
            </w:r>
            <w:r w:rsidRPr="00DC40BE">
              <w:rPr>
                <w:noProof/>
                <w:lang w:val="pl-PL"/>
              </w:rPr>
              <w:t>)</w:t>
            </w:r>
          </w:p>
        </w:tc>
      </w:tr>
      <w:tr w:rsidR="004C51DA" w:rsidRPr="00DC40BE" w14:paraId="1BAD8D66" w14:textId="77777777" w:rsidTr="00716FB7">
        <w:trPr>
          <w:trHeight w:val="300"/>
          <w:jc w:val="center"/>
        </w:trPr>
        <w:tc>
          <w:tcPr>
            <w:tcW w:w="6937" w:type="dxa"/>
            <w:shd w:val="clear" w:color="auto" w:fill="E7E6E6" w:themeFill="background2"/>
          </w:tcPr>
          <w:p w14:paraId="4728F73D" w14:textId="77777777" w:rsidR="004C51DA" w:rsidRPr="00DC40BE" w:rsidRDefault="004C51DA" w:rsidP="00E8781C">
            <w:pPr>
              <w:pStyle w:val="Akapitzlist"/>
              <w:numPr>
                <w:ilvl w:val="0"/>
                <w:numId w:val="29"/>
              </w:numPr>
              <w:spacing w:before="100" w:beforeAutospacing="1" w:after="100" w:afterAutospacing="1"/>
              <w:ind w:left="240" w:hanging="240"/>
              <w:jc w:val="both"/>
              <w:rPr>
                <w:rFonts w:ascii="Times New Roman" w:hAnsi="Times New Roman"/>
                <w:i/>
                <w:noProof/>
                <w:sz w:val="24"/>
                <w:lang w:val="pl-PL"/>
              </w:rPr>
            </w:pPr>
            <w:r w:rsidRPr="00DC40BE">
              <w:rPr>
                <w:rFonts w:ascii="Times New Roman" w:hAnsi="Times New Roman"/>
                <w:i/>
                <w:noProof/>
                <w:sz w:val="24"/>
                <w:lang w:val="pl-PL"/>
              </w:rPr>
              <w:t>500</w:t>
            </w:r>
            <w:r w:rsidRPr="00DC40BE">
              <w:rPr>
                <w:rFonts w:ascii="Times New Roman" w:hAnsi="Times New Roman"/>
                <w:noProof/>
                <w:sz w:val="24"/>
                <w:lang w:val="pl-PL"/>
              </w:rPr>
              <w:t xml:space="preserve"> </w:t>
            </w:r>
            <w:r w:rsidRPr="00DC40BE">
              <w:rPr>
                <w:rFonts w:ascii="Times New Roman" w:hAnsi="Times New Roman"/>
                <w:i/>
                <w:noProof/>
                <w:sz w:val="24"/>
                <w:lang w:val="pl-PL"/>
              </w:rPr>
              <w:t>000–999 999 podpisów</w:t>
            </w:r>
          </w:p>
        </w:tc>
        <w:tc>
          <w:tcPr>
            <w:tcW w:w="2160" w:type="dxa"/>
            <w:shd w:val="clear" w:color="auto" w:fill="E7E6E6" w:themeFill="background2"/>
            <w:vAlign w:val="center"/>
          </w:tcPr>
          <w:p w14:paraId="09A1B51B" w14:textId="77777777" w:rsidR="004C51DA" w:rsidRPr="00DC40BE" w:rsidRDefault="004C51DA" w:rsidP="00E8781C">
            <w:pPr>
              <w:spacing w:before="100" w:beforeAutospacing="1" w:after="100" w:afterAutospacing="1" w:line="276" w:lineRule="auto"/>
              <w:jc w:val="center"/>
              <w:rPr>
                <w:noProof/>
                <w:lang w:val="pl-PL"/>
              </w:rPr>
            </w:pPr>
            <w:r w:rsidRPr="00DC40BE">
              <w:rPr>
                <w:noProof/>
                <w:lang w:val="pl-PL"/>
              </w:rPr>
              <w:t>1</w:t>
            </w:r>
          </w:p>
        </w:tc>
      </w:tr>
      <w:tr w:rsidR="004C51DA" w:rsidRPr="00DC40BE" w14:paraId="561F9882" w14:textId="77777777" w:rsidTr="00716FB7">
        <w:trPr>
          <w:trHeight w:val="300"/>
          <w:jc w:val="center"/>
        </w:trPr>
        <w:tc>
          <w:tcPr>
            <w:tcW w:w="6937" w:type="dxa"/>
            <w:shd w:val="clear" w:color="auto" w:fill="E7E6E6" w:themeFill="background2"/>
          </w:tcPr>
          <w:p w14:paraId="6C164B8F" w14:textId="77777777" w:rsidR="004C51DA" w:rsidRPr="00DC40BE" w:rsidRDefault="004C51DA" w:rsidP="00E8781C">
            <w:pPr>
              <w:pStyle w:val="Akapitzlist"/>
              <w:numPr>
                <w:ilvl w:val="0"/>
                <w:numId w:val="29"/>
              </w:numPr>
              <w:spacing w:before="100" w:beforeAutospacing="1" w:after="100" w:afterAutospacing="1"/>
              <w:ind w:left="240" w:hanging="240"/>
              <w:jc w:val="both"/>
              <w:rPr>
                <w:rFonts w:ascii="Times New Roman" w:hAnsi="Times New Roman"/>
                <w:i/>
                <w:noProof/>
                <w:sz w:val="24"/>
                <w:lang w:val="pl-PL"/>
              </w:rPr>
            </w:pPr>
            <w:r w:rsidRPr="00DC40BE">
              <w:rPr>
                <w:rFonts w:ascii="Times New Roman" w:hAnsi="Times New Roman"/>
                <w:i/>
                <w:noProof/>
                <w:sz w:val="24"/>
                <w:lang w:val="pl-PL"/>
              </w:rPr>
              <w:t>250</w:t>
            </w:r>
            <w:r w:rsidRPr="00DC40BE">
              <w:rPr>
                <w:rFonts w:ascii="Times New Roman" w:hAnsi="Times New Roman"/>
                <w:noProof/>
                <w:sz w:val="24"/>
                <w:lang w:val="pl-PL"/>
              </w:rPr>
              <w:t xml:space="preserve"> </w:t>
            </w:r>
            <w:r w:rsidRPr="00DC40BE">
              <w:rPr>
                <w:rFonts w:ascii="Times New Roman" w:hAnsi="Times New Roman"/>
                <w:i/>
                <w:noProof/>
                <w:sz w:val="24"/>
                <w:lang w:val="pl-PL"/>
              </w:rPr>
              <w:t>000</w:t>
            </w:r>
            <w:r w:rsidRPr="00DC40BE">
              <w:rPr>
                <w:rFonts w:ascii="Times New Roman" w:hAnsi="Times New Roman"/>
                <w:noProof/>
                <w:sz w:val="24"/>
                <w:lang w:val="pl-PL"/>
              </w:rPr>
              <w:t>–</w:t>
            </w:r>
            <w:r w:rsidRPr="00DC40BE">
              <w:rPr>
                <w:rFonts w:ascii="Times New Roman" w:hAnsi="Times New Roman"/>
                <w:i/>
                <w:noProof/>
                <w:sz w:val="24"/>
                <w:lang w:val="pl-PL"/>
              </w:rPr>
              <w:t>499 999 podpisów</w:t>
            </w:r>
          </w:p>
        </w:tc>
        <w:tc>
          <w:tcPr>
            <w:tcW w:w="2160" w:type="dxa"/>
            <w:shd w:val="clear" w:color="auto" w:fill="E7E6E6" w:themeFill="background2"/>
            <w:vAlign w:val="center"/>
          </w:tcPr>
          <w:p w14:paraId="2E5D8E0F" w14:textId="77777777" w:rsidR="004C51DA" w:rsidRPr="00DC40BE" w:rsidRDefault="004C51DA" w:rsidP="00E8781C">
            <w:pPr>
              <w:spacing w:before="100" w:beforeAutospacing="1" w:after="100" w:afterAutospacing="1" w:line="276" w:lineRule="auto"/>
              <w:jc w:val="center"/>
              <w:rPr>
                <w:noProof/>
                <w:lang w:val="pl-PL"/>
              </w:rPr>
            </w:pPr>
            <w:r w:rsidRPr="00DC40BE">
              <w:rPr>
                <w:noProof/>
                <w:lang w:val="pl-PL"/>
              </w:rPr>
              <w:t xml:space="preserve">4 </w:t>
            </w:r>
          </w:p>
        </w:tc>
      </w:tr>
      <w:tr w:rsidR="004C51DA" w:rsidRPr="00DC40BE" w14:paraId="4D1C3A67" w14:textId="77777777" w:rsidTr="00716FB7">
        <w:trPr>
          <w:trHeight w:val="300"/>
          <w:jc w:val="center"/>
        </w:trPr>
        <w:tc>
          <w:tcPr>
            <w:tcW w:w="6937" w:type="dxa"/>
            <w:shd w:val="clear" w:color="auto" w:fill="E7E6E6" w:themeFill="background2"/>
          </w:tcPr>
          <w:p w14:paraId="152AA2DF" w14:textId="77777777" w:rsidR="004C51DA" w:rsidRPr="00DC40BE" w:rsidRDefault="004C51DA" w:rsidP="00E8781C">
            <w:pPr>
              <w:pStyle w:val="Akapitzlist"/>
              <w:numPr>
                <w:ilvl w:val="0"/>
                <w:numId w:val="29"/>
              </w:numPr>
              <w:spacing w:before="100" w:beforeAutospacing="1" w:after="100" w:afterAutospacing="1"/>
              <w:ind w:left="240" w:hanging="240"/>
              <w:jc w:val="both"/>
              <w:rPr>
                <w:rFonts w:ascii="Times New Roman" w:hAnsi="Times New Roman"/>
                <w:i/>
                <w:noProof/>
                <w:sz w:val="24"/>
                <w:lang w:val="pl-PL"/>
              </w:rPr>
            </w:pPr>
            <w:r w:rsidRPr="00DC40BE">
              <w:rPr>
                <w:rFonts w:ascii="Times New Roman" w:hAnsi="Times New Roman"/>
                <w:i/>
                <w:noProof/>
                <w:sz w:val="24"/>
                <w:lang w:val="pl-PL"/>
              </w:rPr>
              <w:lastRenderedPageBreak/>
              <w:t>100</w:t>
            </w:r>
            <w:r w:rsidRPr="00DC40BE">
              <w:rPr>
                <w:rFonts w:ascii="Times New Roman" w:hAnsi="Times New Roman"/>
                <w:noProof/>
                <w:sz w:val="24"/>
                <w:lang w:val="pl-PL"/>
              </w:rPr>
              <w:t xml:space="preserve"> </w:t>
            </w:r>
            <w:r w:rsidRPr="00DC40BE">
              <w:rPr>
                <w:rFonts w:ascii="Times New Roman" w:hAnsi="Times New Roman"/>
                <w:i/>
                <w:noProof/>
                <w:sz w:val="24"/>
                <w:lang w:val="pl-PL"/>
              </w:rPr>
              <w:t>000</w:t>
            </w:r>
            <w:r w:rsidRPr="00DC40BE">
              <w:rPr>
                <w:rFonts w:ascii="Times New Roman" w:hAnsi="Times New Roman"/>
                <w:noProof/>
                <w:sz w:val="24"/>
                <w:lang w:val="pl-PL"/>
              </w:rPr>
              <w:t>–</w:t>
            </w:r>
            <w:r w:rsidRPr="00DC40BE">
              <w:rPr>
                <w:rFonts w:ascii="Times New Roman" w:hAnsi="Times New Roman"/>
                <w:i/>
                <w:noProof/>
                <w:sz w:val="24"/>
                <w:lang w:val="pl-PL"/>
              </w:rPr>
              <w:t>249 999 podpisów</w:t>
            </w:r>
          </w:p>
        </w:tc>
        <w:tc>
          <w:tcPr>
            <w:tcW w:w="2160" w:type="dxa"/>
            <w:shd w:val="clear" w:color="auto" w:fill="E7E6E6" w:themeFill="background2"/>
            <w:vAlign w:val="center"/>
          </w:tcPr>
          <w:p w14:paraId="1FB71137" w14:textId="77777777" w:rsidR="004C51DA" w:rsidRPr="00DC40BE" w:rsidRDefault="004C51DA" w:rsidP="00E8781C">
            <w:pPr>
              <w:spacing w:before="100" w:beforeAutospacing="1" w:after="100" w:afterAutospacing="1" w:line="276" w:lineRule="auto"/>
              <w:jc w:val="center"/>
              <w:rPr>
                <w:noProof/>
                <w:lang w:val="pl-PL"/>
              </w:rPr>
            </w:pPr>
            <w:r w:rsidRPr="00DC40BE">
              <w:rPr>
                <w:noProof/>
                <w:lang w:val="pl-PL"/>
              </w:rPr>
              <w:t>1</w:t>
            </w:r>
          </w:p>
        </w:tc>
      </w:tr>
      <w:tr w:rsidR="004C51DA" w:rsidRPr="00DC40BE" w14:paraId="34251785" w14:textId="77777777" w:rsidTr="00716FB7">
        <w:trPr>
          <w:trHeight w:val="300"/>
          <w:jc w:val="center"/>
        </w:trPr>
        <w:tc>
          <w:tcPr>
            <w:tcW w:w="6937" w:type="dxa"/>
            <w:shd w:val="clear" w:color="auto" w:fill="E7E6E6" w:themeFill="background2"/>
          </w:tcPr>
          <w:p w14:paraId="4EF96FF0" w14:textId="77777777" w:rsidR="004C51DA" w:rsidRPr="00DC40BE" w:rsidRDefault="004C51DA" w:rsidP="00E8781C">
            <w:pPr>
              <w:pStyle w:val="Akapitzlist"/>
              <w:numPr>
                <w:ilvl w:val="0"/>
                <w:numId w:val="29"/>
              </w:numPr>
              <w:spacing w:before="100" w:beforeAutospacing="1" w:after="100" w:afterAutospacing="1"/>
              <w:ind w:left="240" w:hanging="240"/>
              <w:jc w:val="both"/>
              <w:rPr>
                <w:rFonts w:ascii="Times New Roman" w:hAnsi="Times New Roman"/>
                <w:i/>
                <w:noProof/>
                <w:sz w:val="24"/>
                <w:lang w:val="pl-PL"/>
              </w:rPr>
            </w:pPr>
            <w:r w:rsidRPr="00DC40BE">
              <w:rPr>
                <w:rFonts w:ascii="Times New Roman" w:hAnsi="Times New Roman"/>
                <w:i/>
                <w:noProof/>
                <w:sz w:val="24"/>
                <w:lang w:val="pl-PL"/>
              </w:rPr>
              <w:t>50</w:t>
            </w:r>
            <w:r w:rsidRPr="00DC40BE">
              <w:rPr>
                <w:rFonts w:ascii="Times New Roman" w:hAnsi="Times New Roman"/>
                <w:noProof/>
                <w:sz w:val="24"/>
                <w:lang w:val="pl-PL"/>
              </w:rPr>
              <w:t xml:space="preserve"> </w:t>
            </w:r>
            <w:r w:rsidRPr="00DC40BE">
              <w:rPr>
                <w:rFonts w:ascii="Times New Roman" w:hAnsi="Times New Roman"/>
                <w:i/>
                <w:noProof/>
                <w:sz w:val="24"/>
                <w:lang w:val="pl-PL"/>
              </w:rPr>
              <w:t>000–99 999 podpisów</w:t>
            </w:r>
          </w:p>
        </w:tc>
        <w:tc>
          <w:tcPr>
            <w:tcW w:w="2160" w:type="dxa"/>
            <w:shd w:val="clear" w:color="auto" w:fill="E7E6E6" w:themeFill="background2"/>
            <w:vAlign w:val="center"/>
          </w:tcPr>
          <w:p w14:paraId="524820F4" w14:textId="77777777" w:rsidR="004C51DA" w:rsidRPr="00DC40BE" w:rsidRDefault="004C51DA" w:rsidP="00E8781C">
            <w:pPr>
              <w:spacing w:before="100" w:beforeAutospacing="1" w:after="100" w:afterAutospacing="1" w:line="276" w:lineRule="auto"/>
              <w:jc w:val="center"/>
              <w:rPr>
                <w:noProof/>
                <w:lang w:val="pl-PL"/>
              </w:rPr>
            </w:pPr>
            <w:r w:rsidRPr="00DC40BE">
              <w:rPr>
                <w:noProof/>
                <w:lang w:val="pl-PL"/>
              </w:rPr>
              <w:t>5</w:t>
            </w:r>
          </w:p>
        </w:tc>
      </w:tr>
      <w:tr w:rsidR="004C51DA" w:rsidRPr="00DC40BE" w14:paraId="70560B48" w14:textId="77777777" w:rsidTr="00716FB7">
        <w:trPr>
          <w:trHeight w:val="300"/>
          <w:jc w:val="center"/>
        </w:trPr>
        <w:tc>
          <w:tcPr>
            <w:tcW w:w="6937" w:type="dxa"/>
            <w:shd w:val="clear" w:color="auto" w:fill="E7E6E6" w:themeFill="background2"/>
          </w:tcPr>
          <w:p w14:paraId="0E040BDB" w14:textId="77777777" w:rsidR="004C51DA" w:rsidRPr="00DC40BE" w:rsidRDefault="004C51DA" w:rsidP="00E8781C">
            <w:pPr>
              <w:pStyle w:val="Akapitzlist"/>
              <w:numPr>
                <w:ilvl w:val="0"/>
                <w:numId w:val="29"/>
              </w:numPr>
              <w:spacing w:before="100" w:beforeAutospacing="1" w:after="100" w:afterAutospacing="1"/>
              <w:ind w:left="240" w:hanging="240"/>
              <w:jc w:val="both"/>
              <w:rPr>
                <w:rFonts w:ascii="Times New Roman" w:hAnsi="Times New Roman"/>
                <w:i/>
                <w:noProof/>
                <w:sz w:val="24"/>
                <w:lang w:val="pl-PL"/>
              </w:rPr>
            </w:pPr>
            <w:r w:rsidRPr="00DC40BE">
              <w:rPr>
                <w:rFonts w:ascii="Times New Roman" w:hAnsi="Times New Roman"/>
                <w:i/>
                <w:noProof/>
                <w:sz w:val="24"/>
                <w:lang w:val="pl-PL"/>
              </w:rPr>
              <w:t>10</w:t>
            </w:r>
            <w:r w:rsidRPr="00DC40BE">
              <w:rPr>
                <w:rFonts w:ascii="Times New Roman" w:hAnsi="Times New Roman"/>
                <w:noProof/>
                <w:sz w:val="24"/>
                <w:lang w:val="pl-PL"/>
              </w:rPr>
              <w:t xml:space="preserve"> </w:t>
            </w:r>
            <w:r w:rsidRPr="00DC40BE">
              <w:rPr>
                <w:rFonts w:ascii="Times New Roman" w:hAnsi="Times New Roman"/>
                <w:i/>
                <w:noProof/>
                <w:sz w:val="24"/>
                <w:lang w:val="pl-PL"/>
              </w:rPr>
              <w:t>000</w:t>
            </w:r>
            <w:r w:rsidRPr="00DC40BE">
              <w:rPr>
                <w:rFonts w:ascii="Times New Roman" w:hAnsi="Times New Roman"/>
                <w:noProof/>
                <w:sz w:val="24"/>
                <w:lang w:val="pl-PL"/>
              </w:rPr>
              <w:t>–</w:t>
            </w:r>
            <w:r w:rsidRPr="00DC40BE">
              <w:rPr>
                <w:rFonts w:ascii="Times New Roman" w:hAnsi="Times New Roman"/>
                <w:i/>
                <w:noProof/>
                <w:sz w:val="24"/>
                <w:lang w:val="pl-PL"/>
              </w:rPr>
              <w:t>49 999 podpisów</w:t>
            </w:r>
          </w:p>
        </w:tc>
        <w:tc>
          <w:tcPr>
            <w:tcW w:w="2160" w:type="dxa"/>
            <w:shd w:val="clear" w:color="auto" w:fill="E7E6E6" w:themeFill="background2"/>
            <w:vAlign w:val="center"/>
          </w:tcPr>
          <w:p w14:paraId="4C478F6C" w14:textId="670A66FE" w:rsidR="004C51DA" w:rsidRPr="00DC40BE" w:rsidRDefault="003F32BC" w:rsidP="00E8781C">
            <w:pPr>
              <w:spacing w:before="100" w:beforeAutospacing="1" w:after="100" w:afterAutospacing="1" w:line="276" w:lineRule="auto"/>
              <w:jc w:val="center"/>
              <w:rPr>
                <w:noProof/>
                <w:lang w:val="pl-PL"/>
              </w:rPr>
            </w:pPr>
            <w:r w:rsidRPr="00DC40BE">
              <w:rPr>
                <w:noProof/>
                <w:lang w:val="pl-PL"/>
              </w:rPr>
              <w:t>4</w:t>
            </w:r>
          </w:p>
        </w:tc>
      </w:tr>
      <w:tr w:rsidR="004C51DA" w:rsidRPr="00DC40BE" w14:paraId="79F97900" w14:textId="77777777" w:rsidTr="00716FB7">
        <w:trPr>
          <w:trHeight w:val="300"/>
          <w:jc w:val="center"/>
        </w:trPr>
        <w:tc>
          <w:tcPr>
            <w:tcW w:w="6937" w:type="dxa"/>
            <w:shd w:val="clear" w:color="auto" w:fill="E7E6E6" w:themeFill="background2"/>
          </w:tcPr>
          <w:p w14:paraId="2FFBBC53" w14:textId="77777777" w:rsidR="004C51DA" w:rsidRPr="00DC40BE" w:rsidRDefault="004C51DA" w:rsidP="00E8781C">
            <w:pPr>
              <w:pStyle w:val="Akapitzlist"/>
              <w:numPr>
                <w:ilvl w:val="0"/>
                <w:numId w:val="29"/>
              </w:numPr>
              <w:spacing w:before="100" w:beforeAutospacing="1" w:after="100" w:afterAutospacing="1"/>
              <w:ind w:left="240" w:hanging="240"/>
              <w:jc w:val="both"/>
              <w:rPr>
                <w:rFonts w:ascii="Times New Roman" w:hAnsi="Times New Roman"/>
                <w:i/>
                <w:noProof/>
                <w:sz w:val="24"/>
                <w:lang w:val="pl-PL"/>
              </w:rPr>
            </w:pPr>
            <w:r w:rsidRPr="00DC40BE">
              <w:rPr>
                <w:rFonts w:ascii="Times New Roman" w:hAnsi="Times New Roman"/>
                <w:i/>
                <w:noProof/>
                <w:sz w:val="24"/>
                <w:lang w:val="pl-PL"/>
              </w:rPr>
              <w:t>5</w:t>
            </w:r>
            <w:r w:rsidRPr="00DC40BE">
              <w:rPr>
                <w:rFonts w:ascii="Times New Roman" w:hAnsi="Times New Roman"/>
                <w:noProof/>
                <w:sz w:val="24"/>
                <w:lang w:val="pl-PL"/>
              </w:rPr>
              <w:t xml:space="preserve"> </w:t>
            </w:r>
            <w:r w:rsidRPr="00DC40BE">
              <w:rPr>
                <w:rFonts w:ascii="Times New Roman" w:hAnsi="Times New Roman"/>
                <w:i/>
                <w:noProof/>
                <w:sz w:val="24"/>
                <w:lang w:val="pl-PL"/>
              </w:rPr>
              <w:t>000</w:t>
            </w:r>
            <w:r w:rsidRPr="00DC40BE">
              <w:rPr>
                <w:rFonts w:ascii="Times New Roman" w:hAnsi="Times New Roman"/>
                <w:noProof/>
                <w:sz w:val="24"/>
                <w:lang w:val="pl-PL"/>
              </w:rPr>
              <w:t>–</w:t>
            </w:r>
            <w:r w:rsidRPr="00DC40BE">
              <w:rPr>
                <w:rFonts w:ascii="Times New Roman" w:hAnsi="Times New Roman"/>
                <w:i/>
                <w:noProof/>
                <w:sz w:val="24"/>
                <w:lang w:val="pl-PL"/>
              </w:rPr>
              <w:t>9 999 podpisów</w:t>
            </w:r>
          </w:p>
        </w:tc>
        <w:tc>
          <w:tcPr>
            <w:tcW w:w="2160" w:type="dxa"/>
            <w:shd w:val="clear" w:color="auto" w:fill="E7E6E6" w:themeFill="background2"/>
            <w:vAlign w:val="center"/>
          </w:tcPr>
          <w:p w14:paraId="677476AB" w14:textId="77777777" w:rsidR="004C51DA" w:rsidRPr="00DC40BE" w:rsidRDefault="004C51DA" w:rsidP="00E8781C">
            <w:pPr>
              <w:spacing w:before="100" w:beforeAutospacing="1" w:after="100" w:afterAutospacing="1" w:line="276" w:lineRule="auto"/>
              <w:jc w:val="center"/>
              <w:rPr>
                <w:noProof/>
                <w:lang w:val="pl-PL"/>
              </w:rPr>
            </w:pPr>
            <w:r w:rsidRPr="00DC40BE">
              <w:rPr>
                <w:noProof/>
                <w:lang w:val="pl-PL"/>
              </w:rPr>
              <w:t>4</w:t>
            </w:r>
          </w:p>
        </w:tc>
      </w:tr>
      <w:tr w:rsidR="004C51DA" w:rsidRPr="00DC40BE" w14:paraId="3AFF2CC5" w14:textId="77777777" w:rsidTr="00716FB7">
        <w:trPr>
          <w:trHeight w:val="300"/>
          <w:jc w:val="center"/>
        </w:trPr>
        <w:tc>
          <w:tcPr>
            <w:tcW w:w="6937" w:type="dxa"/>
            <w:shd w:val="clear" w:color="auto" w:fill="E7E6E6" w:themeFill="background2"/>
          </w:tcPr>
          <w:p w14:paraId="72A3F101" w14:textId="77777777" w:rsidR="004C51DA" w:rsidRPr="00DC40BE" w:rsidRDefault="004C51DA" w:rsidP="00E8781C">
            <w:pPr>
              <w:pStyle w:val="Akapitzlist"/>
              <w:numPr>
                <w:ilvl w:val="0"/>
                <w:numId w:val="29"/>
              </w:numPr>
              <w:spacing w:before="100" w:beforeAutospacing="1" w:after="100" w:afterAutospacing="1"/>
              <w:ind w:left="240" w:hanging="240"/>
              <w:jc w:val="both"/>
              <w:rPr>
                <w:rFonts w:ascii="Times New Roman" w:hAnsi="Times New Roman"/>
                <w:i/>
                <w:noProof/>
                <w:sz w:val="24"/>
                <w:lang w:val="pl-PL"/>
              </w:rPr>
            </w:pPr>
            <w:r w:rsidRPr="00DC40BE">
              <w:rPr>
                <w:rFonts w:ascii="Times New Roman" w:hAnsi="Times New Roman"/>
                <w:i/>
                <w:noProof/>
                <w:sz w:val="24"/>
                <w:lang w:val="pl-PL"/>
              </w:rPr>
              <w:t>Poniżej 5 000 podpisów</w:t>
            </w:r>
          </w:p>
        </w:tc>
        <w:tc>
          <w:tcPr>
            <w:tcW w:w="2160" w:type="dxa"/>
            <w:shd w:val="clear" w:color="auto" w:fill="E7E6E6" w:themeFill="background2"/>
            <w:vAlign w:val="center"/>
          </w:tcPr>
          <w:p w14:paraId="1661A4E2" w14:textId="77777777" w:rsidR="004C51DA" w:rsidRPr="00DC40BE" w:rsidRDefault="004C51DA" w:rsidP="00E8781C">
            <w:pPr>
              <w:spacing w:before="100" w:beforeAutospacing="1" w:after="100" w:afterAutospacing="1" w:line="276" w:lineRule="auto"/>
              <w:jc w:val="center"/>
              <w:rPr>
                <w:noProof/>
                <w:lang w:val="pl-PL"/>
              </w:rPr>
            </w:pPr>
            <w:r w:rsidRPr="00DC40BE">
              <w:rPr>
                <w:noProof/>
                <w:lang w:val="pl-PL"/>
              </w:rPr>
              <w:t>9</w:t>
            </w:r>
          </w:p>
        </w:tc>
      </w:tr>
      <w:tr w:rsidR="00C347F4" w:rsidRPr="00DC40BE" w14:paraId="1D1D2C97" w14:textId="77777777" w:rsidTr="00716FB7">
        <w:trPr>
          <w:trHeight w:val="300"/>
          <w:jc w:val="center"/>
        </w:trPr>
        <w:tc>
          <w:tcPr>
            <w:tcW w:w="6937" w:type="dxa"/>
            <w:shd w:val="clear" w:color="auto" w:fill="E7E6E6" w:themeFill="background2"/>
          </w:tcPr>
          <w:p w14:paraId="0BD0E0BA" w14:textId="39EC3FD7" w:rsidR="00C347F4" w:rsidRPr="00DC40BE" w:rsidRDefault="00C347F4" w:rsidP="00E8781C">
            <w:pPr>
              <w:spacing w:before="100" w:beforeAutospacing="1" w:after="100" w:afterAutospacing="1" w:line="276" w:lineRule="auto"/>
              <w:rPr>
                <w:i/>
                <w:noProof/>
                <w:lang w:val="pl-PL"/>
              </w:rPr>
            </w:pPr>
            <w:r w:rsidRPr="00DC40BE">
              <w:rPr>
                <w:b/>
                <w:noProof/>
                <w:lang w:val="pl-PL"/>
              </w:rPr>
              <w:t>Zbieranie deklaracji</w:t>
            </w:r>
            <w:r w:rsidR="00DC40BE" w:rsidRPr="00DC40BE">
              <w:rPr>
                <w:b/>
                <w:noProof/>
                <w:lang w:val="pl-PL"/>
              </w:rPr>
              <w:t xml:space="preserve"> w tok</w:t>
            </w:r>
            <w:r w:rsidRPr="00DC40BE">
              <w:rPr>
                <w:b/>
                <w:noProof/>
                <w:lang w:val="pl-PL"/>
              </w:rPr>
              <w:t>u</w:t>
            </w:r>
          </w:p>
        </w:tc>
        <w:tc>
          <w:tcPr>
            <w:tcW w:w="2160" w:type="dxa"/>
            <w:shd w:val="clear" w:color="auto" w:fill="E7E6E6" w:themeFill="background2"/>
            <w:vAlign w:val="center"/>
          </w:tcPr>
          <w:p w14:paraId="674A0135" w14:textId="348054FF" w:rsidR="00C347F4" w:rsidRPr="00DC40BE" w:rsidRDefault="00C347F4" w:rsidP="00E8781C">
            <w:pPr>
              <w:spacing w:before="100" w:beforeAutospacing="1" w:after="100" w:afterAutospacing="1" w:line="276" w:lineRule="auto"/>
              <w:jc w:val="center"/>
              <w:rPr>
                <w:noProof/>
                <w:lang w:val="pl-PL"/>
              </w:rPr>
            </w:pPr>
            <w:r w:rsidRPr="00DC40BE">
              <w:rPr>
                <w:noProof/>
                <w:lang w:val="pl-PL"/>
              </w:rPr>
              <w:t>10</w:t>
            </w:r>
          </w:p>
        </w:tc>
      </w:tr>
      <w:tr w:rsidR="00C347F4" w:rsidRPr="00DC40BE" w14:paraId="781EAAF4" w14:textId="77777777" w:rsidTr="00716FB7">
        <w:trPr>
          <w:trHeight w:val="300"/>
          <w:jc w:val="center"/>
        </w:trPr>
        <w:tc>
          <w:tcPr>
            <w:tcW w:w="6937" w:type="dxa"/>
            <w:shd w:val="clear" w:color="auto" w:fill="E7E6E6" w:themeFill="background2"/>
          </w:tcPr>
          <w:p w14:paraId="6A656405" w14:textId="6E435731" w:rsidR="00C347F4" w:rsidRPr="00DC40BE" w:rsidRDefault="00C347F4" w:rsidP="00E8781C">
            <w:pPr>
              <w:spacing w:before="100" w:beforeAutospacing="1" w:after="100" w:afterAutospacing="1" w:line="276" w:lineRule="auto"/>
              <w:rPr>
                <w:b/>
                <w:noProof/>
                <w:lang w:val="pl-PL"/>
              </w:rPr>
            </w:pPr>
            <w:r w:rsidRPr="00DC40BE">
              <w:rPr>
                <w:b/>
                <w:noProof/>
                <w:lang w:val="pl-PL"/>
              </w:rPr>
              <w:t>EIO mają dopiero zacząć zbieranie deklaracji</w:t>
            </w:r>
          </w:p>
        </w:tc>
        <w:tc>
          <w:tcPr>
            <w:tcW w:w="2160" w:type="dxa"/>
            <w:shd w:val="clear" w:color="auto" w:fill="E7E6E6" w:themeFill="background2"/>
            <w:vAlign w:val="center"/>
          </w:tcPr>
          <w:p w14:paraId="4EBB0794" w14:textId="77777777" w:rsidR="00C347F4" w:rsidRPr="00DC40BE" w:rsidRDefault="00C347F4" w:rsidP="00E8781C">
            <w:pPr>
              <w:spacing w:before="100" w:beforeAutospacing="1" w:after="100" w:afterAutospacing="1" w:line="276" w:lineRule="auto"/>
              <w:jc w:val="center"/>
              <w:rPr>
                <w:noProof/>
                <w:lang w:val="pl-PL"/>
              </w:rPr>
            </w:pPr>
            <w:r w:rsidRPr="00DC40BE">
              <w:rPr>
                <w:noProof/>
                <w:lang w:val="pl-PL"/>
              </w:rPr>
              <w:t>4</w:t>
            </w:r>
          </w:p>
        </w:tc>
      </w:tr>
    </w:tbl>
    <w:p w14:paraId="7F9E310D" w14:textId="77777777" w:rsidR="004C51DA" w:rsidRPr="00DC40BE" w:rsidRDefault="004C51DA" w:rsidP="00E8781C">
      <w:pPr>
        <w:spacing w:before="100" w:beforeAutospacing="1" w:after="100" w:afterAutospacing="1" w:line="276" w:lineRule="auto"/>
        <w:rPr>
          <w:noProof/>
          <w:lang w:val="pl-PL"/>
        </w:rPr>
      </w:pPr>
    </w:p>
    <w:p w14:paraId="304FD1CA" w14:textId="75943F75" w:rsidR="005A4888" w:rsidRPr="00DC40BE" w:rsidRDefault="005A4888" w:rsidP="00E8781C">
      <w:pPr>
        <w:spacing w:before="100" w:beforeAutospacing="1" w:after="100" w:afterAutospacing="1" w:line="276" w:lineRule="auto"/>
        <w:rPr>
          <w:noProof/>
          <w:lang w:val="pl-PL"/>
        </w:rPr>
      </w:pPr>
      <w:r w:rsidRPr="00DC40BE">
        <w:rPr>
          <w:noProof/>
          <w:lang w:val="pl-PL"/>
        </w:rPr>
        <w:t>Ogólnie rzecz biorąc, od</w:t>
      </w:r>
      <w:r w:rsidR="00DC40BE" w:rsidRPr="00DC40BE">
        <w:rPr>
          <w:noProof/>
          <w:lang w:val="pl-PL"/>
        </w:rPr>
        <w:t> </w:t>
      </w:r>
      <w:r w:rsidRPr="00DC40BE">
        <w:rPr>
          <w:noProof/>
          <w:lang w:val="pl-PL"/>
        </w:rPr>
        <w:t>2020</w:t>
      </w:r>
      <w:r w:rsidR="00DC40BE" w:rsidRPr="00DC40BE">
        <w:rPr>
          <w:noProof/>
          <w:lang w:val="pl-PL"/>
        </w:rPr>
        <w:t> </w:t>
      </w:r>
      <w:r w:rsidRPr="00DC40BE">
        <w:rPr>
          <w:noProof/>
          <w:lang w:val="pl-PL"/>
        </w:rPr>
        <w:t>r. zebrano ponad 9 mln deklaracji poparcia. Ponad 90</w:t>
      </w:r>
      <w:r w:rsidR="00DC40BE" w:rsidRPr="00DC40BE">
        <w:rPr>
          <w:noProof/>
          <w:lang w:val="pl-PL"/>
        </w:rPr>
        <w:t> </w:t>
      </w:r>
      <w:r w:rsidRPr="00DC40BE">
        <w:rPr>
          <w:noProof/>
          <w:lang w:val="pl-PL"/>
        </w:rPr>
        <w:t>% podpisów zebrano przez internet, natomiast pozostałą część uzyskano</w:t>
      </w:r>
      <w:r w:rsidR="00DC40BE" w:rsidRPr="00DC40BE">
        <w:rPr>
          <w:noProof/>
          <w:lang w:val="pl-PL"/>
        </w:rPr>
        <w:t xml:space="preserve"> w for</w:t>
      </w:r>
      <w:r w:rsidRPr="00DC40BE">
        <w:rPr>
          <w:noProof/>
          <w:lang w:val="pl-PL"/>
        </w:rPr>
        <w:t>mie papierowej.</w:t>
      </w:r>
    </w:p>
    <w:p w14:paraId="01300170" w14:textId="532F0E82" w:rsidR="005A4888" w:rsidRPr="00DC40BE" w:rsidRDefault="00E14EF6" w:rsidP="00E8781C">
      <w:pPr>
        <w:spacing w:before="100" w:beforeAutospacing="1" w:after="100" w:afterAutospacing="1" w:line="276" w:lineRule="auto"/>
        <w:rPr>
          <w:noProof/>
          <w:lang w:val="pl-PL"/>
        </w:rPr>
      </w:pPr>
      <w:r w:rsidRPr="00DC40BE">
        <w:rPr>
          <w:noProof/>
          <w:lang w:val="pl-PL"/>
        </w:rPr>
        <w:t>Organizatorzy, którzy wzięli udział</w:t>
      </w:r>
      <w:r w:rsidR="00DC40BE" w:rsidRPr="00DC40BE">
        <w:rPr>
          <w:noProof/>
          <w:lang w:val="pl-PL"/>
        </w:rPr>
        <w:t xml:space="preserve"> w ank</w:t>
      </w:r>
      <w:r w:rsidRPr="00DC40BE">
        <w:rPr>
          <w:noProof/>
          <w:lang w:val="pl-PL"/>
        </w:rPr>
        <w:t>iecie, poinformowali, że byli zasadniczo zadowoleni ze skuteczności procedur</w:t>
      </w:r>
      <w:r w:rsidR="00DC40BE" w:rsidRPr="00DC40BE">
        <w:rPr>
          <w:noProof/>
          <w:lang w:val="pl-PL"/>
        </w:rPr>
        <w:t xml:space="preserve"> i nar</w:t>
      </w:r>
      <w:r w:rsidRPr="00DC40BE">
        <w:rPr>
          <w:noProof/>
          <w:lang w:val="pl-PL"/>
        </w:rPr>
        <w:t>zędzi dostępnych na etapie zbierania podpisów. Większość respondentów reprezentujących EIO zarejestrowane na podstawie drugiego rozporządzenia</w:t>
      </w:r>
      <w:r w:rsidR="00DC40BE" w:rsidRPr="00DC40BE">
        <w:rPr>
          <w:noProof/>
          <w:lang w:val="pl-PL"/>
        </w:rPr>
        <w:t xml:space="preserve"> w spr</w:t>
      </w:r>
      <w:r w:rsidRPr="00DC40BE">
        <w:rPr>
          <w:noProof/>
          <w:lang w:val="pl-PL"/>
        </w:rPr>
        <w:t>awie EIO uznało wyznaczenie okresu sześciu miesięcy od zakończenia procesu rejestracji(</w:t>
      </w:r>
      <w:r w:rsidRPr="00DC40BE">
        <w:rPr>
          <w:rStyle w:val="Odwoanieprzypisudolnego"/>
          <w:noProof/>
          <w:lang w:val="pl-PL"/>
        </w:rPr>
        <w:footnoteReference w:id="31"/>
      </w:r>
      <w:r w:rsidRPr="00DC40BE">
        <w:rPr>
          <w:noProof/>
          <w:lang w:val="pl-PL"/>
        </w:rPr>
        <w:t xml:space="preserve">) na przygotowanie się do zbierania podpisów za dobre rozwiązanie. </w:t>
      </w:r>
    </w:p>
    <w:p w14:paraId="29B3CB01" w14:textId="184AB843" w:rsidR="005A4888" w:rsidRPr="00DC40BE" w:rsidRDefault="005A4888" w:rsidP="00E8781C">
      <w:pPr>
        <w:spacing w:before="100" w:beforeAutospacing="1" w:after="100" w:afterAutospacing="1" w:line="276" w:lineRule="auto"/>
        <w:rPr>
          <w:noProof/>
          <w:lang w:val="pl-PL"/>
        </w:rPr>
      </w:pPr>
      <w:r w:rsidRPr="00DC40BE">
        <w:rPr>
          <w:noProof/>
          <w:lang w:val="pl-PL"/>
        </w:rPr>
        <w:t>Respondenci, którzy wzięli udział</w:t>
      </w:r>
      <w:r w:rsidR="00DC40BE" w:rsidRPr="00DC40BE">
        <w:rPr>
          <w:noProof/>
          <w:lang w:val="pl-PL"/>
        </w:rPr>
        <w:t xml:space="preserve"> w ank</w:t>
      </w:r>
      <w:r w:rsidRPr="00DC40BE">
        <w:rPr>
          <w:noProof/>
          <w:lang w:val="pl-PL"/>
        </w:rPr>
        <w:t>iecie, stwierdzili, że następujące czynniki wspomagające ułatwiły im zbieranie podpisów: wsparcie ze strony NGO; korzystanie</w:t>
      </w:r>
      <w:r w:rsidR="00DC40BE" w:rsidRPr="00DC40BE">
        <w:rPr>
          <w:noProof/>
          <w:lang w:val="pl-PL"/>
        </w:rPr>
        <w:t xml:space="preserve"> z duż</w:t>
      </w:r>
      <w:r w:rsidRPr="00DC40BE">
        <w:rPr>
          <w:noProof/>
          <w:lang w:val="pl-PL"/>
        </w:rPr>
        <w:t>ych platform służących do zbierania podpisów (np. Avaaz, WeMove</w:t>
      </w:r>
      <w:r w:rsidR="00DC40BE" w:rsidRPr="00DC40BE">
        <w:rPr>
          <w:noProof/>
          <w:lang w:val="pl-PL"/>
        </w:rPr>
        <w:t xml:space="preserve"> i Cam</w:t>
      </w:r>
      <w:r w:rsidRPr="00DC40BE">
        <w:rPr>
          <w:noProof/>
          <w:lang w:val="pl-PL"/>
        </w:rPr>
        <w:t>pact); korzystanie ze wsparcia influencerów oraz promocja</w:t>
      </w:r>
      <w:r w:rsidR="00DC40BE" w:rsidRPr="00DC40BE">
        <w:rPr>
          <w:noProof/>
          <w:lang w:val="pl-PL"/>
        </w:rPr>
        <w:t xml:space="preserve"> w róż</w:t>
      </w:r>
      <w:r w:rsidRPr="00DC40BE">
        <w:rPr>
          <w:noProof/>
          <w:lang w:val="pl-PL"/>
        </w:rPr>
        <w:t>nych mediach na szczeblu krajowym</w:t>
      </w:r>
      <w:r w:rsidR="00DC40BE" w:rsidRPr="00DC40BE">
        <w:rPr>
          <w:noProof/>
          <w:lang w:val="pl-PL"/>
        </w:rPr>
        <w:t xml:space="preserve"> i uni</w:t>
      </w:r>
      <w:r w:rsidRPr="00DC40BE">
        <w:rPr>
          <w:noProof/>
          <w:lang w:val="pl-PL"/>
        </w:rPr>
        <w:t>jnym.</w:t>
      </w:r>
    </w:p>
    <w:p w14:paraId="717FAA5F" w14:textId="406594B7" w:rsidR="005A4888" w:rsidRPr="00DC40BE" w:rsidRDefault="00E14EF6" w:rsidP="00E8781C">
      <w:pPr>
        <w:spacing w:before="100" w:beforeAutospacing="1" w:after="100" w:afterAutospacing="1" w:line="276" w:lineRule="auto"/>
        <w:rPr>
          <w:noProof/>
          <w:lang w:val="pl-PL"/>
        </w:rPr>
      </w:pPr>
      <w:r w:rsidRPr="00DC40BE">
        <w:rPr>
          <w:noProof/>
          <w:lang w:val="pl-PL"/>
        </w:rPr>
        <w:t>Organizatorzy, którzy wzięli udział</w:t>
      </w:r>
      <w:r w:rsidR="00DC40BE" w:rsidRPr="00DC40BE">
        <w:rPr>
          <w:noProof/>
          <w:lang w:val="pl-PL"/>
        </w:rPr>
        <w:t xml:space="preserve"> w ank</w:t>
      </w:r>
      <w:r w:rsidRPr="00DC40BE">
        <w:rPr>
          <w:noProof/>
          <w:lang w:val="pl-PL"/>
        </w:rPr>
        <w:t>iecie, wskazywali, że na etapie zbierania deklaracji borykali się najczęściej</w:t>
      </w:r>
      <w:r w:rsidR="00DC40BE" w:rsidRPr="00DC40BE">
        <w:rPr>
          <w:noProof/>
          <w:lang w:val="pl-PL"/>
        </w:rPr>
        <w:t xml:space="preserve"> z nas</w:t>
      </w:r>
      <w:r w:rsidRPr="00DC40BE">
        <w:rPr>
          <w:noProof/>
          <w:lang w:val="pl-PL"/>
        </w:rPr>
        <w:t>tępującymi wyzwaniami: niechęć obywateli do przekazywania wymaganych danych osobowych; brak wiedzy obywateli na temat EIO; brak gotowości poświęcenia EIO niezbędnej ilości czasu; przyciągnięcie zainteresowania mediów oraz znalezienie partnerów zainteresowanych propagowaniem EIO w co najmniej siedmiu państwach członkowskich.</w:t>
      </w:r>
    </w:p>
    <w:p w14:paraId="49B7EF04" w14:textId="047E427F" w:rsidR="005A4888" w:rsidRPr="00DC40BE" w:rsidRDefault="005A4888" w:rsidP="00E8781C">
      <w:pPr>
        <w:pStyle w:val="Nagwek3"/>
        <w:numPr>
          <w:ilvl w:val="2"/>
          <w:numId w:val="16"/>
        </w:numPr>
        <w:spacing w:before="100" w:beforeAutospacing="1" w:after="100" w:afterAutospacing="1" w:line="276" w:lineRule="auto"/>
        <w:rPr>
          <w:i w:val="0"/>
          <w:noProof/>
          <w:lang w:val="pl-PL"/>
        </w:rPr>
      </w:pPr>
      <w:bookmarkStart w:id="16" w:name="_Toc1250821498"/>
      <w:bookmarkStart w:id="17" w:name="_Toc146296674"/>
      <w:r w:rsidRPr="00DC40BE">
        <w:rPr>
          <w:i w:val="0"/>
          <w:noProof/>
          <w:lang w:val="pl-PL"/>
        </w:rPr>
        <w:t>Systemy zbierania deklaracji online</w:t>
      </w:r>
      <w:bookmarkEnd w:id="16"/>
      <w:bookmarkEnd w:id="17"/>
    </w:p>
    <w:p w14:paraId="30594F49" w14:textId="093A2F0D" w:rsidR="005A4888" w:rsidRPr="00DC40BE" w:rsidRDefault="000B420C" w:rsidP="00E8781C">
      <w:pPr>
        <w:spacing w:before="100" w:beforeAutospacing="1" w:after="100" w:afterAutospacing="1" w:line="276" w:lineRule="auto"/>
        <w:rPr>
          <w:noProof/>
          <w:lang w:val="pl-PL"/>
        </w:rPr>
      </w:pPr>
      <w:r w:rsidRPr="00DC40BE">
        <w:rPr>
          <w:noProof/>
          <w:lang w:val="pl-PL"/>
        </w:rPr>
        <w:t>Zgodnie</w:t>
      </w:r>
      <w:r w:rsidR="00DC40BE" w:rsidRPr="00DC40BE">
        <w:rPr>
          <w:noProof/>
          <w:lang w:val="pl-PL"/>
        </w:rPr>
        <w:t xml:space="preserve"> z art</w:t>
      </w:r>
      <w:r w:rsidRPr="00DC40BE">
        <w:rPr>
          <w:noProof/>
          <w:lang w:val="pl-PL"/>
        </w:rPr>
        <w:t>.</w:t>
      </w:r>
      <w:r w:rsidR="00DC40BE" w:rsidRPr="00DC40BE">
        <w:rPr>
          <w:noProof/>
          <w:lang w:val="pl-PL"/>
        </w:rPr>
        <w:t> </w:t>
      </w:r>
      <w:r w:rsidRPr="00DC40BE">
        <w:rPr>
          <w:noProof/>
          <w:lang w:val="pl-PL"/>
        </w:rPr>
        <w:t>11 drugiego rozporządzenia</w:t>
      </w:r>
      <w:r w:rsidR="00DC40BE" w:rsidRPr="00DC40BE">
        <w:rPr>
          <w:noProof/>
          <w:lang w:val="pl-PL"/>
        </w:rPr>
        <w:t xml:space="preserve"> w spr</w:t>
      </w:r>
      <w:r w:rsidRPr="00DC40BE">
        <w:rPr>
          <w:noProof/>
          <w:lang w:val="pl-PL"/>
        </w:rPr>
        <w:t>awie EIO organizatorzy EIO zarejestrowanych między 1 stycznia 2020</w:t>
      </w:r>
      <w:r w:rsidR="00DC40BE" w:rsidRPr="00DC40BE">
        <w:rPr>
          <w:noProof/>
          <w:lang w:val="pl-PL"/>
        </w:rPr>
        <w:t> </w:t>
      </w:r>
      <w:r w:rsidRPr="00DC40BE">
        <w:rPr>
          <w:noProof/>
          <w:lang w:val="pl-PL"/>
        </w:rPr>
        <w:t>r.</w:t>
      </w:r>
      <w:r w:rsidR="00DC40BE" w:rsidRPr="00DC40BE">
        <w:rPr>
          <w:noProof/>
          <w:lang w:val="pl-PL"/>
        </w:rPr>
        <w:t xml:space="preserve"> a 3</w:t>
      </w:r>
      <w:r w:rsidRPr="00DC40BE">
        <w:rPr>
          <w:noProof/>
          <w:lang w:val="pl-PL"/>
        </w:rPr>
        <w:t>1 grudnia 2022</w:t>
      </w:r>
      <w:r w:rsidR="00DC40BE" w:rsidRPr="00DC40BE">
        <w:rPr>
          <w:noProof/>
          <w:lang w:val="pl-PL"/>
        </w:rPr>
        <w:t> </w:t>
      </w:r>
      <w:r w:rsidRPr="00DC40BE">
        <w:rPr>
          <w:noProof/>
          <w:lang w:val="pl-PL"/>
        </w:rPr>
        <w:t>r. mogli korzystać</w:t>
      </w:r>
      <w:r w:rsidR="00DC40BE" w:rsidRPr="00DC40BE">
        <w:rPr>
          <w:noProof/>
          <w:lang w:val="pl-PL"/>
        </w:rPr>
        <w:t xml:space="preserve"> z cen</w:t>
      </w:r>
      <w:r w:rsidRPr="00DC40BE">
        <w:rPr>
          <w:noProof/>
          <w:lang w:val="pl-PL"/>
        </w:rPr>
        <w:t>tralnego systemu zbierania deklaracji online albo</w:t>
      </w:r>
      <w:r w:rsidR="00DC40BE" w:rsidRPr="00DC40BE">
        <w:rPr>
          <w:noProof/>
          <w:lang w:val="pl-PL"/>
        </w:rPr>
        <w:t xml:space="preserve"> z inn</w:t>
      </w:r>
      <w:r w:rsidRPr="00DC40BE">
        <w:rPr>
          <w:noProof/>
          <w:lang w:val="pl-PL"/>
        </w:rPr>
        <w:t>ego systemu zbierania deklaracji online</w:t>
      </w:r>
      <w:r w:rsidR="00DC40BE" w:rsidRPr="00DC40BE">
        <w:rPr>
          <w:noProof/>
          <w:lang w:val="pl-PL"/>
        </w:rPr>
        <w:t>. W okr</w:t>
      </w:r>
      <w:r w:rsidRPr="00DC40BE">
        <w:rPr>
          <w:noProof/>
          <w:lang w:val="pl-PL"/>
        </w:rPr>
        <w:t>esie,</w:t>
      </w:r>
      <w:r w:rsidR="00DC40BE" w:rsidRPr="00DC40BE">
        <w:rPr>
          <w:noProof/>
          <w:lang w:val="pl-PL"/>
        </w:rPr>
        <w:t xml:space="preserve"> w któ</w:t>
      </w:r>
      <w:r w:rsidRPr="00DC40BE">
        <w:rPr>
          <w:noProof/>
          <w:lang w:val="pl-PL"/>
        </w:rPr>
        <w:t>rym dokonanie takiego wyboru było wciąż możliwe,</w:t>
      </w:r>
      <w:r w:rsidRPr="00DC40BE">
        <w:rPr>
          <w:b/>
          <w:noProof/>
          <w:lang w:val="pl-PL"/>
        </w:rPr>
        <w:t xml:space="preserve"> 20 EIO </w:t>
      </w:r>
      <w:r w:rsidRPr="00DC40BE">
        <w:rPr>
          <w:noProof/>
          <w:lang w:val="pl-PL"/>
        </w:rPr>
        <w:t>wybrało</w:t>
      </w:r>
      <w:r w:rsidRPr="00DC40BE">
        <w:rPr>
          <w:b/>
          <w:noProof/>
          <w:lang w:val="pl-PL"/>
        </w:rPr>
        <w:t xml:space="preserve"> centralny system zbierania deklaracji online</w:t>
      </w:r>
      <w:r w:rsidRPr="00DC40BE">
        <w:rPr>
          <w:noProof/>
          <w:lang w:val="pl-PL"/>
        </w:rPr>
        <w:t xml:space="preserve">, natomiast </w:t>
      </w:r>
      <w:r w:rsidRPr="00DC40BE">
        <w:rPr>
          <w:b/>
          <w:noProof/>
          <w:lang w:val="pl-PL"/>
        </w:rPr>
        <w:t>sześć zdecydował</w:t>
      </w:r>
      <w:r w:rsidR="002706C0">
        <w:rPr>
          <w:b/>
          <w:noProof/>
          <w:lang w:val="pl-PL"/>
        </w:rPr>
        <w:t>o</w:t>
      </w:r>
      <w:r w:rsidRPr="00DC40BE">
        <w:rPr>
          <w:b/>
          <w:noProof/>
          <w:lang w:val="pl-PL"/>
        </w:rPr>
        <w:t xml:space="preserve"> się skorzystać</w:t>
      </w:r>
      <w:r w:rsidR="00DC40BE" w:rsidRPr="00DC40BE">
        <w:rPr>
          <w:b/>
          <w:noProof/>
          <w:lang w:val="pl-PL"/>
        </w:rPr>
        <w:t xml:space="preserve"> z opr</w:t>
      </w:r>
      <w:r w:rsidRPr="00DC40BE">
        <w:rPr>
          <w:b/>
          <w:noProof/>
          <w:lang w:val="pl-PL"/>
        </w:rPr>
        <w:t xml:space="preserve">ogramowania OpenECI </w:t>
      </w:r>
      <w:r w:rsidRPr="00DC40BE">
        <w:rPr>
          <w:noProof/>
          <w:lang w:val="pl-PL"/>
        </w:rPr>
        <w:t xml:space="preserve">oferowanego przez organizacje społeczeństwa obywatelskiego. </w:t>
      </w:r>
    </w:p>
    <w:p w14:paraId="02505C7E" w14:textId="3D8619AF" w:rsidR="001530D3" w:rsidRPr="00DC40BE" w:rsidRDefault="005A4888" w:rsidP="00E8781C">
      <w:pPr>
        <w:spacing w:before="100" w:beforeAutospacing="1" w:after="100" w:afterAutospacing="1" w:line="276" w:lineRule="auto"/>
        <w:rPr>
          <w:noProof/>
          <w:lang w:val="pl-PL"/>
        </w:rPr>
      </w:pPr>
      <w:r w:rsidRPr="00DC40BE">
        <w:rPr>
          <w:noProof/>
          <w:lang w:val="pl-PL"/>
        </w:rPr>
        <w:lastRenderedPageBreak/>
        <w:t>Spośród pięciu</w:t>
      </w:r>
      <w:r w:rsidRPr="00DC40BE">
        <w:rPr>
          <w:b/>
          <w:noProof/>
          <w:lang w:val="pl-PL"/>
        </w:rPr>
        <w:t xml:space="preserve"> </w:t>
      </w:r>
      <w:r w:rsidRPr="00DC40BE">
        <w:rPr>
          <w:noProof/>
          <w:lang w:val="pl-PL"/>
        </w:rPr>
        <w:t>EIO, które zebrały ponad 1 mln deklaracji poparcia</w:t>
      </w:r>
      <w:r w:rsidR="00DC40BE" w:rsidRPr="00DC40BE">
        <w:rPr>
          <w:noProof/>
          <w:lang w:val="pl-PL"/>
        </w:rPr>
        <w:t xml:space="preserve"> w tym</w:t>
      </w:r>
      <w:r w:rsidRPr="00DC40BE">
        <w:rPr>
          <w:noProof/>
          <w:lang w:val="pl-PL"/>
        </w:rPr>
        <w:t xml:space="preserve"> okresie, trzy korzystały</w:t>
      </w:r>
      <w:r w:rsidR="00DC40BE" w:rsidRPr="00DC40BE">
        <w:rPr>
          <w:noProof/>
          <w:lang w:val="pl-PL"/>
        </w:rPr>
        <w:t xml:space="preserve"> z cen</w:t>
      </w:r>
      <w:r w:rsidRPr="00DC40BE">
        <w:rPr>
          <w:noProof/>
          <w:lang w:val="pl-PL"/>
        </w:rPr>
        <w:t>tralnego systemu zbierania deklaracji online(</w:t>
      </w:r>
      <w:r w:rsidRPr="00DC40BE">
        <w:rPr>
          <w:rStyle w:val="Odwoanieprzypisudolnego"/>
          <w:noProof/>
          <w:lang w:val="pl-PL"/>
        </w:rPr>
        <w:footnoteReference w:id="32"/>
      </w:r>
      <w:r w:rsidRPr="00DC40BE">
        <w:rPr>
          <w:noProof/>
          <w:lang w:val="pl-PL"/>
        </w:rPr>
        <w:t>),</w:t>
      </w:r>
      <w:r w:rsidR="00DC40BE" w:rsidRPr="00DC40BE">
        <w:rPr>
          <w:noProof/>
          <w:lang w:val="pl-PL"/>
        </w:rPr>
        <w:t xml:space="preserve"> a dwi</w:t>
      </w:r>
      <w:r w:rsidRPr="00DC40BE">
        <w:rPr>
          <w:noProof/>
          <w:lang w:val="pl-PL"/>
        </w:rPr>
        <w:t>e</w:t>
      </w:r>
      <w:r w:rsidR="00DC40BE" w:rsidRPr="00DC40BE">
        <w:rPr>
          <w:noProof/>
          <w:lang w:val="pl-PL"/>
        </w:rPr>
        <w:t xml:space="preserve"> z sys</w:t>
      </w:r>
      <w:r w:rsidRPr="00DC40BE">
        <w:rPr>
          <w:noProof/>
          <w:lang w:val="pl-PL"/>
        </w:rPr>
        <w:t>temu OpenECI(</w:t>
      </w:r>
      <w:r w:rsidRPr="00DC40BE">
        <w:rPr>
          <w:rStyle w:val="Odwoanieprzypisudolnego"/>
          <w:noProof/>
          <w:lang w:val="pl-PL"/>
        </w:rPr>
        <w:footnoteReference w:id="33"/>
      </w:r>
      <w:r w:rsidRPr="00DC40BE">
        <w:rPr>
          <w:noProof/>
          <w:lang w:val="pl-PL"/>
        </w:rPr>
        <w:t xml:space="preserve">). </w:t>
      </w:r>
    </w:p>
    <w:p w14:paraId="4EC8BFA4" w14:textId="472837AE" w:rsidR="005A4888" w:rsidRPr="00DC40BE" w:rsidRDefault="00C50A35" w:rsidP="00E8781C">
      <w:pPr>
        <w:spacing w:before="100" w:beforeAutospacing="1" w:after="100" w:afterAutospacing="1" w:line="276" w:lineRule="auto"/>
        <w:rPr>
          <w:noProof/>
          <w:lang w:val="pl-PL"/>
        </w:rPr>
      </w:pPr>
      <w:r w:rsidRPr="00DC40BE">
        <w:rPr>
          <w:noProof/>
          <w:lang w:val="pl-PL"/>
        </w:rPr>
        <w:t>Większość organizatorów, którzy wzięli udział</w:t>
      </w:r>
      <w:r w:rsidR="00DC40BE" w:rsidRPr="00DC40BE">
        <w:rPr>
          <w:noProof/>
          <w:lang w:val="pl-PL"/>
        </w:rPr>
        <w:t xml:space="preserve"> w ank</w:t>
      </w:r>
      <w:r w:rsidRPr="00DC40BE">
        <w:rPr>
          <w:noProof/>
          <w:lang w:val="pl-PL"/>
        </w:rPr>
        <w:t>iecie(</w:t>
      </w:r>
      <w:r w:rsidRPr="00DC40BE">
        <w:rPr>
          <w:rStyle w:val="Odwoanieprzypisudolnego"/>
          <w:noProof/>
          <w:lang w:val="pl-PL"/>
        </w:rPr>
        <w:footnoteReference w:id="34"/>
      </w:r>
      <w:r w:rsidRPr="00DC40BE">
        <w:rPr>
          <w:noProof/>
          <w:lang w:val="pl-PL"/>
        </w:rPr>
        <w:t>), poinformowało, że jest zasadniczo zadowolona</w:t>
      </w:r>
      <w:r w:rsidR="00DC40BE" w:rsidRPr="00DC40BE">
        <w:rPr>
          <w:noProof/>
          <w:lang w:val="pl-PL"/>
        </w:rPr>
        <w:t xml:space="preserve"> z wyb</w:t>
      </w:r>
      <w:r w:rsidRPr="00DC40BE">
        <w:rPr>
          <w:noProof/>
          <w:lang w:val="pl-PL"/>
        </w:rPr>
        <w:t>ranego przez siebie systemu, choć kilku innych(</w:t>
      </w:r>
      <w:r w:rsidRPr="00DC40BE">
        <w:rPr>
          <w:rStyle w:val="Odwoanieprzypisudolnego"/>
          <w:noProof/>
          <w:lang w:val="pl-PL"/>
        </w:rPr>
        <w:footnoteReference w:id="35"/>
      </w:r>
      <w:r w:rsidRPr="00DC40BE">
        <w:rPr>
          <w:noProof/>
          <w:lang w:val="pl-PL"/>
        </w:rPr>
        <w:t xml:space="preserve">) zgłosiło niższy poziom zadowolenia. </w:t>
      </w:r>
    </w:p>
    <w:p w14:paraId="066CCB7A" w14:textId="538DA132" w:rsidR="005A4888" w:rsidRPr="00DC40BE" w:rsidRDefault="005A4888" w:rsidP="00E8781C">
      <w:pPr>
        <w:pStyle w:val="Nagwek3"/>
        <w:numPr>
          <w:ilvl w:val="2"/>
          <w:numId w:val="16"/>
        </w:numPr>
        <w:spacing w:before="100" w:beforeAutospacing="1" w:after="100" w:afterAutospacing="1" w:line="276" w:lineRule="auto"/>
        <w:rPr>
          <w:i w:val="0"/>
          <w:noProof/>
          <w:lang w:val="pl-PL"/>
        </w:rPr>
      </w:pPr>
      <w:bookmarkStart w:id="18" w:name="_Toc597574009"/>
      <w:bookmarkStart w:id="19" w:name="_Toc146296675"/>
      <w:bookmarkStart w:id="20" w:name="_Hlk149660966"/>
      <w:r w:rsidRPr="00DC40BE">
        <w:rPr>
          <w:i w:val="0"/>
          <w:noProof/>
          <w:lang w:val="pl-PL"/>
        </w:rPr>
        <w:t>Centralny system zbierania deklaracji online</w:t>
      </w:r>
      <w:bookmarkEnd w:id="18"/>
      <w:bookmarkEnd w:id="19"/>
    </w:p>
    <w:p w14:paraId="5FD0E31A" w14:textId="0B5E177B" w:rsidR="005A4888" w:rsidRPr="00DC40BE" w:rsidRDefault="005A4888" w:rsidP="00E8781C">
      <w:pPr>
        <w:spacing w:before="100" w:beforeAutospacing="1" w:after="100" w:afterAutospacing="1" w:line="276" w:lineRule="auto"/>
        <w:rPr>
          <w:noProof/>
          <w:lang w:val="pl-PL"/>
        </w:rPr>
      </w:pPr>
      <w:r w:rsidRPr="00DC40BE">
        <w:rPr>
          <w:noProof/>
          <w:lang w:val="pl-PL"/>
        </w:rPr>
        <w:t>Zgodnie</w:t>
      </w:r>
      <w:r w:rsidR="00DC40BE" w:rsidRPr="00DC40BE">
        <w:rPr>
          <w:noProof/>
          <w:lang w:val="pl-PL"/>
        </w:rPr>
        <w:t xml:space="preserve"> z art</w:t>
      </w:r>
      <w:r w:rsidRPr="00DC40BE">
        <w:rPr>
          <w:noProof/>
          <w:lang w:val="pl-PL"/>
        </w:rPr>
        <w:t>.</w:t>
      </w:r>
      <w:r w:rsidR="00DC40BE" w:rsidRPr="00DC40BE">
        <w:rPr>
          <w:noProof/>
          <w:lang w:val="pl-PL"/>
        </w:rPr>
        <w:t> </w:t>
      </w:r>
      <w:r w:rsidRPr="00DC40BE">
        <w:rPr>
          <w:noProof/>
          <w:lang w:val="pl-PL"/>
        </w:rPr>
        <w:t>10 ust.</w:t>
      </w:r>
      <w:r w:rsidR="00DC40BE" w:rsidRPr="00DC40BE">
        <w:rPr>
          <w:noProof/>
          <w:lang w:val="pl-PL"/>
        </w:rPr>
        <w:t> </w:t>
      </w:r>
      <w:r w:rsidRPr="00DC40BE">
        <w:rPr>
          <w:noProof/>
          <w:lang w:val="pl-PL"/>
        </w:rPr>
        <w:t>1 drugiego rozporządzenia</w:t>
      </w:r>
      <w:r w:rsidR="00DC40BE" w:rsidRPr="00DC40BE">
        <w:rPr>
          <w:noProof/>
          <w:lang w:val="pl-PL"/>
        </w:rPr>
        <w:t xml:space="preserve"> w spr</w:t>
      </w:r>
      <w:r w:rsidRPr="00DC40BE">
        <w:rPr>
          <w:noProof/>
          <w:lang w:val="pl-PL"/>
        </w:rPr>
        <w:t>awie EIO Komisja opracowała centralny system zbierania deklaracji online, który został uruchomiony 1 stycznia 2020</w:t>
      </w:r>
      <w:r w:rsidR="00DC40BE" w:rsidRPr="00DC40BE">
        <w:rPr>
          <w:noProof/>
          <w:lang w:val="pl-PL"/>
        </w:rPr>
        <w:t> </w:t>
      </w:r>
      <w:r w:rsidRPr="00DC40BE">
        <w:rPr>
          <w:noProof/>
          <w:lang w:val="pl-PL"/>
        </w:rPr>
        <w:t>r. Ten nowy,</w:t>
      </w:r>
      <w:r w:rsidR="00DC40BE" w:rsidRPr="00DC40BE">
        <w:rPr>
          <w:noProof/>
          <w:lang w:val="pl-PL"/>
        </w:rPr>
        <w:t xml:space="preserve"> w peł</w:t>
      </w:r>
      <w:r w:rsidRPr="00DC40BE">
        <w:rPr>
          <w:noProof/>
          <w:lang w:val="pl-PL"/>
        </w:rPr>
        <w:t>ni rozwinięty system zastąpił rozwiązanie oferowane przez Komisję przed 2020</w:t>
      </w:r>
      <w:r w:rsidR="00DC40BE" w:rsidRPr="00DC40BE">
        <w:rPr>
          <w:noProof/>
          <w:lang w:val="pl-PL"/>
        </w:rPr>
        <w:t> </w:t>
      </w:r>
      <w:r w:rsidRPr="00DC40BE">
        <w:rPr>
          <w:noProof/>
          <w:lang w:val="pl-PL"/>
        </w:rPr>
        <w:t>r., które obejmowało oprogramowanie połączone</w:t>
      </w:r>
      <w:r w:rsidR="00DC40BE" w:rsidRPr="00DC40BE">
        <w:rPr>
          <w:noProof/>
          <w:lang w:val="pl-PL"/>
        </w:rPr>
        <w:t xml:space="preserve"> z umo</w:t>
      </w:r>
      <w:r w:rsidRPr="00DC40BE">
        <w:rPr>
          <w:noProof/>
          <w:lang w:val="pl-PL"/>
        </w:rPr>
        <w:t>wą dotyczącą usług hostingu zapewniające możliwość bezpiecznego przechowywania danych na serwerach Komisji. Organizatorzy EIO mogą korzystać</w:t>
      </w:r>
      <w:r w:rsidR="00DC40BE" w:rsidRPr="00DC40BE">
        <w:rPr>
          <w:noProof/>
          <w:lang w:val="pl-PL"/>
        </w:rPr>
        <w:t xml:space="preserve"> z now</w:t>
      </w:r>
      <w:r w:rsidRPr="00DC40BE">
        <w:rPr>
          <w:noProof/>
          <w:lang w:val="pl-PL"/>
        </w:rPr>
        <w:t xml:space="preserve">ego systemu, który jest </w:t>
      </w:r>
      <w:r w:rsidRPr="00DC40BE">
        <w:rPr>
          <w:b/>
          <w:noProof/>
          <w:lang w:val="pl-PL"/>
        </w:rPr>
        <w:t>dostępny we wszystkich językach UE</w:t>
      </w:r>
      <w:r w:rsidRPr="00DC40BE">
        <w:rPr>
          <w:noProof/>
          <w:lang w:val="pl-PL"/>
        </w:rPr>
        <w:t xml:space="preserve">, </w:t>
      </w:r>
      <w:r w:rsidRPr="00DC40BE">
        <w:rPr>
          <w:b/>
          <w:noProof/>
          <w:lang w:val="pl-PL"/>
        </w:rPr>
        <w:t>nieodpłatnie</w:t>
      </w:r>
      <w:r w:rsidRPr="00DC40BE">
        <w:rPr>
          <w:noProof/>
          <w:lang w:val="pl-PL"/>
        </w:rPr>
        <w:t>. Jest to przyjazny dla użytkownika system pod klucz,</w:t>
      </w:r>
      <w:r w:rsidR="00DC40BE" w:rsidRPr="00DC40BE">
        <w:rPr>
          <w:noProof/>
          <w:lang w:val="pl-PL"/>
        </w:rPr>
        <w:t xml:space="preserve"> w ram</w:t>
      </w:r>
      <w:r w:rsidRPr="00DC40BE">
        <w:rPr>
          <w:noProof/>
          <w:lang w:val="pl-PL"/>
        </w:rPr>
        <w:t>ach którego szyfruje się dane osobowe po ich zebraniu</w:t>
      </w:r>
      <w:r w:rsidR="00DC40BE" w:rsidRPr="00DC40BE">
        <w:rPr>
          <w:noProof/>
          <w:lang w:val="pl-PL"/>
        </w:rPr>
        <w:t xml:space="preserve"> i wpr</w:t>
      </w:r>
      <w:r w:rsidRPr="00DC40BE">
        <w:rPr>
          <w:noProof/>
          <w:lang w:val="pl-PL"/>
        </w:rPr>
        <w:t>owadzeniu do systemu – organizatorzy EIO muszą jedynie poinformować Komisję</w:t>
      </w:r>
      <w:r w:rsidR="00DC40BE" w:rsidRPr="00DC40BE">
        <w:rPr>
          <w:noProof/>
          <w:lang w:val="pl-PL"/>
        </w:rPr>
        <w:t xml:space="preserve"> o zam</w:t>
      </w:r>
      <w:r w:rsidRPr="00DC40BE">
        <w:rPr>
          <w:noProof/>
          <w:lang w:val="pl-PL"/>
        </w:rPr>
        <w:t>iarze skorzystania</w:t>
      </w:r>
      <w:r w:rsidR="00DC40BE" w:rsidRPr="00DC40BE">
        <w:rPr>
          <w:noProof/>
          <w:lang w:val="pl-PL"/>
        </w:rPr>
        <w:t xml:space="preserve"> z sys</w:t>
      </w:r>
      <w:r w:rsidRPr="00DC40BE">
        <w:rPr>
          <w:noProof/>
          <w:lang w:val="pl-PL"/>
        </w:rPr>
        <w:t>temu na</w:t>
      </w:r>
      <w:r w:rsidR="00DC40BE" w:rsidRPr="00DC40BE">
        <w:rPr>
          <w:noProof/>
          <w:lang w:val="pl-PL"/>
        </w:rPr>
        <w:t> </w:t>
      </w:r>
      <w:r w:rsidRPr="00DC40BE">
        <w:rPr>
          <w:noProof/>
          <w:lang w:val="pl-PL"/>
        </w:rPr>
        <w:t>10 dni roboczych przed przystąpieniem do zbierania deklaracji (art.</w:t>
      </w:r>
      <w:r w:rsidR="00DC40BE" w:rsidRPr="00DC40BE">
        <w:rPr>
          <w:noProof/>
          <w:lang w:val="pl-PL"/>
        </w:rPr>
        <w:t> </w:t>
      </w:r>
      <w:r w:rsidRPr="00DC40BE">
        <w:rPr>
          <w:noProof/>
          <w:lang w:val="pl-PL"/>
        </w:rPr>
        <w:t>10 ust.</w:t>
      </w:r>
      <w:r w:rsidR="00DC40BE" w:rsidRPr="00DC40BE">
        <w:rPr>
          <w:noProof/>
          <w:lang w:val="pl-PL"/>
        </w:rPr>
        <w:t> </w:t>
      </w:r>
      <w:r w:rsidRPr="00DC40BE">
        <w:rPr>
          <w:noProof/>
          <w:lang w:val="pl-PL"/>
        </w:rPr>
        <w:t>3) oraz podpisać umowę</w:t>
      </w:r>
      <w:r w:rsidR="00DC40BE" w:rsidRPr="00DC40BE">
        <w:rPr>
          <w:noProof/>
          <w:lang w:val="pl-PL"/>
        </w:rPr>
        <w:t xml:space="preserve"> z Kom</w:t>
      </w:r>
      <w:r w:rsidRPr="00DC40BE">
        <w:rPr>
          <w:noProof/>
          <w:lang w:val="pl-PL"/>
        </w:rPr>
        <w:t>isją dotyczącą wspólnej odpowiedzialności za ochronę danych(</w:t>
      </w:r>
      <w:r w:rsidRPr="00DC40BE">
        <w:rPr>
          <w:rStyle w:val="Odwoanieprzypisudolnego"/>
          <w:noProof/>
          <w:lang w:val="pl-PL"/>
        </w:rPr>
        <w:footnoteReference w:id="36"/>
      </w:r>
      <w:r w:rsidRPr="00DC40BE">
        <w:rPr>
          <w:noProof/>
          <w:lang w:val="pl-PL"/>
        </w:rPr>
        <w:t xml:space="preserve">). </w:t>
      </w:r>
      <w:r w:rsidRPr="00DC40BE">
        <w:rPr>
          <w:b/>
          <w:noProof/>
          <w:lang w:val="pl-PL"/>
        </w:rPr>
        <w:t xml:space="preserve">Uzyskanie jakichkolwiek dodatkowych zezwoleń nie </w:t>
      </w:r>
      <w:r w:rsidRPr="00DC40BE">
        <w:rPr>
          <w:noProof/>
          <w:lang w:val="pl-PL"/>
        </w:rPr>
        <w:t>jest</w:t>
      </w:r>
      <w:r w:rsidRPr="00DC40BE">
        <w:rPr>
          <w:b/>
          <w:noProof/>
          <w:lang w:val="pl-PL"/>
        </w:rPr>
        <w:t xml:space="preserve"> </w:t>
      </w:r>
      <w:r w:rsidRPr="00DC40BE">
        <w:rPr>
          <w:noProof/>
          <w:lang w:val="pl-PL"/>
        </w:rPr>
        <w:t>konieczne, ponieważ system spełnia już wszystkie wymogi techniczne oraz wszystkie wymogi</w:t>
      </w:r>
      <w:r w:rsidR="00DC40BE" w:rsidRPr="00DC40BE">
        <w:rPr>
          <w:noProof/>
          <w:lang w:val="pl-PL"/>
        </w:rPr>
        <w:t xml:space="preserve"> w zak</w:t>
      </w:r>
      <w:r w:rsidRPr="00DC40BE">
        <w:rPr>
          <w:noProof/>
          <w:lang w:val="pl-PL"/>
        </w:rPr>
        <w:t>resie bezpieczeństwa. Zgodnie</w:t>
      </w:r>
      <w:r w:rsidR="00DC40BE" w:rsidRPr="00DC40BE">
        <w:rPr>
          <w:noProof/>
          <w:lang w:val="pl-PL"/>
        </w:rPr>
        <w:t xml:space="preserve"> z art</w:t>
      </w:r>
      <w:r w:rsidRPr="00DC40BE">
        <w:rPr>
          <w:noProof/>
          <w:lang w:val="pl-PL"/>
        </w:rPr>
        <w:t>.</w:t>
      </w:r>
      <w:r w:rsidR="00DC40BE" w:rsidRPr="00DC40BE">
        <w:rPr>
          <w:noProof/>
          <w:lang w:val="pl-PL"/>
        </w:rPr>
        <w:t> </w:t>
      </w:r>
      <w:r w:rsidRPr="00DC40BE">
        <w:rPr>
          <w:noProof/>
          <w:lang w:val="pl-PL"/>
        </w:rPr>
        <w:t>18 ust.</w:t>
      </w:r>
      <w:r w:rsidR="00DC40BE" w:rsidRPr="00DC40BE">
        <w:rPr>
          <w:noProof/>
          <w:lang w:val="pl-PL"/>
        </w:rPr>
        <w:t> </w:t>
      </w:r>
      <w:r w:rsidRPr="00DC40BE">
        <w:rPr>
          <w:noProof/>
          <w:lang w:val="pl-PL"/>
        </w:rPr>
        <w:t>2 organizatorzy EIO mogą również korzystać</w:t>
      </w:r>
      <w:r w:rsidR="00DC40BE" w:rsidRPr="00DC40BE">
        <w:rPr>
          <w:noProof/>
          <w:lang w:val="pl-PL"/>
        </w:rPr>
        <w:t xml:space="preserve"> z sys</w:t>
      </w:r>
      <w:r w:rsidRPr="00DC40BE">
        <w:rPr>
          <w:noProof/>
          <w:lang w:val="pl-PL"/>
        </w:rPr>
        <w:t xml:space="preserve">temu do gromadzenia </w:t>
      </w:r>
      <w:r w:rsidRPr="00DC40BE">
        <w:rPr>
          <w:b/>
          <w:noProof/>
          <w:lang w:val="pl-PL"/>
        </w:rPr>
        <w:t>adresów e-mail sygnatariuszy</w:t>
      </w:r>
      <w:r w:rsidRPr="00DC40BE">
        <w:rPr>
          <w:noProof/>
          <w:lang w:val="pl-PL"/>
        </w:rPr>
        <w:t>, co zapewnia im możliwość</w:t>
      </w:r>
      <w:r w:rsidRPr="00DC40BE">
        <w:rPr>
          <w:b/>
          <w:noProof/>
          <w:lang w:val="pl-PL"/>
        </w:rPr>
        <w:t xml:space="preserve"> </w:t>
      </w:r>
      <w:r w:rsidRPr="00DC40BE">
        <w:rPr>
          <w:noProof/>
          <w:lang w:val="pl-PL"/>
        </w:rPr>
        <w:t>informowania osób wchodzących</w:t>
      </w:r>
      <w:r w:rsidR="00DC40BE" w:rsidRPr="00DC40BE">
        <w:rPr>
          <w:noProof/>
          <w:lang w:val="pl-PL"/>
        </w:rPr>
        <w:t xml:space="preserve"> w skł</w:t>
      </w:r>
      <w:r w:rsidRPr="00DC40BE">
        <w:rPr>
          <w:noProof/>
          <w:lang w:val="pl-PL"/>
        </w:rPr>
        <w:t>ad utworzonej przez nich sieci</w:t>
      </w:r>
      <w:r w:rsidR="00DC40BE" w:rsidRPr="00DC40BE">
        <w:rPr>
          <w:noProof/>
          <w:lang w:val="pl-PL"/>
        </w:rPr>
        <w:t xml:space="preserve"> o pos</w:t>
      </w:r>
      <w:r w:rsidRPr="00DC40BE">
        <w:rPr>
          <w:noProof/>
          <w:lang w:val="pl-PL"/>
        </w:rPr>
        <w:t>tępach</w:t>
      </w:r>
      <w:r w:rsidR="00DC40BE" w:rsidRPr="00DC40BE">
        <w:rPr>
          <w:noProof/>
          <w:lang w:val="pl-PL"/>
        </w:rPr>
        <w:t xml:space="preserve"> w rea</w:t>
      </w:r>
      <w:r w:rsidRPr="00DC40BE">
        <w:rPr>
          <w:noProof/>
          <w:lang w:val="pl-PL"/>
        </w:rPr>
        <w:t>lizacji ich EIO. System jest</w:t>
      </w:r>
      <w:r w:rsidR="00DC40BE" w:rsidRPr="00DC40BE">
        <w:rPr>
          <w:noProof/>
          <w:lang w:val="pl-PL"/>
        </w:rPr>
        <w:t xml:space="preserve"> w peł</w:t>
      </w:r>
      <w:r w:rsidRPr="00DC40BE">
        <w:rPr>
          <w:noProof/>
          <w:lang w:val="pl-PL"/>
        </w:rPr>
        <w:t>ni dostępny da osób</w:t>
      </w:r>
      <w:r w:rsidR="00DC40BE" w:rsidRPr="00DC40BE">
        <w:rPr>
          <w:noProof/>
          <w:lang w:val="pl-PL"/>
        </w:rPr>
        <w:t xml:space="preserve"> z nie</w:t>
      </w:r>
      <w:r w:rsidRPr="00DC40BE">
        <w:rPr>
          <w:noProof/>
          <w:lang w:val="pl-PL"/>
        </w:rPr>
        <w:t>pełnosprawnościami (zgodnie</w:t>
      </w:r>
      <w:r w:rsidR="00DC40BE" w:rsidRPr="00DC40BE">
        <w:rPr>
          <w:noProof/>
          <w:lang w:val="pl-PL"/>
        </w:rPr>
        <w:t xml:space="preserve"> z art</w:t>
      </w:r>
      <w:r w:rsidRPr="00DC40BE">
        <w:rPr>
          <w:noProof/>
          <w:lang w:val="pl-PL"/>
        </w:rPr>
        <w:t>.</w:t>
      </w:r>
      <w:r w:rsidR="00DC40BE" w:rsidRPr="00DC40BE">
        <w:rPr>
          <w:noProof/>
          <w:lang w:val="pl-PL"/>
        </w:rPr>
        <w:t> </w:t>
      </w:r>
      <w:r w:rsidRPr="00DC40BE">
        <w:rPr>
          <w:noProof/>
          <w:lang w:val="pl-PL"/>
        </w:rPr>
        <w:t>2 ust.</w:t>
      </w:r>
      <w:r w:rsidR="00DC40BE" w:rsidRPr="00DC40BE">
        <w:rPr>
          <w:noProof/>
          <w:lang w:val="pl-PL"/>
        </w:rPr>
        <w:t> </w:t>
      </w:r>
      <w:r w:rsidRPr="00DC40BE">
        <w:rPr>
          <w:noProof/>
          <w:lang w:val="pl-PL"/>
        </w:rPr>
        <w:t>2</w:t>
      </w:r>
      <w:r w:rsidR="00DC40BE" w:rsidRPr="00DC40BE">
        <w:rPr>
          <w:noProof/>
          <w:lang w:val="pl-PL"/>
        </w:rPr>
        <w:t xml:space="preserve"> i art</w:t>
      </w:r>
      <w:r w:rsidRPr="00DC40BE">
        <w:rPr>
          <w:noProof/>
          <w:lang w:val="pl-PL"/>
        </w:rPr>
        <w:t>.</w:t>
      </w:r>
      <w:r w:rsidR="00DC40BE" w:rsidRPr="00DC40BE">
        <w:rPr>
          <w:noProof/>
          <w:lang w:val="pl-PL"/>
        </w:rPr>
        <w:t> </w:t>
      </w:r>
      <w:r w:rsidRPr="00DC40BE">
        <w:rPr>
          <w:noProof/>
          <w:lang w:val="pl-PL"/>
        </w:rPr>
        <w:t>10 ust.</w:t>
      </w:r>
      <w:r w:rsidR="00DC40BE" w:rsidRPr="00DC40BE">
        <w:rPr>
          <w:noProof/>
          <w:lang w:val="pl-PL"/>
        </w:rPr>
        <w:t> </w:t>
      </w:r>
      <w:r w:rsidRPr="00DC40BE">
        <w:rPr>
          <w:noProof/>
          <w:lang w:val="pl-PL"/>
        </w:rPr>
        <w:t xml:space="preserve">1). </w:t>
      </w:r>
    </w:p>
    <w:p w14:paraId="27413936" w14:textId="5B194BB2" w:rsidR="6EA6DD1E" w:rsidRPr="00DC40BE" w:rsidRDefault="473D6D0B" w:rsidP="00E8781C">
      <w:pPr>
        <w:spacing w:before="100" w:beforeAutospacing="1" w:after="100" w:afterAutospacing="1" w:line="276" w:lineRule="auto"/>
        <w:rPr>
          <w:noProof/>
          <w:lang w:val="pl-PL"/>
        </w:rPr>
      </w:pPr>
      <w:r w:rsidRPr="00DC40BE">
        <w:rPr>
          <w:noProof/>
          <w:lang w:val="pl-PL"/>
        </w:rPr>
        <w:t>Zgodnie</w:t>
      </w:r>
      <w:r w:rsidR="00DC40BE" w:rsidRPr="00DC40BE">
        <w:rPr>
          <w:noProof/>
          <w:lang w:val="pl-PL"/>
        </w:rPr>
        <w:t xml:space="preserve"> z pie</w:t>
      </w:r>
      <w:r w:rsidRPr="00DC40BE">
        <w:rPr>
          <w:noProof/>
          <w:lang w:val="pl-PL"/>
        </w:rPr>
        <w:t>rwszym rozporządzeniem</w:t>
      </w:r>
      <w:r w:rsidR="00DC40BE" w:rsidRPr="00DC40BE">
        <w:rPr>
          <w:noProof/>
          <w:lang w:val="pl-PL"/>
        </w:rPr>
        <w:t xml:space="preserve"> w spr</w:t>
      </w:r>
      <w:r w:rsidRPr="00DC40BE">
        <w:rPr>
          <w:noProof/>
          <w:lang w:val="pl-PL"/>
        </w:rPr>
        <w:t>awie EIO organizatorzy EIO ponosili pełną odpowiedzialność za przekazywanie państwom członkowskim deklaracji poparcia do weryfikacji. Zgodnie ze zmienionym rozporządzeniem</w:t>
      </w:r>
      <w:r w:rsidR="00DC40BE" w:rsidRPr="00DC40BE">
        <w:rPr>
          <w:noProof/>
          <w:lang w:val="pl-PL"/>
        </w:rPr>
        <w:t xml:space="preserve"> w spr</w:t>
      </w:r>
      <w:r w:rsidRPr="00DC40BE">
        <w:rPr>
          <w:noProof/>
          <w:lang w:val="pl-PL"/>
        </w:rPr>
        <w:t>awie EIO</w:t>
      </w:r>
      <w:r w:rsidR="00DC40BE" w:rsidRPr="00DC40BE">
        <w:rPr>
          <w:noProof/>
          <w:lang w:val="pl-PL"/>
        </w:rPr>
        <w:t xml:space="preserve"> w cel</w:t>
      </w:r>
      <w:r w:rsidRPr="00DC40BE">
        <w:rPr>
          <w:noProof/>
          <w:lang w:val="pl-PL"/>
        </w:rPr>
        <w:t>u zapewnienia bezpieczeństwa danych osobowych obywateli</w:t>
      </w:r>
      <w:r w:rsidR="00DC40BE" w:rsidRPr="00DC40BE">
        <w:rPr>
          <w:noProof/>
          <w:lang w:val="pl-PL"/>
        </w:rPr>
        <w:t xml:space="preserve"> w ram</w:t>
      </w:r>
      <w:r w:rsidRPr="00DC40BE">
        <w:rPr>
          <w:noProof/>
          <w:lang w:val="pl-PL"/>
        </w:rPr>
        <w:t xml:space="preserve">ach całego cyklu EIO (od zebrania deklaracji do przekazania ich państwom członkowskim) Komisja opracowała </w:t>
      </w:r>
      <w:r w:rsidRPr="00DC40BE">
        <w:rPr>
          <w:b/>
          <w:noProof/>
          <w:lang w:val="pl-PL"/>
        </w:rPr>
        <w:t>usługę wymiany plików</w:t>
      </w:r>
      <w:r w:rsidRPr="00DC40BE">
        <w:rPr>
          <w:noProof/>
          <w:lang w:val="pl-PL"/>
        </w:rPr>
        <w:t>, która dzięki stosowaniu pełnego szyfrowania transmisji ułatwia bezpieczne przekazywanie deklaracji poparcia zebranych online za pośrednictwem centralnego systemu zbierania deklaracji online organom państw członkowskich do weryfikacji</w:t>
      </w:r>
      <w:r w:rsidR="00DC40BE" w:rsidRPr="00DC40BE">
        <w:rPr>
          <w:noProof/>
          <w:lang w:val="pl-PL"/>
        </w:rPr>
        <w:t>. Z apl</w:t>
      </w:r>
      <w:r w:rsidRPr="00DC40BE">
        <w:rPr>
          <w:noProof/>
          <w:lang w:val="pl-PL"/>
        </w:rPr>
        <w:t xml:space="preserve">ikacji tej </w:t>
      </w:r>
      <w:r w:rsidRPr="00DC40BE">
        <w:rPr>
          <w:noProof/>
          <w:lang w:val="pl-PL"/>
        </w:rPr>
        <w:lastRenderedPageBreak/>
        <w:t>można korzystać również do przekazywania skanów deklaracji</w:t>
      </w:r>
      <w:r w:rsidR="00DC40BE" w:rsidRPr="00DC40BE">
        <w:rPr>
          <w:noProof/>
          <w:lang w:val="pl-PL"/>
        </w:rPr>
        <w:t xml:space="preserve"> w for</w:t>
      </w:r>
      <w:r w:rsidRPr="00DC40BE">
        <w:rPr>
          <w:noProof/>
          <w:lang w:val="pl-PL"/>
        </w:rPr>
        <w:t>mie papierowej. Choć</w:t>
      </w:r>
      <w:r w:rsidR="00DC40BE" w:rsidRPr="00DC40BE">
        <w:rPr>
          <w:noProof/>
          <w:lang w:val="pl-PL"/>
        </w:rPr>
        <w:t xml:space="preserve"> w zmi</w:t>
      </w:r>
      <w:r w:rsidRPr="00DC40BE">
        <w:rPr>
          <w:noProof/>
          <w:lang w:val="pl-PL"/>
        </w:rPr>
        <w:t>enionych przepisach nie ustanowiono żadnego wymogu</w:t>
      </w:r>
      <w:r w:rsidR="00DC40BE" w:rsidRPr="00DC40BE">
        <w:rPr>
          <w:noProof/>
          <w:lang w:val="pl-PL"/>
        </w:rPr>
        <w:t xml:space="preserve"> w tym</w:t>
      </w:r>
      <w:r w:rsidRPr="00DC40BE">
        <w:rPr>
          <w:noProof/>
          <w:lang w:val="pl-PL"/>
        </w:rPr>
        <w:t xml:space="preserve"> zakresie, Komisja</w:t>
      </w:r>
      <w:r w:rsidR="00DC40BE" w:rsidRPr="00DC40BE">
        <w:rPr>
          <w:noProof/>
          <w:lang w:val="pl-PL"/>
        </w:rPr>
        <w:t xml:space="preserve"> i pań</w:t>
      </w:r>
      <w:r w:rsidRPr="00DC40BE">
        <w:rPr>
          <w:noProof/>
          <w:lang w:val="pl-PL"/>
        </w:rPr>
        <w:t>stwa członkowskie uzgodniły, że narzędzie to będzie mogło być również wykorzystywane przez EIO, które zostały zarejestrowane na podstawie wcześniejszych przepisów, lub przez EIO korzystające</w:t>
      </w:r>
      <w:r w:rsidR="00DC40BE" w:rsidRPr="00DC40BE">
        <w:rPr>
          <w:noProof/>
          <w:lang w:val="pl-PL"/>
        </w:rPr>
        <w:t xml:space="preserve"> z ind</w:t>
      </w:r>
      <w:r w:rsidRPr="00DC40BE">
        <w:rPr>
          <w:noProof/>
          <w:lang w:val="pl-PL"/>
        </w:rPr>
        <w:t>ywidualnych systemów(</w:t>
      </w:r>
      <w:r w:rsidRPr="00DC40BE">
        <w:rPr>
          <w:rStyle w:val="Odwoanieprzypisudolnego"/>
          <w:noProof/>
          <w:lang w:val="pl-PL"/>
        </w:rPr>
        <w:footnoteReference w:id="37"/>
      </w:r>
      <w:r w:rsidRPr="00DC40BE">
        <w:rPr>
          <w:noProof/>
          <w:lang w:val="pl-PL"/>
        </w:rPr>
        <w:t>). Komisja przygotowała kompleksowe wytyczne</w:t>
      </w:r>
      <w:r w:rsidR="00DC40BE" w:rsidRPr="00DC40BE">
        <w:rPr>
          <w:noProof/>
          <w:lang w:val="pl-PL"/>
        </w:rPr>
        <w:t xml:space="preserve"> i prz</w:t>
      </w:r>
      <w:r w:rsidRPr="00DC40BE">
        <w:rPr>
          <w:noProof/>
          <w:lang w:val="pl-PL"/>
        </w:rPr>
        <w:t>eprowadziła szeroko zakrojone testy</w:t>
      </w:r>
      <w:r w:rsidR="00DC40BE" w:rsidRPr="00DC40BE">
        <w:rPr>
          <w:noProof/>
          <w:lang w:val="pl-PL"/>
        </w:rPr>
        <w:t xml:space="preserve"> z udz</w:t>
      </w:r>
      <w:r w:rsidRPr="00DC40BE">
        <w:rPr>
          <w:noProof/>
          <w:lang w:val="pl-PL"/>
        </w:rPr>
        <w:t>iałem państw członkowskich dotyczące korzystania</w:t>
      </w:r>
      <w:r w:rsidR="00DC40BE" w:rsidRPr="00DC40BE">
        <w:rPr>
          <w:noProof/>
          <w:lang w:val="pl-PL"/>
        </w:rPr>
        <w:t xml:space="preserve"> z usł</w:t>
      </w:r>
      <w:r w:rsidRPr="00DC40BE">
        <w:rPr>
          <w:noProof/>
          <w:lang w:val="pl-PL"/>
        </w:rPr>
        <w:t>ugi wymiany plików oraz powiązanej z tą usługą kwestii zarządzania kluczami prywatnymi</w:t>
      </w:r>
      <w:r w:rsidR="00DC40BE" w:rsidRPr="00DC40BE">
        <w:rPr>
          <w:noProof/>
          <w:lang w:val="pl-PL"/>
        </w:rPr>
        <w:t xml:space="preserve"> i pub</w:t>
      </w:r>
      <w:r w:rsidRPr="00DC40BE">
        <w:rPr>
          <w:noProof/>
          <w:lang w:val="pl-PL"/>
        </w:rPr>
        <w:t>licznymi. Komisja zorganizowała również sesje</w:t>
      </w:r>
      <w:r w:rsidR="00DC40BE" w:rsidRPr="00DC40BE">
        <w:rPr>
          <w:noProof/>
          <w:lang w:val="pl-PL"/>
        </w:rPr>
        <w:t xml:space="preserve"> z udz</w:t>
      </w:r>
      <w:r w:rsidRPr="00DC40BE">
        <w:rPr>
          <w:noProof/>
          <w:lang w:val="pl-PL"/>
        </w:rPr>
        <w:t>iałem organizatorów, aby wesprzeć ich</w:t>
      </w:r>
      <w:r w:rsidR="00DC40BE" w:rsidRPr="00DC40BE">
        <w:rPr>
          <w:noProof/>
          <w:lang w:val="pl-PL"/>
        </w:rPr>
        <w:t xml:space="preserve"> w pro</w:t>
      </w:r>
      <w:r w:rsidRPr="00DC40BE">
        <w:rPr>
          <w:noProof/>
          <w:lang w:val="pl-PL"/>
        </w:rPr>
        <w:t>cesie szyfrowania</w:t>
      </w:r>
      <w:r w:rsidR="00DC40BE" w:rsidRPr="00DC40BE">
        <w:rPr>
          <w:noProof/>
          <w:lang w:val="pl-PL"/>
        </w:rPr>
        <w:t xml:space="preserve"> i prz</w:t>
      </w:r>
      <w:r w:rsidRPr="00DC40BE">
        <w:rPr>
          <w:noProof/>
          <w:lang w:val="pl-PL"/>
        </w:rPr>
        <w:t xml:space="preserve">esyłania deklaracji poparcia, które nie zostały zgromadzone za pośrednictwem centralnego systemu zbierania deklaracji online. </w:t>
      </w:r>
    </w:p>
    <w:p w14:paraId="6BA5384E" w14:textId="1DBD164A" w:rsidR="005A4888" w:rsidRPr="00DC40BE" w:rsidRDefault="000D2771" w:rsidP="00E8781C">
      <w:pPr>
        <w:spacing w:before="100" w:beforeAutospacing="1" w:after="100" w:afterAutospacing="1" w:line="276" w:lineRule="auto"/>
        <w:rPr>
          <w:noProof/>
          <w:lang w:val="pl-PL"/>
        </w:rPr>
      </w:pPr>
      <w:r w:rsidRPr="00DC40BE">
        <w:rPr>
          <w:b/>
          <w:noProof/>
          <w:lang w:val="pl-PL"/>
        </w:rPr>
        <w:t xml:space="preserve">Wysoki poziom bezpieczeństwa systemu zbierania deklaracji </w:t>
      </w:r>
      <w:r w:rsidRPr="00DC40BE">
        <w:rPr>
          <w:noProof/>
          <w:lang w:val="pl-PL"/>
        </w:rPr>
        <w:t>zapewnia bezpieczne szyfrowanie</w:t>
      </w:r>
      <w:r w:rsidR="00DC40BE" w:rsidRPr="00DC40BE">
        <w:rPr>
          <w:noProof/>
          <w:lang w:val="pl-PL"/>
        </w:rPr>
        <w:t xml:space="preserve"> i prz</w:t>
      </w:r>
      <w:r w:rsidRPr="00DC40BE">
        <w:rPr>
          <w:noProof/>
          <w:lang w:val="pl-PL"/>
        </w:rPr>
        <w:t>etwarzanie danych osobowych obywateli od chwili ich wprowadzenia do systemu do chwili ich dostarczenia organom państw członkowskich do weryfikacji. Komisja udziela informacji</w:t>
      </w:r>
      <w:r w:rsidR="00DC40BE" w:rsidRPr="00DC40BE">
        <w:rPr>
          <w:noProof/>
          <w:lang w:val="pl-PL"/>
        </w:rPr>
        <w:t xml:space="preserve"> i org</w:t>
      </w:r>
      <w:r w:rsidRPr="00DC40BE">
        <w:rPr>
          <w:noProof/>
          <w:lang w:val="pl-PL"/>
        </w:rPr>
        <w:t>anizuje szkolenia</w:t>
      </w:r>
      <w:r w:rsidR="00DC40BE" w:rsidRPr="00DC40BE">
        <w:rPr>
          <w:noProof/>
          <w:lang w:val="pl-PL"/>
        </w:rPr>
        <w:t xml:space="preserve"> w zak</w:t>
      </w:r>
      <w:r w:rsidRPr="00DC40BE">
        <w:rPr>
          <w:noProof/>
          <w:lang w:val="pl-PL"/>
        </w:rPr>
        <w:t>resie korzystania</w:t>
      </w:r>
      <w:r w:rsidR="00DC40BE" w:rsidRPr="00DC40BE">
        <w:rPr>
          <w:noProof/>
          <w:lang w:val="pl-PL"/>
        </w:rPr>
        <w:t xml:space="preserve"> z cen</w:t>
      </w:r>
      <w:r w:rsidRPr="00DC40BE">
        <w:rPr>
          <w:noProof/>
          <w:lang w:val="pl-PL"/>
        </w:rPr>
        <w:t>tralnego systemu zbierania deklaracji online (w formie webinariów, internetowych przewodników</w:t>
      </w:r>
      <w:r w:rsidR="00DC40BE" w:rsidRPr="00DC40BE">
        <w:rPr>
          <w:noProof/>
          <w:lang w:val="pl-PL"/>
        </w:rPr>
        <w:t xml:space="preserve"> i mat</w:t>
      </w:r>
      <w:r w:rsidRPr="00DC40BE">
        <w:rPr>
          <w:noProof/>
          <w:lang w:val="pl-PL"/>
        </w:rPr>
        <w:t>eriałów wideo). Zgodnie</w:t>
      </w:r>
      <w:r w:rsidR="00DC40BE" w:rsidRPr="00DC40BE">
        <w:rPr>
          <w:noProof/>
          <w:lang w:val="pl-PL"/>
        </w:rPr>
        <w:t xml:space="preserve"> z art</w:t>
      </w:r>
      <w:r w:rsidRPr="00DC40BE">
        <w:rPr>
          <w:noProof/>
          <w:lang w:val="pl-PL"/>
        </w:rPr>
        <w:t>.</w:t>
      </w:r>
      <w:r w:rsidR="00DC40BE" w:rsidRPr="00DC40BE">
        <w:rPr>
          <w:noProof/>
          <w:lang w:val="pl-PL"/>
        </w:rPr>
        <w:t> </w:t>
      </w:r>
      <w:r w:rsidRPr="00DC40BE">
        <w:rPr>
          <w:noProof/>
          <w:lang w:val="pl-PL"/>
        </w:rPr>
        <w:t>10 ust.</w:t>
      </w:r>
      <w:r w:rsidR="00DC40BE" w:rsidRPr="00DC40BE">
        <w:rPr>
          <w:noProof/>
          <w:lang w:val="pl-PL"/>
        </w:rPr>
        <w:t> </w:t>
      </w:r>
      <w:r w:rsidRPr="00DC40BE">
        <w:rPr>
          <w:noProof/>
          <w:lang w:val="pl-PL"/>
        </w:rPr>
        <w:t>5 rozporządzenia</w:t>
      </w:r>
      <w:r w:rsidR="00DC40BE" w:rsidRPr="00DC40BE">
        <w:rPr>
          <w:noProof/>
          <w:lang w:val="pl-PL"/>
        </w:rPr>
        <w:t xml:space="preserve"> w spr</w:t>
      </w:r>
      <w:r w:rsidRPr="00DC40BE">
        <w:rPr>
          <w:noProof/>
          <w:lang w:val="pl-PL"/>
        </w:rPr>
        <w:t>awie EIO Komisja konsultuje się ponadto regularnie</w:t>
      </w:r>
      <w:r w:rsidR="00DC40BE" w:rsidRPr="00DC40BE">
        <w:rPr>
          <w:noProof/>
          <w:lang w:val="pl-PL"/>
        </w:rPr>
        <w:t xml:space="preserve"> z uży</w:t>
      </w:r>
      <w:r w:rsidRPr="00DC40BE">
        <w:rPr>
          <w:noProof/>
          <w:lang w:val="pl-PL"/>
        </w:rPr>
        <w:t>tkownikami</w:t>
      </w:r>
      <w:r w:rsidR="00DC40BE" w:rsidRPr="00DC40BE">
        <w:rPr>
          <w:noProof/>
          <w:lang w:val="pl-PL"/>
        </w:rPr>
        <w:t xml:space="preserve"> i zai</w:t>
      </w:r>
      <w:r w:rsidRPr="00DC40BE">
        <w:rPr>
          <w:noProof/>
          <w:lang w:val="pl-PL"/>
        </w:rPr>
        <w:t>nteresowanymi stronami</w:t>
      </w:r>
      <w:r w:rsidR="00DC40BE" w:rsidRPr="00DC40BE">
        <w:rPr>
          <w:noProof/>
          <w:lang w:val="pl-PL"/>
        </w:rPr>
        <w:t xml:space="preserve"> w spr</w:t>
      </w:r>
      <w:r w:rsidRPr="00DC40BE">
        <w:rPr>
          <w:noProof/>
          <w:lang w:val="pl-PL"/>
        </w:rPr>
        <w:t xml:space="preserve">awie dalszego usprawnienia tego systemu. </w:t>
      </w:r>
    </w:p>
    <w:tbl>
      <w:tblPr>
        <w:tblStyle w:val="Tabela-Siatka"/>
        <w:tblW w:w="0" w:type="auto"/>
        <w:shd w:val="clear" w:color="auto" w:fill="F2F2F2" w:themeFill="background1" w:themeFillShade="F2"/>
        <w:tblLook w:val="04A0" w:firstRow="1" w:lastRow="0" w:firstColumn="1" w:lastColumn="0" w:noHBand="0" w:noVBand="1"/>
      </w:tblPr>
      <w:tblGrid>
        <w:gridCol w:w="9056"/>
      </w:tblGrid>
      <w:tr w:rsidR="00346958" w:rsidRPr="00DC40BE" w14:paraId="70D1BB27" w14:textId="77777777" w:rsidTr="00B37731">
        <w:tc>
          <w:tcPr>
            <w:tcW w:w="9056" w:type="dxa"/>
            <w:shd w:val="clear" w:color="auto" w:fill="F2F2F2" w:themeFill="background1" w:themeFillShade="F2"/>
          </w:tcPr>
          <w:p w14:paraId="19A21BE8" w14:textId="25D45C59" w:rsidR="00346958" w:rsidRPr="00DC40BE" w:rsidRDefault="00346958" w:rsidP="00E8781C">
            <w:pPr>
              <w:spacing w:before="100" w:beforeAutospacing="1" w:after="100" w:afterAutospacing="1" w:line="276" w:lineRule="auto"/>
              <w:rPr>
                <w:noProof/>
                <w:lang w:val="pl-PL"/>
              </w:rPr>
            </w:pPr>
            <w:r w:rsidRPr="00DC40BE">
              <w:rPr>
                <w:noProof/>
                <w:lang w:val="pl-PL"/>
              </w:rPr>
              <w:t>Wśród najważniejszych usprawnień wprowadzonych</w:t>
            </w:r>
            <w:r w:rsidR="00DC40BE" w:rsidRPr="00DC40BE">
              <w:rPr>
                <w:noProof/>
                <w:lang w:val="pl-PL"/>
              </w:rPr>
              <w:t xml:space="preserve"> w cen</w:t>
            </w:r>
            <w:r w:rsidRPr="00DC40BE">
              <w:rPr>
                <w:noProof/>
                <w:lang w:val="pl-PL"/>
              </w:rPr>
              <w:t>tralnym systemie zbierania deklaracji online od</w:t>
            </w:r>
            <w:r w:rsidR="00DC40BE" w:rsidRPr="00DC40BE">
              <w:rPr>
                <w:noProof/>
                <w:lang w:val="pl-PL"/>
              </w:rPr>
              <w:t> </w:t>
            </w:r>
            <w:r w:rsidRPr="00DC40BE">
              <w:rPr>
                <w:noProof/>
                <w:lang w:val="pl-PL"/>
              </w:rPr>
              <w:t>2020</w:t>
            </w:r>
            <w:r w:rsidR="00DC40BE" w:rsidRPr="00DC40BE">
              <w:rPr>
                <w:noProof/>
                <w:lang w:val="pl-PL"/>
              </w:rPr>
              <w:t> </w:t>
            </w:r>
            <w:r w:rsidRPr="00DC40BE">
              <w:rPr>
                <w:noProof/>
                <w:lang w:val="pl-PL"/>
              </w:rPr>
              <w:t>r. należy wymienić:</w:t>
            </w:r>
          </w:p>
          <w:p w14:paraId="7B15475A" w14:textId="09139331" w:rsidR="00346958" w:rsidRPr="00DC40BE" w:rsidRDefault="00346958" w:rsidP="00E8781C">
            <w:pPr>
              <w:pStyle w:val="Akapitzlist"/>
              <w:numPr>
                <w:ilvl w:val="0"/>
                <w:numId w:val="30"/>
              </w:numPr>
              <w:spacing w:before="100" w:beforeAutospacing="1" w:after="100" w:afterAutospacing="1"/>
              <w:jc w:val="both"/>
              <w:rPr>
                <w:rFonts w:ascii="Times New Roman" w:hAnsi="Times New Roman" w:cs="Times New Roman"/>
                <w:noProof/>
                <w:sz w:val="24"/>
                <w:lang w:val="pl-PL"/>
              </w:rPr>
            </w:pPr>
            <w:r w:rsidRPr="00DC40BE">
              <w:rPr>
                <w:rFonts w:ascii="Times New Roman" w:hAnsi="Times New Roman"/>
                <w:b/>
                <w:noProof/>
                <w:sz w:val="24"/>
                <w:lang w:val="pl-PL"/>
              </w:rPr>
              <w:t xml:space="preserve">bezpieczeństwo </w:t>
            </w:r>
            <w:r w:rsidRPr="00DC40BE">
              <w:rPr>
                <w:rFonts w:ascii="Times New Roman" w:hAnsi="Times New Roman"/>
                <w:noProof/>
                <w:sz w:val="24"/>
                <w:lang w:val="pl-PL"/>
              </w:rPr>
              <w:t>– system zapewnia pełne szyfrowanie transmisji danych osobowych na wszystkich etapach ich przetwarzania; ogólnie rzecz biorąc, zabezpieczenia są regularnie aktualizowane zgodnie</w:t>
            </w:r>
            <w:r w:rsidR="00DC40BE" w:rsidRPr="00DC40BE">
              <w:rPr>
                <w:rFonts w:ascii="Times New Roman" w:hAnsi="Times New Roman"/>
                <w:noProof/>
                <w:sz w:val="24"/>
                <w:lang w:val="pl-PL"/>
              </w:rPr>
              <w:t xml:space="preserve"> z prz</w:t>
            </w:r>
            <w:r w:rsidRPr="00DC40BE">
              <w:rPr>
                <w:rFonts w:ascii="Times New Roman" w:hAnsi="Times New Roman"/>
                <w:noProof/>
                <w:sz w:val="24"/>
                <w:lang w:val="pl-PL"/>
              </w:rPr>
              <w:t>episami, normami</w:t>
            </w:r>
            <w:r w:rsidR="00DC40BE" w:rsidRPr="00DC40BE">
              <w:rPr>
                <w:rFonts w:ascii="Times New Roman" w:hAnsi="Times New Roman"/>
                <w:noProof/>
                <w:sz w:val="24"/>
                <w:lang w:val="pl-PL"/>
              </w:rPr>
              <w:t xml:space="preserve"> i wyt</w:t>
            </w:r>
            <w:r w:rsidRPr="00DC40BE">
              <w:rPr>
                <w:rFonts w:ascii="Times New Roman" w:hAnsi="Times New Roman"/>
                <w:noProof/>
                <w:sz w:val="24"/>
                <w:lang w:val="pl-PL"/>
              </w:rPr>
              <w:t xml:space="preserve">ycznymi opracowywanymi na podstawie </w:t>
            </w:r>
            <w:hyperlink r:id="rId26" w:history="1">
              <w:r w:rsidRPr="00DC40BE">
                <w:rPr>
                  <w:rStyle w:val="Hipercze"/>
                  <w:rFonts w:ascii="Times New Roman" w:hAnsi="Times New Roman"/>
                  <w:noProof/>
                  <w:sz w:val="24"/>
                  <w:lang w:val="pl-PL"/>
                </w:rPr>
                <w:t>decyzji Komisji (UE, Euratom) 2017/46</w:t>
              </w:r>
            </w:hyperlink>
            <w:r w:rsidR="00DC40BE" w:rsidRPr="00DC40BE">
              <w:rPr>
                <w:rFonts w:ascii="Times New Roman" w:hAnsi="Times New Roman"/>
                <w:noProof/>
                <w:sz w:val="24"/>
                <w:lang w:val="pl-PL"/>
              </w:rPr>
              <w:t xml:space="preserve"> w spr</w:t>
            </w:r>
            <w:r w:rsidRPr="00DC40BE">
              <w:rPr>
                <w:rFonts w:ascii="Times New Roman" w:hAnsi="Times New Roman"/>
                <w:noProof/>
                <w:sz w:val="24"/>
                <w:lang w:val="pl-PL"/>
              </w:rPr>
              <w:t>awie bezpieczeństwa systemów teleinformatycznych</w:t>
            </w:r>
            <w:r w:rsidR="00DC40BE" w:rsidRPr="00DC40BE">
              <w:rPr>
                <w:rFonts w:ascii="Times New Roman" w:hAnsi="Times New Roman"/>
                <w:noProof/>
                <w:sz w:val="24"/>
                <w:lang w:val="pl-PL"/>
              </w:rPr>
              <w:t xml:space="preserve"> w Kom</w:t>
            </w:r>
            <w:r w:rsidRPr="00DC40BE">
              <w:rPr>
                <w:rFonts w:ascii="Times New Roman" w:hAnsi="Times New Roman"/>
                <w:noProof/>
                <w:sz w:val="24"/>
                <w:lang w:val="pl-PL"/>
              </w:rPr>
              <w:t>isji Europejskiej(</w:t>
            </w:r>
            <w:r w:rsidRPr="00DC40BE">
              <w:rPr>
                <w:rStyle w:val="Odwoanieprzypisudolnego"/>
                <w:rFonts w:ascii="Times New Roman" w:eastAsia="Times New Roman" w:hAnsi="Times New Roman" w:cs="Times New Roman"/>
                <w:noProof/>
                <w:sz w:val="24"/>
                <w:lang w:val="pl-PL"/>
              </w:rPr>
              <w:footnoteReference w:id="38"/>
            </w:r>
            <w:r w:rsidRPr="00DC40BE">
              <w:rPr>
                <w:rFonts w:ascii="Times New Roman" w:hAnsi="Times New Roman"/>
                <w:noProof/>
                <w:sz w:val="24"/>
                <w:lang w:val="pl-PL"/>
              </w:rPr>
              <w:t>);</w:t>
            </w:r>
          </w:p>
          <w:p w14:paraId="7A5F511C" w14:textId="30AD9524" w:rsidR="00346958" w:rsidRPr="00DC40BE" w:rsidRDefault="00346958" w:rsidP="00E8781C">
            <w:pPr>
              <w:pStyle w:val="Akapitzlist"/>
              <w:numPr>
                <w:ilvl w:val="0"/>
                <w:numId w:val="30"/>
              </w:numPr>
              <w:spacing w:before="100" w:beforeAutospacing="1" w:after="100" w:afterAutospacing="1"/>
              <w:jc w:val="both"/>
              <w:rPr>
                <w:rFonts w:ascii="Times New Roman" w:hAnsi="Times New Roman" w:cs="Times New Roman"/>
                <w:noProof/>
                <w:sz w:val="24"/>
                <w:lang w:val="pl-PL"/>
              </w:rPr>
            </w:pPr>
            <w:r w:rsidRPr="00DC40BE">
              <w:rPr>
                <w:rFonts w:ascii="Times New Roman" w:hAnsi="Times New Roman"/>
                <w:noProof/>
                <w:sz w:val="24"/>
                <w:lang w:val="pl-PL"/>
              </w:rPr>
              <w:t>poprawę jakości danych zbieranych od obywateli</w:t>
            </w:r>
            <w:r w:rsidR="00DC40BE" w:rsidRPr="00DC40BE">
              <w:rPr>
                <w:rFonts w:ascii="Times New Roman" w:hAnsi="Times New Roman"/>
                <w:noProof/>
                <w:sz w:val="24"/>
                <w:lang w:val="pl-PL"/>
              </w:rPr>
              <w:t xml:space="preserve"> </w:t>
            </w:r>
            <w:r w:rsidR="00DC40BE" w:rsidRPr="00DC40BE">
              <w:rPr>
                <w:rFonts w:ascii="Times New Roman" w:hAnsi="Times New Roman"/>
                <w:b/>
                <w:noProof/>
                <w:sz w:val="24"/>
                <w:lang w:val="pl-PL"/>
              </w:rPr>
              <w:t>w</w:t>
            </w:r>
            <w:r w:rsidR="00DC40BE" w:rsidRPr="00DC40BE">
              <w:rPr>
                <w:rFonts w:ascii="Times New Roman" w:hAnsi="Times New Roman"/>
                <w:noProof/>
                <w:sz w:val="24"/>
                <w:lang w:val="pl-PL"/>
              </w:rPr>
              <w:t> </w:t>
            </w:r>
            <w:r w:rsidR="00DC40BE" w:rsidRPr="00DC40BE">
              <w:rPr>
                <w:rFonts w:ascii="Times New Roman" w:hAnsi="Times New Roman"/>
                <w:b/>
                <w:noProof/>
                <w:sz w:val="24"/>
                <w:lang w:val="pl-PL"/>
              </w:rPr>
              <w:t>nas</w:t>
            </w:r>
            <w:r w:rsidRPr="00DC40BE">
              <w:rPr>
                <w:rFonts w:ascii="Times New Roman" w:hAnsi="Times New Roman"/>
                <w:b/>
                <w:noProof/>
                <w:sz w:val="24"/>
                <w:lang w:val="pl-PL"/>
              </w:rPr>
              <w:t xml:space="preserve">tępstwie wdrożenia przepisów dotyczących formatowania i „sumy kontrolnej” </w:t>
            </w:r>
            <w:r w:rsidRPr="00DC40BE">
              <w:rPr>
                <w:rFonts w:ascii="Times New Roman" w:hAnsi="Times New Roman"/>
                <w:noProof/>
                <w:sz w:val="24"/>
                <w:lang w:val="pl-PL"/>
              </w:rPr>
              <w:t>dla dokumentów tożsamości</w:t>
            </w:r>
            <w:r w:rsidR="00DC40BE" w:rsidRPr="00DC40BE">
              <w:rPr>
                <w:rFonts w:ascii="Times New Roman" w:hAnsi="Times New Roman"/>
                <w:noProof/>
                <w:sz w:val="24"/>
                <w:lang w:val="pl-PL"/>
              </w:rPr>
              <w:t xml:space="preserve"> w 1</w:t>
            </w:r>
            <w:r w:rsidRPr="00DC40BE">
              <w:rPr>
                <w:rFonts w:ascii="Times New Roman" w:hAnsi="Times New Roman"/>
                <w:noProof/>
                <w:sz w:val="24"/>
                <w:lang w:val="pl-PL"/>
              </w:rPr>
              <w:t>8 państwach członkowskich, które wymagają podania numeru dokumentu tożsamości</w:t>
            </w:r>
            <w:r w:rsidR="00DC40BE" w:rsidRPr="00DC40BE">
              <w:rPr>
                <w:rFonts w:ascii="Times New Roman" w:hAnsi="Times New Roman"/>
                <w:noProof/>
                <w:sz w:val="24"/>
                <w:lang w:val="pl-PL"/>
              </w:rPr>
              <w:t xml:space="preserve"> w for</w:t>
            </w:r>
            <w:r w:rsidRPr="00DC40BE">
              <w:rPr>
                <w:rFonts w:ascii="Times New Roman" w:hAnsi="Times New Roman"/>
                <w:noProof/>
                <w:sz w:val="24"/>
                <w:lang w:val="pl-PL"/>
              </w:rPr>
              <w:t>mularzach deklaracji poparcia, co</w:t>
            </w:r>
            <w:r w:rsidR="00DC40BE" w:rsidRPr="00DC40BE">
              <w:rPr>
                <w:rFonts w:ascii="Times New Roman" w:hAnsi="Times New Roman"/>
                <w:noProof/>
                <w:sz w:val="24"/>
                <w:lang w:val="pl-PL"/>
              </w:rPr>
              <w:t xml:space="preserve"> z kol</w:t>
            </w:r>
            <w:r w:rsidRPr="00DC40BE">
              <w:rPr>
                <w:rFonts w:ascii="Times New Roman" w:hAnsi="Times New Roman"/>
                <w:noProof/>
                <w:sz w:val="24"/>
                <w:lang w:val="pl-PL"/>
              </w:rPr>
              <w:t>ei przekłada się na zmniejszenie ryzyka odrzucenia deklaracji poparcia</w:t>
            </w:r>
            <w:r w:rsidR="00DC40BE" w:rsidRPr="00DC40BE">
              <w:rPr>
                <w:rFonts w:ascii="Times New Roman" w:hAnsi="Times New Roman"/>
                <w:noProof/>
                <w:sz w:val="24"/>
                <w:lang w:val="pl-PL"/>
              </w:rPr>
              <w:t xml:space="preserve"> i usp</w:t>
            </w:r>
            <w:r w:rsidRPr="00DC40BE">
              <w:rPr>
                <w:rFonts w:ascii="Times New Roman" w:hAnsi="Times New Roman"/>
                <w:noProof/>
                <w:sz w:val="24"/>
                <w:lang w:val="pl-PL"/>
              </w:rPr>
              <w:t>rawnienie procesu weryfikacji przez państwa członkowskie;</w:t>
            </w:r>
          </w:p>
          <w:p w14:paraId="35B7A478" w14:textId="7BC2F901" w:rsidR="00346958" w:rsidRPr="00DC40BE" w:rsidRDefault="00346958" w:rsidP="00E8781C">
            <w:pPr>
              <w:pStyle w:val="Akapitzlist"/>
              <w:numPr>
                <w:ilvl w:val="0"/>
                <w:numId w:val="30"/>
              </w:numPr>
              <w:spacing w:before="100" w:beforeAutospacing="1" w:after="100" w:afterAutospacing="1"/>
              <w:jc w:val="both"/>
              <w:rPr>
                <w:rFonts w:ascii="Times New Roman" w:hAnsi="Times New Roman" w:cs="Times New Roman"/>
                <w:noProof/>
                <w:sz w:val="24"/>
                <w:lang w:val="pl-PL"/>
              </w:rPr>
            </w:pPr>
            <w:r w:rsidRPr="00DC40BE">
              <w:rPr>
                <w:rFonts w:ascii="Times New Roman" w:hAnsi="Times New Roman"/>
                <w:b/>
                <w:noProof/>
                <w:sz w:val="24"/>
                <w:lang w:val="pl-PL"/>
              </w:rPr>
              <w:t xml:space="preserve">integracje identyfikacji elektronicznej – </w:t>
            </w:r>
            <w:r w:rsidRPr="00DC40BE">
              <w:rPr>
                <w:rFonts w:ascii="Times New Roman" w:hAnsi="Times New Roman"/>
                <w:noProof/>
                <w:sz w:val="24"/>
                <w:lang w:val="pl-PL"/>
              </w:rPr>
              <w:t>od chwili rozpoczęcia stosowania zmienionych przepisów krajowe systemy identyfikacji elektronicznej zostały zintegrowane</w:t>
            </w:r>
            <w:r w:rsidR="00DC40BE" w:rsidRPr="00DC40BE">
              <w:rPr>
                <w:rFonts w:ascii="Times New Roman" w:hAnsi="Times New Roman"/>
                <w:noProof/>
                <w:sz w:val="24"/>
                <w:lang w:val="pl-PL"/>
              </w:rPr>
              <w:t xml:space="preserve"> z cen</w:t>
            </w:r>
            <w:r w:rsidRPr="00DC40BE">
              <w:rPr>
                <w:rFonts w:ascii="Times New Roman" w:hAnsi="Times New Roman"/>
                <w:noProof/>
                <w:sz w:val="24"/>
                <w:lang w:val="pl-PL"/>
              </w:rPr>
              <w:t>tralnym systemem zbierania deklaracji online</w:t>
            </w:r>
            <w:r w:rsidR="00DC40BE" w:rsidRPr="00DC40BE">
              <w:rPr>
                <w:rFonts w:ascii="Times New Roman" w:hAnsi="Times New Roman"/>
                <w:noProof/>
                <w:sz w:val="24"/>
                <w:lang w:val="pl-PL"/>
              </w:rPr>
              <w:t xml:space="preserve"> w 1</w:t>
            </w:r>
            <w:r w:rsidRPr="00DC40BE">
              <w:rPr>
                <w:rFonts w:ascii="Times New Roman" w:hAnsi="Times New Roman"/>
                <w:noProof/>
                <w:sz w:val="24"/>
                <w:lang w:val="pl-PL"/>
              </w:rPr>
              <w:t>6 państwach członkowskich, zapewniając obywatelom możliwość składania podpisów bez konieczności ręcznego wprowadzania ich danych osobowych. Rozwiązanie to nie było dostępne</w:t>
            </w:r>
            <w:r w:rsidR="00DC40BE" w:rsidRPr="00DC40BE">
              <w:rPr>
                <w:rFonts w:ascii="Times New Roman" w:hAnsi="Times New Roman"/>
                <w:noProof/>
                <w:sz w:val="24"/>
                <w:lang w:val="pl-PL"/>
              </w:rPr>
              <w:t xml:space="preserve"> w prz</w:t>
            </w:r>
            <w:r w:rsidRPr="00DC40BE">
              <w:rPr>
                <w:rFonts w:ascii="Times New Roman" w:hAnsi="Times New Roman"/>
                <w:noProof/>
                <w:sz w:val="24"/>
                <w:lang w:val="pl-PL"/>
              </w:rPr>
              <w:t>ypadku indywidualnych systemów zbierania deklaracji online;</w:t>
            </w:r>
          </w:p>
          <w:p w14:paraId="612D6ED3" w14:textId="028B2C65" w:rsidR="00346958" w:rsidRPr="00DC40BE" w:rsidRDefault="00346958" w:rsidP="00E8781C">
            <w:pPr>
              <w:pStyle w:val="Akapitzlist"/>
              <w:numPr>
                <w:ilvl w:val="0"/>
                <w:numId w:val="30"/>
              </w:numPr>
              <w:spacing w:before="100" w:beforeAutospacing="1" w:after="100" w:afterAutospacing="1"/>
              <w:jc w:val="both"/>
              <w:rPr>
                <w:rFonts w:ascii="Times New Roman" w:hAnsi="Times New Roman" w:cs="Times New Roman"/>
                <w:noProof/>
                <w:sz w:val="24"/>
                <w:lang w:val="pl-PL"/>
              </w:rPr>
            </w:pPr>
            <w:r w:rsidRPr="00DC40BE">
              <w:rPr>
                <w:rFonts w:ascii="Times New Roman" w:hAnsi="Times New Roman"/>
                <w:b/>
                <w:noProof/>
                <w:sz w:val="24"/>
                <w:lang w:val="pl-PL"/>
              </w:rPr>
              <w:lastRenderedPageBreak/>
              <w:t>zwiększenie użyteczności</w:t>
            </w:r>
            <w:r w:rsidR="00DC40BE" w:rsidRPr="00DC40BE">
              <w:rPr>
                <w:rFonts w:ascii="Times New Roman" w:hAnsi="Times New Roman"/>
                <w:noProof/>
                <w:sz w:val="24"/>
                <w:lang w:val="pl-PL"/>
              </w:rPr>
              <w:t xml:space="preserve"> w nas</w:t>
            </w:r>
            <w:r w:rsidRPr="00DC40BE">
              <w:rPr>
                <w:rFonts w:ascii="Times New Roman" w:hAnsi="Times New Roman"/>
                <w:noProof/>
                <w:sz w:val="24"/>
                <w:lang w:val="pl-PL"/>
              </w:rPr>
              <w:t>tępstwie zorganizowania konsultacji</w:t>
            </w:r>
            <w:r w:rsidR="00DC40BE" w:rsidRPr="00DC40BE">
              <w:rPr>
                <w:rFonts w:ascii="Times New Roman" w:hAnsi="Times New Roman"/>
                <w:noProof/>
                <w:sz w:val="24"/>
                <w:lang w:val="pl-PL"/>
              </w:rPr>
              <w:t xml:space="preserve"> z zai</w:t>
            </w:r>
            <w:r w:rsidRPr="00DC40BE">
              <w:rPr>
                <w:rFonts w:ascii="Times New Roman" w:hAnsi="Times New Roman"/>
                <w:noProof/>
                <w:sz w:val="24"/>
                <w:lang w:val="pl-PL"/>
              </w:rPr>
              <w:t>nteresowanymi stronami oraz przeprowadzenia badania poświęconego użyteczności</w:t>
            </w:r>
            <w:r w:rsidR="00DC40BE" w:rsidRPr="00DC40BE">
              <w:rPr>
                <w:rFonts w:ascii="Times New Roman" w:hAnsi="Times New Roman"/>
                <w:noProof/>
                <w:sz w:val="24"/>
                <w:lang w:val="pl-PL"/>
              </w:rPr>
              <w:t xml:space="preserve"> i dos</w:t>
            </w:r>
            <w:r w:rsidRPr="00DC40BE">
              <w:rPr>
                <w:rFonts w:ascii="Times New Roman" w:hAnsi="Times New Roman"/>
                <w:noProof/>
                <w:sz w:val="24"/>
                <w:lang w:val="pl-PL"/>
              </w:rPr>
              <w:t>tępności; wprowadzono</w:t>
            </w:r>
            <w:r w:rsidR="00DC40BE" w:rsidRPr="00DC40BE">
              <w:rPr>
                <w:rFonts w:ascii="Times New Roman" w:hAnsi="Times New Roman"/>
                <w:noProof/>
                <w:sz w:val="24"/>
                <w:lang w:val="pl-PL"/>
              </w:rPr>
              <w:t xml:space="preserve"> w szc</w:t>
            </w:r>
            <w:r w:rsidRPr="00DC40BE">
              <w:rPr>
                <w:rFonts w:ascii="Times New Roman" w:hAnsi="Times New Roman"/>
                <w:noProof/>
                <w:sz w:val="24"/>
                <w:lang w:val="pl-PL"/>
              </w:rPr>
              <w:t>zególności dalsze usprawnienia</w:t>
            </w:r>
            <w:r w:rsidR="00DC40BE" w:rsidRPr="00DC40BE">
              <w:rPr>
                <w:rFonts w:ascii="Times New Roman" w:hAnsi="Times New Roman"/>
                <w:noProof/>
                <w:sz w:val="24"/>
                <w:lang w:val="pl-PL"/>
              </w:rPr>
              <w:t xml:space="preserve"> w wer</w:t>
            </w:r>
            <w:r w:rsidRPr="00DC40BE">
              <w:rPr>
                <w:rFonts w:ascii="Times New Roman" w:hAnsi="Times New Roman"/>
                <w:noProof/>
                <w:sz w:val="24"/>
                <w:lang w:val="pl-PL"/>
              </w:rPr>
              <w:t>sji centralnego systemu zbierania deklaracji online na urządzenia mobilne, ułatwiając obywatelom składanie podpisów za pośrednictwem ich urządzeń mobilnych;</w:t>
            </w:r>
          </w:p>
          <w:p w14:paraId="27018FB0" w14:textId="1E88C697" w:rsidR="00346958" w:rsidRPr="00DC40BE" w:rsidRDefault="00346958" w:rsidP="00E8781C">
            <w:pPr>
              <w:pStyle w:val="Akapitzlist"/>
              <w:numPr>
                <w:ilvl w:val="0"/>
                <w:numId w:val="30"/>
              </w:numPr>
              <w:spacing w:before="100" w:beforeAutospacing="1" w:after="100" w:afterAutospacing="1"/>
              <w:jc w:val="both"/>
              <w:rPr>
                <w:rFonts w:ascii="Times New Roman" w:hAnsi="Times New Roman" w:cs="Times New Roman"/>
                <w:noProof/>
                <w:sz w:val="24"/>
                <w:lang w:val="pl-PL"/>
              </w:rPr>
            </w:pPr>
            <w:r w:rsidRPr="00DC40BE">
              <w:rPr>
                <w:rFonts w:ascii="Times New Roman" w:hAnsi="Times New Roman"/>
                <w:b/>
                <w:noProof/>
                <w:sz w:val="24"/>
                <w:lang w:val="pl-PL"/>
              </w:rPr>
              <w:t xml:space="preserve">możliwość spersonalizowania strony przeznaczonej na złożenie podpisu – </w:t>
            </w:r>
            <w:r w:rsidRPr="00DC40BE">
              <w:rPr>
                <w:rFonts w:ascii="Times New Roman" w:hAnsi="Times New Roman"/>
                <w:noProof/>
                <w:sz w:val="24"/>
                <w:lang w:val="pl-PL"/>
              </w:rPr>
              <w:t>organizatorzy mogą zdecydować, jakie informacje mają być wyświetlane na stronie przeznaczonej na złożenie podpisu (ich logo, pasek postępów przedstawiający aktualizowane</w:t>
            </w:r>
            <w:r w:rsidR="00DC40BE" w:rsidRPr="00DC40BE">
              <w:rPr>
                <w:rFonts w:ascii="Times New Roman" w:hAnsi="Times New Roman"/>
                <w:noProof/>
                <w:sz w:val="24"/>
                <w:lang w:val="pl-PL"/>
              </w:rPr>
              <w:t xml:space="preserve"> w cza</w:t>
            </w:r>
            <w:r w:rsidRPr="00DC40BE">
              <w:rPr>
                <w:rFonts w:ascii="Times New Roman" w:hAnsi="Times New Roman"/>
                <w:noProof/>
                <w:sz w:val="24"/>
                <w:lang w:val="pl-PL"/>
              </w:rPr>
              <w:t>sie rzeczywistym informacje na temat deklaracji poparcia zebranych online, mapę wskazującą progi, jakie osiągnięto</w:t>
            </w:r>
            <w:r w:rsidR="00DC40BE" w:rsidRPr="00DC40BE">
              <w:rPr>
                <w:rFonts w:ascii="Times New Roman" w:hAnsi="Times New Roman"/>
                <w:noProof/>
                <w:sz w:val="24"/>
                <w:lang w:val="pl-PL"/>
              </w:rPr>
              <w:t xml:space="preserve"> w pos</w:t>
            </w:r>
            <w:r w:rsidRPr="00DC40BE">
              <w:rPr>
                <w:rFonts w:ascii="Times New Roman" w:hAnsi="Times New Roman"/>
                <w:noProof/>
                <w:sz w:val="24"/>
                <w:lang w:val="pl-PL"/>
              </w:rPr>
              <w:t>zczególnych państwach członkowskich, informacje</w:t>
            </w:r>
            <w:r w:rsidR="00DC40BE" w:rsidRPr="00DC40BE">
              <w:rPr>
                <w:rFonts w:ascii="Times New Roman" w:hAnsi="Times New Roman"/>
                <w:noProof/>
                <w:sz w:val="24"/>
                <w:lang w:val="pl-PL"/>
              </w:rPr>
              <w:t xml:space="preserve"> o pos</w:t>
            </w:r>
            <w:r w:rsidRPr="00DC40BE">
              <w:rPr>
                <w:rFonts w:ascii="Times New Roman" w:hAnsi="Times New Roman"/>
                <w:noProof/>
                <w:sz w:val="24"/>
                <w:lang w:val="pl-PL"/>
              </w:rPr>
              <w:t>tępach</w:t>
            </w:r>
            <w:r w:rsidR="00DC40BE" w:rsidRPr="00DC40BE">
              <w:rPr>
                <w:rFonts w:ascii="Times New Roman" w:hAnsi="Times New Roman"/>
                <w:noProof/>
                <w:sz w:val="24"/>
                <w:lang w:val="pl-PL"/>
              </w:rPr>
              <w:t xml:space="preserve"> w pos</w:t>
            </w:r>
            <w:r w:rsidRPr="00DC40BE">
              <w:rPr>
                <w:rFonts w:ascii="Times New Roman" w:hAnsi="Times New Roman"/>
                <w:noProof/>
                <w:sz w:val="24"/>
                <w:lang w:val="pl-PL"/>
              </w:rPr>
              <w:t>zczególnych państwach członkowskich oraz informacje</w:t>
            </w:r>
            <w:r w:rsidR="00DC40BE" w:rsidRPr="00DC40BE">
              <w:rPr>
                <w:rFonts w:ascii="Times New Roman" w:hAnsi="Times New Roman"/>
                <w:noProof/>
                <w:sz w:val="24"/>
                <w:lang w:val="pl-PL"/>
              </w:rPr>
              <w:t xml:space="preserve"> o oso</w:t>
            </w:r>
            <w:r w:rsidRPr="00DC40BE">
              <w:rPr>
                <w:rFonts w:ascii="Times New Roman" w:hAnsi="Times New Roman"/>
                <w:noProof/>
                <w:sz w:val="24"/>
                <w:lang w:val="pl-PL"/>
              </w:rPr>
              <w:t>bach, które niedawno poparły inicjatywę –</w:t>
            </w:r>
            <w:r w:rsidR="00DC40BE" w:rsidRPr="00DC40BE">
              <w:rPr>
                <w:rFonts w:ascii="Times New Roman" w:hAnsi="Times New Roman"/>
                <w:noProof/>
                <w:sz w:val="24"/>
                <w:lang w:val="pl-PL"/>
              </w:rPr>
              <w:t xml:space="preserve"> w tym</w:t>
            </w:r>
            <w:r w:rsidRPr="00DC40BE">
              <w:rPr>
                <w:rFonts w:ascii="Times New Roman" w:hAnsi="Times New Roman"/>
                <w:noProof/>
                <w:sz w:val="24"/>
                <w:lang w:val="pl-PL"/>
              </w:rPr>
              <w:t xml:space="preserve"> informacje na temat państwa członkowskiego,</w:t>
            </w:r>
            <w:r w:rsidR="00DC40BE" w:rsidRPr="00DC40BE">
              <w:rPr>
                <w:rFonts w:ascii="Times New Roman" w:hAnsi="Times New Roman"/>
                <w:noProof/>
                <w:sz w:val="24"/>
                <w:lang w:val="pl-PL"/>
              </w:rPr>
              <w:t xml:space="preserve"> z któ</w:t>
            </w:r>
            <w:r w:rsidRPr="00DC40BE">
              <w:rPr>
                <w:rFonts w:ascii="Times New Roman" w:hAnsi="Times New Roman"/>
                <w:noProof/>
                <w:sz w:val="24"/>
                <w:lang w:val="pl-PL"/>
              </w:rPr>
              <w:t>rego pochodzą te osoby,</w:t>
            </w:r>
            <w:r w:rsidR="00DC40BE" w:rsidRPr="00DC40BE">
              <w:rPr>
                <w:rFonts w:ascii="Times New Roman" w:hAnsi="Times New Roman"/>
                <w:noProof/>
                <w:sz w:val="24"/>
                <w:lang w:val="pl-PL"/>
              </w:rPr>
              <w:t xml:space="preserve"> i dat</w:t>
            </w:r>
            <w:r w:rsidRPr="00DC40BE">
              <w:rPr>
                <w:rFonts w:ascii="Times New Roman" w:hAnsi="Times New Roman"/>
                <w:noProof/>
                <w:sz w:val="24"/>
                <w:lang w:val="pl-PL"/>
              </w:rPr>
              <w:t>y udzielenia poparcia);</w:t>
            </w:r>
          </w:p>
          <w:p w14:paraId="01F21028" w14:textId="576133F3" w:rsidR="00346958" w:rsidRPr="00DC40BE" w:rsidRDefault="00346958" w:rsidP="00E8781C">
            <w:pPr>
              <w:pStyle w:val="Akapitzlist"/>
              <w:numPr>
                <w:ilvl w:val="0"/>
                <w:numId w:val="30"/>
              </w:numPr>
              <w:spacing w:before="100" w:beforeAutospacing="1" w:after="100" w:afterAutospacing="1"/>
              <w:jc w:val="both"/>
              <w:rPr>
                <w:rFonts w:ascii="Times New Roman" w:hAnsi="Times New Roman" w:cs="Times New Roman"/>
                <w:noProof/>
                <w:sz w:val="24"/>
                <w:lang w:val="pl-PL"/>
              </w:rPr>
            </w:pPr>
            <w:r w:rsidRPr="00DC40BE">
              <w:rPr>
                <w:rFonts w:ascii="Times New Roman" w:hAnsi="Times New Roman"/>
                <w:b/>
                <w:noProof/>
                <w:sz w:val="24"/>
                <w:lang w:val="pl-PL"/>
              </w:rPr>
              <w:t>przestrzeganie przepisów</w:t>
            </w:r>
            <w:r w:rsidR="00DC40BE" w:rsidRPr="00DC40BE">
              <w:rPr>
                <w:rFonts w:ascii="Times New Roman" w:hAnsi="Times New Roman"/>
                <w:b/>
                <w:noProof/>
                <w:sz w:val="24"/>
                <w:lang w:val="pl-PL"/>
              </w:rPr>
              <w:t xml:space="preserve"> w zak</w:t>
            </w:r>
            <w:r w:rsidRPr="00DC40BE">
              <w:rPr>
                <w:rFonts w:ascii="Times New Roman" w:hAnsi="Times New Roman"/>
                <w:b/>
                <w:noProof/>
                <w:sz w:val="24"/>
                <w:lang w:val="pl-PL"/>
              </w:rPr>
              <w:t>resie ochrony danych</w:t>
            </w:r>
            <w:r w:rsidRPr="00DC40BE">
              <w:rPr>
                <w:rFonts w:ascii="Times New Roman" w:hAnsi="Times New Roman"/>
                <w:noProof/>
                <w:sz w:val="24"/>
                <w:lang w:val="pl-PL"/>
              </w:rPr>
              <w:t xml:space="preserve"> – specjalny moduł administratora danych umożliwia Komisji wypełnianie jej obowiązków jako administratora danych przewidzianych w </w:t>
            </w:r>
            <w:hyperlink r:id="rId27" w:history="1">
              <w:r w:rsidRPr="00DC40BE">
                <w:rPr>
                  <w:rStyle w:val="Hipercze"/>
                  <w:rFonts w:ascii="Times New Roman" w:hAnsi="Times New Roman"/>
                  <w:noProof/>
                  <w:sz w:val="24"/>
                  <w:lang w:val="pl-PL"/>
                </w:rPr>
                <w:t>rozporządzeniu (UE) 2018/1725</w:t>
              </w:r>
            </w:hyperlink>
            <w:r w:rsidR="00DC40BE" w:rsidRPr="00DC40BE">
              <w:rPr>
                <w:rFonts w:ascii="Times New Roman" w:hAnsi="Times New Roman"/>
                <w:noProof/>
                <w:sz w:val="24"/>
                <w:lang w:val="pl-PL"/>
              </w:rPr>
              <w:t xml:space="preserve"> w spr</w:t>
            </w:r>
            <w:r w:rsidRPr="00DC40BE">
              <w:rPr>
                <w:rFonts w:ascii="Times New Roman" w:hAnsi="Times New Roman"/>
                <w:noProof/>
                <w:sz w:val="24"/>
                <w:lang w:val="pl-PL"/>
              </w:rPr>
              <w:t>awie ochrony osób fizycznych</w:t>
            </w:r>
            <w:r w:rsidR="00DC40BE" w:rsidRPr="00DC40BE">
              <w:rPr>
                <w:rFonts w:ascii="Times New Roman" w:hAnsi="Times New Roman"/>
                <w:noProof/>
                <w:sz w:val="24"/>
                <w:lang w:val="pl-PL"/>
              </w:rPr>
              <w:t xml:space="preserve"> w zwi</w:t>
            </w:r>
            <w:r w:rsidRPr="00DC40BE">
              <w:rPr>
                <w:rFonts w:ascii="Times New Roman" w:hAnsi="Times New Roman"/>
                <w:noProof/>
                <w:sz w:val="24"/>
                <w:lang w:val="pl-PL"/>
              </w:rPr>
              <w:t>ązku</w:t>
            </w:r>
            <w:r w:rsidR="00DC40BE" w:rsidRPr="00DC40BE">
              <w:rPr>
                <w:rFonts w:ascii="Times New Roman" w:hAnsi="Times New Roman"/>
                <w:noProof/>
                <w:sz w:val="24"/>
                <w:lang w:val="pl-PL"/>
              </w:rPr>
              <w:t xml:space="preserve"> z prz</w:t>
            </w:r>
            <w:r w:rsidRPr="00DC40BE">
              <w:rPr>
                <w:rFonts w:ascii="Times New Roman" w:hAnsi="Times New Roman"/>
                <w:noProof/>
                <w:sz w:val="24"/>
                <w:lang w:val="pl-PL"/>
              </w:rPr>
              <w:t>etwarzaniem danych osobowych przez instytucje Unii(</w:t>
            </w:r>
            <w:r w:rsidRPr="00DC40BE">
              <w:rPr>
                <w:rStyle w:val="Odwoanieprzypisudolnego"/>
                <w:rFonts w:ascii="Times New Roman" w:eastAsia="Times New Roman" w:hAnsi="Times New Roman" w:cs="Times New Roman"/>
                <w:noProof/>
                <w:sz w:val="24"/>
                <w:lang w:val="pl-PL"/>
              </w:rPr>
              <w:footnoteReference w:id="39"/>
            </w:r>
            <w:r w:rsidRPr="00DC40BE">
              <w:rPr>
                <w:rFonts w:ascii="Times New Roman" w:hAnsi="Times New Roman"/>
                <w:noProof/>
                <w:sz w:val="24"/>
                <w:lang w:val="pl-PL"/>
              </w:rPr>
              <w:t>) oraz szybkie</w:t>
            </w:r>
            <w:r w:rsidR="00DC40BE" w:rsidRPr="00DC40BE">
              <w:rPr>
                <w:rFonts w:ascii="Times New Roman" w:hAnsi="Times New Roman"/>
                <w:noProof/>
                <w:sz w:val="24"/>
                <w:lang w:val="pl-PL"/>
              </w:rPr>
              <w:t xml:space="preserve"> i sku</w:t>
            </w:r>
            <w:r w:rsidRPr="00DC40BE">
              <w:rPr>
                <w:rFonts w:ascii="Times New Roman" w:hAnsi="Times New Roman"/>
                <w:noProof/>
                <w:sz w:val="24"/>
                <w:lang w:val="pl-PL"/>
              </w:rPr>
              <w:t>teczne rozpatrywanie wniosków osób, których dane dotyczą;</w:t>
            </w:r>
          </w:p>
          <w:p w14:paraId="7609CB86" w14:textId="62C5B88B" w:rsidR="00346958" w:rsidRPr="00DC40BE" w:rsidRDefault="00346958" w:rsidP="00E8781C">
            <w:pPr>
              <w:pStyle w:val="Akapitzlist"/>
              <w:numPr>
                <w:ilvl w:val="0"/>
                <w:numId w:val="30"/>
              </w:numPr>
              <w:spacing w:before="100" w:beforeAutospacing="1" w:after="100" w:afterAutospacing="1"/>
              <w:jc w:val="both"/>
              <w:rPr>
                <w:rFonts w:ascii="Times New Roman" w:hAnsi="Times New Roman" w:cs="Times New Roman"/>
                <w:noProof/>
                <w:sz w:val="24"/>
                <w:lang w:val="pl-PL"/>
              </w:rPr>
            </w:pPr>
            <w:r w:rsidRPr="00DC40BE">
              <w:rPr>
                <w:rFonts w:ascii="Times New Roman" w:hAnsi="Times New Roman"/>
                <w:noProof/>
                <w:sz w:val="24"/>
                <w:lang w:val="pl-PL"/>
              </w:rPr>
              <w:t>świadczenie usług</w:t>
            </w:r>
            <w:r w:rsidR="00DC40BE" w:rsidRPr="00DC40BE">
              <w:rPr>
                <w:rFonts w:ascii="Times New Roman" w:hAnsi="Times New Roman"/>
                <w:noProof/>
                <w:sz w:val="24"/>
                <w:lang w:val="pl-PL"/>
              </w:rPr>
              <w:t xml:space="preserve"> w zak</w:t>
            </w:r>
            <w:r w:rsidRPr="00DC40BE">
              <w:rPr>
                <w:rFonts w:ascii="Times New Roman" w:hAnsi="Times New Roman"/>
                <w:noProof/>
                <w:sz w:val="24"/>
                <w:lang w:val="pl-PL"/>
              </w:rPr>
              <w:t xml:space="preserve">resie analityki internetowej na rzecz organizatorów (dane dotyczące ruchu na stronie ich inicjatywy) oraz przekazywanie im innych istotnych </w:t>
            </w:r>
            <w:r w:rsidRPr="00DC40BE">
              <w:rPr>
                <w:rFonts w:ascii="Times New Roman" w:hAnsi="Times New Roman"/>
                <w:b/>
                <w:noProof/>
                <w:sz w:val="24"/>
                <w:lang w:val="pl-PL"/>
              </w:rPr>
              <w:t xml:space="preserve">danych statystycznych </w:t>
            </w:r>
            <w:r w:rsidRPr="00DC40BE">
              <w:rPr>
                <w:rFonts w:ascii="Times New Roman" w:hAnsi="Times New Roman"/>
                <w:noProof/>
                <w:sz w:val="24"/>
                <w:lang w:val="pl-PL"/>
              </w:rPr>
              <w:t>na temat stosownych inicjatyw umożliwiających im ocenie efektywności prowadzonych przez siebie kampanii.</w:t>
            </w:r>
          </w:p>
        </w:tc>
      </w:tr>
    </w:tbl>
    <w:p w14:paraId="2A6D888D" w14:textId="77777777" w:rsidR="00E8781C" w:rsidRPr="00DC40BE" w:rsidRDefault="00E8781C" w:rsidP="00E8781C">
      <w:pPr>
        <w:spacing w:before="100" w:beforeAutospacing="1" w:after="100" w:afterAutospacing="1" w:line="276" w:lineRule="auto"/>
        <w:rPr>
          <w:b/>
          <w:noProof/>
          <w:lang w:val="pl-PL"/>
        </w:rPr>
      </w:pPr>
    </w:p>
    <w:p w14:paraId="62843C50" w14:textId="2B83BC04" w:rsidR="005A4888" w:rsidRPr="00DC40BE" w:rsidRDefault="005A4888" w:rsidP="00E8781C">
      <w:pPr>
        <w:spacing w:before="100" w:beforeAutospacing="1" w:after="100" w:afterAutospacing="1" w:line="276" w:lineRule="auto"/>
        <w:rPr>
          <w:noProof/>
          <w:lang w:val="pl-PL"/>
        </w:rPr>
      </w:pPr>
      <w:r w:rsidRPr="00DC40BE">
        <w:rPr>
          <w:b/>
          <w:noProof/>
          <w:lang w:val="pl-PL"/>
        </w:rPr>
        <w:t>Obywatele, którzy korzystali</w:t>
      </w:r>
      <w:r w:rsidR="00DC40BE" w:rsidRPr="00DC40BE">
        <w:rPr>
          <w:b/>
          <w:noProof/>
          <w:lang w:val="pl-PL"/>
        </w:rPr>
        <w:t xml:space="preserve"> z cen</w:t>
      </w:r>
      <w:r w:rsidRPr="00DC40BE">
        <w:rPr>
          <w:b/>
          <w:noProof/>
          <w:lang w:val="pl-PL"/>
        </w:rPr>
        <w:t>tralnego systemu zbierania deklaracji online, zgłaszali wysoki poziom zadowolenia</w:t>
      </w:r>
      <w:r w:rsidR="00DC40BE" w:rsidRPr="00DC40BE">
        <w:rPr>
          <w:b/>
          <w:noProof/>
          <w:lang w:val="pl-PL"/>
        </w:rPr>
        <w:t xml:space="preserve"> z teg</w:t>
      </w:r>
      <w:r w:rsidRPr="00DC40BE">
        <w:rPr>
          <w:b/>
          <w:noProof/>
          <w:lang w:val="pl-PL"/>
        </w:rPr>
        <w:t>o systemu</w:t>
      </w:r>
      <w:r w:rsidRPr="00DC40BE">
        <w:rPr>
          <w:noProof/>
          <w:lang w:val="pl-PL"/>
        </w:rPr>
        <w:t>: ponad 93</w:t>
      </w:r>
      <w:r w:rsidR="00DC40BE" w:rsidRPr="00DC40BE">
        <w:rPr>
          <w:noProof/>
          <w:lang w:val="pl-PL"/>
        </w:rPr>
        <w:t> </w:t>
      </w:r>
      <w:r w:rsidRPr="00DC40BE">
        <w:rPr>
          <w:noProof/>
          <w:lang w:val="pl-PL"/>
        </w:rPr>
        <w:t>% respondentów, którzy wzięli udział</w:t>
      </w:r>
      <w:r w:rsidR="00DC40BE" w:rsidRPr="00DC40BE">
        <w:rPr>
          <w:noProof/>
          <w:lang w:val="pl-PL"/>
        </w:rPr>
        <w:t xml:space="preserve"> w ank</w:t>
      </w:r>
      <w:r w:rsidRPr="00DC40BE">
        <w:rPr>
          <w:noProof/>
          <w:lang w:val="pl-PL"/>
        </w:rPr>
        <w:t>iecie wyjściowej, stwierdziło, że udzielenie wsparcia EIO przy wykorzystaniu systemu było łatwe lub bardzo łatwe; zdecydowana większość respondentów wysoko oceniła przejrzystość informacji wyjaśniających,</w:t>
      </w:r>
      <w:r w:rsidR="00DC40BE" w:rsidRPr="00DC40BE">
        <w:rPr>
          <w:noProof/>
          <w:lang w:val="pl-PL"/>
        </w:rPr>
        <w:t xml:space="preserve"> w jak</w:t>
      </w:r>
      <w:r w:rsidRPr="00DC40BE">
        <w:rPr>
          <w:noProof/>
          <w:lang w:val="pl-PL"/>
        </w:rPr>
        <w:t>i sposób złożyć podpis udzielający poparcia EIO za pośrednictwem systemu; większość respondentów miała ponadto pewność co do bezpieczeństwa danych osobowych przekazywanych za pośrednictwem systemu. Około 8</w:t>
      </w:r>
      <w:r w:rsidR="00DC40BE" w:rsidRPr="00DC40BE">
        <w:rPr>
          <w:noProof/>
          <w:lang w:val="pl-PL"/>
        </w:rPr>
        <w:t> </w:t>
      </w:r>
      <w:r w:rsidRPr="00DC40BE">
        <w:rPr>
          <w:noProof/>
          <w:lang w:val="pl-PL"/>
        </w:rPr>
        <w:t>% użytkowników, którzy wzięli udział</w:t>
      </w:r>
      <w:r w:rsidR="00DC40BE" w:rsidRPr="00DC40BE">
        <w:rPr>
          <w:noProof/>
          <w:lang w:val="pl-PL"/>
        </w:rPr>
        <w:t xml:space="preserve"> w ank</w:t>
      </w:r>
      <w:r w:rsidRPr="00DC40BE">
        <w:rPr>
          <w:noProof/>
          <w:lang w:val="pl-PL"/>
        </w:rPr>
        <w:t>iecie wyjściowej, zgłosiło, że cierpi na określony rodzaj niepełnosprawności, przy czym ich ogólny poziom zadowolenia</w:t>
      </w:r>
      <w:r w:rsidR="00DC40BE" w:rsidRPr="00DC40BE">
        <w:rPr>
          <w:noProof/>
          <w:lang w:val="pl-PL"/>
        </w:rPr>
        <w:t xml:space="preserve"> z fun</w:t>
      </w:r>
      <w:r w:rsidRPr="00DC40BE">
        <w:rPr>
          <w:noProof/>
          <w:lang w:val="pl-PL"/>
        </w:rPr>
        <w:t>kcjonowania systemu był również wysoki (średnio 8 na</w:t>
      </w:r>
      <w:r w:rsidR="00DC40BE" w:rsidRPr="00DC40BE">
        <w:rPr>
          <w:noProof/>
          <w:lang w:val="pl-PL"/>
        </w:rPr>
        <w:t> </w:t>
      </w:r>
      <w:r w:rsidRPr="00DC40BE">
        <w:rPr>
          <w:noProof/>
          <w:lang w:val="pl-PL"/>
        </w:rPr>
        <w:t>10 punktów).</w:t>
      </w:r>
    </w:p>
    <w:p w14:paraId="61EA2026" w14:textId="3166D7BD" w:rsidR="005A4888" w:rsidRPr="00DC40BE" w:rsidRDefault="005A4888" w:rsidP="00E8781C">
      <w:pPr>
        <w:pStyle w:val="Nagwek3"/>
        <w:numPr>
          <w:ilvl w:val="2"/>
          <w:numId w:val="16"/>
        </w:numPr>
        <w:spacing w:before="100" w:beforeAutospacing="1" w:after="100" w:afterAutospacing="1" w:line="276" w:lineRule="auto"/>
        <w:rPr>
          <w:i w:val="0"/>
          <w:noProof/>
          <w:lang w:val="pl-PL"/>
        </w:rPr>
      </w:pPr>
      <w:bookmarkStart w:id="21" w:name="_Toc376993146"/>
      <w:bookmarkStart w:id="22" w:name="_Toc146296676"/>
      <w:r w:rsidRPr="00DC40BE">
        <w:rPr>
          <w:i w:val="0"/>
          <w:noProof/>
          <w:lang w:val="pl-PL"/>
        </w:rPr>
        <w:lastRenderedPageBreak/>
        <w:t>Korzystanie</w:t>
      </w:r>
      <w:r w:rsidR="00DC40BE" w:rsidRPr="00DC40BE">
        <w:rPr>
          <w:i w:val="0"/>
          <w:noProof/>
          <w:lang w:val="pl-PL"/>
        </w:rPr>
        <w:t xml:space="preserve"> z ide</w:t>
      </w:r>
      <w:r w:rsidRPr="00DC40BE">
        <w:rPr>
          <w:i w:val="0"/>
          <w:noProof/>
          <w:lang w:val="pl-PL"/>
        </w:rPr>
        <w:t>ntyfikacji elektronicznej (art.</w:t>
      </w:r>
      <w:r w:rsidR="00DC40BE" w:rsidRPr="00DC40BE">
        <w:rPr>
          <w:i w:val="0"/>
          <w:noProof/>
          <w:lang w:val="pl-PL"/>
        </w:rPr>
        <w:t> </w:t>
      </w:r>
      <w:r w:rsidRPr="00DC40BE">
        <w:rPr>
          <w:i w:val="0"/>
          <w:noProof/>
          <w:lang w:val="pl-PL"/>
        </w:rPr>
        <w:t>10 ust.</w:t>
      </w:r>
      <w:r w:rsidR="00DC40BE" w:rsidRPr="00DC40BE">
        <w:rPr>
          <w:i w:val="0"/>
          <w:noProof/>
          <w:lang w:val="pl-PL"/>
        </w:rPr>
        <w:t> </w:t>
      </w:r>
      <w:r w:rsidRPr="00DC40BE">
        <w:rPr>
          <w:i w:val="0"/>
          <w:noProof/>
          <w:lang w:val="pl-PL"/>
        </w:rPr>
        <w:t>4 rozporządzenia</w:t>
      </w:r>
      <w:r w:rsidR="00DC40BE" w:rsidRPr="00DC40BE">
        <w:rPr>
          <w:i w:val="0"/>
          <w:noProof/>
          <w:lang w:val="pl-PL"/>
        </w:rPr>
        <w:t xml:space="preserve"> w spr</w:t>
      </w:r>
      <w:r w:rsidRPr="00DC40BE">
        <w:rPr>
          <w:i w:val="0"/>
          <w:noProof/>
          <w:lang w:val="pl-PL"/>
        </w:rPr>
        <w:t>awie EIO</w:t>
      </w:r>
      <w:bookmarkEnd w:id="21"/>
      <w:bookmarkEnd w:id="22"/>
      <w:r w:rsidRPr="00DC40BE">
        <w:rPr>
          <w:i w:val="0"/>
          <w:noProof/>
          <w:lang w:val="pl-PL"/>
        </w:rPr>
        <w:t>)</w:t>
      </w:r>
    </w:p>
    <w:p w14:paraId="6DE03143" w14:textId="3C31E706" w:rsidR="005A4888" w:rsidRPr="00DC40BE" w:rsidRDefault="005A4888" w:rsidP="00E8781C">
      <w:pPr>
        <w:spacing w:before="100" w:beforeAutospacing="1" w:after="100" w:afterAutospacing="1" w:line="276" w:lineRule="auto"/>
        <w:rPr>
          <w:noProof/>
          <w:lang w:val="pl-PL"/>
        </w:rPr>
      </w:pPr>
      <w:r w:rsidRPr="00DC40BE">
        <w:rPr>
          <w:noProof/>
          <w:lang w:val="pl-PL"/>
        </w:rPr>
        <w:t>Jedną</w:t>
      </w:r>
      <w:r w:rsidR="00DC40BE" w:rsidRPr="00DC40BE">
        <w:rPr>
          <w:noProof/>
          <w:lang w:val="pl-PL"/>
        </w:rPr>
        <w:t xml:space="preserve"> z naj</w:t>
      </w:r>
      <w:r w:rsidRPr="00DC40BE">
        <w:rPr>
          <w:noProof/>
          <w:lang w:val="pl-PL"/>
        </w:rPr>
        <w:t>ważniejszych funkcji centralnego systemu zbierania deklaracji online jest możliwość zintegrowania znanych obywatelom krajowych narzędzi</w:t>
      </w:r>
      <w:r w:rsidR="00DC40BE" w:rsidRPr="00DC40BE">
        <w:rPr>
          <w:noProof/>
          <w:lang w:val="pl-PL"/>
        </w:rPr>
        <w:t xml:space="preserve"> w zak</w:t>
      </w:r>
      <w:r w:rsidRPr="00DC40BE">
        <w:rPr>
          <w:noProof/>
          <w:lang w:val="pl-PL"/>
        </w:rPr>
        <w:t>resie identyfikacji elektronicznej</w:t>
      </w:r>
      <w:r w:rsidR="00DC40BE" w:rsidRPr="00DC40BE">
        <w:rPr>
          <w:noProof/>
          <w:lang w:val="pl-PL"/>
        </w:rPr>
        <w:t xml:space="preserve"> z tym</w:t>
      </w:r>
      <w:r w:rsidRPr="00DC40BE">
        <w:rPr>
          <w:noProof/>
          <w:lang w:val="pl-PL"/>
        </w:rPr>
        <w:t xml:space="preserve"> systemem, ograniczając tym samym ryzyko popełnienia błędów przy kodowaniu danych osobowych. Państwa członkowskie muszą zapewnić swoim obywatelom możliwość udzielania poparcia EIO przez internet</w:t>
      </w:r>
      <w:r w:rsidR="00DC40BE" w:rsidRPr="00DC40BE">
        <w:rPr>
          <w:noProof/>
          <w:lang w:val="pl-PL"/>
        </w:rPr>
        <w:t xml:space="preserve"> z wyk</w:t>
      </w:r>
      <w:r w:rsidRPr="00DC40BE">
        <w:rPr>
          <w:noProof/>
          <w:lang w:val="pl-PL"/>
        </w:rPr>
        <w:t>orzystaniem notyfikowanych środków identyfikacji elektronicznej lub podpisu elektronicznego</w:t>
      </w:r>
      <w:r w:rsidR="00DC40BE" w:rsidRPr="00DC40BE">
        <w:rPr>
          <w:noProof/>
          <w:lang w:val="pl-PL"/>
        </w:rPr>
        <w:t xml:space="preserve"> w roz</w:t>
      </w:r>
      <w:r w:rsidRPr="00DC40BE">
        <w:rPr>
          <w:noProof/>
          <w:lang w:val="pl-PL"/>
        </w:rPr>
        <w:t xml:space="preserve">umieniu </w:t>
      </w:r>
      <w:hyperlink r:id="rId28" w:history="1">
        <w:r w:rsidRPr="00DC40BE">
          <w:rPr>
            <w:rStyle w:val="Hipercze"/>
            <w:noProof/>
            <w:lang w:val="pl-PL"/>
          </w:rPr>
          <w:t>rozporządzenia (UE) nr</w:t>
        </w:r>
        <w:r w:rsidR="00DC40BE" w:rsidRPr="00DC40BE">
          <w:rPr>
            <w:rStyle w:val="Hipercze"/>
            <w:noProof/>
            <w:lang w:val="pl-PL"/>
          </w:rPr>
          <w:t> </w:t>
        </w:r>
        <w:r w:rsidRPr="00DC40BE">
          <w:rPr>
            <w:rStyle w:val="Hipercze"/>
            <w:noProof/>
            <w:lang w:val="pl-PL"/>
          </w:rPr>
          <w:t xml:space="preserve">910/2014 </w:t>
        </w:r>
      </w:hyperlink>
      <w:r w:rsidRPr="00DC40BE">
        <w:rPr>
          <w:noProof/>
          <w:lang w:val="pl-PL"/>
        </w:rPr>
        <w:t>(rozporządzenie eIDAS)(</w:t>
      </w:r>
      <w:r w:rsidRPr="00DC40BE">
        <w:rPr>
          <w:rStyle w:val="Odwoanieprzypisudolnego"/>
          <w:noProof/>
          <w:lang w:val="pl-PL"/>
        </w:rPr>
        <w:footnoteReference w:id="40"/>
      </w:r>
      <w:r w:rsidRPr="00DC40BE">
        <w:rPr>
          <w:noProof/>
          <w:lang w:val="pl-PL"/>
        </w:rPr>
        <w:t>).</w:t>
      </w:r>
    </w:p>
    <w:p w14:paraId="4CCEC0EA" w14:textId="31604CB8" w:rsidR="005A4888" w:rsidRPr="00DC40BE" w:rsidRDefault="005A4888" w:rsidP="00E8781C">
      <w:pPr>
        <w:spacing w:before="100" w:beforeAutospacing="1" w:after="100" w:afterAutospacing="1" w:line="276" w:lineRule="auto"/>
        <w:rPr>
          <w:noProof/>
          <w:lang w:val="pl-PL"/>
        </w:rPr>
      </w:pPr>
      <w:r w:rsidRPr="00DC40BE">
        <w:rPr>
          <w:noProof/>
          <w:lang w:val="pl-PL"/>
        </w:rPr>
        <w:t>Proces integracji krajowych systemów identyfikacji elektronicznej</w:t>
      </w:r>
      <w:r w:rsidR="00DC40BE" w:rsidRPr="00DC40BE">
        <w:rPr>
          <w:noProof/>
          <w:lang w:val="pl-PL"/>
        </w:rPr>
        <w:t xml:space="preserve"> z cen</w:t>
      </w:r>
      <w:r w:rsidRPr="00DC40BE">
        <w:rPr>
          <w:noProof/>
          <w:lang w:val="pl-PL"/>
        </w:rPr>
        <w:t>tralnym systemem zbierania deklaracji online zakończył się już</w:t>
      </w:r>
      <w:r w:rsidR="00DC40BE" w:rsidRPr="00DC40BE">
        <w:rPr>
          <w:noProof/>
          <w:lang w:val="pl-PL"/>
        </w:rPr>
        <w:t xml:space="preserve"> w 1</w:t>
      </w:r>
      <w:r w:rsidRPr="00DC40BE">
        <w:rPr>
          <w:noProof/>
          <w:lang w:val="pl-PL"/>
        </w:rPr>
        <w:t>6 państwach członkowskich. Kolejne 5 państw członkowskich jest obecnie</w:t>
      </w:r>
      <w:r w:rsidR="00DC40BE" w:rsidRPr="00DC40BE">
        <w:rPr>
          <w:noProof/>
          <w:lang w:val="pl-PL"/>
        </w:rPr>
        <w:t xml:space="preserve"> w tra</w:t>
      </w:r>
      <w:r w:rsidRPr="00DC40BE">
        <w:rPr>
          <w:noProof/>
          <w:lang w:val="pl-PL"/>
        </w:rPr>
        <w:t>kcie udostępniania swoich krajowych systemów identyfikacji elektronicznej</w:t>
      </w:r>
      <w:r w:rsidRPr="00DC40BE">
        <w:rPr>
          <w:b/>
          <w:noProof/>
          <w:lang w:val="pl-PL"/>
        </w:rPr>
        <w:t xml:space="preserve"> </w:t>
      </w:r>
      <w:r w:rsidRPr="00DC40BE">
        <w:rPr>
          <w:noProof/>
          <w:lang w:val="pl-PL"/>
        </w:rPr>
        <w:t>zgodnie</w:t>
      </w:r>
      <w:r w:rsidR="00DC40BE" w:rsidRPr="00DC40BE">
        <w:rPr>
          <w:noProof/>
          <w:lang w:val="pl-PL"/>
        </w:rPr>
        <w:t xml:space="preserve"> z roz</w:t>
      </w:r>
      <w:r w:rsidRPr="00DC40BE">
        <w:rPr>
          <w:noProof/>
          <w:lang w:val="pl-PL"/>
        </w:rPr>
        <w:t>porządzeniem eIDAS (BG, DK, FR, PL i SI), co stanowi pierwszy krok na drodze do zintegrowania tych systemów</w:t>
      </w:r>
      <w:r w:rsidR="00DC40BE" w:rsidRPr="00DC40BE">
        <w:rPr>
          <w:noProof/>
          <w:lang w:val="pl-PL"/>
        </w:rPr>
        <w:t xml:space="preserve"> z sys</w:t>
      </w:r>
      <w:r w:rsidRPr="00DC40BE">
        <w:rPr>
          <w:noProof/>
          <w:lang w:val="pl-PL"/>
        </w:rPr>
        <w:t xml:space="preserve">temem zbierania deklaracji online Komisji. </w:t>
      </w:r>
    </w:p>
    <w:p w14:paraId="32CBA84D" w14:textId="49DD72C7" w:rsidR="005A4888" w:rsidRPr="00DC40BE" w:rsidRDefault="005A4888" w:rsidP="00E8781C">
      <w:pPr>
        <w:spacing w:before="100" w:beforeAutospacing="1" w:after="100" w:afterAutospacing="1" w:line="276" w:lineRule="auto"/>
        <w:rPr>
          <w:b/>
          <w:noProof/>
          <w:lang w:val="pl-PL"/>
        </w:rPr>
      </w:pPr>
      <w:r w:rsidRPr="00DC40BE">
        <w:rPr>
          <w:b/>
          <w:noProof/>
          <w:lang w:val="pl-PL"/>
        </w:rPr>
        <w:t>Tabela 4: aktualna sytuacja</w:t>
      </w:r>
      <w:r w:rsidR="00DC40BE" w:rsidRPr="00DC40BE">
        <w:rPr>
          <w:b/>
          <w:noProof/>
          <w:lang w:val="pl-PL"/>
        </w:rPr>
        <w:t xml:space="preserve"> w kwe</w:t>
      </w:r>
      <w:r w:rsidRPr="00DC40BE">
        <w:rPr>
          <w:b/>
          <w:noProof/>
          <w:lang w:val="pl-PL"/>
        </w:rPr>
        <w:t>stii integrowania systemów identyfikacji elektronicznej</w:t>
      </w:r>
      <w:r w:rsidR="00DC40BE" w:rsidRPr="00DC40BE">
        <w:rPr>
          <w:b/>
          <w:noProof/>
          <w:lang w:val="pl-PL"/>
        </w:rPr>
        <w:t xml:space="preserve"> z cen</w:t>
      </w:r>
      <w:r w:rsidRPr="00DC40BE">
        <w:rPr>
          <w:b/>
          <w:noProof/>
          <w:lang w:val="pl-PL"/>
        </w:rPr>
        <w:t>tralnym systemem zbierania deklaracji online (listopad 2023</w:t>
      </w:r>
      <w:r w:rsidR="00DC40BE" w:rsidRPr="00DC40BE">
        <w:rPr>
          <w:b/>
          <w:noProof/>
          <w:lang w:val="pl-PL"/>
        </w:rPr>
        <w:t> </w:t>
      </w:r>
      <w:r w:rsidRPr="00DC40BE">
        <w:rPr>
          <w:b/>
          <w:noProof/>
          <w:lang w:val="pl-PL"/>
        </w:rPr>
        <w:t>r.)</w:t>
      </w:r>
    </w:p>
    <w:tbl>
      <w:tblPr>
        <w:tblStyle w:val="Tabela-Siatka"/>
        <w:tblW w:w="0" w:type="auto"/>
        <w:tblInd w:w="250" w:type="dxa"/>
        <w:shd w:val="clear" w:color="auto" w:fill="E7E6E6" w:themeFill="background2"/>
        <w:tblLook w:val="04A0" w:firstRow="1" w:lastRow="0" w:firstColumn="1" w:lastColumn="0" w:noHBand="0" w:noVBand="1"/>
      </w:tblPr>
      <w:tblGrid>
        <w:gridCol w:w="1988"/>
        <w:gridCol w:w="6818"/>
      </w:tblGrid>
      <w:tr w:rsidR="005A4888" w:rsidRPr="00DC40BE" w14:paraId="7E5972F1" w14:textId="77777777" w:rsidTr="00877DE6">
        <w:tc>
          <w:tcPr>
            <w:tcW w:w="2003" w:type="dxa"/>
            <w:shd w:val="clear" w:color="auto" w:fill="E7E6E6" w:themeFill="background2"/>
          </w:tcPr>
          <w:p w14:paraId="4A045CE7" w14:textId="77777777" w:rsidR="005A4888" w:rsidRPr="00DC40BE" w:rsidRDefault="005A4888" w:rsidP="00E8781C">
            <w:pPr>
              <w:spacing w:before="100" w:beforeAutospacing="1" w:after="100" w:afterAutospacing="1" w:line="276" w:lineRule="auto"/>
              <w:rPr>
                <w:noProof/>
                <w:lang w:val="pl-PL"/>
              </w:rPr>
            </w:pPr>
            <w:r w:rsidRPr="00DC40BE">
              <w:rPr>
                <w:noProof/>
                <w:lang w:val="pl-PL"/>
              </w:rPr>
              <w:t>Identyfikacja elektroniczna zapewniona</w:t>
            </w:r>
          </w:p>
        </w:tc>
        <w:tc>
          <w:tcPr>
            <w:tcW w:w="7035" w:type="dxa"/>
            <w:shd w:val="clear" w:color="auto" w:fill="E7E6E6" w:themeFill="background2"/>
          </w:tcPr>
          <w:p w14:paraId="246CD5F9" w14:textId="77777777" w:rsidR="005A4888" w:rsidRPr="00DC40BE" w:rsidRDefault="005A4888" w:rsidP="00E8781C">
            <w:pPr>
              <w:spacing w:before="100" w:beforeAutospacing="1" w:after="100" w:afterAutospacing="1" w:line="276" w:lineRule="auto"/>
              <w:rPr>
                <w:noProof/>
                <w:lang w:val="pl-PL"/>
              </w:rPr>
            </w:pPr>
            <w:r w:rsidRPr="00DC40BE">
              <w:rPr>
                <w:noProof/>
                <w:lang w:val="pl-PL"/>
              </w:rPr>
              <w:t>BE, CZ, DE, EE, ES, HR, IT, LV, LT, LU, MT, NL, AT, PT, SK, SE</w:t>
            </w:r>
          </w:p>
        </w:tc>
      </w:tr>
      <w:tr w:rsidR="005A4888" w:rsidRPr="00DC40BE" w14:paraId="7285620E" w14:textId="77777777" w:rsidTr="00877DE6">
        <w:trPr>
          <w:trHeight w:val="300"/>
        </w:trPr>
        <w:tc>
          <w:tcPr>
            <w:tcW w:w="2003" w:type="dxa"/>
            <w:shd w:val="clear" w:color="auto" w:fill="E7E6E6" w:themeFill="background2"/>
          </w:tcPr>
          <w:p w14:paraId="489B7E50" w14:textId="29851F44" w:rsidR="005A4888" w:rsidRPr="00DC40BE" w:rsidRDefault="005A4888" w:rsidP="00E8781C">
            <w:pPr>
              <w:spacing w:before="100" w:beforeAutospacing="1" w:after="100" w:afterAutospacing="1" w:line="276" w:lineRule="auto"/>
              <w:rPr>
                <w:noProof/>
                <w:lang w:val="pl-PL"/>
              </w:rPr>
            </w:pPr>
            <w:r w:rsidRPr="00DC40BE">
              <w:rPr>
                <w:noProof/>
                <w:lang w:val="pl-PL"/>
              </w:rPr>
              <w:t>Integracja</w:t>
            </w:r>
            <w:r w:rsidR="00DC40BE" w:rsidRPr="00DC40BE">
              <w:rPr>
                <w:noProof/>
                <w:lang w:val="pl-PL"/>
              </w:rPr>
              <w:t xml:space="preserve"> w tok</w:t>
            </w:r>
            <w:r w:rsidRPr="00DC40BE">
              <w:rPr>
                <w:noProof/>
                <w:lang w:val="pl-PL"/>
              </w:rPr>
              <w:t>u</w:t>
            </w:r>
          </w:p>
        </w:tc>
        <w:tc>
          <w:tcPr>
            <w:tcW w:w="7035" w:type="dxa"/>
            <w:shd w:val="clear" w:color="auto" w:fill="E7E6E6" w:themeFill="background2"/>
          </w:tcPr>
          <w:p w14:paraId="10499929" w14:textId="3F81E2A4" w:rsidR="005A4888" w:rsidRPr="00DC40BE" w:rsidRDefault="00F069E4" w:rsidP="00E8781C">
            <w:pPr>
              <w:spacing w:before="100" w:beforeAutospacing="1" w:after="100" w:afterAutospacing="1" w:line="276" w:lineRule="auto"/>
              <w:rPr>
                <w:noProof/>
                <w:lang w:val="pl-PL"/>
              </w:rPr>
            </w:pPr>
            <w:r w:rsidRPr="00DC40BE">
              <w:rPr>
                <w:noProof/>
                <w:lang w:val="pl-PL"/>
              </w:rPr>
              <w:t xml:space="preserve">BG, DK, FR, PL, SI </w:t>
            </w:r>
          </w:p>
        </w:tc>
      </w:tr>
      <w:tr w:rsidR="005A4888" w:rsidRPr="00DC40BE" w14:paraId="778727B5" w14:textId="77777777" w:rsidTr="00877DE6">
        <w:tc>
          <w:tcPr>
            <w:tcW w:w="2003" w:type="dxa"/>
            <w:shd w:val="clear" w:color="auto" w:fill="E7E6E6" w:themeFill="background2"/>
          </w:tcPr>
          <w:p w14:paraId="020F9AB7" w14:textId="77777777" w:rsidR="005A4888" w:rsidRPr="00DC40BE" w:rsidRDefault="005A4888" w:rsidP="00E8781C">
            <w:pPr>
              <w:spacing w:before="100" w:beforeAutospacing="1" w:after="100" w:afterAutospacing="1" w:line="276" w:lineRule="auto"/>
              <w:rPr>
                <w:noProof/>
                <w:lang w:val="pl-PL"/>
              </w:rPr>
            </w:pPr>
            <w:r w:rsidRPr="00DC40BE">
              <w:rPr>
                <w:noProof/>
                <w:lang w:val="pl-PL"/>
              </w:rPr>
              <w:t>Brak identyfikacji elektronicznej</w:t>
            </w:r>
          </w:p>
        </w:tc>
        <w:tc>
          <w:tcPr>
            <w:tcW w:w="7035" w:type="dxa"/>
            <w:shd w:val="clear" w:color="auto" w:fill="E7E6E6" w:themeFill="background2"/>
          </w:tcPr>
          <w:p w14:paraId="2BAF1A0D" w14:textId="0F766FF1" w:rsidR="005A4888" w:rsidRPr="00DC40BE" w:rsidRDefault="005A4888" w:rsidP="00E8781C">
            <w:pPr>
              <w:spacing w:before="100" w:beforeAutospacing="1" w:after="100" w:afterAutospacing="1" w:line="276" w:lineRule="auto"/>
              <w:rPr>
                <w:noProof/>
                <w:lang w:val="pl-PL"/>
              </w:rPr>
            </w:pPr>
            <w:r w:rsidRPr="00DC40BE">
              <w:rPr>
                <w:noProof/>
                <w:lang w:val="pl-PL"/>
              </w:rPr>
              <w:t xml:space="preserve">IE, EL, CY, HU, RO, FI </w:t>
            </w:r>
          </w:p>
        </w:tc>
      </w:tr>
    </w:tbl>
    <w:p w14:paraId="170B4A6F" w14:textId="77777777" w:rsidR="005A4888" w:rsidRPr="00DC40BE" w:rsidRDefault="005A4888" w:rsidP="00E8781C">
      <w:pPr>
        <w:spacing w:before="100" w:beforeAutospacing="1" w:after="100" w:afterAutospacing="1" w:line="276" w:lineRule="auto"/>
        <w:rPr>
          <w:noProof/>
          <w:lang w:val="pl-PL"/>
        </w:rPr>
      </w:pPr>
    </w:p>
    <w:p w14:paraId="27334B95" w14:textId="79D08808" w:rsidR="005A4888" w:rsidRPr="00DC40BE" w:rsidRDefault="00F069E4" w:rsidP="00E8781C">
      <w:pPr>
        <w:spacing w:before="100" w:beforeAutospacing="1" w:after="100" w:afterAutospacing="1" w:line="276" w:lineRule="auto"/>
        <w:rPr>
          <w:noProof/>
          <w:lang w:val="pl-PL"/>
        </w:rPr>
      </w:pPr>
      <w:r w:rsidRPr="00DC40BE">
        <w:rPr>
          <w:noProof/>
          <w:lang w:val="pl-PL"/>
        </w:rPr>
        <w:t>Zarówno organizatorzy EIO, jak</w:t>
      </w:r>
      <w:r w:rsidR="00DC40BE" w:rsidRPr="00DC40BE">
        <w:rPr>
          <w:noProof/>
          <w:lang w:val="pl-PL"/>
        </w:rPr>
        <w:t xml:space="preserve"> i oby</w:t>
      </w:r>
      <w:r w:rsidRPr="00DC40BE">
        <w:rPr>
          <w:noProof/>
          <w:lang w:val="pl-PL"/>
        </w:rPr>
        <w:t>watele podkreślali</w:t>
      </w:r>
      <w:r w:rsidR="00DC40BE" w:rsidRPr="00DC40BE">
        <w:rPr>
          <w:noProof/>
          <w:lang w:val="pl-PL"/>
        </w:rPr>
        <w:t xml:space="preserve"> w odp</w:t>
      </w:r>
      <w:r w:rsidRPr="00DC40BE">
        <w:rPr>
          <w:noProof/>
          <w:lang w:val="pl-PL"/>
        </w:rPr>
        <w:t>owiedziach udzielanych na pytania</w:t>
      </w:r>
      <w:r w:rsidR="00DC40BE" w:rsidRPr="00DC40BE">
        <w:rPr>
          <w:noProof/>
          <w:lang w:val="pl-PL"/>
        </w:rPr>
        <w:t xml:space="preserve"> w odp</w:t>
      </w:r>
      <w:r w:rsidRPr="00DC40BE">
        <w:rPr>
          <w:noProof/>
          <w:lang w:val="pl-PL"/>
        </w:rPr>
        <w:t>owiednich ankietach, że uważają za istotne zapewnienie możliwości stosowania nowych rozwiązań</w:t>
      </w:r>
      <w:r w:rsidR="00DC40BE" w:rsidRPr="00DC40BE">
        <w:rPr>
          <w:noProof/>
          <w:lang w:val="pl-PL"/>
        </w:rPr>
        <w:t xml:space="preserve"> w zak</w:t>
      </w:r>
      <w:r w:rsidRPr="00DC40BE">
        <w:rPr>
          <w:noProof/>
          <w:lang w:val="pl-PL"/>
        </w:rPr>
        <w:t>resie identyfikacji elektronicznej takich jak e-identyfikacja</w:t>
      </w:r>
      <w:r w:rsidR="00DC40BE" w:rsidRPr="00DC40BE">
        <w:rPr>
          <w:noProof/>
          <w:lang w:val="pl-PL"/>
        </w:rPr>
        <w:t xml:space="preserve"> i pod</w:t>
      </w:r>
      <w:r w:rsidRPr="00DC40BE">
        <w:rPr>
          <w:noProof/>
          <w:lang w:val="pl-PL"/>
        </w:rPr>
        <w:t xml:space="preserve">pis elektroniczny do udzielania poparcia EIO. </w:t>
      </w:r>
    </w:p>
    <w:p w14:paraId="75E76300" w14:textId="0229A634" w:rsidR="005A4888" w:rsidRPr="00DC40BE" w:rsidRDefault="005A4888" w:rsidP="00E8781C">
      <w:pPr>
        <w:spacing w:before="100" w:beforeAutospacing="1" w:after="100" w:afterAutospacing="1" w:line="276" w:lineRule="auto"/>
        <w:rPr>
          <w:noProof/>
          <w:lang w:val="pl-PL"/>
        </w:rPr>
      </w:pPr>
      <w:r w:rsidRPr="00DC40BE">
        <w:rPr>
          <w:noProof/>
          <w:lang w:val="pl-PL"/>
        </w:rPr>
        <w:t>Choć odsetek podpisów zbieranych za pośrednictwem identyfikacji elektronicznej jest wciąż znikomy (2</w:t>
      </w:r>
      <w:r w:rsidR="00DC40BE" w:rsidRPr="00DC40BE">
        <w:rPr>
          <w:noProof/>
          <w:lang w:val="pl-PL"/>
        </w:rPr>
        <w:t> </w:t>
      </w:r>
      <w:r w:rsidRPr="00DC40BE">
        <w:rPr>
          <w:noProof/>
          <w:lang w:val="pl-PL"/>
        </w:rPr>
        <w:t>% łącznej liczby podpisów zebranych za pośrednictwem centralnego systemu zbierania deklaracji online od</w:t>
      </w:r>
      <w:r w:rsidR="00DC40BE" w:rsidRPr="00DC40BE">
        <w:rPr>
          <w:noProof/>
          <w:lang w:val="pl-PL"/>
        </w:rPr>
        <w:t> </w:t>
      </w:r>
      <w:r w:rsidRPr="00DC40BE">
        <w:rPr>
          <w:noProof/>
          <w:lang w:val="pl-PL"/>
        </w:rPr>
        <w:t>2020</w:t>
      </w:r>
      <w:r w:rsidR="00DC40BE" w:rsidRPr="00DC40BE">
        <w:rPr>
          <w:noProof/>
          <w:lang w:val="pl-PL"/>
        </w:rPr>
        <w:t> </w:t>
      </w:r>
      <w:r w:rsidRPr="00DC40BE">
        <w:rPr>
          <w:noProof/>
          <w:lang w:val="pl-PL"/>
        </w:rPr>
        <w:t>r.), można zaobserwować jego wzrost (5</w:t>
      </w:r>
      <w:r w:rsidR="00DC40BE" w:rsidRPr="00DC40BE">
        <w:rPr>
          <w:noProof/>
          <w:lang w:val="pl-PL"/>
        </w:rPr>
        <w:t> </w:t>
      </w:r>
      <w:r w:rsidRPr="00DC40BE">
        <w:rPr>
          <w:noProof/>
          <w:lang w:val="pl-PL"/>
        </w:rPr>
        <w:t>%</w:t>
      </w:r>
      <w:r w:rsidR="00DC40BE" w:rsidRPr="00DC40BE">
        <w:rPr>
          <w:noProof/>
          <w:lang w:val="pl-PL"/>
        </w:rPr>
        <w:t xml:space="preserve"> w 2</w:t>
      </w:r>
      <w:r w:rsidRPr="00DC40BE">
        <w:rPr>
          <w:noProof/>
          <w:lang w:val="pl-PL"/>
        </w:rPr>
        <w:t>023</w:t>
      </w:r>
      <w:r w:rsidR="00DC40BE" w:rsidRPr="00DC40BE">
        <w:rPr>
          <w:noProof/>
          <w:lang w:val="pl-PL"/>
        </w:rPr>
        <w:t> </w:t>
      </w:r>
      <w:r w:rsidRPr="00DC40BE">
        <w:rPr>
          <w:noProof/>
          <w:lang w:val="pl-PL"/>
        </w:rPr>
        <w:t>r.)</w:t>
      </w:r>
      <w:r w:rsidR="00DC40BE" w:rsidRPr="00DC40BE">
        <w:rPr>
          <w:noProof/>
          <w:lang w:val="pl-PL"/>
        </w:rPr>
        <w:t xml:space="preserve"> w mia</w:t>
      </w:r>
      <w:r w:rsidRPr="00DC40BE">
        <w:rPr>
          <w:noProof/>
          <w:lang w:val="pl-PL"/>
        </w:rPr>
        <w:t>rę udostępniania tych środków obywatelom przez kolejne państwa członkowskie. Proponowane wprowadzenie europejskich portfeli tożsamości cyfrowej(</w:t>
      </w:r>
      <w:r w:rsidRPr="00DC40BE">
        <w:rPr>
          <w:rStyle w:val="Odwoanieprzypisudolnego"/>
          <w:noProof/>
          <w:lang w:val="pl-PL"/>
        </w:rPr>
        <w:footnoteReference w:id="41"/>
      </w:r>
      <w:r w:rsidRPr="00DC40BE">
        <w:rPr>
          <w:noProof/>
          <w:lang w:val="pl-PL"/>
        </w:rPr>
        <w:t xml:space="preserve">) ma na celu </w:t>
      </w:r>
      <w:r w:rsidRPr="00DC40BE">
        <w:rPr>
          <w:noProof/>
          <w:lang w:val="pl-PL"/>
        </w:rPr>
        <w:lastRenderedPageBreak/>
        <w:t>przyspieszenie procesu przyjmowania takich technologii we wszystkich państwach członkowskich,</w:t>
      </w:r>
      <w:r w:rsidR="00DC40BE" w:rsidRPr="00DC40BE">
        <w:rPr>
          <w:noProof/>
          <w:lang w:val="pl-PL"/>
        </w:rPr>
        <w:t xml:space="preserve"> a tym</w:t>
      </w:r>
      <w:r w:rsidRPr="00DC40BE">
        <w:rPr>
          <w:noProof/>
          <w:lang w:val="pl-PL"/>
        </w:rPr>
        <w:t xml:space="preserve"> samym zwiększenie zaangażowania obywatelskiego</w:t>
      </w:r>
      <w:r w:rsidR="00DC40BE" w:rsidRPr="00DC40BE">
        <w:rPr>
          <w:noProof/>
          <w:lang w:val="pl-PL"/>
        </w:rPr>
        <w:t xml:space="preserve"> i spo</w:t>
      </w:r>
      <w:r w:rsidRPr="00DC40BE">
        <w:rPr>
          <w:noProof/>
          <w:lang w:val="pl-PL"/>
        </w:rPr>
        <w:t>łecznego obywateli</w:t>
      </w:r>
      <w:r w:rsidR="00DC40BE" w:rsidRPr="00DC40BE">
        <w:rPr>
          <w:noProof/>
          <w:lang w:val="pl-PL"/>
        </w:rPr>
        <w:t>. W ram</w:t>
      </w:r>
      <w:r w:rsidRPr="00DC40BE">
        <w:rPr>
          <w:noProof/>
          <w:lang w:val="pl-PL"/>
        </w:rPr>
        <w:t>ach grupy ekspertów ds. EIO Komisja zachęca również państwa członkowskie do regularnej sprawozdawczości</w:t>
      </w:r>
      <w:r w:rsidR="00DC40BE" w:rsidRPr="00DC40BE">
        <w:rPr>
          <w:noProof/>
          <w:lang w:val="pl-PL"/>
        </w:rPr>
        <w:t xml:space="preserve"> w zak</w:t>
      </w:r>
      <w:r w:rsidRPr="00DC40BE">
        <w:rPr>
          <w:noProof/>
          <w:lang w:val="pl-PL"/>
        </w:rPr>
        <w:t>resie ich postępów we wdrażaniu środków identyfikacji elektronicznej.</w:t>
      </w:r>
    </w:p>
    <w:p w14:paraId="1E6F3036" w14:textId="44BD942C" w:rsidR="005A4888" w:rsidRPr="00DC40BE" w:rsidRDefault="005A4888" w:rsidP="00E8781C">
      <w:pPr>
        <w:pStyle w:val="Nagwek3"/>
        <w:numPr>
          <w:ilvl w:val="2"/>
          <w:numId w:val="16"/>
        </w:numPr>
        <w:spacing w:before="100" w:beforeAutospacing="1" w:after="100" w:afterAutospacing="1" w:line="276" w:lineRule="auto"/>
        <w:rPr>
          <w:i w:val="0"/>
          <w:noProof/>
          <w:lang w:val="pl-PL"/>
        </w:rPr>
      </w:pPr>
      <w:bookmarkStart w:id="23" w:name="_Toc1799077183"/>
      <w:bookmarkStart w:id="24" w:name="_Toc146296677"/>
      <w:bookmarkEnd w:id="20"/>
      <w:r w:rsidRPr="00DC40BE">
        <w:rPr>
          <w:i w:val="0"/>
          <w:noProof/>
          <w:lang w:val="pl-PL"/>
        </w:rPr>
        <w:t>Certyfikacja indywidualnych systemów zbierania deklaracji online</w:t>
      </w:r>
      <w:bookmarkEnd w:id="23"/>
      <w:bookmarkEnd w:id="24"/>
    </w:p>
    <w:p w14:paraId="2A995159" w14:textId="3E2C8CC9" w:rsidR="005A4888" w:rsidRPr="00DC40BE" w:rsidRDefault="00F069E4" w:rsidP="00E8781C">
      <w:pPr>
        <w:spacing w:before="100" w:beforeAutospacing="1" w:after="100" w:afterAutospacing="1" w:line="276" w:lineRule="auto"/>
        <w:rPr>
          <w:noProof/>
          <w:lang w:val="pl-PL"/>
        </w:rPr>
      </w:pPr>
      <w:r w:rsidRPr="00DC40BE">
        <w:rPr>
          <w:noProof/>
          <w:lang w:val="pl-PL"/>
        </w:rPr>
        <w:t>Organ niemiecki(</w:t>
      </w:r>
      <w:r w:rsidRPr="00DC40BE">
        <w:rPr>
          <w:rStyle w:val="Odwoanieprzypisudolnego"/>
          <w:noProof/>
          <w:lang w:val="pl-PL"/>
        </w:rPr>
        <w:footnoteReference w:id="42"/>
      </w:r>
      <w:r w:rsidRPr="00DC40BE">
        <w:rPr>
          <w:noProof/>
          <w:lang w:val="pl-PL"/>
        </w:rPr>
        <w:t>) certyfikował indywidualne systemy zbierania deklaracji online dla sześciu EIO, które zostały zarejestrowane po</w:t>
      </w:r>
      <w:r w:rsidR="00DC40BE" w:rsidRPr="00DC40BE">
        <w:rPr>
          <w:noProof/>
          <w:lang w:val="pl-PL"/>
        </w:rPr>
        <w:t> </w:t>
      </w:r>
      <w:r w:rsidRPr="00DC40BE">
        <w:rPr>
          <w:noProof/>
          <w:lang w:val="pl-PL"/>
        </w:rPr>
        <w:t>1 stycznia 2020</w:t>
      </w:r>
      <w:r w:rsidR="00DC40BE" w:rsidRPr="00DC40BE">
        <w:rPr>
          <w:noProof/>
          <w:lang w:val="pl-PL"/>
        </w:rPr>
        <w:t> </w:t>
      </w:r>
      <w:r w:rsidRPr="00DC40BE">
        <w:rPr>
          <w:noProof/>
          <w:lang w:val="pl-PL"/>
        </w:rPr>
        <w:t>r.</w:t>
      </w:r>
      <w:r w:rsidR="00DC40BE" w:rsidRPr="00DC40BE">
        <w:rPr>
          <w:noProof/>
          <w:lang w:val="pl-PL"/>
        </w:rPr>
        <w:t xml:space="preserve"> i któ</w:t>
      </w:r>
      <w:r w:rsidRPr="00DC40BE">
        <w:rPr>
          <w:noProof/>
          <w:lang w:val="pl-PL"/>
        </w:rPr>
        <w:t>re korzystały</w:t>
      </w:r>
      <w:r w:rsidR="00DC40BE" w:rsidRPr="00DC40BE">
        <w:rPr>
          <w:noProof/>
          <w:lang w:val="pl-PL"/>
        </w:rPr>
        <w:t xml:space="preserve"> z tak</w:t>
      </w:r>
      <w:r w:rsidRPr="00DC40BE">
        <w:rPr>
          <w:noProof/>
          <w:lang w:val="pl-PL"/>
        </w:rPr>
        <w:t>ich systemów</w:t>
      </w:r>
      <w:r w:rsidR="00DC40BE" w:rsidRPr="00DC40BE">
        <w:rPr>
          <w:noProof/>
          <w:lang w:val="pl-PL"/>
        </w:rPr>
        <w:t>. W prz</w:t>
      </w:r>
      <w:r w:rsidRPr="00DC40BE">
        <w:rPr>
          <w:noProof/>
          <w:lang w:val="pl-PL"/>
        </w:rPr>
        <w:t>ekazanych informacjach zwrotnych organ niemiecki wyraził pogląd, że termin jednego miesiąca na dokonanie certyfikacji tych systemów jest zbyt krótki. Organ ten podkreślił również, że –</w:t>
      </w:r>
      <w:r w:rsidR="00DC40BE" w:rsidRPr="00DC40BE">
        <w:rPr>
          <w:noProof/>
          <w:lang w:val="pl-PL"/>
        </w:rPr>
        <w:t xml:space="preserve"> w por</w:t>
      </w:r>
      <w:r w:rsidRPr="00DC40BE">
        <w:rPr>
          <w:noProof/>
          <w:lang w:val="pl-PL"/>
        </w:rPr>
        <w:t>ównaniu</w:t>
      </w:r>
      <w:r w:rsidR="00DC40BE" w:rsidRPr="00DC40BE">
        <w:rPr>
          <w:noProof/>
          <w:lang w:val="pl-PL"/>
        </w:rPr>
        <w:t xml:space="preserve"> z cen</w:t>
      </w:r>
      <w:r w:rsidRPr="00DC40BE">
        <w:rPr>
          <w:noProof/>
          <w:lang w:val="pl-PL"/>
        </w:rPr>
        <w:t>tralnym systemem zbierania deklaracji online – certyfikacja indywidualnych systemów zbierania deklaracji wiąże się</w:t>
      </w:r>
      <w:r w:rsidR="00DC40BE" w:rsidRPr="00DC40BE">
        <w:rPr>
          <w:noProof/>
          <w:lang w:val="pl-PL"/>
        </w:rPr>
        <w:t xml:space="preserve"> z kon</w:t>
      </w:r>
      <w:r w:rsidRPr="00DC40BE">
        <w:rPr>
          <w:noProof/>
          <w:lang w:val="pl-PL"/>
        </w:rPr>
        <w:t>iecznością podjęcia nieproporcjonalnie dużych wysiłków przez wszystkie państwa członkowskie, ponieważ każde</w:t>
      </w:r>
      <w:r w:rsidR="00DC40BE" w:rsidRPr="00DC40BE">
        <w:rPr>
          <w:noProof/>
          <w:lang w:val="pl-PL"/>
        </w:rPr>
        <w:t xml:space="preserve"> z nic</w:t>
      </w:r>
      <w:r w:rsidRPr="00DC40BE">
        <w:rPr>
          <w:noProof/>
          <w:lang w:val="pl-PL"/>
        </w:rPr>
        <w:t>h musi przeprowadzić procedury</w:t>
      </w:r>
      <w:r w:rsidR="00DC40BE" w:rsidRPr="00DC40BE">
        <w:rPr>
          <w:noProof/>
          <w:lang w:val="pl-PL"/>
        </w:rPr>
        <w:t xml:space="preserve"> i zai</w:t>
      </w:r>
      <w:r w:rsidRPr="00DC40BE">
        <w:rPr>
          <w:noProof/>
          <w:lang w:val="pl-PL"/>
        </w:rPr>
        <w:t>nwestować zasoby niezbędne do dokonania certyfikacji</w:t>
      </w:r>
      <w:r w:rsidR="00DC40BE" w:rsidRPr="00DC40BE">
        <w:rPr>
          <w:noProof/>
          <w:lang w:val="pl-PL"/>
        </w:rPr>
        <w:t xml:space="preserve"> w wyz</w:t>
      </w:r>
      <w:r w:rsidRPr="00DC40BE">
        <w:rPr>
          <w:noProof/>
          <w:lang w:val="pl-PL"/>
        </w:rPr>
        <w:t>naczonym terminie</w:t>
      </w:r>
      <w:r w:rsidR="00DC40BE" w:rsidRPr="00DC40BE">
        <w:rPr>
          <w:noProof/>
          <w:lang w:val="pl-PL"/>
        </w:rPr>
        <w:t>. W prz</w:t>
      </w:r>
      <w:r w:rsidRPr="00DC40BE">
        <w:rPr>
          <w:noProof/>
          <w:lang w:val="pl-PL"/>
        </w:rPr>
        <w:t>ekazanych informacjach zwrotnych Niemcy ponowiły swoje poparcie dla odejścia od stosowania tych systemów do</w:t>
      </w:r>
      <w:r w:rsidR="00DC40BE" w:rsidRPr="00DC40BE">
        <w:rPr>
          <w:noProof/>
          <w:lang w:val="pl-PL"/>
        </w:rPr>
        <w:t> </w:t>
      </w:r>
      <w:r w:rsidRPr="00DC40BE">
        <w:rPr>
          <w:noProof/>
          <w:lang w:val="pl-PL"/>
        </w:rPr>
        <w:t>31 grudnia 2022</w:t>
      </w:r>
      <w:r w:rsidR="00DC40BE" w:rsidRPr="00DC40BE">
        <w:rPr>
          <w:noProof/>
          <w:lang w:val="pl-PL"/>
        </w:rPr>
        <w:t> </w:t>
      </w:r>
      <w:r w:rsidRPr="00DC40BE">
        <w:rPr>
          <w:noProof/>
          <w:lang w:val="pl-PL"/>
        </w:rPr>
        <w:t>r. zgodnie</w:t>
      </w:r>
      <w:r w:rsidR="00DC40BE" w:rsidRPr="00DC40BE">
        <w:rPr>
          <w:noProof/>
          <w:lang w:val="pl-PL"/>
        </w:rPr>
        <w:t xml:space="preserve"> z art</w:t>
      </w:r>
      <w:r w:rsidRPr="00DC40BE">
        <w:rPr>
          <w:noProof/>
          <w:lang w:val="pl-PL"/>
        </w:rPr>
        <w:t>.</w:t>
      </w:r>
      <w:r w:rsidR="00DC40BE" w:rsidRPr="00DC40BE">
        <w:rPr>
          <w:noProof/>
          <w:lang w:val="pl-PL"/>
        </w:rPr>
        <w:t> </w:t>
      </w:r>
      <w:r w:rsidRPr="00DC40BE">
        <w:rPr>
          <w:noProof/>
          <w:lang w:val="pl-PL"/>
        </w:rPr>
        <w:t>11 ust.</w:t>
      </w:r>
      <w:r w:rsidR="00DC40BE" w:rsidRPr="00DC40BE">
        <w:rPr>
          <w:noProof/>
          <w:lang w:val="pl-PL"/>
        </w:rPr>
        <w:t> </w:t>
      </w:r>
      <w:r w:rsidRPr="00DC40BE">
        <w:rPr>
          <w:noProof/>
          <w:lang w:val="pl-PL"/>
        </w:rPr>
        <w:t>7 rozporządzenia</w:t>
      </w:r>
      <w:r w:rsidR="00DC40BE" w:rsidRPr="00DC40BE">
        <w:rPr>
          <w:noProof/>
          <w:lang w:val="pl-PL"/>
        </w:rPr>
        <w:t xml:space="preserve"> w spr</w:t>
      </w:r>
      <w:r w:rsidRPr="00DC40BE">
        <w:rPr>
          <w:noProof/>
          <w:lang w:val="pl-PL"/>
        </w:rPr>
        <w:t xml:space="preserve">awie EIO. </w:t>
      </w:r>
    </w:p>
    <w:p w14:paraId="56D292FB" w14:textId="577A092A" w:rsidR="005A4888" w:rsidRPr="00DC40BE" w:rsidRDefault="00084415" w:rsidP="00E8781C">
      <w:pPr>
        <w:spacing w:before="100" w:beforeAutospacing="1" w:after="100" w:afterAutospacing="1" w:line="276" w:lineRule="auto"/>
        <w:rPr>
          <w:noProof/>
          <w:lang w:val="pl-PL"/>
        </w:rPr>
      </w:pPr>
      <w:r w:rsidRPr="00DC40BE">
        <w:rPr>
          <w:noProof/>
          <w:lang w:val="pl-PL"/>
        </w:rPr>
        <w:t>Organizatorzy EIO, którzy wzięli udział</w:t>
      </w:r>
      <w:r w:rsidR="00DC40BE" w:rsidRPr="00DC40BE">
        <w:rPr>
          <w:noProof/>
          <w:lang w:val="pl-PL"/>
        </w:rPr>
        <w:t xml:space="preserve"> w ank</w:t>
      </w:r>
      <w:r w:rsidRPr="00DC40BE">
        <w:rPr>
          <w:noProof/>
          <w:lang w:val="pl-PL"/>
        </w:rPr>
        <w:t xml:space="preserve">iecie internetowej, stwierdzili, że spełnienie specyfikacji technicznych wymaganych do certyfikowania ich indywidualnego systemu zbierania deklaracji online oraz do uzyskania certyfikacji od organów krajowych było stosunkowo trudne. </w:t>
      </w:r>
    </w:p>
    <w:p w14:paraId="675D843E" w14:textId="03798621" w:rsidR="005A4888" w:rsidRPr="00DC40BE" w:rsidRDefault="005A4888" w:rsidP="00E8781C">
      <w:pPr>
        <w:pStyle w:val="Nagwek3"/>
        <w:numPr>
          <w:ilvl w:val="2"/>
          <w:numId w:val="16"/>
        </w:numPr>
        <w:spacing w:before="100" w:beforeAutospacing="1" w:after="100" w:afterAutospacing="1" w:line="276" w:lineRule="auto"/>
        <w:rPr>
          <w:i w:val="0"/>
          <w:noProof/>
          <w:lang w:val="pl-PL"/>
        </w:rPr>
      </w:pPr>
      <w:bookmarkStart w:id="25" w:name="_Toc146296678"/>
      <w:r w:rsidRPr="00DC40BE">
        <w:rPr>
          <w:i w:val="0"/>
          <w:noProof/>
          <w:lang w:val="pl-PL"/>
        </w:rPr>
        <w:t>Analiza możliwości ponownego umożliwienia organizatorom korzystania</w:t>
      </w:r>
      <w:r w:rsidR="00DC40BE" w:rsidRPr="00DC40BE">
        <w:rPr>
          <w:i w:val="0"/>
          <w:noProof/>
          <w:lang w:val="pl-PL"/>
        </w:rPr>
        <w:t xml:space="preserve"> z ind</w:t>
      </w:r>
      <w:r w:rsidRPr="00DC40BE">
        <w:rPr>
          <w:i w:val="0"/>
          <w:noProof/>
          <w:lang w:val="pl-PL"/>
        </w:rPr>
        <w:t>ywidualnych systemów zbierania deklaracji online</w:t>
      </w:r>
      <w:bookmarkEnd w:id="25"/>
    </w:p>
    <w:p w14:paraId="09A72F4B" w14:textId="214FED26" w:rsidR="005A4888" w:rsidRPr="00DC40BE" w:rsidRDefault="005A4888" w:rsidP="00E8781C">
      <w:pPr>
        <w:spacing w:before="100" w:beforeAutospacing="1" w:after="100" w:afterAutospacing="1" w:line="276" w:lineRule="auto"/>
        <w:rPr>
          <w:noProof/>
          <w:lang w:val="pl-PL"/>
        </w:rPr>
      </w:pPr>
      <w:r w:rsidRPr="00DC40BE">
        <w:rPr>
          <w:noProof/>
          <w:lang w:val="pl-PL"/>
        </w:rPr>
        <w:t>W rezolucji</w:t>
      </w:r>
      <w:r w:rsidR="00DC40BE" w:rsidRPr="00DC40BE">
        <w:rPr>
          <w:noProof/>
          <w:lang w:val="pl-PL"/>
        </w:rPr>
        <w:t xml:space="preserve"> w spr</w:t>
      </w:r>
      <w:r w:rsidRPr="00DC40BE">
        <w:rPr>
          <w:noProof/>
          <w:lang w:val="pl-PL"/>
        </w:rPr>
        <w:t>awie wdrożenia rozporządzeń dotyczących EIO(</w:t>
      </w:r>
      <w:r w:rsidRPr="00DC40BE">
        <w:rPr>
          <w:rStyle w:val="Odwoanieprzypisudolnego"/>
          <w:noProof/>
          <w:lang w:val="pl-PL"/>
        </w:rPr>
        <w:footnoteReference w:id="43"/>
      </w:r>
      <w:r w:rsidRPr="00DC40BE">
        <w:rPr>
          <w:noProof/>
          <w:lang w:val="pl-PL"/>
        </w:rPr>
        <w:t>) Parlament Europejski wezwał Komisję do przeanalizowania możliwości ponownego umożliwienia organizatorom korzystania</w:t>
      </w:r>
      <w:r w:rsidR="00DC40BE" w:rsidRPr="00DC40BE">
        <w:rPr>
          <w:noProof/>
          <w:lang w:val="pl-PL"/>
        </w:rPr>
        <w:t xml:space="preserve"> z ind</w:t>
      </w:r>
      <w:r w:rsidRPr="00DC40BE">
        <w:rPr>
          <w:noProof/>
          <w:lang w:val="pl-PL"/>
        </w:rPr>
        <w:t>ywidualnych systemów zbierania deklaracji online. Aby przeanalizować tę możliwość, Komisja zbadała trzy obszary.</w:t>
      </w:r>
    </w:p>
    <w:p w14:paraId="6DCE11E1" w14:textId="6112BDA9" w:rsidR="005A4888" w:rsidRPr="00DC40BE" w:rsidRDefault="002D0F91" w:rsidP="00E8781C">
      <w:pPr>
        <w:spacing w:before="100" w:beforeAutospacing="1" w:after="100" w:afterAutospacing="1" w:line="276" w:lineRule="auto"/>
        <w:rPr>
          <w:noProof/>
          <w:u w:val="single"/>
          <w:lang w:val="pl-PL"/>
        </w:rPr>
      </w:pPr>
      <w:r w:rsidRPr="00DC40BE">
        <w:rPr>
          <w:noProof/>
          <w:u w:val="single"/>
          <w:lang w:val="pl-PL"/>
        </w:rPr>
        <w:t>(i) Korzystanie</w:t>
      </w:r>
      <w:r w:rsidR="00DC40BE" w:rsidRPr="00DC40BE">
        <w:rPr>
          <w:noProof/>
          <w:u w:val="single"/>
          <w:lang w:val="pl-PL"/>
        </w:rPr>
        <w:t xml:space="preserve"> z ind</w:t>
      </w:r>
      <w:r w:rsidRPr="00DC40BE">
        <w:rPr>
          <w:noProof/>
          <w:u w:val="single"/>
          <w:lang w:val="pl-PL"/>
        </w:rPr>
        <w:t>ywidualnych systemów zbierania deklaracji online</w:t>
      </w:r>
    </w:p>
    <w:p w14:paraId="1B066599" w14:textId="74DC5EB4" w:rsidR="00084415" w:rsidRPr="00DC40BE" w:rsidRDefault="005A4888" w:rsidP="00E8781C">
      <w:pPr>
        <w:spacing w:before="100" w:beforeAutospacing="1" w:after="100" w:afterAutospacing="1" w:line="276" w:lineRule="auto"/>
        <w:rPr>
          <w:noProof/>
          <w:lang w:val="pl-PL"/>
        </w:rPr>
      </w:pPr>
      <w:r w:rsidRPr="00DC40BE">
        <w:rPr>
          <w:noProof/>
          <w:lang w:val="pl-PL"/>
        </w:rPr>
        <w:t>W toku negocjacji prowadzących do przyjęcia drugiego rozporządzenia</w:t>
      </w:r>
      <w:r w:rsidR="00DC40BE" w:rsidRPr="00DC40BE">
        <w:rPr>
          <w:noProof/>
          <w:lang w:val="pl-PL"/>
        </w:rPr>
        <w:t xml:space="preserve"> w spr</w:t>
      </w:r>
      <w:r w:rsidRPr="00DC40BE">
        <w:rPr>
          <w:noProof/>
          <w:lang w:val="pl-PL"/>
        </w:rPr>
        <w:t>awie EIO współprawodawcy podjęli decyzję</w:t>
      </w:r>
      <w:r w:rsidR="00DC40BE" w:rsidRPr="00DC40BE">
        <w:rPr>
          <w:noProof/>
          <w:lang w:val="pl-PL"/>
        </w:rPr>
        <w:t xml:space="preserve"> o ode</w:t>
      </w:r>
      <w:r w:rsidRPr="00DC40BE">
        <w:rPr>
          <w:noProof/>
          <w:lang w:val="pl-PL"/>
        </w:rPr>
        <w:t>jściu od korzystania</w:t>
      </w:r>
      <w:r w:rsidR="00DC40BE" w:rsidRPr="00DC40BE">
        <w:rPr>
          <w:noProof/>
          <w:lang w:val="pl-PL"/>
        </w:rPr>
        <w:t xml:space="preserve"> z ind</w:t>
      </w:r>
      <w:r w:rsidRPr="00DC40BE">
        <w:rPr>
          <w:noProof/>
          <w:lang w:val="pl-PL"/>
        </w:rPr>
        <w:t>ywidualnych systemów zbierania deklaracji online do końca 2022</w:t>
      </w:r>
      <w:r w:rsidR="00DC40BE" w:rsidRPr="00DC40BE">
        <w:rPr>
          <w:noProof/>
          <w:lang w:val="pl-PL"/>
        </w:rPr>
        <w:t> </w:t>
      </w:r>
      <w:r w:rsidRPr="00DC40BE">
        <w:rPr>
          <w:noProof/>
          <w:lang w:val="pl-PL"/>
        </w:rPr>
        <w:t>r</w:t>
      </w:r>
      <w:r w:rsidR="00DC40BE" w:rsidRPr="00DC40BE">
        <w:rPr>
          <w:noProof/>
          <w:lang w:val="pl-PL"/>
        </w:rPr>
        <w:t>. W okr</w:t>
      </w:r>
      <w:r w:rsidRPr="00DC40BE">
        <w:rPr>
          <w:noProof/>
          <w:lang w:val="pl-PL"/>
        </w:rPr>
        <w:t>esie od stycznia 2020</w:t>
      </w:r>
      <w:r w:rsidR="00DC40BE" w:rsidRPr="00DC40BE">
        <w:rPr>
          <w:noProof/>
          <w:lang w:val="pl-PL"/>
        </w:rPr>
        <w:t> </w:t>
      </w:r>
      <w:r w:rsidRPr="00DC40BE">
        <w:rPr>
          <w:noProof/>
          <w:lang w:val="pl-PL"/>
        </w:rPr>
        <w:t>r. do grudnia 2022</w:t>
      </w:r>
      <w:r w:rsidR="00DC40BE" w:rsidRPr="00DC40BE">
        <w:rPr>
          <w:noProof/>
          <w:lang w:val="pl-PL"/>
        </w:rPr>
        <w:t> </w:t>
      </w:r>
      <w:r w:rsidRPr="00DC40BE">
        <w:rPr>
          <w:noProof/>
          <w:lang w:val="pl-PL"/>
        </w:rPr>
        <w:t>r. (kiedy organizatorzy nadal dysponowali swobodą wyboru</w:t>
      </w:r>
      <w:r w:rsidR="00DC40BE" w:rsidRPr="00DC40BE">
        <w:rPr>
          <w:noProof/>
          <w:lang w:val="pl-PL"/>
        </w:rPr>
        <w:t xml:space="preserve"> w tym</w:t>
      </w:r>
      <w:r w:rsidRPr="00DC40BE">
        <w:rPr>
          <w:noProof/>
          <w:lang w:val="pl-PL"/>
        </w:rPr>
        <w:t xml:space="preserve"> zakresie) sześć spośród 26 zarejestrowanych EIO (23</w:t>
      </w:r>
      <w:r w:rsidR="00DC40BE" w:rsidRPr="00DC40BE">
        <w:rPr>
          <w:noProof/>
          <w:lang w:val="pl-PL"/>
        </w:rPr>
        <w:t> </w:t>
      </w:r>
      <w:r w:rsidRPr="00DC40BE">
        <w:rPr>
          <w:noProof/>
          <w:lang w:val="pl-PL"/>
        </w:rPr>
        <w:t>%) zdecydowało się skorzystać</w:t>
      </w:r>
      <w:r w:rsidR="00DC40BE" w:rsidRPr="00DC40BE">
        <w:rPr>
          <w:noProof/>
          <w:lang w:val="pl-PL"/>
        </w:rPr>
        <w:t xml:space="preserve"> z sys</w:t>
      </w:r>
      <w:r w:rsidRPr="00DC40BE">
        <w:rPr>
          <w:noProof/>
          <w:lang w:val="pl-PL"/>
        </w:rPr>
        <w:t>temu OpenECI</w:t>
      </w:r>
      <w:r w:rsidR="00DC40BE" w:rsidRPr="00DC40BE">
        <w:rPr>
          <w:noProof/>
          <w:lang w:val="pl-PL"/>
        </w:rPr>
        <w:t>. W ost</w:t>
      </w:r>
      <w:r w:rsidRPr="00DC40BE">
        <w:rPr>
          <w:noProof/>
          <w:lang w:val="pl-PL"/>
        </w:rPr>
        <w:t>atnim roku,</w:t>
      </w:r>
      <w:r w:rsidR="00DC40BE" w:rsidRPr="00DC40BE">
        <w:rPr>
          <w:noProof/>
          <w:lang w:val="pl-PL"/>
        </w:rPr>
        <w:t xml:space="preserve"> w któ</w:t>
      </w:r>
      <w:r w:rsidRPr="00DC40BE">
        <w:rPr>
          <w:noProof/>
          <w:lang w:val="pl-PL"/>
        </w:rPr>
        <w:t>rym można było dokonywać wyboru systemu (tj.</w:t>
      </w:r>
      <w:r w:rsidR="00DC40BE" w:rsidRPr="00DC40BE">
        <w:rPr>
          <w:noProof/>
          <w:lang w:val="pl-PL"/>
        </w:rPr>
        <w:t xml:space="preserve"> w 2</w:t>
      </w:r>
      <w:r w:rsidRPr="00DC40BE">
        <w:rPr>
          <w:noProof/>
          <w:lang w:val="pl-PL"/>
        </w:rPr>
        <w:t>022</w:t>
      </w:r>
      <w:r w:rsidR="00DC40BE" w:rsidRPr="00DC40BE">
        <w:rPr>
          <w:noProof/>
          <w:lang w:val="pl-PL"/>
        </w:rPr>
        <w:t> </w:t>
      </w:r>
      <w:r w:rsidRPr="00DC40BE">
        <w:rPr>
          <w:noProof/>
          <w:lang w:val="pl-PL"/>
        </w:rPr>
        <w:t xml:space="preserve">r.), organizatorzy zaledwie </w:t>
      </w:r>
      <w:r w:rsidRPr="00DC40BE">
        <w:rPr>
          <w:noProof/>
          <w:lang w:val="pl-PL"/>
        </w:rPr>
        <w:lastRenderedPageBreak/>
        <w:t>dwóch spośród 10 zarejestrowanych EIO zdecydowali się skorzystać</w:t>
      </w:r>
      <w:r w:rsidR="00DC40BE" w:rsidRPr="00DC40BE">
        <w:rPr>
          <w:noProof/>
          <w:lang w:val="pl-PL"/>
        </w:rPr>
        <w:t xml:space="preserve"> z ind</w:t>
      </w:r>
      <w:r w:rsidRPr="00DC40BE">
        <w:rPr>
          <w:noProof/>
          <w:lang w:val="pl-PL"/>
        </w:rPr>
        <w:t xml:space="preserve">ywidualnego systemu zbierania deklaracji online. Powyższe dane liczbowe wyraźnie wskazują, że </w:t>
      </w:r>
      <w:r w:rsidRPr="00DC40BE">
        <w:rPr>
          <w:b/>
          <w:noProof/>
          <w:lang w:val="pl-PL"/>
        </w:rPr>
        <w:t>zapotrzebowanie na system alternatywny</w:t>
      </w:r>
      <w:r w:rsidR="00DC40BE" w:rsidRPr="00DC40BE">
        <w:rPr>
          <w:b/>
          <w:noProof/>
          <w:lang w:val="pl-PL"/>
        </w:rPr>
        <w:t xml:space="preserve"> w sto</w:t>
      </w:r>
      <w:r w:rsidRPr="00DC40BE">
        <w:rPr>
          <w:b/>
          <w:noProof/>
          <w:lang w:val="pl-PL"/>
        </w:rPr>
        <w:t>sunku do systemu centralnego jest stosunkowo ograniczone</w:t>
      </w:r>
      <w:r w:rsidRPr="00DC40BE">
        <w:rPr>
          <w:noProof/>
          <w:lang w:val="pl-PL"/>
        </w:rPr>
        <w:t>. Korzystanie</w:t>
      </w:r>
      <w:r w:rsidR="00DC40BE" w:rsidRPr="00DC40BE">
        <w:rPr>
          <w:noProof/>
          <w:lang w:val="pl-PL"/>
        </w:rPr>
        <w:t xml:space="preserve"> z tak</w:t>
      </w:r>
      <w:r w:rsidRPr="00DC40BE">
        <w:rPr>
          <w:noProof/>
          <w:lang w:val="pl-PL"/>
        </w:rPr>
        <w:t>ich systemów wiąże się również</w:t>
      </w:r>
      <w:r w:rsidR="00DC40BE" w:rsidRPr="00DC40BE">
        <w:rPr>
          <w:noProof/>
          <w:lang w:val="pl-PL"/>
        </w:rPr>
        <w:t xml:space="preserve"> z sze</w:t>
      </w:r>
      <w:r w:rsidRPr="00DC40BE">
        <w:rPr>
          <w:noProof/>
          <w:lang w:val="pl-PL"/>
        </w:rPr>
        <w:t>regiem wyzwań</w:t>
      </w:r>
      <w:r w:rsidR="00DC40BE" w:rsidRPr="00DC40BE">
        <w:rPr>
          <w:noProof/>
          <w:lang w:val="pl-PL"/>
        </w:rPr>
        <w:t xml:space="preserve"> i obc</w:t>
      </w:r>
      <w:r w:rsidRPr="00DC40BE">
        <w:rPr>
          <w:noProof/>
          <w:lang w:val="pl-PL"/>
        </w:rPr>
        <w:t>iążeń administracyjnych zarówno dla państw członkowskich(</w:t>
      </w:r>
      <w:r w:rsidRPr="00DC40BE">
        <w:rPr>
          <w:rStyle w:val="Odwoanieprzypisudolnego"/>
          <w:noProof/>
          <w:lang w:val="pl-PL"/>
        </w:rPr>
        <w:footnoteReference w:id="44"/>
      </w:r>
      <w:r w:rsidRPr="00DC40BE">
        <w:rPr>
          <w:noProof/>
          <w:lang w:val="pl-PL"/>
        </w:rPr>
        <w:t>), jak</w:t>
      </w:r>
      <w:r w:rsidR="00DC40BE" w:rsidRPr="00DC40BE">
        <w:rPr>
          <w:noProof/>
          <w:lang w:val="pl-PL"/>
        </w:rPr>
        <w:t xml:space="preserve"> i dla</w:t>
      </w:r>
      <w:r w:rsidRPr="00DC40BE">
        <w:rPr>
          <w:noProof/>
          <w:lang w:val="pl-PL"/>
        </w:rPr>
        <w:t xml:space="preserve"> organizatorów EIO. </w:t>
      </w:r>
    </w:p>
    <w:p w14:paraId="13B6B441" w14:textId="77777777" w:rsidR="00084415" w:rsidRPr="00DC40BE" w:rsidRDefault="002D0F91" w:rsidP="00E8781C">
      <w:pPr>
        <w:spacing w:before="100" w:beforeAutospacing="1" w:after="100" w:afterAutospacing="1" w:line="276" w:lineRule="auto"/>
        <w:rPr>
          <w:noProof/>
          <w:u w:val="single"/>
          <w:lang w:val="pl-PL"/>
        </w:rPr>
      </w:pPr>
      <w:bookmarkStart w:id="26" w:name="_Hlk140140317"/>
      <w:r w:rsidRPr="00DC40BE">
        <w:rPr>
          <w:noProof/>
          <w:u w:val="single"/>
          <w:lang w:val="pl-PL"/>
        </w:rPr>
        <w:t>(ii) Obciążenie dla organizatorów EIO</w:t>
      </w:r>
      <w:bookmarkEnd w:id="26"/>
    </w:p>
    <w:p w14:paraId="1AF0EC69" w14:textId="2D51BDA6" w:rsidR="005A4888" w:rsidRPr="00DC40BE" w:rsidRDefault="008D2F28" w:rsidP="00E8781C">
      <w:pPr>
        <w:spacing w:before="100" w:beforeAutospacing="1" w:after="100" w:afterAutospacing="1" w:line="276" w:lineRule="auto"/>
        <w:rPr>
          <w:noProof/>
          <w:lang w:val="pl-PL"/>
        </w:rPr>
      </w:pPr>
      <w:r w:rsidRPr="00DC40BE">
        <w:rPr>
          <w:noProof/>
          <w:lang w:val="pl-PL"/>
        </w:rPr>
        <w:t>Korzystanie</w:t>
      </w:r>
      <w:r w:rsidR="00DC40BE" w:rsidRPr="00DC40BE">
        <w:rPr>
          <w:noProof/>
          <w:lang w:val="pl-PL"/>
        </w:rPr>
        <w:t xml:space="preserve"> z ind</w:t>
      </w:r>
      <w:r w:rsidRPr="00DC40BE">
        <w:rPr>
          <w:noProof/>
          <w:lang w:val="pl-PL"/>
        </w:rPr>
        <w:t>ywidualnego systemu zbierania deklaracji online nakłada na organizatorów EIO obowiązek pokrycia dodatkowych kosztów związanych</w:t>
      </w:r>
      <w:r w:rsidR="00DC40BE" w:rsidRPr="00DC40BE">
        <w:rPr>
          <w:noProof/>
          <w:lang w:val="pl-PL"/>
        </w:rPr>
        <w:t xml:space="preserve"> z roz</w:t>
      </w:r>
      <w:r w:rsidRPr="00DC40BE">
        <w:rPr>
          <w:noProof/>
          <w:lang w:val="pl-PL"/>
        </w:rPr>
        <w:t>wijaniem tego systemu, zarządzaniem nim</w:t>
      </w:r>
      <w:r w:rsidR="00DC40BE" w:rsidRPr="00DC40BE">
        <w:rPr>
          <w:noProof/>
          <w:lang w:val="pl-PL"/>
        </w:rPr>
        <w:t xml:space="preserve"> i jeg</w:t>
      </w:r>
      <w:r w:rsidRPr="00DC40BE">
        <w:rPr>
          <w:noProof/>
          <w:lang w:val="pl-PL"/>
        </w:rPr>
        <w:t>o certyfikacją(</w:t>
      </w:r>
      <w:r w:rsidRPr="00DC40BE">
        <w:rPr>
          <w:rStyle w:val="Odwoanieprzypisudolnego"/>
          <w:noProof/>
          <w:lang w:val="pl-PL"/>
        </w:rPr>
        <w:footnoteReference w:id="45"/>
      </w:r>
      <w:r w:rsidRPr="00DC40BE">
        <w:rPr>
          <w:noProof/>
          <w:lang w:val="pl-PL"/>
        </w:rPr>
        <w:t>)</w:t>
      </w:r>
      <w:r w:rsidR="00DC40BE" w:rsidRPr="00DC40BE">
        <w:rPr>
          <w:noProof/>
          <w:lang w:val="pl-PL"/>
        </w:rPr>
        <w:t xml:space="preserve"> w por</w:t>
      </w:r>
      <w:r w:rsidRPr="00DC40BE">
        <w:rPr>
          <w:noProof/>
          <w:lang w:val="pl-PL"/>
        </w:rPr>
        <w:t>ównaniu</w:t>
      </w:r>
      <w:r w:rsidR="00DC40BE" w:rsidRPr="00DC40BE">
        <w:rPr>
          <w:noProof/>
          <w:lang w:val="pl-PL"/>
        </w:rPr>
        <w:t xml:space="preserve"> z cen</w:t>
      </w:r>
      <w:r w:rsidRPr="00DC40BE">
        <w:rPr>
          <w:noProof/>
          <w:lang w:val="pl-PL"/>
        </w:rPr>
        <w:t>tralnym systemem zbierania deklaracji online będącym bezpłatnym systemem pod klucz. Organizatorzy EIO są również jedynymi administratorami danych osobowych gromadzonych za pośrednictwem indywidualnych systemów zbierania deklaracji online</w:t>
      </w:r>
      <w:r w:rsidR="00DC40BE" w:rsidRPr="00DC40BE">
        <w:rPr>
          <w:noProof/>
          <w:lang w:val="pl-PL"/>
        </w:rPr>
        <w:t>. W prz</w:t>
      </w:r>
      <w:r w:rsidRPr="00DC40BE">
        <w:rPr>
          <w:noProof/>
          <w:lang w:val="pl-PL"/>
        </w:rPr>
        <w:t xml:space="preserve">ypadku centralnego systemu zbierania deklaracji online ta odpowiedzialność spoczywa niemal wyłącznie na Komisji, której powierzono zadanie zarządzania tym systemem. </w:t>
      </w:r>
    </w:p>
    <w:p w14:paraId="27AA3284" w14:textId="0F2943A4" w:rsidR="005A4888" w:rsidRPr="00DC40BE" w:rsidRDefault="005A4888" w:rsidP="00E8781C">
      <w:pPr>
        <w:spacing w:before="100" w:beforeAutospacing="1" w:after="100" w:afterAutospacing="1" w:line="276" w:lineRule="auto"/>
        <w:rPr>
          <w:noProof/>
          <w:lang w:val="pl-PL"/>
        </w:rPr>
      </w:pPr>
      <w:r w:rsidRPr="00DC40BE">
        <w:rPr>
          <w:noProof/>
          <w:lang w:val="pl-PL"/>
        </w:rPr>
        <w:t>Jakiekolwiek ponowne umożliwienie korzystania</w:t>
      </w:r>
      <w:r w:rsidR="00DC40BE" w:rsidRPr="00DC40BE">
        <w:rPr>
          <w:noProof/>
          <w:lang w:val="pl-PL"/>
        </w:rPr>
        <w:t xml:space="preserve"> z ind</w:t>
      </w:r>
      <w:r w:rsidRPr="00DC40BE">
        <w:rPr>
          <w:noProof/>
          <w:lang w:val="pl-PL"/>
        </w:rPr>
        <w:t>ywidualnych systemów zbierania deklaracji online wiązałoby się</w:t>
      </w:r>
      <w:r w:rsidR="00DC40BE" w:rsidRPr="00DC40BE">
        <w:rPr>
          <w:noProof/>
          <w:lang w:val="pl-PL"/>
        </w:rPr>
        <w:t xml:space="preserve"> z nał</w:t>
      </w:r>
      <w:r w:rsidRPr="00DC40BE">
        <w:rPr>
          <w:noProof/>
          <w:lang w:val="pl-PL"/>
        </w:rPr>
        <w:t>ożeniem</w:t>
      </w:r>
      <w:r w:rsidRPr="00DC40BE">
        <w:rPr>
          <w:b/>
          <w:noProof/>
          <w:lang w:val="pl-PL"/>
        </w:rPr>
        <w:t xml:space="preserve"> dodatkowych obciążeń na organizatorów EIO służących zapewnieniu zgodności</w:t>
      </w:r>
      <w:r w:rsidR="00DC40BE" w:rsidRPr="00DC40BE">
        <w:rPr>
          <w:b/>
          <w:noProof/>
          <w:lang w:val="pl-PL"/>
        </w:rPr>
        <w:t xml:space="preserve"> z obo</w:t>
      </w:r>
      <w:r w:rsidRPr="00DC40BE">
        <w:rPr>
          <w:b/>
          <w:noProof/>
          <w:lang w:val="pl-PL"/>
        </w:rPr>
        <w:t>wiązującymi specyfikacjami technicznymi</w:t>
      </w:r>
      <w:r w:rsidRPr="00DC40BE">
        <w:rPr>
          <w:noProof/>
          <w:lang w:val="pl-PL"/>
        </w:rPr>
        <w:t xml:space="preserve">, ponieważ systemy te musiałyby być regularnie kontrolowane, aby zagwarantować przestrzeganie stosownych specyfikacji przez cały okres zbierania deklaracji. </w:t>
      </w:r>
    </w:p>
    <w:p w14:paraId="4760B889" w14:textId="64A92F6A" w:rsidR="005A4888" w:rsidRPr="00DC40BE" w:rsidRDefault="005A4888" w:rsidP="00E8781C">
      <w:pPr>
        <w:spacing w:before="100" w:beforeAutospacing="1" w:after="100" w:afterAutospacing="1" w:line="276" w:lineRule="auto"/>
        <w:rPr>
          <w:noProof/>
          <w:lang w:val="pl-PL"/>
        </w:rPr>
      </w:pPr>
      <w:r w:rsidRPr="00DC40BE">
        <w:rPr>
          <w:noProof/>
          <w:lang w:val="pl-PL"/>
        </w:rPr>
        <w:t>Komisja przeanalizowała konkretne potrzeby przedstawiane przez organizatorów EIO, które mogą oni zaspokoić dzięki korzystaniu</w:t>
      </w:r>
      <w:r w:rsidR="00DC40BE" w:rsidRPr="00DC40BE">
        <w:rPr>
          <w:noProof/>
          <w:lang w:val="pl-PL"/>
        </w:rPr>
        <w:t xml:space="preserve"> z alt</w:t>
      </w:r>
      <w:r w:rsidRPr="00DC40BE">
        <w:rPr>
          <w:noProof/>
          <w:lang w:val="pl-PL"/>
        </w:rPr>
        <w:t>ernatywnych systemów. Najczęściej wymienianym powodem wyboru tych systemów jest możliwość ich wbudowywania</w:t>
      </w:r>
      <w:r w:rsidR="00DC40BE" w:rsidRPr="00DC40BE">
        <w:rPr>
          <w:noProof/>
          <w:lang w:val="pl-PL"/>
        </w:rPr>
        <w:t xml:space="preserve"> w str</w:t>
      </w:r>
      <w:r w:rsidRPr="00DC40BE">
        <w:rPr>
          <w:noProof/>
          <w:lang w:val="pl-PL"/>
        </w:rPr>
        <w:t>ony internetowe prowadzone przez osoby trzecie, co pozwala zbierać podpisy za pośrednictwem różnych punktów wejścia. Dlatego też Komisja zleciła zespołowi badawczemu ds. IT(</w:t>
      </w:r>
      <w:r w:rsidRPr="00DC40BE">
        <w:rPr>
          <w:rStyle w:val="Odwoanieprzypisudolnego"/>
          <w:noProof/>
          <w:lang w:val="pl-PL"/>
        </w:rPr>
        <w:footnoteReference w:id="46"/>
      </w:r>
      <w:r w:rsidRPr="00DC40BE">
        <w:rPr>
          <w:noProof/>
          <w:lang w:val="pl-PL"/>
        </w:rPr>
        <w:t>) zbadanie dostępności rozwiązań umożliwiających wbudowywanie centralnego systemu zbierania deklaracji online, które Komisja mogłaby zaoferować organizatorom EIO</w:t>
      </w:r>
      <w:r w:rsidR="00DC40BE" w:rsidRPr="00DC40BE">
        <w:rPr>
          <w:noProof/>
          <w:lang w:val="pl-PL"/>
        </w:rPr>
        <w:t xml:space="preserve"> i któ</w:t>
      </w:r>
      <w:r w:rsidRPr="00DC40BE">
        <w:rPr>
          <w:noProof/>
          <w:lang w:val="pl-PL"/>
        </w:rPr>
        <w:t>re zapewniają bezpieczeństwo</w:t>
      </w:r>
      <w:r w:rsidR="00DC40BE" w:rsidRPr="00DC40BE">
        <w:rPr>
          <w:noProof/>
          <w:lang w:val="pl-PL"/>
        </w:rPr>
        <w:t xml:space="preserve"> i och</w:t>
      </w:r>
      <w:r w:rsidRPr="00DC40BE">
        <w:rPr>
          <w:noProof/>
          <w:lang w:val="pl-PL"/>
        </w:rPr>
        <w:t>ronę danych osobowych zgodnie</w:t>
      </w:r>
      <w:r w:rsidR="00DC40BE" w:rsidRPr="00DC40BE">
        <w:rPr>
          <w:noProof/>
          <w:lang w:val="pl-PL"/>
        </w:rPr>
        <w:t xml:space="preserve"> z roz</w:t>
      </w:r>
      <w:r w:rsidRPr="00DC40BE">
        <w:rPr>
          <w:noProof/>
          <w:lang w:val="pl-PL"/>
        </w:rPr>
        <w:t>porządzeniem</w:t>
      </w:r>
      <w:r w:rsidR="00DC40BE" w:rsidRPr="00DC40BE">
        <w:rPr>
          <w:noProof/>
          <w:lang w:val="pl-PL"/>
        </w:rPr>
        <w:t xml:space="preserve"> w spr</w:t>
      </w:r>
      <w:r w:rsidRPr="00DC40BE">
        <w:rPr>
          <w:noProof/>
          <w:lang w:val="pl-PL"/>
        </w:rPr>
        <w:t>awie EIO,</w:t>
      </w:r>
      <w:r w:rsidR="00DC40BE" w:rsidRPr="00DC40BE">
        <w:rPr>
          <w:noProof/>
          <w:lang w:val="pl-PL"/>
        </w:rPr>
        <w:t xml:space="preserve"> a tak</w:t>
      </w:r>
      <w:r w:rsidRPr="00DC40BE">
        <w:rPr>
          <w:noProof/>
          <w:lang w:val="pl-PL"/>
        </w:rPr>
        <w:t>że oszacowanie skutków operacyjnych takich rozwiązań</w:t>
      </w:r>
      <w:r w:rsidR="00DC40BE" w:rsidRPr="00DC40BE">
        <w:rPr>
          <w:noProof/>
          <w:lang w:val="pl-PL"/>
        </w:rPr>
        <w:t xml:space="preserve"> i ich</w:t>
      </w:r>
      <w:r w:rsidRPr="00DC40BE">
        <w:rPr>
          <w:noProof/>
          <w:lang w:val="pl-PL"/>
        </w:rPr>
        <w:t xml:space="preserve"> wpływu na budżet. Badanie wykazało, że zdecentralizowane zbieranie deklaracji poparcia za pośrednictwem różnych stron internetowych zarządzanych przez nieznane osoby trzecie wiąże się</w:t>
      </w:r>
      <w:r w:rsidR="00DC40BE" w:rsidRPr="00DC40BE">
        <w:rPr>
          <w:noProof/>
          <w:lang w:val="pl-PL"/>
        </w:rPr>
        <w:t xml:space="preserve"> z pow</w:t>
      </w:r>
      <w:r w:rsidRPr="00DC40BE">
        <w:rPr>
          <w:noProof/>
          <w:lang w:val="pl-PL"/>
        </w:rPr>
        <w:t>ażnym ryzykiem dla bezpieczeństwa</w:t>
      </w:r>
      <w:r w:rsidR="00DC40BE" w:rsidRPr="00DC40BE">
        <w:rPr>
          <w:noProof/>
          <w:lang w:val="pl-PL"/>
        </w:rPr>
        <w:t xml:space="preserve"> i och</w:t>
      </w:r>
      <w:r w:rsidRPr="00DC40BE">
        <w:rPr>
          <w:noProof/>
          <w:lang w:val="pl-PL"/>
        </w:rPr>
        <w:t>rony danych</w:t>
      </w:r>
      <w:r w:rsidR="00DC40BE" w:rsidRPr="00DC40BE">
        <w:rPr>
          <w:noProof/>
          <w:lang w:val="pl-PL"/>
        </w:rPr>
        <w:t>. W prz</w:t>
      </w:r>
      <w:r w:rsidRPr="00DC40BE">
        <w:rPr>
          <w:noProof/>
          <w:lang w:val="pl-PL"/>
        </w:rPr>
        <w:t>ypadkach,</w:t>
      </w:r>
      <w:r w:rsidR="00DC40BE" w:rsidRPr="00DC40BE">
        <w:rPr>
          <w:noProof/>
          <w:lang w:val="pl-PL"/>
        </w:rPr>
        <w:t xml:space="preserve"> w któ</w:t>
      </w:r>
      <w:r w:rsidRPr="00DC40BE">
        <w:rPr>
          <w:noProof/>
          <w:lang w:val="pl-PL"/>
        </w:rPr>
        <w:t>rych organizatorzy EIO zgłosili, że wbudowali indywidualny system zbierania deklaracji online na różnych stronach internetowych, instytucje certyfikujące poinformowały, że nie zostały powiadomione</w:t>
      </w:r>
      <w:r w:rsidR="00DC40BE" w:rsidRPr="00DC40BE">
        <w:rPr>
          <w:noProof/>
          <w:lang w:val="pl-PL"/>
        </w:rPr>
        <w:t xml:space="preserve"> </w:t>
      </w:r>
      <w:r w:rsidR="00DC40BE" w:rsidRPr="00DC40BE">
        <w:rPr>
          <w:noProof/>
          <w:lang w:val="pl-PL"/>
        </w:rPr>
        <w:lastRenderedPageBreak/>
        <w:t>o wpr</w:t>
      </w:r>
      <w:r w:rsidRPr="00DC40BE">
        <w:rPr>
          <w:noProof/>
          <w:lang w:val="pl-PL"/>
        </w:rPr>
        <w:t>owadzeniu tego rodzaju istotnych zmian</w:t>
      </w:r>
      <w:r w:rsidR="00DC40BE" w:rsidRPr="00DC40BE">
        <w:rPr>
          <w:noProof/>
          <w:lang w:val="pl-PL"/>
        </w:rPr>
        <w:t xml:space="preserve"> w cer</w:t>
      </w:r>
      <w:r w:rsidRPr="00DC40BE">
        <w:rPr>
          <w:noProof/>
          <w:lang w:val="pl-PL"/>
        </w:rPr>
        <w:t xml:space="preserve">tyfikowanym systemie. Przekazanie im takiego powiadomienia pozwoliłoby im ocenić, czy po wprowadzeniu tego rodzaju zmian system (nadal) spełnia specyfikacje techniczne ustanowione w </w:t>
      </w:r>
      <w:hyperlink r:id="rId29" w:history="1">
        <w:r w:rsidRPr="00DC40BE">
          <w:rPr>
            <w:rStyle w:val="Hipercze"/>
            <w:noProof/>
            <w:lang w:val="pl-PL"/>
          </w:rPr>
          <w:t>rozporządzeniu wykonawczym Komisji (UE) 2019/1799</w:t>
        </w:r>
      </w:hyperlink>
      <w:r w:rsidRPr="00DC40BE">
        <w:rPr>
          <w:noProof/>
          <w:lang w:val="pl-PL"/>
        </w:rPr>
        <w:t>(</w:t>
      </w:r>
      <w:r w:rsidRPr="00DC40BE">
        <w:rPr>
          <w:rStyle w:val="Odwoanieprzypisudolnego"/>
          <w:noProof/>
          <w:lang w:val="pl-PL"/>
        </w:rPr>
        <w:footnoteReference w:id="47"/>
      </w:r>
      <w:r w:rsidRPr="00DC40BE">
        <w:rPr>
          <w:noProof/>
          <w:lang w:val="pl-PL"/>
        </w:rPr>
        <w:t>),</w:t>
      </w:r>
      <w:r w:rsidR="00DC40BE" w:rsidRPr="00DC40BE">
        <w:rPr>
          <w:noProof/>
          <w:lang w:val="pl-PL"/>
        </w:rPr>
        <w:t xml:space="preserve"> w tym</w:t>
      </w:r>
      <w:r w:rsidRPr="00DC40BE">
        <w:rPr>
          <w:noProof/>
          <w:lang w:val="pl-PL"/>
        </w:rPr>
        <w:t xml:space="preserve"> wymogi</w:t>
      </w:r>
      <w:r w:rsidR="00DC40BE" w:rsidRPr="00DC40BE">
        <w:rPr>
          <w:noProof/>
          <w:lang w:val="pl-PL"/>
        </w:rPr>
        <w:t xml:space="preserve"> w zak</w:t>
      </w:r>
      <w:r w:rsidRPr="00DC40BE">
        <w:rPr>
          <w:noProof/>
          <w:lang w:val="pl-PL"/>
        </w:rPr>
        <w:t>resie bezpieczeństwa</w:t>
      </w:r>
      <w:r w:rsidR="00DC40BE" w:rsidRPr="00DC40BE">
        <w:rPr>
          <w:noProof/>
          <w:lang w:val="pl-PL"/>
        </w:rPr>
        <w:t xml:space="preserve"> i och</w:t>
      </w:r>
      <w:r w:rsidRPr="00DC40BE">
        <w:rPr>
          <w:noProof/>
          <w:lang w:val="pl-PL"/>
        </w:rPr>
        <w:t>rony danych.</w:t>
      </w:r>
    </w:p>
    <w:p w14:paraId="64943DA7" w14:textId="7D135F7B" w:rsidR="005A4888" w:rsidRPr="00DC40BE" w:rsidRDefault="005A4888" w:rsidP="00E8781C">
      <w:pPr>
        <w:spacing w:before="100" w:beforeAutospacing="1" w:after="100" w:afterAutospacing="1" w:line="276" w:lineRule="auto"/>
        <w:rPr>
          <w:noProof/>
          <w:lang w:val="pl-PL"/>
        </w:rPr>
      </w:pPr>
      <w:r w:rsidRPr="00DC40BE">
        <w:rPr>
          <w:noProof/>
          <w:lang w:val="pl-PL"/>
        </w:rPr>
        <w:t>W świetle ustaleń zewnętrznych ekspertów ponowne umożliwienie korzystania</w:t>
      </w:r>
      <w:r w:rsidR="00DC40BE" w:rsidRPr="00DC40BE">
        <w:rPr>
          <w:noProof/>
          <w:lang w:val="pl-PL"/>
        </w:rPr>
        <w:t xml:space="preserve"> z ind</w:t>
      </w:r>
      <w:r w:rsidRPr="00DC40BE">
        <w:rPr>
          <w:noProof/>
          <w:lang w:val="pl-PL"/>
        </w:rPr>
        <w:t>ywidualnych systemów zbierania deklaracji online oznaczałoby konieczność objęcia certyfikacją wszelkich stron internetowych,</w:t>
      </w:r>
      <w:r w:rsidR="00DC40BE" w:rsidRPr="00DC40BE">
        <w:rPr>
          <w:noProof/>
          <w:lang w:val="pl-PL"/>
        </w:rPr>
        <w:t xml:space="preserve"> w któ</w:t>
      </w:r>
      <w:r w:rsidRPr="00DC40BE">
        <w:rPr>
          <w:noProof/>
          <w:lang w:val="pl-PL"/>
        </w:rPr>
        <w:t>re „wbudowano” się te systemy, przy jednoczesnym dalszym stosowaniu mechanizmu przeprowadzania regularnych kontroli służących potwierdzeniu zgodności stosownych stron internetowych powiązanych</w:t>
      </w:r>
      <w:r w:rsidR="00DC40BE" w:rsidRPr="00DC40BE">
        <w:rPr>
          <w:noProof/>
          <w:lang w:val="pl-PL"/>
        </w:rPr>
        <w:t xml:space="preserve"> z kam</w:t>
      </w:r>
      <w:r w:rsidRPr="00DC40BE">
        <w:rPr>
          <w:noProof/>
          <w:lang w:val="pl-PL"/>
        </w:rPr>
        <w:t>panią przez cały okres zbierania deklaracji. Wiązałoby się to</w:t>
      </w:r>
      <w:r w:rsidR="00DC40BE" w:rsidRPr="00DC40BE">
        <w:rPr>
          <w:noProof/>
          <w:lang w:val="pl-PL"/>
        </w:rPr>
        <w:t xml:space="preserve"> z dod</w:t>
      </w:r>
      <w:r w:rsidRPr="00DC40BE">
        <w:rPr>
          <w:noProof/>
          <w:lang w:val="pl-PL"/>
        </w:rPr>
        <w:t>atkowymi kosztami</w:t>
      </w:r>
      <w:r w:rsidR="00DC40BE" w:rsidRPr="00DC40BE">
        <w:rPr>
          <w:noProof/>
          <w:lang w:val="pl-PL"/>
        </w:rPr>
        <w:t xml:space="preserve"> i obc</w:t>
      </w:r>
      <w:r w:rsidRPr="00DC40BE">
        <w:rPr>
          <w:noProof/>
          <w:lang w:val="pl-PL"/>
        </w:rPr>
        <w:t>iążeniami dla organizatorów EIO(</w:t>
      </w:r>
      <w:r w:rsidRPr="00DC40BE">
        <w:rPr>
          <w:rStyle w:val="Odwoanieprzypisudolnego"/>
          <w:noProof/>
          <w:lang w:val="pl-PL"/>
        </w:rPr>
        <w:footnoteReference w:id="48"/>
      </w:r>
      <w:r w:rsidRPr="00DC40BE">
        <w:rPr>
          <w:noProof/>
          <w:lang w:val="pl-PL"/>
        </w:rPr>
        <w:t>).</w:t>
      </w:r>
    </w:p>
    <w:p w14:paraId="260E205D" w14:textId="2347DDE9" w:rsidR="005A4888" w:rsidRPr="00DC40BE" w:rsidRDefault="002D0F91" w:rsidP="00E8781C">
      <w:pPr>
        <w:spacing w:before="100" w:beforeAutospacing="1" w:after="100" w:afterAutospacing="1" w:line="276" w:lineRule="auto"/>
        <w:rPr>
          <w:noProof/>
          <w:u w:val="single"/>
          <w:lang w:val="pl-PL"/>
        </w:rPr>
      </w:pPr>
      <w:r w:rsidRPr="00DC40BE">
        <w:rPr>
          <w:noProof/>
          <w:u w:val="single"/>
          <w:lang w:val="pl-PL"/>
        </w:rPr>
        <w:t>(iii) Obciążenie dla państw członkowskich</w:t>
      </w:r>
    </w:p>
    <w:p w14:paraId="06FC4A75" w14:textId="0E3C678C" w:rsidR="005A4888" w:rsidRPr="00DC40BE" w:rsidRDefault="005A4888" w:rsidP="00E8781C">
      <w:pPr>
        <w:spacing w:before="100" w:beforeAutospacing="1" w:after="100" w:afterAutospacing="1" w:line="276" w:lineRule="auto"/>
        <w:rPr>
          <w:rStyle w:val="cf01"/>
          <w:rFonts w:eastAsiaTheme="minorEastAsia"/>
          <w:noProof/>
          <w:lang w:val="pl-PL"/>
        </w:rPr>
      </w:pPr>
      <w:r w:rsidRPr="00DC40BE">
        <w:rPr>
          <w:noProof/>
          <w:lang w:val="pl-PL"/>
        </w:rPr>
        <w:t>Indywidualne systemy zbierania deklaracji online muszą zostać certyfikowane przez właściwe organy</w:t>
      </w:r>
      <w:r w:rsidR="00DC40BE" w:rsidRPr="00DC40BE">
        <w:rPr>
          <w:noProof/>
          <w:lang w:val="pl-PL"/>
        </w:rPr>
        <w:t xml:space="preserve"> w pań</w:t>
      </w:r>
      <w:r w:rsidRPr="00DC40BE">
        <w:rPr>
          <w:noProof/>
          <w:lang w:val="pl-PL"/>
        </w:rPr>
        <w:t>stwach członkowskich,</w:t>
      </w:r>
      <w:r w:rsidR="00DC40BE" w:rsidRPr="00DC40BE">
        <w:rPr>
          <w:noProof/>
          <w:lang w:val="pl-PL"/>
        </w:rPr>
        <w:t xml:space="preserve"> w któ</w:t>
      </w:r>
      <w:r w:rsidRPr="00DC40BE">
        <w:rPr>
          <w:noProof/>
          <w:lang w:val="pl-PL"/>
        </w:rPr>
        <w:t>rych przechowuje się dane</w:t>
      </w:r>
      <w:r w:rsidR="00DC40BE" w:rsidRPr="00DC40BE">
        <w:rPr>
          <w:noProof/>
          <w:lang w:val="pl-PL"/>
        </w:rPr>
        <w:t>. W ram</w:t>
      </w:r>
      <w:r w:rsidRPr="00DC40BE">
        <w:rPr>
          <w:noProof/>
          <w:lang w:val="pl-PL"/>
        </w:rPr>
        <w:t>ach przeprowadzonej niedawno reformy we wniosku Komisji zachowano możliwość korzystania przez organizatorów EIO</w:t>
      </w:r>
      <w:r w:rsidR="00DC40BE" w:rsidRPr="00DC40BE">
        <w:rPr>
          <w:noProof/>
          <w:lang w:val="pl-PL"/>
        </w:rPr>
        <w:t xml:space="preserve"> z ind</w:t>
      </w:r>
      <w:r w:rsidRPr="00DC40BE">
        <w:rPr>
          <w:noProof/>
          <w:lang w:val="pl-PL"/>
        </w:rPr>
        <w:t>ywidualnych systemów zbierania deklaracji online. Współprawodawcy usunęli jednak ten przepis</w:t>
      </w:r>
      <w:r w:rsidR="00DC40BE" w:rsidRPr="00DC40BE">
        <w:rPr>
          <w:noProof/>
          <w:lang w:val="pl-PL"/>
        </w:rPr>
        <w:t xml:space="preserve"> z wni</w:t>
      </w:r>
      <w:r w:rsidRPr="00DC40BE">
        <w:rPr>
          <w:noProof/>
          <w:lang w:val="pl-PL"/>
        </w:rPr>
        <w:t>osku</w:t>
      </w:r>
      <w:r w:rsidR="00DC40BE" w:rsidRPr="00DC40BE">
        <w:rPr>
          <w:noProof/>
          <w:lang w:val="pl-PL"/>
        </w:rPr>
        <w:t xml:space="preserve"> w tok</w:t>
      </w:r>
      <w:r w:rsidRPr="00DC40BE">
        <w:rPr>
          <w:noProof/>
          <w:lang w:val="pl-PL"/>
        </w:rPr>
        <w:t>u negocjacji legislacyjnych</w:t>
      </w:r>
      <w:r w:rsidR="00DC40BE" w:rsidRPr="00DC40BE">
        <w:rPr>
          <w:noProof/>
          <w:lang w:val="pl-PL"/>
        </w:rPr>
        <w:t>. W rez</w:t>
      </w:r>
      <w:r w:rsidRPr="00DC40BE">
        <w:rPr>
          <w:noProof/>
          <w:lang w:val="pl-PL"/>
        </w:rPr>
        <w:t>ultacie indywidualne systemy zbierania deklaracji online zostały wycofane – mogły</w:t>
      </w:r>
      <w:r w:rsidR="00DC40BE" w:rsidRPr="00DC40BE">
        <w:rPr>
          <w:noProof/>
          <w:lang w:val="pl-PL"/>
        </w:rPr>
        <w:t xml:space="preserve"> z nic</w:t>
      </w:r>
      <w:r w:rsidRPr="00DC40BE">
        <w:rPr>
          <w:noProof/>
          <w:lang w:val="pl-PL"/>
        </w:rPr>
        <w:t>h korzystać wyłącznie EIO zarejestrowane przed 1 stycznia 2023</w:t>
      </w:r>
      <w:r w:rsidR="00DC40BE" w:rsidRPr="00DC40BE">
        <w:rPr>
          <w:noProof/>
          <w:lang w:val="pl-PL"/>
        </w:rPr>
        <w:t> </w:t>
      </w:r>
      <w:r w:rsidRPr="00DC40BE">
        <w:rPr>
          <w:noProof/>
          <w:lang w:val="pl-PL"/>
        </w:rPr>
        <w:t xml:space="preserve">r. </w:t>
      </w:r>
      <w:r w:rsidRPr="00DC40BE">
        <w:rPr>
          <w:b/>
          <w:noProof/>
          <w:lang w:val="pl-PL"/>
        </w:rPr>
        <w:t>Ponowne umożliwienie korzystania</w:t>
      </w:r>
      <w:r w:rsidR="00DC40BE" w:rsidRPr="00DC40BE">
        <w:rPr>
          <w:b/>
          <w:noProof/>
          <w:lang w:val="pl-PL"/>
        </w:rPr>
        <w:t xml:space="preserve"> z tyc</w:t>
      </w:r>
      <w:r w:rsidRPr="00DC40BE">
        <w:rPr>
          <w:b/>
          <w:noProof/>
          <w:lang w:val="pl-PL"/>
        </w:rPr>
        <w:t>h systemów wiązałoby się</w:t>
      </w:r>
      <w:r w:rsidR="00DC40BE" w:rsidRPr="00DC40BE">
        <w:rPr>
          <w:b/>
          <w:noProof/>
          <w:lang w:val="pl-PL"/>
        </w:rPr>
        <w:t xml:space="preserve"> z pon</w:t>
      </w:r>
      <w:r w:rsidRPr="00DC40BE">
        <w:rPr>
          <w:b/>
          <w:noProof/>
          <w:lang w:val="pl-PL"/>
        </w:rPr>
        <w:t>ownym nałożeniem na państwa członkowskie obowiązku ich certyfikowania</w:t>
      </w:r>
      <w:r w:rsidRPr="00DC40BE">
        <w:rPr>
          <w:noProof/>
          <w:lang w:val="pl-PL"/>
        </w:rPr>
        <w:t>. We wspomnianym powyżej badaniu zewnętrznym stwierdzono, że najskuteczniejszym sposobem kontrolowania ryzyka</w:t>
      </w:r>
      <w:r w:rsidR="00DC40BE" w:rsidRPr="00DC40BE">
        <w:rPr>
          <w:noProof/>
          <w:lang w:val="pl-PL"/>
        </w:rPr>
        <w:t xml:space="preserve"> w zak</w:t>
      </w:r>
      <w:r w:rsidRPr="00DC40BE">
        <w:rPr>
          <w:noProof/>
          <w:lang w:val="pl-PL"/>
        </w:rPr>
        <w:t>resie bezpieczeństwa</w:t>
      </w:r>
      <w:r w:rsidR="00DC40BE" w:rsidRPr="00DC40BE">
        <w:rPr>
          <w:noProof/>
          <w:lang w:val="pl-PL"/>
        </w:rPr>
        <w:t xml:space="preserve"> i och</w:t>
      </w:r>
      <w:r w:rsidRPr="00DC40BE">
        <w:rPr>
          <w:noProof/>
          <w:lang w:val="pl-PL"/>
        </w:rPr>
        <w:t>rony danych związanego ze zdecentralizowaną metodą zbierania podpisów byłoby ustanowienie nowego mechanizmu certyfikacyjnego/kontrolnego</w:t>
      </w:r>
      <w:r w:rsidR="00DC40BE" w:rsidRPr="00DC40BE">
        <w:rPr>
          <w:noProof/>
          <w:lang w:val="pl-PL"/>
        </w:rPr>
        <w:t xml:space="preserve"> i prz</w:t>
      </w:r>
      <w:r w:rsidRPr="00DC40BE">
        <w:rPr>
          <w:noProof/>
          <w:lang w:val="pl-PL"/>
        </w:rPr>
        <w:t>yjęcie zestawu wymogów technicznych porównywalnych</w:t>
      </w:r>
      <w:r w:rsidR="00DC40BE" w:rsidRPr="00DC40BE">
        <w:rPr>
          <w:noProof/>
          <w:lang w:val="pl-PL"/>
        </w:rPr>
        <w:t xml:space="preserve"> z wcz</w:t>
      </w:r>
      <w:r w:rsidRPr="00DC40BE">
        <w:rPr>
          <w:noProof/>
          <w:lang w:val="pl-PL"/>
        </w:rPr>
        <w:t>eśniejszymi wymogami mającymi zastosowanie do takich indywidualnych systemów zgodnie</w:t>
      </w:r>
      <w:r w:rsidR="00DC40BE" w:rsidRPr="00DC40BE">
        <w:rPr>
          <w:noProof/>
          <w:lang w:val="pl-PL"/>
        </w:rPr>
        <w:t xml:space="preserve"> z roz</w:t>
      </w:r>
      <w:r w:rsidRPr="00DC40BE">
        <w:rPr>
          <w:noProof/>
          <w:lang w:val="pl-PL"/>
        </w:rPr>
        <w:t>porządzeniem wykonawczym Komisji (UE) 2019/1799 (przy czym te nowe wymogi byłyby bardziej rygorystyczne)</w:t>
      </w:r>
      <w:r w:rsidR="00DC40BE" w:rsidRPr="00DC40BE">
        <w:rPr>
          <w:noProof/>
          <w:lang w:val="pl-PL"/>
        </w:rPr>
        <w:t xml:space="preserve">. </w:t>
      </w:r>
      <w:r w:rsidR="00DC40BE" w:rsidRPr="00DC40BE">
        <w:rPr>
          <w:noProof/>
          <w:lang w:val="pl-PL"/>
        </w:rPr>
        <w:lastRenderedPageBreak/>
        <w:t>W </w:t>
      </w:r>
      <w:bookmarkStart w:id="27" w:name="_Hlk139532121"/>
      <w:r w:rsidR="00DC40BE" w:rsidRPr="00DC40BE">
        <w:rPr>
          <w:noProof/>
          <w:lang w:val="pl-PL"/>
        </w:rPr>
        <w:t>bad</w:t>
      </w:r>
      <w:r w:rsidRPr="00DC40BE">
        <w:rPr>
          <w:noProof/>
          <w:lang w:val="pl-PL"/>
        </w:rPr>
        <w:t>aniu oszacowano również, że stopień złożoności kontroli</w:t>
      </w:r>
      <w:r w:rsidR="00DC40BE" w:rsidRPr="00DC40BE">
        <w:rPr>
          <w:noProof/>
          <w:lang w:val="pl-PL"/>
        </w:rPr>
        <w:t xml:space="preserve"> i pow</w:t>
      </w:r>
      <w:r w:rsidRPr="00DC40BE">
        <w:rPr>
          <w:noProof/>
          <w:lang w:val="pl-PL"/>
        </w:rPr>
        <w:t>iązane</w:t>
      </w:r>
      <w:r w:rsidR="00DC40BE" w:rsidRPr="00DC40BE">
        <w:rPr>
          <w:noProof/>
          <w:lang w:val="pl-PL"/>
        </w:rPr>
        <w:t xml:space="preserve"> z nim</w:t>
      </w:r>
      <w:r w:rsidRPr="00DC40BE">
        <w:rPr>
          <w:noProof/>
          <w:lang w:val="pl-PL"/>
        </w:rPr>
        <w:t>i koszty mogłyby stanowić nadmierne obciążenie dla organów krajowych</w:t>
      </w:r>
      <w:bookmarkEnd w:id="27"/>
      <w:r w:rsidRPr="00DC40BE">
        <w:rPr>
          <w:noProof/>
          <w:lang w:val="pl-PL"/>
        </w:rPr>
        <w:t>(</w:t>
      </w:r>
      <w:r w:rsidRPr="00DC40BE">
        <w:rPr>
          <w:rStyle w:val="Odwoanieprzypisudolnego"/>
          <w:noProof/>
          <w:lang w:val="pl-PL"/>
        </w:rPr>
        <w:footnoteReference w:id="49"/>
      </w:r>
      <w:r w:rsidRPr="00DC40BE">
        <w:rPr>
          <w:noProof/>
          <w:lang w:val="pl-PL"/>
        </w:rPr>
        <w:t>)</w:t>
      </w:r>
      <w:r w:rsidRPr="00DC40BE">
        <w:rPr>
          <w:rStyle w:val="cf01"/>
          <w:noProof/>
          <w:lang w:val="pl-PL"/>
        </w:rPr>
        <w:t>.</w:t>
      </w:r>
    </w:p>
    <w:p w14:paraId="17C12699" w14:textId="4B2406C2" w:rsidR="005A4888" w:rsidRPr="00DC40BE" w:rsidRDefault="005A4888" w:rsidP="00E8781C">
      <w:pPr>
        <w:tabs>
          <w:tab w:val="left" w:pos="720"/>
        </w:tabs>
        <w:spacing w:before="100" w:beforeAutospacing="1" w:after="100" w:afterAutospacing="1" w:line="276" w:lineRule="auto"/>
        <w:rPr>
          <w:noProof/>
          <w:lang w:val="pl-PL"/>
        </w:rPr>
      </w:pPr>
      <w:r w:rsidRPr="00DC40BE">
        <w:rPr>
          <w:noProof/>
          <w:lang w:val="pl-PL"/>
        </w:rPr>
        <w:t>Zważywszy na wpływ, jaki ponowne umożliwienie korzystania</w:t>
      </w:r>
      <w:r w:rsidR="00DC40BE" w:rsidRPr="00DC40BE">
        <w:rPr>
          <w:noProof/>
          <w:lang w:val="pl-PL"/>
        </w:rPr>
        <w:t xml:space="preserve"> z ind</w:t>
      </w:r>
      <w:r w:rsidRPr="00DC40BE">
        <w:rPr>
          <w:noProof/>
          <w:lang w:val="pl-PL"/>
        </w:rPr>
        <w:t>ywidualnych systemów zbierania deklaracji online wywarłoby na państwa członkowskie, Komisja zasięgnęła opinii organów krajowych reprezentowanych</w:t>
      </w:r>
      <w:r w:rsidR="00DC40BE" w:rsidRPr="00DC40BE">
        <w:rPr>
          <w:noProof/>
          <w:lang w:val="pl-PL"/>
        </w:rPr>
        <w:t xml:space="preserve"> w ram</w:t>
      </w:r>
      <w:r w:rsidRPr="00DC40BE">
        <w:rPr>
          <w:noProof/>
          <w:lang w:val="pl-PL"/>
        </w:rPr>
        <w:t>ach grupy ekspertów ds. EIO</w:t>
      </w:r>
      <w:r w:rsidR="00DC40BE" w:rsidRPr="00DC40BE">
        <w:rPr>
          <w:noProof/>
          <w:lang w:val="pl-PL"/>
        </w:rPr>
        <w:t>. Z prz</w:t>
      </w:r>
      <w:r w:rsidRPr="00DC40BE">
        <w:rPr>
          <w:noProof/>
          <w:lang w:val="pl-PL"/>
        </w:rPr>
        <w:t xml:space="preserve">ekazanych przez nich informacji zwrotnych wynika, że stanowiska państw członkowskich nie zmieniły się od czasu przeprowadzenia </w:t>
      </w:r>
      <w:r w:rsidRPr="00DC40BE">
        <w:rPr>
          <w:rStyle w:val="cf01"/>
          <w:rFonts w:ascii="Times New Roman" w:hAnsi="Times New Roman"/>
          <w:noProof/>
          <w:sz w:val="24"/>
          <w:lang w:val="pl-PL"/>
        </w:rPr>
        <w:t>negocjacji legislacyjnych dotyczących drugiego rozporządzenia</w:t>
      </w:r>
      <w:r w:rsidR="00DC40BE" w:rsidRPr="00DC40BE">
        <w:rPr>
          <w:rStyle w:val="cf01"/>
          <w:rFonts w:ascii="Times New Roman" w:hAnsi="Times New Roman"/>
          <w:noProof/>
          <w:sz w:val="24"/>
          <w:lang w:val="pl-PL"/>
        </w:rPr>
        <w:t xml:space="preserve"> w spr</w:t>
      </w:r>
      <w:r w:rsidRPr="00DC40BE">
        <w:rPr>
          <w:rStyle w:val="cf01"/>
          <w:rFonts w:ascii="Times New Roman" w:hAnsi="Times New Roman"/>
          <w:noProof/>
          <w:sz w:val="24"/>
          <w:lang w:val="pl-PL"/>
        </w:rPr>
        <w:t>awie EIO</w:t>
      </w:r>
      <w:r w:rsidRPr="00DC40BE">
        <w:rPr>
          <w:noProof/>
          <w:lang w:val="pl-PL"/>
        </w:rPr>
        <w:t>. Przeważał</w:t>
      </w:r>
      <w:r w:rsidR="00DC40BE" w:rsidRPr="00DC40BE">
        <w:rPr>
          <w:noProof/>
          <w:lang w:val="pl-PL"/>
        </w:rPr>
        <w:t xml:space="preserve"> w nic</w:t>
      </w:r>
      <w:r w:rsidRPr="00DC40BE">
        <w:rPr>
          <w:noProof/>
          <w:lang w:val="pl-PL"/>
        </w:rPr>
        <w:t>h pogląd, zgodnie</w:t>
      </w:r>
      <w:r w:rsidR="00DC40BE" w:rsidRPr="00DC40BE">
        <w:rPr>
          <w:noProof/>
          <w:lang w:val="pl-PL"/>
        </w:rPr>
        <w:t xml:space="preserve"> z któ</w:t>
      </w:r>
      <w:r w:rsidRPr="00DC40BE">
        <w:rPr>
          <w:noProof/>
          <w:lang w:val="pl-PL"/>
        </w:rPr>
        <w:t>rym wprowadzenie centralnego systemu zbierania deklaracji online stanowiło pozytywną zmianę, ponieważ zapewnia bezpieczeństwo danych</w:t>
      </w:r>
      <w:r w:rsidR="00DC40BE" w:rsidRPr="00DC40BE">
        <w:rPr>
          <w:noProof/>
          <w:lang w:val="pl-PL"/>
        </w:rPr>
        <w:t xml:space="preserve"> i moż</w:t>
      </w:r>
      <w:r w:rsidRPr="00DC40BE">
        <w:rPr>
          <w:noProof/>
          <w:lang w:val="pl-PL"/>
        </w:rPr>
        <w:t>liwość ich bezpiecznego przenoszenia,</w:t>
      </w:r>
      <w:r w:rsidR="00DC40BE" w:rsidRPr="00DC40BE">
        <w:rPr>
          <w:noProof/>
          <w:lang w:val="pl-PL"/>
        </w:rPr>
        <w:t xml:space="preserve"> a tak</w:t>
      </w:r>
      <w:r w:rsidRPr="00DC40BE">
        <w:rPr>
          <w:noProof/>
          <w:lang w:val="pl-PL"/>
        </w:rPr>
        <w:t>że przyspiesza proces weryfikacji. System ten mógłby zostać dodatkowo udoskonalony</w:t>
      </w:r>
      <w:r w:rsidR="00DC40BE" w:rsidRPr="00DC40BE">
        <w:rPr>
          <w:noProof/>
          <w:lang w:val="pl-PL"/>
        </w:rPr>
        <w:t xml:space="preserve"> z myś</w:t>
      </w:r>
      <w:r w:rsidRPr="00DC40BE">
        <w:rPr>
          <w:noProof/>
          <w:lang w:val="pl-PL"/>
        </w:rPr>
        <w:t>lą</w:t>
      </w:r>
      <w:r w:rsidR="00DC40BE" w:rsidRPr="00DC40BE">
        <w:rPr>
          <w:noProof/>
          <w:lang w:val="pl-PL"/>
        </w:rPr>
        <w:t xml:space="preserve"> o pot</w:t>
      </w:r>
      <w:r w:rsidRPr="00DC40BE">
        <w:rPr>
          <w:noProof/>
          <w:lang w:val="pl-PL"/>
        </w:rPr>
        <w:t>rzebach, jakie mogą pojawić się</w:t>
      </w:r>
      <w:r w:rsidR="00DC40BE" w:rsidRPr="00DC40BE">
        <w:rPr>
          <w:noProof/>
          <w:lang w:val="pl-PL"/>
        </w:rPr>
        <w:t xml:space="preserve"> w prz</w:t>
      </w:r>
      <w:r w:rsidRPr="00DC40BE">
        <w:rPr>
          <w:noProof/>
          <w:lang w:val="pl-PL"/>
        </w:rPr>
        <w:t>yszłości. Szereg państw członkowskich odnotowało, że ponowne umożliwienie korzystania</w:t>
      </w:r>
      <w:r w:rsidR="00DC40BE" w:rsidRPr="00DC40BE">
        <w:rPr>
          <w:noProof/>
          <w:lang w:val="pl-PL"/>
        </w:rPr>
        <w:t xml:space="preserve"> z ind</w:t>
      </w:r>
      <w:r w:rsidRPr="00DC40BE">
        <w:rPr>
          <w:noProof/>
          <w:lang w:val="pl-PL"/>
        </w:rPr>
        <w:t>ywidualnych systemów zbierania deklaracji online byłoby nieefektywne</w:t>
      </w:r>
      <w:r w:rsidR="00DC40BE" w:rsidRPr="00DC40BE">
        <w:rPr>
          <w:noProof/>
          <w:lang w:val="pl-PL"/>
        </w:rPr>
        <w:t xml:space="preserve"> i kos</w:t>
      </w:r>
      <w:r w:rsidRPr="00DC40BE">
        <w:rPr>
          <w:noProof/>
          <w:lang w:val="pl-PL"/>
        </w:rPr>
        <w:t>ztowne, ponieważ każde państwo członkowskie musiałoby zapewnić całoroczną dostępność zasobów wymaganych do dokonania certyfikacji tych systemów</w:t>
      </w:r>
      <w:r w:rsidR="00DC40BE" w:rsidRPr="00DC40BE">
        <w:rPr>
          <w:noProof/>
          <w:lang w:val="pl-PL"/>
        </w:rPr>
        <w:t xml:space="preserve"> w wyz</w:t>
      </w:r>
      <w:r w:rsidRPr="00DC40BE">
        <w:rPr>
          <w:noProof/>
          <w:lang w:val="pl-PL"/>
        </w:rPr>
        <w:t>naczonym terminie. Niektóre państwa członkowskie stwierdziły również, że proces weryfikacji deklaracji poparcia zbieranych za pośrednictwem indywidualnego systemu zbierania deklaracji online jest bardziej złożony</w:t>
      </w:r>
      <w:r w:rsidR="00DC40BE" w:rsidRPr="00DC40BE">
        <w:rPr>
          <w:noProof/>
          <w:lang w:val="pl-PL"/>
        </w:rPr>
        <w:t xml:space="preserve"> i cza</w:t>
      </w:r>
      <w:r w:rsidRPr="00DC40BE">
        <w:rPr>
          <w:noProof/>
          <w:lang w:val="pl-PL"/>
        </w:rPr>
        <w:t>sochłonny</w:t>
      </w:r>
      <w:r w:rsidR="00DC40BE" w:rsidRPr="00DC40BE">
        <w:rPr>
          <w:noProof/>
          <w:lang w:val="pl-PL"/>
        </w:rPr>
        <w:t xml:space="preserve"> z uwa</w:t>
      </w:r>
      <w:r w:rsidRPr="00DC40BE">
        <w:rPr>
          <w:noProof/>
          <w:lang w:val="pl-PL"/>
        </w:rPr>
        <w:t>gi na potencjalnie zróżnicowaną jakość gromadzonych danych. Dokonywanie certyfikacji przez państwa członkowskie wiązałoby się również</w:t>
      </w:r>
      <w:r w:rsidR="00DC40BE" w:rsidRPr="00DC40BE">
        <w:rPr>
          <w:noProof/>
          <w:lang w:val="pl-PL"/>
        </w:rPr>
        <w:t xml:space="preserve"> z ryz</w:t>
      </w:r>
      <w:r w:rsidRPr="00DC40BE">
        <w:rPr>
          <w:noProof/>
          <w:lang w:val="pl-PL"/>
        </w:rPr>
        <w:t>ykiem niejednolitego wdrażania.</w:t>
      </w:r>
    </w:p>
    <w:p w14:paraId="2604BC2E" w14:textId="77777777" w:rsidR="00E8781C" w:rsidRPr="00DC40BE" w:rsidRDefault="00E8781C" w:rsidP="00E8781C">
      <w:pPr>
        <w:tabs>
          <w:tab w:val="left" w:pos="720"/>
        </w:tabs>
        <w:spacing w:before="100" w:beforeAutospacing="1" w:after="100" w:afterAutospacing="1" w:line="276" w:lineRule="auto"/>
        <w:rPr>
          <w:noProof/>
          <w:lang w:val="pl-PL"/>
        </w:rPr>
      </w:pPr>
    </w:p>
    <w:p w14:paraId="67F288FB" w14:textId="5302C0DB" w:rsidR="005A4888" w:rsidRPr="00DC40BE" w:rsidRDefault="005A4888" w:rsidP="00E8781C">
      <w:pPr>
        <w:spacing w:before="100" w:beforeAutospacing="1" w:after="100" w:afterAutospacing="1" w:line="276" w:lineRule="auto"/>
        <w:rPr>
          <w:noProof/>
          <w:u w:val="single"/>
          <w:lang w:val="pl-PL"/>
        </w:rPr>
      </w:pPr>
      <w:r w:rsidRPr="00DC40BE">
        <w:rPr>
          <w:noProof/>
          <w:u w:val="single"/>
          <w:lang w:val="pl-PL"/>
        </w:rPr>
        <w:t>Ocena dokonana przez Komisję</w:t>
      </w:r>
    </w:p>
    <w:p w14:paraId="5E7DF75F" w14:textId="5C37B74C" w:rsidR="005A4888" w:rsidRPr="00DC40BE" w:rsidRDefault="0060792D" w:rsidP="00E8781C">
      <w:pPr>
        <w:tabs>
          <w:tab w:val="left" w:pos="720"/>
        </w:tabs>
        <w:spacing w:before="100" w:beforeAutospacing="1" w:after="100" w:afterAutospacing="1" w:line="276" w:lineRule="auto"/>
        <w:rPr>
          <w:noProof/>
          <w:lang w:val="pl-PL"/>
        </w:rPr>
      </w:pPr>
      <w:r w:rsidRPr="00DC40BE">
        <w:rPr>
          <w:noProof/>
          <w:lang w:val="pl-PL"/>
        </w:rPr>
        <w:t>Po ocenieniu trzech opisanych powyżej obszarów</w:t>
      </w:r>
      <w:r w:rsidR="00DC40BE" w:rsidRPr="00DC40BE">
        <w:rPr>
          <w:noProof/>
          <w:lang w:val="pl-PL"/>
        </w:rPr>
        <w:t xml:space="preserve"> i bio</w:t>
      </w:r>
      <w:r w:rsidRPr="00DC40BE">
        <w:rPr>
          <w:noProof/>
          <w:lang w:val="pl-PL"/>
        </w:rPr>
        <w:t>rąc pod uwagę: (i) poważne ryzyko dla bezpieczeństwa</w:t>
      </w:r>
      <w:r w:rsidR="00DC40BE" w:rsidRPr="00DC40BE">
        <w:rPr>
          <w:noProof/>
          <w:lang w:val="pl-PL"/>
        </w:rPr>
        <w:t xml:space="preserve"> i och</w:t>
      </w:r>
      <w:r w:rsidRPr="00DC40BE">
        <w:rPr>
          <w:noProof/>
          <w:lang w:val="pl-PL"/>
        </w:rPr>
        <w:t>rony danych wiążące się</w:t>
      </w:r>
      <w:r w:rsidR="00DC40BE" w:rsidRPr="00DC40BE">
        <w:rPr>
          <w:noProof/>
          <w:lang w:val="pl-PL"/>
        </w:rPr>
        <w:t xml:space="preserve"> z kor</w:t>
      </w:r>
      <w:r w:rsidRPr="00DC40BE">
        <w:rPr>
          <w:noProof/>
          <w:lang w:val="pl-PL"/>
        </w:rPr>
        <w:t>zystaniem</w:t>
      </w:r>
      <w:r w:rsidR="00DC40BE" w:rsidRPr="00DC40BE">
        <w:rPr>
          <w:noProof/>
          <w:lang w:val="pl-PL"/>
        </w:rPr>
        <w:t xml:space="preserve"> z jak</w:t>
      </w:r>
      <w:r w:rsidRPr="00DC40BE">
        <w:rPr>
          <w:noProof/>
          <w:lang w:val="pl-PL"/>
        </w:rPr>
        <w:t>iegokolwiek zdecentralizowanego rozwiązania do zbierania deklaracji poparcia online; (ii) potencjalnie znaczne obciążenia</w:t>
      </w:r>
      <w:r w:rsidR="00DC40BE" w:rsidRPr="00DC40BE">
        <w:rPr>
          <w:noProof/>
          <w:lang w:val="pl-PL"/>
        </w:rPr>
        <w:t xml:space="preserve"> i pow</w:t>
      </w:r>
      <w:r w:rsidRPr="00DC40BE">
        <w:rPr>
          <w:noProof/>
          <w:lang w:val="pl-PL"/>
        </w:rPr>
        <w:t>iązane koszty dla organizatorów EIO</w:t>
      </w:r>
      <w:r w:rsidR="00DC40BE" w:rsidRPr="00DC40BE">
        <w:rPr>
          <w:noProof/>
          <w:lang w:val="pl-PL"/>
        </w:rPr>
        <w:t xml:space="preserve"> i org</w:t>
      </w:r>
      <w:r w:rsidRPr="00DC40BE">
        <w:rPr>
          <w:noProof/>
          <w:lang w:val="pl-PL"/>
        </w:rPr>
        <w:t>anów administracji krajowej związane</w:t>
      </w:r>
      <w:r w:rsidR="00DC40BE" w:rsidRPr="00DC40BE">
        <w:rPr>
          <w:noProof/>
          <w:lang w:val="pl-PL"/>
        </w:rPr>
        <w:t xml:space="preserve"> z zap</w:t>
      </w:r>
      <w:r w:rsidRPr="00DC40BE">
        <w:rPr>
          <w:noProof/>
          <w:lang w:val="pl-PL"/>
        </w:rPr>
        <w:t>ewnieniem zgodności</w:t>
      </w:r>
      <w:r w:rsidR="00DC40BE" w:rsidRPr="00DC40BE">
        <w:rPr>
          <w:noProof/>
          <w:lang w:val="pl-PL"/>
        </w:rPr>
        <w:t xml:space="preserve"> z ryg</w:t>
      </w:r>
      <w:r w:rsidRPr="00DC40BE">
        <w:rPr>
          <w:noProof/>
          <w:lang w:val="pl-PL"/>
        </w:rPr>
        <w:t>orystycznymi przepisami</w:t>
      </w:r>
      <w:r w:rsidR="00DC40BE" w:rsidRPr="00DC40BE">
        <w:rPr>
          <w:noProof/>
          <w:lang w:val="pl-PL"/>
        </w:rPr>
        <w:t xml:space="preserve"> w zak</w:t>
      </w:r>
      <w:r w:rsidRPr="00DC40BE">
        <w:rPr>
          <w:noProof/>
          <w:lang w:val="pl-PL"/>
        </w:rPr>
        <w:t>resie bezpieczeństwa</w:t>
      </w:r>
      <w:r w:rsidR="00DC40BE" w:rsidRPr="00DC40BE">
        <w:rPr>
          <w:noProof/>
          <w:lang w:val="pl-PL"/>
        </w:rPr>
        <w:t xml:space="preserve"> i och</w:t>
      </w:r>
      <w:r w:rsidRPr="00DC40BE">
        <w:rPr>
          <w:noProof/>
          <w:lang w:val="pl-PL"/>
        </w:rPr>
        <w:t>rony danych i (iii) dostępność centralnego systemu gwarantującego wysokie poziomy bezpieczeństwa</w:t>
      </w:r>
      <w:r w:rsidR="00DC40BE" w:rsidRPr="00DC40BE">
        <w:rPr>
          <w:noProof/>
          <w:lang w:val="pl-PL"/>
        </w:rPr>
        <w:t xml:space="preserve"> i och</w:t>
      </w:r>
      <w:r w:rsidRPr="00DC40BE">
        <w:rPr>
          <w:noProof/>
          <w:lang w:val="pl-PL"/>
        </w:rPr>
        <w:t xml:space="preserve">rony danych, </w:t>
      </w:r>
      <w:r w:rsidRPr="00DC40BE">
        <w:rPr>
          <w:b/>
          <w:noProof/>
          <w:lang w:val="pl-PL"/>
        </w:rPr>
        <w:t>Komisja stwierdziła, że ponowne umożliwienie korzystania</w:t>
      </w:r>
      <w:r w:rsidR="00DC40BE" w:rsidRPr="00DC40BE">
        <w:rPr>
          <w:b/>
          <w:noProof/>
          <w:lang w:val="pl-PL"/>
        </w:rPr>
        <w:t xml:space="preserve"> z ind</w:t>
      </w:r>
      <w:r w:rsidRPr="00DC40BE">
        <w:rPr>
          <w:b/>
          <w:noProof/>
          <w:lang w:val="pl-PL"/>
        </w:rPr>
        <w:t>ywidualnych systemów zbierania deklaracji online nie jest odpowiednim rozwiązaniem</w:t>
      </w:r>
      <w:r w:rsidRPr="00DC40BE">
        <w:rPr>
          <w:noProof/>
          <w:lang w:val="pl-PL"/>
        </w:rPr>
        <w:t xml:space="preserve">, ponieważ </w:t>
      </w:r>
      <w:r w:rsidRPr="00DC40BE">
        <w:rPr>
          <w:rStyle w:val="cf01"/>
          <w:rFonts w:ascii="Times New Roman" w:hAnsi="Times New Roman"/>
          <w:noProof/>
          <w:sz w:val="24"/>
          <w:lang w:val="pl-PL"/>
        </w:rPr>
        <w:t>byłoby sprzeczne</w:t>
      </w:r>
      <w:r w:rsidR="00DC40BE" w:rsidRPr="00DC40BE">
        <w:rPr>
          <w:rStyle w:val="cf01"/>
          <w:rFonts w:ascii="Times New Roman" w:hAnsi="Times New Roman"/>
          <w:noProof/>
          <w:sz w:val="24"/>
          <w:lang w:val="pl-PL"/>
        </w:rPr>
        <w:t xml:space="preserve"> </w:t>
      </w:r>
      <w:r w:rsidR="00DC40BE" w:rsidRPr="00DC40BE">
        <w:rPr>
          <w:noProof/>
          <w:lang w:val="pl-PL"/>
        </w:rPr>
        <w:t>z</w:t>
      </w:r>
      <w:r w:rsidR="00DC40BE" w:rsidRPr="00DC40BE">
        <w:rPr>
          <w:rStyle w:val="cf01"/>
          <w:rFonts w:ascii="Times New Roman" w:hAnsi="Times New Roman"/>
          <w:noProof/>
          <w:sz w:val="24"/>
          <w:lang w:val="pl-PL"/>
        </w:rPr>
        <w:t> </w:t>
      </w:r>
      <w:r w:rsidR="00DC40BE" w:rsidRPr="00DC40BE">
        <w:rPr>
          <w:noProof/>
          <w:lang w:val="pl-PL"/>
        </w:rPr>
        <w:t>cel</w:t>
      </w:r>
      <w:r w:rsidRPr="00DC40BE">
        <w:rPr>
          <w:noProof/>
          <w:lang w:val="pl-PL"/>
        </w:rPr>
        <w:t>em polegającym na zwiększeniu dostępności EIO</w:t>
      </w:r>
      <w:r w:rsidR="00DC40BE" w:rsidRPr="00DC40BE">
        <w:rPr>
          <w:noProof/>
          <w:lang w:val="pl-PL"/>
        </w:rPr>
        <w:t xml:space="preserve"> i zmn</w:t>
      </w:r>
      <w:r w:rsidRPr="00DC40BE">
        <w:rPr>
          <w:noProof/>
          <w:lang w:val="pl-PL"/>
        </w:rPr>
        <w:t>iejszeniu wiążących się</w:t>
      </w:r>
      <w:r w:rsidR="00DC40BE" w:rsidRPr="00DC40BE">
        <w:rPr>
          <w:noProof/>
          <w:lang w:val="pl-PL"/>
        </w:rPr>
        <w:t xml:space="preserve"> z nim</w:t>
      </w:r>
      <w:r w:rsidRPr="00DC40BE">
        <w:rPr>
          <w:noProof/>
          <w:lang w:val="pl-PL"/>
        </w:rPr>
        <w:t>i obciążeń.</w:t>
      </w:r>
    </w:p>
    <w:p w14:paraId="2187F0D3" w14:textId="03A54C64" w:rsidR="005A4888" w:rsidRPr="00DC40BE" w:rsidRDefault="005455F8" w:rsidP="00E8781C">
      <w:pPr>
        <w:pStyle w:val="Nagwek2"/>
        <w:spacing w:before="100" w:beforeAutospacing="1" w:after="100" w:afterAutospacing="1" w:line="276" w:lineRule="auto"/>
        <w:rPr>
          <w:noProof/>
          <w:lang w:val="pl-PL"/>
        </w:rPr>
      </w:pPr>
      <w:r w:rsidRPr="00DC40BE">
        <w:rPr>
          <w:noProof/>
          <w:lang w:val="pl-PL"/>
        </w:rPr>
        <w:lastRenderedPageBreak/>
        <w:t xml:space="preserve">3.5. </w:t>
      </w:r>
      <w:bookmarkStart w:id="28" w:name="_Toc523032036"/>
      <w:bookmarkStart w:id="29" w:name="_Toc146296680"/>
      <w:r w:rsidRPr="00DC40BE">
        <w:rPr>
          <w:noProof/>
          <w:lang w:val="pl-PL"/>
        </w:rPr>
        <w:t>Etap weryfikacji</w:t>
      </w:r>
      <w:bookmarkEnd w:id="28"/>
      <w:bookmarkEnd w:id="29"/>
    </w:p>
    <w:p w14:paraId="772E850C" w14:textId="6D4F6AD2" w:rsidR="005A4888" w:rsidRPr="00DC40BE" w:rsidRDefault="005A4888" w:rsidP="00E8781C">
      <w:pPr>
        <w:spacing w:before="100" w:beforeAutospacing="1" w:after="100" w:afterAutospacing="1" w:line="276" w:lineRule="auto"/>
        <w:rPr>
          <w:noProof/>
          <w:lang w:val="pl-PL"/>
        </w:rPr>
      </w:pPr>
      <w:r w:rsidRPr="00DC40BE">
        <w:rPr>
          <w:noProof/>
          <w:lang w:val="pl-PL"/>
        </w:rPr>
        <w:t>Od 1 stycznia 2020</w:t>
      </w:r>
      <w:r w:rsidR="00DC40BE" w:rsidRPr="00DC40BE">
        <w:rPr>
          <w:noProof/>
          <w:lang w:val="pl-PL"/>
        </w:rPr>
        <w:t> </w:t>
      </w:r>
      <w:r w:rsidRPr="00DC40BE">
        <w:rPr>
          <w:noProof/>
          <w:lang w:val="pl-PL"/>
        </w:rPr>
        <w:t>r. siedem EIO przeszło procedurę weryfikacji zobowiązującą organy krajowe do poświadczenia ważności deklaracji poparcia zebranych od ich obywateli: „Koniec Epoki Klatkowej”*(</w:t>
      </w:r>
      <w:r w:rsidRPr="00DC40BE">
        <w:rPr>
          <w:rStyle w:val="Odwoanieprzypisudolnego"/>
          <w:noProof/>
          <w:lang w:val="pl-PL"/>
        </w:rPr>
        <w:footnoteReference w:id="50"/>
      </w:r>
      <w:r w:rsidRPr="00DC40BE">
        <w:rPr>
          <w:noProof/>
          <w:lang w:val="pl-PL"/>
        </w:rPr>
        <w:t>), „Wiem, co jem! Cała prawda na talerzu”*, „Polityka spójności”*, „Ratujmy pszczoły</w:t>
      </w:r>
      <w:r w:rsidR="00DC40BE" w:rsidRPr="00DC40BE">
        <w:rPr>
          <w:noProof/>
          <w:lang w:val="pl-PL"/>
        </w:rPr>
        <w:t xml:space="preserve"> i rol</w:t>
      </w:r>
      <w:r w:rsidRPr="00DC40BE">
        <w:rPr>
          <w:noProof/>
          <w:lang w:val="pl-PL"/>
        </w:rPr>
        <w:t>ników!”*, „Nie dla obcinania płetw rekinom”, „Za kosmetykami bez okrucieństwa wobec zwierząt” i „Europa wolna od futer”. Jeżeli chodzi o EIO zarejestrowane na podstawie drugiego rozporządzenia</w:t>
      </w:r>
      <w:r w:rsidR="00DC40BE" w:rsidRPr="00DC40BE">
        <w:rPr>
          <w:noProof/>
          <w:lang w:val="pl-PL"/>
        </w:rPr>
        <w:t xml:space="preserve"> w spr</w:t>
      </w:r>
      <w:r w:rsidRPr="00DC40BE">
        <w:rPr>
          <w:noProof/>
          <w:lang w:val="pl-PL"/>
        </w:rPr>
        <w:t>awie EIO, organizatorzy są zobowiązani do przekazania zebranych deklaracji poparcia</w:t>
      </w:r>
      <w:r w:rsidR="00DC40BE" w:rsidRPr="00DC40BE">
        <w:rPr>
          <w:noProof/>
          <w:lang w:val="pl-PL"/>
        </w:rPr>
        <w:t xml:space="preserve"> w ter</w:t>
      </w:r>
      <w:r w:rsidRPr="00DC40BE">
        <w:rPr>
          <w:noProof/>
          <w:lang w:val="pl-PL"/>
        </w:rPr>
        <w:t>minie trzech miesięcy od zakończenia okresu zbierania deklaracji(</w:t>
      </w:r>
      <w:r w:rsidRPr="00DC40BE">
        <w:rPr>
          <w:rStyle w:val="Odwoanieprzypisudolnego"/>
          <w:noProof/>
          <w:lang w:val="pl-PL"/>
        </w:rPr>
        <w:footnoteReference w:id="51"/>
      </w:r>
      <w:r w:rsidRPr="00DC40BE">
        <w:rPr>
          <w:noProof/>
          <w:lang w:val="pl-PL"/>
        </w:rPr>
        <w:t>). Zwiększyło to przewidywalność procesu weryfikacji</w:t>
      </w:r>
      <w:r w:rsidR="00DC40BE" w:rsidRPr="00DC40BE">
        <w:rPr>
          <w:noProof/>
          <w:lang w:val="pl-PL"/>
        </w:rPr>
        <w:t xml:space="preserve"> i umo</w:t>
      </w:r>
      <w:r w:rsidRPr="00DC40BE">
        <w:rPr>
          <w:noProof/>
          <w:lang w:val="pl-PL"/>
        </w:rPr>
        <w:t>żliwiło organom państw członkowskich lepsze rozplanowanie wykorzystania swoich zasobów na potrzeby zaangażowania się</w:t>
      </w:r>
      <w:r w:rsidR="00DC40BE" w:rsidRPr="00DC40BE">
        <w:rPr>
          <w:noProof/>
          <w:lang w:val="pl-PL"/>
        </w:rPr>
        <w:t xml:space="preserve"> w pro</w:t>
      </w:r>
      <w:r w:rsidRPr="00DC40BE">
        <w:rPr>
          <w:noProof/>
          <w:lang w:val="pl-PL"/>
        </w:rPr>
        <w:t>ces weryfikacji</w:t>
      </w:r>
      <w:r w:rsidR="00DC40BE" w:rsidRPr="00DC40BE">
        <w:rPr>
          <w:noProof/>
          <w:lang w:val="pl-PL"/>
        </w:rPr>
        <w:t>. W prz</w:t>
      </w:r>
      <w:r w:rsidRPr="00DC40BE">
        <w:rPr>
          <w:noProof/>
          <w:lang w:val="pl-PL"/>
        </w:rPr>
        <w:t>ypadku sześciu spośród siedmiu EIO proces weryfikacji zakończył się pomyślnie. Wyniki weryfikacji ujawniły, że EIO „Wiem, co jem!” nie zdołała osiągnąć wymaganych progów</w:t>
      </w:r>
      <w:r w:rsidR="00DC40BE" w:rsidRPr="00DC40BE">
        <w:rPr>
          <w:noProof/>
          <w:lang w:val="pl-PL"/>
        </w:rPr>
        <w:t xml:space="preserve"> w sie</w:t>
      </w:r>
      <w:r w:rsidRPr="00DC40BE">
        <w:rPr>
          <w:noProof/>
          <w:lang w:val="pl-PL"/>
        </w:rPr>
        <w:t>dmiu państwach członkowskich(</w:t>
      </w:r>
      <w:r w:rsidRPr="00DC40BE">
        <w:rPr>
          <w:rStyle w:val="Odwoanieprzypisudolnego"/>
          <w:noProof/>
          <w:lang w:val="pl-PL"/>
        </w:rPr>
        <w:footnoteReference w:id="52"/>
      </w:r>
      <w:r w:rsidRPr="00DC40BE">
        <w:rPr>
          <w:noProof/>
          <w:lang w:val="pl-PL"/>
        </w:rPr>
        <w:t xml:space="preserve">). </w:t>
      </w:r>
    </w:p>
    <w:p w14:paraId="47C43798" w14:textId="0FB58FAA" w:rsidR="005A4888" w:rsidRPr="00DC40BE" w:rsidRDefault="005A4888" w:rsidP="00E8781C">
      <w:pPr>
        <w:spacing w:before="100" w:beforeAutospacing="1" w:after="100" w:afterAutospacing="1" w:line="276" w:lineRule="auto"/>
        <w:rPr>
          <w:noProof/>
          <w:lang w:val="pl-PL"/>
        </w:rPr>
      </w:pPr>
      <w:r w:rsidRPr="00DC40BE">
        <w:rPr>
          <w:noProof/>
          <w:lang w:val="pl-PL"/>
        </w:rPr>
        <w:t>Jak przewidziano</w:t>
      </w:r>
      <w:r w:rsidR="00DC40BE" w:rsidRPr="00DC40BE">
        <w:rPr>
          <w:noProof/>
          <w:lang w:val="pl-PL"/>
        </w:rPr>
        <w:t xml:space="preserve"> w art</w:t>
      </w:r>
      <w:r w:rsidRPr="00DC40BE">
        <w:rPr>
          <w:noProof/>
          <w:lang w:val="pl-PL"/>
        </w:rPr>
        <w:t>.</w:t>
      </w:r>
      <w:r w:rsidR="00DC40BE" w:rsidRPr="00DC40BE">
        <w:rPr>
          <w:noProof/>
          <w:lang w:val="pl-PL"/>
        </w:rPr>
        <w:t> </w:t>
      </w:r>
      <w:r w:rsidRPr="00DC40BE">
        <w:rPr>
          <w:noProof/>
          <w:lang w:val="pl-PL"/>
        </w:rPr>
        <w:t>12 ust.</w:t>
      </w:r>
      <w:r w:rsidR="00DC40BE" w:rsidRPr="00DC40BE">
        <w:rPr>
          <w:noProof/>
          <w:lang w:val="pl-PL"/>
        </w:rPr>
        <w:t> </w:t>
      </w:r>
      <w:r w:rsidRPr="00DC40BE">
        <w:rPr>
          <w:noProof/>
          <w:lang w:val="pl-PL"/>
        </w:rPr>
        <w:t>4 rozporządzenia</w:t>
      </w:r>
      <w:r w:rsidR="00DC40BE" w:rsidRPr="00DC40BE">
        <w:rPr>
          <w:noProof/>
          <w:lang w:val="pl-PL"/>
        </w:rPr>
        <w:t xml:space="preserve"> w spr</w:t>
      </w:r>
      <w:r w:rsidRPr="00DC40BE">
        <w:rPr>
          <w:noProof/>
          <w:lang w:val="pl-PL"/>
        </w:rPr>
        <w:t>awie EIO, właściwe organy weryfikują deklaracje poparcia zgodnie</w:t>
      </w:r>
      <w:r w:rsidR="00DC40BE" w:rsidRPr="00DC40BE">
        <w:rPr>
          <w:noProof/>
          <w:lang w:val="pl-PL"/>
        </w:rPr>
        <w:t xml:space="preserve"> z pra</w:t>
      </w:r>
      <w:r w:rsidRPr="00DC40BE">
        <w:rPr>
          <w:noProof/>
          <w:lang w:val="pl-PL"/>
        </w:rPr>
        <w:t>wem krajowym</w:t>
      </w:r>
      <w:r w:rsidR="00DC40BE" w:rsidRPr="00DC40BE">
        <w:rPr>
          <w:noProof/>
          <w:lang w:val="pl-PL"/>
        </w:rPr>
        <w:t xml:space="preserve"> i pra</w:t>
      </w:r>
      <w:r w:rsidRPr="00DC40BE">
        <w:rPr>
          <w:noProof/>
          <w:lang w:val="pl-PL"/>
        </w:rPr>
        <w:t>ktyką krajową. Komisja udziela państwom członkowskim wytycznych dotyczących praktycznych kwestii związanych</w:t>
      </w:r>
      <w:r w:rsidR="00DC40BE" w:rsidRPr="00DC40BE">
        <w:rPr>
          <w:noProof/>
          <w:lang w:val="pl-PL"/>
        </w:rPr>
        <w:t xml:space="preserve"> z wdr</w:t>
      </w:r>
      <w:r w:rsidRPr="00DC40BE">
        <w:rPr>
          <w:noProof/>
          <w:lang w:val="pl-PL"/>
        </w:rPr>
        <w:t>ażaniem rozporządzenia</w:t>
      </w:r>
      <w:r w:rsidR="00DC40BE" w:rsidRPr="00DC40BE">
        <w:rPr>
          <w:noProof/>
          <w:lang w:val="pl-PL"/>
        </w:rPr>
        <w:t xml:space="preserve"> w spr</w:t>
      </w:r>
      <w:r w:rsidRPr="00DC40BE">
        <w:rPr>
          <w:noProof/>
          <w:lang w:val="pl-PL"/>
        </w:rPr>
        <w:t>awie EIO, uwzględniając etap weryfikacji. Państwa członkowskie mogą przyjąć szczegółowe krajowe przepisy wykonawcze, które mogą regulować również przebieg procedury weryfikacji. Takie przepisy są zgłaszane Komisji</w:t>
      </w:r>
      <w:r w:rsidR="00DC40BE" w:rsidRPr="00DC40BE">
        <w:rPr>
          <w:noProof/>
          <w:lang w:val="pl-PL"/>
        </w:rPr>
        <w:t xml:space="preserve"> i pub</w:t>
      </w:r>
      <w:r w:rsidRPr="00DC40BE">
        <w:rPr>
          <w:noProof/>
          <w:lang w:val="pl-PL"/>
        </w:rPr>
        <w:t xml:space="preserve">likowane na </w:t>
      </w:r>
      <w:hyperlink r:id="rId30" w:history="1">
        <w:r w:rsidRPr="00DC40BE">
          <w:rPr>
            <w:rStyle w:val="Hipercze"/>
            <w:noProof/>
            <w:lang w:val="pl-PL"/>
          </w:rPr>
          <w:t>stronie internetowej EIO</w:t>
        </w:r>
      </w:hyperlink>
      <w:r w:rsidRPr="00DC40BE">
        <w:rPr>
          <w:noProof/>
          <w:lang w:val="pl-PL"/>
        </w:rPr>
        <w:t>(</w:t>
      </w:r>
      <w:r w:rsidRPr="00DC40BE">
        <w:rPr>
          <w:rStyle w:val="Odwoanieprzypisudolnego"/>
          <w:noProof/>
          <w:lang w:val="pl-PL"/>
        </w:rPr>
        <w:footnoteReference w:id="53"/>
      </w:r>
      <w:r w:rsidRPr="00DC40BE">
        <w:rPr>
          <w:noProof/>
          <w:lang w:val="pl-PL"/>
        </w:rPr>
        <w:t>).</w:t>
      </w:r>
    </w:p>
    <w:p w14:paraId="4D95A606" w14:textId="09AD51FB" w:rsidR="005A4888" w:rsidRPr="00DC40BE" w:rsidRDefault="005A4888" w:rsidP="00E8781C">
      <w:pPr>
        <w:spacing w:before="100" w:beforeAutospacing="1" w:after="100" w:afterAutospacing="1" w:line="276" w:lineRule="auto"/>
        <w:rPr>
          <w:noProof/>
          <w:color w:val="333333"/>
          <w:lang w:val="pl-PL"/>
        </w:rPr>
      </w:pPr>
      <w:r w:rsidRPr="00DC40BE">
        <w:rPr>
          <w:noProof/>
          <w:lang w:val="pl-PL"/>
        </w:rPr>
        <w:t>Jeżeli chodzi</w:t>
      </w:r>
      <w:r w:rsidR="00DC40BE" w:rsidRPr="00DC40BE">
        <w:rPr>
          <w:noProof/>
          <w:lang w:val="pl-PL"/>
        </w:rPr>
        <w:t xml:space="preserve"> o met</w:t>
      </w:r>
      <w:r w:rsidRPr="00DC40BE">
        <w:rPr>
          <w:noProof/>
          <w:lang w:val="pl-PL"/>
        </w:rPr>
        <w:t xml:space="preserve">odykę dokonywania weryfikacji, 14 państw członkowskich poinformowało, że przeprowadzało </w:t>
      </w:r>
      <w:r w:rsidRPr="00DC40BE">
        <w:rPr>
          <w:b/>
          <w:noProof/>
          <w:lang w:val="pl-PL"/>
        </w:rPr>
        <w:t>wyczerpującą kontrolę</w:t>
      </w:r>
      <w:r w:rsidRPr="00DC40BE">
        <w:rPr>
          <w:noProof/>
          <w:lang w:val="pl-PL"/>
        </w:rPr>
        <w:t xml:space="preserve"> wszystkich deklaracji poparcia (BG, CZ, EL, ES, FR, HR, CY, LV, HU, AT, PL, RO, SI i SK), natomiast 11 zgłosiło, że dokonywało weryfikacji przy wykorzystaniu metody </w:t>
      </w:r>
      <w:r w:rsidRPr="00DC40BE">
        <w:rPr>
          <w:b/>
          <w:noProof/>
          <w:lang w:val="pl-PL"/>
        </w:rPr>
        <w:t>doboru losowego prostego</w:t>
      </w:r>
      <w:r w:rsidRPr="00DC40BE">
        <w:rPr>
          <w:noProof/>
          <w:lang w:val="pl-PL"/>
        </w:rPr>
        <w:t xml:space="preserve"> (BE, DK, DE, EE, IE, IT, LT, LU, PT, FI i SE)(</w:t>
      </w:r>
      <w:r w:rsidRPr="00DC40BE">
        <w:rPr>
          <w:rStyle w:val="Odwoanieprzypisudolnego"/>
          <w:noProof/>
          <w:lang w:val="pl-PL"/>
        </w:rPr>
        <w:footnoteReference w:id="54"/>
      </w:r>
      <w:r w:rsidRPr="00DC40BE">
        <w:rPr>
          <w:noProof/>
          <w:lang w:val="pl-PL"/>
        </w:rPr>
        <w:t xml:space="preserve">). </w:t>
      </w:r>
      <w:r w:rsidRPr="00DC40BE">
        <w:rPr>
          <w:noProof/>
          <w:color w:val="333333"/>
          <w:lang w:val="pl-PL"/>
        </w:rPr>
        <w:t>Jeżeli chodzi</w:t>
      </w:r>
      <w:r w:rsidR="00DC40BE" w:rsidRPr="00DC40BE">
        <w:rPr>
          <w:noProof/>
          <w:color w:val="333333"/>
          <w:lang w:val="pl-PL"/>
        </w:rPr>
        <w:t xml:space="preserve"> o rod</w:t>
      </w:r>
      <w:r w:rsidRPr="00DC40BE">
        <w:rPr>
          <w:noProof/>
          <w:color w:val="333333"/>
          <w:lang w:val="pl-PL"/>
        </w:rPr>
        <w:t>zaj rejestru krajowego wykorzystywanego na potrzeby procesu weryfikacji, większość państw członkowskich korzysta</w:t>
      </w:r>
      <w:r w:rsidR="00DC40BE" w:rsidRPr="00DC40BE">
        <w:rPr>
          <w:noProof/>
          <w:color w:val="333333"/>
          <w:lang w:val="pl-PL"/>
        </w:rPr>
        <w:t xml:space="preserve"> z rej</w:t>
      </w:r>
      <w:r w:rsidRPr="00DC40BE">
        <w:rPr>
          <w:noProof/>
          <w:color w:val="333333"/>
          <w:lang w:val="pl-PL"/>
        </w:rPr>
        <w:t>estrów ludności (BE, BG, CZ, DK, DE, EE, IT, CY, LT, LV, LU, HU, AT, PL, PT, RO, SI, SK, FI i</w:t>
      </w:r>
      <w:r w:rsidRPr="00DC40BE">
        <w:rPr>
          <w:rStyle w:val="Odwoanieprzypisudolnego"/>
          <w:noProof/>
          <w:color w:val="333333"/>
          <w:lang w:val="pl-PL"/>
        </w:rPr>
        <w:t xml:space="preserve"> </w:t>
      </w:r>
      <w:r w:rsidRPr="00DC40BE">
        <w:rPr>
          <w:noProof/>
          <w:lang w:val="pl-PL"/>
        </w:rPr>
        <w:t>SE</w:t>
      </w:r>
      <w:r w:rsidRPr="00DC40BE">
        <w:rPr>
          <w:noProof/>
          <w:color w:val="333333"/>
          <w:lang w:val="pl-PL"/>
        </w:rPr>
        <w:t>(</w:t>
      </w:r>
      <w:r w:rsidRPr="00DC40BE">
        <w:rPr>
          <w:rStyle w:val="Odwoanieprzypisudolnego"/>
          <w:noProof/>
          <w:color w:val="333333"/>
          <w:lang w:val="pl-PL"/>
        </w:rPr>
        <w:footnoteReference w:id="55"/>
      </w:r>
      <w:r w:rsidRPr="00DC40BE">
        <w:rPr>
          <w:noProof/>
          <w:color w:val="333333"/>
          <w:lang w:val="pl-PL"/>
        </w:rPr>
        <w:t>), podczas gdy kilka państw członkowskich opiera się</w:t>
      </w:r>
      <w:r w:rsidR="00DC40BE" w:rsidRPr="00DC40BE">
        <w:rPr>
          <w:noProof/>
          <w:color w:val="333333"/>
          <w:lang w:val="pl-PL"/>
        </w:rPr>
        <w:t xml:space="preserve"> w tym</w:t>
      </w:r>
      <w:r w:rsidRPr="00DC40BE">
        <w:rPr>
          <w:noProof/>
          <w:color w:val="333333"/>
          <w:lang w:val="pl-PL"/>
        </w:rPr>
        <w:t xml:space="preserve"> celu na spisach wyborców (IE, EL, ES, FR i HR). </w:t>
      </w:r>
    </w:p>
    <w:p w14:paraId="010F0BED" w14:textId="2D786A02" w:rsidR="005A4888" w:rsidRPr="00DC40BE" w:rsidRDefault="008B5D5C" w:rsidP="00E8781C">
      <w:pPr>
        <w:spacing w:before="100" w:beforeAutospacing="1" w:after="100" w:afterAutospacing="1" w:line="276" w:lineRule="auto"/>
        <w:rPr>
          <w:noProof/>
          <w:lang w:val="pl-PL"/>
        </w:rPr>
      </w:pPr>
      <w:r w:rsidRPr="00DC40BE">
        <w:rPr>
          <w:noProof/>
          <w:lang w:val="pl-PL"/>
        </w:rPr>
        <w:t>Zgodnie</w:t>
      </w:r>
      <w:r w:rsidR="00DC40BE" w:rsidRPr="00DC40BE">
        <w:rPr>
          <w:noProof/>
          <w:lang w:val="pl-PL"/>
        </w:rPr>
        <w:t xml:space="preserve"> z inf</w:t>
      </w:r>
      <w:r w:rsidRPr="00DC40BE">
        <w:rPr>
          <w:noProof/>
          <w:lang w:val="pl-PL"/>
        </w:rPr>
        <w:t>ormacjami przekazanymi przez organy krajowe najczęściej napotykanymi nieprawidłowościami wykrywanymi</w:t>
      </w:r>
      <w:r w:rsidR="00DC40BE" w:rsidRPr="00DC40BE">
        <w:rPr>
          <w:noProof/>
          <w:lang w:val="pl-PL"/>
        </w:rPr>
        <w:t xml:space="preserve"> w tok</w:t>
      </w:r>
      <w:r w:rsidRPr="00DC40BE">
        <w:rPr>
          <w:noProof/>
          <w:lang w:val="pl-PL"/>
        </w:rPr>
        <w:t>u weryfikacji, które skutkowały unieważnieniem deklaracji poparcia, były</w:t>
      </w:r>
      <w:r w:rsidR="00DC40BE" w:rsidRPr="00DC40BE">
        <w:rPr>
          <w:noProof/>
          <w:lang w:val="pl-PL"/>
        </w:rPr>
        <w:t xml:space="preserve"> w por</w:t>
      </w:r>
      <w:r w:rsidRPr="00DC40BE">
        <w:rPr>
          <w:noProof/>
          <w:lang w:val="pl-PL"/>
        </w:rPr>
        <w:t xml:space="preserve">ządku malejącym pod względem częstotliwości występowania: 1) brak danych dotyczących tożsamości lub inne błędy uniemożliwiające organom zidentyfikowanie sygnatariusza; 2) złożenie więcej niż jednej deklaracji poparcia przez tego </w:t>
      </w:r>
      <w:r w:rsidRPr="00DC40BE">
        <w:rPr>
          <w:noProof/>
          <w:lang w:val="pl-PL"/>
        </w:rPr>
        <w:lastRenderedPageBreak/>
        <w:t>samego sygnatariusza oraz 3) przedstawienie niespójnych danych osobowych</w:t>
      </w:r>
      <w:r w:rsidR="00DC40BE" w:rsidRPr="00DC40BE">
        <w:rPr>
          <w:noProof/>
          <w:lang w:val="pl-PL"/>
        </w:rPr>
        <w:t xml:space="preserve"> w for</w:t>
      </w:r>
      <w:r w:rsidRPr="00DC40BE">
        <w:rPr>
          <w:noProof/>
          <w:lang w:val="pl-PL"/>
        </w:rPr>
        <w:t>mularzu (w tym brak niektórych danych</w:t>
      </w:r>
      <w:r w:rsidR="00DC40BE" w:rsidRPr="00DC40BE">
        <w:rPr>
          <w:noProof/>
          <w:lang w:val="pl-PL"/>
        </w:rPr>
        <w:t xml:space="preserve"> w for</w:t>
      </w:r>
      <w:r w:rsidRPr="00DC40BE">
        <w:rPr>
          <w:noProof/>
          <w:lang w:val="pl-PL"/>
        </w:rPr>
        <w:t>mularzach papierowych). Korzystanie</w:t>
      </w:r>
      <w:r w:rsidR="00DC40BE" w:rsidRPr="00DC40BE">
        <w:rPr>
          <w:noProof/>
          <w:lang w:val="pl-PL"/>
        </w:rPr>
        <w:t xml:space="preserve"> z usł</w:t>
      </w:r>
      <w:r w:rsidRPr="00DC40BE">
        <w:rPr>
          <w:noProof/>
          <w:lang w:val="pl-PL"/>
        </w:rPr>
        <w:t>ugi wymiany plików</w:t>
      </w:r>
      <w:r w:rsidR="00DC40BE" w:rsidRPr="00DC40BE">
        <w:rPr>
          <w:noProof/>
          <w:lang w:val="pl-PL"/>
        </w:rPr>
        <w:t xml:space="preserve"> i zbi</w:t>
      </w:r>
      <w:r w:rsidRPr="00DC40BE">
        <w:rPr>
          <w:noProof/>
          <w:lang w:val="pl-PL"/>
        </w:rPr>
        <w:t>eranie deklaracji poparcia przez internet usprawniło proces weryfikacji. Ogólnie rzecz biorąc, państwa członkowskie są zadowolone lub bardzo zadowolone</w:t>
      </w:r>
      <w:r w:rsidR="00DC40BE" w:rsidRPr="00DC40BE">
        <w:rPr>
          <w:noProof/>
          <w:lang w:val="pl-PL"/>
        </w:rPr>
        <w:t xml:space="preserve"> z udo</w:t>
      </w:r>
      <w:r w:rsidRPr="00DC40BE">
        <w:rPr>
          <w:noProof/>
          <w:lang w:val="pl-PL"/>
        </w:rPr>
        <w:t>stępnionych przez Komisję wytycznych dotyczących systemu wymiany plików. Szereg organów krajowych poinformowało, że proces przebiega sprawniej</w:t>
      </w:r>
      <w:r w:rsidR="00DC40BE" w:rsidRPr="00DC40BE">
        <w:rPr>
          <w:noProof/>
          <w:lang w:val="pl-PL"/>
        </w:rPr>
        <w:t xml:space="preserve"> i jes</w:t>
      </w:r>
      <w:r w:rsidRPr="00DC40BE">
        <w:rPr>
          <w:noProof/>
          <w:lang w:val="pl-PL"/>
        </w:rPr>
        <w:t>t bardziej znormalizowany</w:t>
      </w:r>
      <w:r w:rsidR="00DC40BE" w:rsidRPr="00DC40BE">
        <w:rPr>
          <w:noProof/>
          <w:lang w:val="pl-PL"/>
        </w:rPr>
        <w:t xml:space="preserve"> w prz</w:t>
      </w:r>
      <w:r w:rsidRPr="00DC40BE">
        <w:rPr>
          <w:noProof/>
          <w:lang w:val="pl-PL"/>
        </w:rPr>
        <w:t>ypadku przekazywania danych bezpośrednio</w:t>
      </w:r>
      <w:r w:rsidR="00DC40BE" w:rsidRPr="00DC40BE">
        <w:rPr>
          <w:noProof/>
          <w:lang w:val="pl-PL"/>
        </w:rPr>
        <w:t xml:space="preserve"> z cen</w:t>
      </w:r>
      <w:r w:rsidRPr="00DC40BE">
        <w:rPr>
          <w:noProof/>
          <w:lang w:val="pl-PL"/>
        </w:rPr>
        <w:t xml:space="preserve">tralnego systemu zbierania deklaracji online Komisji. </w:t>
      </w:r>
    </w:p>
    <w:p w14:paraId="39492B1C" w14:textId="1DB91027" w:rsidR="005A4888" w:rsidRPr="00DC40BE" w:rsidRDefault="005A4888" w:rsidP="00E8781C">
      <w:pPr>
        <w:spacing w:before="100" w:beforeAutospacing="1" w:after="100" w:afterAutospacing="1" w:line="276" w:lineRule="auto"/>
        <w:rPr>
          <w:noProof/>
          <w:lang w:val="pl-PL"/>
        </w:rPr>
      </w:pPr>
      <w:r w:rsidRPr="00DC40BE">
        <w:rPr>
          <w:noProof/>
          <w:lang w:val="pl-PL"/>
        </w:rPr>
        <w:t>W odpowiedziach na pytania zawarte</w:t>
      </w:r>
      <w:r w:rsidR="00DC40BE" w:rsidRPr="00DC40BE">
        <w:rPr>
          <w:noProof/>
          <w:lang w:val="pl-PL"/>
        </w:rPr>
        <w:t xml:space="preserve"> w ank</w:t>
      </w:r>
      <w:r w:rsidRPr="00DC40BE">
        <w:rPr>
          <w:noProof/>
          <w:lang w:val="pl-PL"/>
        </w:rPr>
        <w:t>iecie organizatorzy EIO stwierdzili, że procedura weryfikacji jest zasadniczo skuteczna, przy czym zwrócili uwagę na pewne opóźnienia</w:t>
      </w:r>
      <w:r w:rsidR="00DC40BE" w:rsidRPr="00DC40BE">
        <w:rPr>
          <w:noProof/>
          <w:lang w:val="pl-PL"/>
        </w:rPr>
        <w:t xml:space="preserve"> w prz</w:t>
      </w:r>
      <w:r w:rsidRPr="00DC40BE">
        <w:rPr>
          <w:noProof/>
          <w:lang w:val="pl-PL"/>
        </w:rPr>
        <w:t>ekazywaniu odpowiedzi przez państwa członkowskie.</w:t>
      </w:r>
    </w:p>
    <w:p w14:paraId="0C32AF7D" w14:textId="7988F220" w:rsidR="005A4888" w:rsidRPr="00DC40BE" w:rsidRDefault="005455F8" w:rsidP="00E8781C">
      <w:pPr>
        <w:pStyle w:val="Nagwek2"/>
        <w:spacing w:before="100" w:beforeAutospacing="1" w:after="100" w:afterAutospacing="1" w:line="276" w:lineRule="auto"/>
        <w:rPr>
          <w:noProof/>
          <w:lang w:val="pl-PL"/>
        </w:rPr>
      </w:pPr>
      <w:r w:rsidRPr="00DC40BE">
        <w:rPr>
          <w:noProof/>
          <w:lang w:val="pl-PL"/>
        </w:rPr>
        <w:t xml:space="preserve">3.6. </w:t>
      </w:r>
      <w:bookmarkStart w:id="30" w:name="_Toc1696006437"/>
      <w:bookmarkStart w:id="31" w:name="_Toc146296681"/>
      <w:r w:rsidRPr="00DC40BE">
        <w:rPr>
          <w:noProof/>
          <w:lang w:val="pl-PL"/>
        </w:rPr>
        <w:t>Badanie</w:t>
      </w:r>
      <w:r w:rsidR="00DC40BE" w:rsidRPr="00DC40BE">
        <w:rPr>
          <w:noProof/>
          <w:lang w:val="pl-PL"/>
        </w:rPr>
        <w:t xml:space="preserve"> i dzi</w:t>
      </w:r>
      <w:r w:rsidRPr="00DC40BE">
        <w:rPr>
          <w:noProof/>
          <w:lang w:val="pl-PL"/>
        </w:rPr>
        <w:t>ałania następcze</w:t>
      </w:r>
      <w:bookmarkEnd w:id="30"/>
      <w:bookmarkEnd w:id="31"/>
    </w:p>
    <w:p w14:paraId="3625BA0F" w14:textId="317DA388" w:rsidR="00D81C2A" w:rsidRPr="00DC40BE" w:rsidRDefault="005A4888" w:rsidP="00E8781C">
      <w:pPr>
        <w:pStyle w:val="pf0"/>
        <w:spacing w:line="276" w:lineRule="auto"/>
        <w:jc w:val="both"/>
        <w:rPr>
          <w:rStyle w:val="cf01"/>
          <w:rFonts w:ascii="Times New Roman" w:hAnsi="Times New Roman" w:cs="Times New Roman"/>
          <w:noProof/>
          <w:sz w:val="24"/>
          <w:lang w:val="pl-PL"/>
        </w:rPr>
      </w:pPr>
      <w:r w:rsidRPr="00DC40BE">
        <w:rPr>
          <w:noProof/>
          <w:lang w:val="pl-PL"/>
        </w:rPr>
        <w:t>Od 1 stycznia 2020</w:t>
      </w:r>
      <w:r w:rsidR="00DC40BE" w:rsidRPr="00DC40BE">
        <w:rPr>
          <w:noProof/>
          <w:lang w:val="pl-PL"/>
        </w:rPr>
        <w:t> </w:t>
      </w:r>
      <w:r w:rsidRPr="00DC40BE">
        <w:rPr>
          <w:noProof/>
          <w:lang w:val="pl-PL"/>
        </w:rPr>
        <w:t xml:space="preserve">r. Komisji przekazano do zbadania </w:t>
      </w:r>
      <w:r w:rsidRPr="00DC40BE">
        <w:rPr>
          <w:b/>
          <w:noProof/>
          <w:lang w:val="pl-PL"/>
        </w:rPr>
        <w:t>sześć ważnych</w:t>
      </w:r>
      <w:r w:rsidRPr="00DC40BE">
        <w:rPr>
          <w:noProof/>
          <w:lang w:val="pl-PL"/>
        </w:rPr>
        <w:t xml:space="preserve"> EIO(</w:t>
      </w:r>
      <w:r w:rsidRPr="00DC40BE">
        <w:rPr>
          <w:rStyle w:val="Odwoanieprzypisudolnego"/>
          <w:noProof/>
          <w:lang w:val="pl-PL"/>
        </w:rPr>
        <w:footnoteReference w:id="56"/>
      </w:r>
      <w:r w:rsidRPr="00DC40BE">
        <w:rPr>
          <w:noProof/>
          <w:lang w:val="pl-PL"/>
        </w:rPr>
        <w:t>),</w:t>
      </w:r>
      <w:r w:rsidR="00DC40BE" w:rsidRPr="00DC40BE">
        <w:rPr>
          <w:noProof/>
          <w:lang w:val="pl-PL"/>
        </w:rPr>
        <w:t xml:space="preserve"> w prz</w:t>
      </w:r>
      <w:r w:rsidRPr="00DC40BE">
        <w:rPr>
          <w:noProof/>
          <w:lang w:val="pl-PL"/>
        </w:rPr>
        <w:t>ypadku których zebrano ponad milion podpisów. Komisja odpowiedziała na pięć</w:t>
      </w:r>
      <w:r w:rsidR="00DC40BE" w:rsidRPr="00DC40BE">
        <w:rPr>
          <w:noProof/>
          <w:lang w:val="pl-PL"/>
        </w:rPr>
        <w:t xml:space="preserve"> z tyc</w:t>
      </w:r>
      <w:r w:rsidRPr="00DC40BE">
        <w:rPr>
          <w:noProof/>
          <w:lang w:val="pl-PL"/>
        </w:rPr>
        <w:t>h inicjatyw; przyjęcie szóstej odpowiedzi zaplanowano na</w:t>
      </w:r>
      <w:r w:rsidR="00DC40BE" w:rsidRPr="00DC40BE">
        <w:rPr>
          <w:noProof/>
          <w:lang w:val="pl-PL"/>
        </w:rPr>
        <w:t> </w:t>
      </w:r>
      <w:r w:rsidRPr="00DC40BE">
        <w:rPr>
          <w:noProof/>
          <w:lang w:val="pl-PL"/>
        </w:rPr>
        <w:t>14 grudnia 2023</w:t>
      </w:r>
      <w:r w:rsidR="00DC40BE" w:rsidRPr="00DC40BE">
        <w:rPr>
          <w:noProof/>
          <w:lang w:val="pl-PL"/>
        </w:rPr>
        <w:t> </w:t>
      </w:r>
      <w:r w:rsidRPr="00DC40BE">
        <w:rPr>
          <w:noProof/>
          <w:lang w:val="pl-PL"/>
        </w:rPr>
        <w:t>r. Wyznaczenie trzymiesięcznego terminu na przedłożenie Komisji zakończonych powodzeniem inicjatyw(</w:t>
      </w:r>
      <w:r w:rsidRPr="00DC40BE">
        <w:rPr>
          <w:rStyle w:val="Odwoanieprzypisudolnego"/>
          <w:noProof/>
          <w:lang w:val="pl-PL"/>
        </w:rPr>
        <w:footnoteReference w:id="57"/>
      </w:r>
      <w:r w:rsidRPr="00DC40BE">
        <w:rPr>
          <w:noProof/>
          <w:lang w:val="pl-PL"/>
        </w:rPr>
        <w:t xml:space="preserve">) </w:t>
      </w:r>
      <w:r w:rsidRPr="00DC40BE">
        <w:rPr>
          <w:rStyle w:val="cf01"/>
          <w:rFonts w:ascii="Times New Roman" w:hAnsi="Times New Roman"/>
          <w:noProof/>
          <w:sz w:val="24"/>
          <w:lang w:val="pl-PL"/>
        </w:rPr>
        <w:t>zapewniło obywatelom</w:t>
      </w:r>
      <w:r w:rsidR="00DC40BE" w:rsidRPr="00DC40BE">
        <w:rPr>
          <w:rStyle w:val="cf01"/>
          <w:rFonts w:ascii="Times New Roman" w:hAnsi="Times New Roman"/>
          <w:noProof/>
          <w:sz w:val="24"/>
          <w:lang w:val="pl-PL"/>
        </w:rPr>
        <w:t xml:space="preserve"> i ins</w:t>
      </w:r>
      <w:r w:rsidRPr="00DC40BE">
        <w:rPr>
          <w:rStyle w:val="cf01"/>
          <w:rFonts w:ascii="Times New Roman" w:hAnsi="Times New Roman"/>
          <w:noProof/>
          <w:sz w:val="24"/>
          <w:lang w:val="pl-PL"/>
        </w:rPr>
        <w:t>tytucjom większą pewność, jeżeli chodzi</w:t>
      </w:r>
      <w:r w:rsidR="00DC40BE" w:rsidRPr="00DC40BE">
        <w:rPr>
          <w:rStyle w:val="cf01"/>
          <w:rFonts w:ascii="Times New Roman" w:hAnsi="Times New Roman"/>
          <w:noProof/>
          <w:sz w:val="24"/>
          <w:lang w:val="pl-PL"/>
        </w:rPr>
        <w:t xml:space="preserve"> o dzi</w:t>
      </w:r>
      <w:r w:rsidRPr="00DC40BE">
        <w:rPr>
          <w:rStyle w:val="cf01"/>
          <w:rFonts w:ascii="Times New Roman" w:hAnsi="Times New Roman"/>
          <w:noProof/>
          <w:sz w:val="24"/>
          <w:lang w:val="pl-PL"/>
        </w:rPr>
        <w:t>ałania następcze podejmowane</w:t>
      </w:r>
      <w:r w:rsidR="00DC40BE" w:rsidRPr="00DC40BE">
        <w:rPr>
          <w:rStyle w:val="cf01"/>
          <w:rFonts w:ascii="Times New Roman" w:hAnsi="Times New Roman"/>
          <w:noProof/>
          <w:sz w:val="24"/>
          <w:lang w:val="pl-PL"/>
        </w:rPr>
        <w:t xml:space="preserve"> w zwi</w:t>
      </w:r>
      <w:r w:rsidRPr="00DC40BE">
        <w:rPr>
          <w:rStyle w:val="cf01"/>
          <w:rFonts w:ascii="Times New Roman" w:hAnsi="Times New Roman"/>
          <w:noProof/>
          <w:sz w:val="24"/>
          <w:lang w:val="pl-PL"/>
        </w:rPr>
        <w:t>ązku</w:t>
      </w:r>
      <w:r w:rsidR="00DC40BE" w:rsidRPr="00DC40BE">
        <w:rPr>
          <w:rStyle w:val="cf01"/>
          <w:rFonts w:ascii="Times New Roman" w:hAnsi="Times New Roman"/>
          <w:noProof/>
          <w:sz w:val="24"/>
          <w:lang w:val="pl-PL"/>
        </w:rPr>
        <w:t xml:space="preserve"> z ini</w:t>
      </w:r>
      <w:r w:rsidRPr="00DC40BE">
        <w:rPr>
          <w:rStyle w:val="cf01"/>
          <w:rFonts w:ascii="Times New Roman" w:hAnsi="Times New Roman"/>
          <w:noProof/>
          <w:sz w:val="24"/>
          <w:lang w:val="pl-PL"/>
        </w:rPr>
        <w:t>cjatywami, rozwiązując tym samym powracający problem związany</w:t>
      </w:r>
      <w:r w:rsidR="00DC40BE" w:rsidRPr="00DC40BE">
        <w:rPr>
          <w:rStyle w:val="cf01"/>
          <w:rFonts w:ascii="Times New Roman" w:hAnsi="Times New Roman"/>
          <w:noProof/>
          <w:sz w:val="24"/>
          <w:lang w:val="pl-PL"/>
        </w:rPr>
        <w:t xml:space="preserve"> z wdr</w:t>
      </w:r>
      <w:r w:rsidRPr="00DC40BE">
        <w:rPr>
          <w:rStyle w:val="cf01"/>
          <w:rFonts w:ascii="Times New Roman" w:hAnsi="Times New Roman"/>
          <w:noProof/>
          <w:sz w:val="24"/>
          <w:lang w:val="pl-PL"/>
        </w:rPr>
        <w:t>ażaniem pierwszego rozporządzenia</w:t>
      </w:r>
      <w:r w:rsidR="00DC40BE" w:rsidRPr="00DC40BE">
        <w:rPr>
          <w:rStyle w:val="cf01"/>
          <w:rFonts w:ascii="Times New Roman" w:hAnsi="Times New Roman"/>
          <w:noProof/>
          <w:sz w:val="24"/>
          <w:lang w:val="pl-PL"/>
        </w:rPr>
        <w:t xml:space="preserve"> w spr</w:t>
      </w:r>
      <w:r w:rsidRPr="00DC40BE">
        <w:rPr>
          <w:rStyle w:val="cf01"/>
          <w:rFonts w:ascii="Times New Roman" w:hAnsi="Times New Roman"/>
          <w:noProof/>
          <w:sz w:val="24"/>
          <w:lang w:val="pl-PL"/>
        </w:rPr>
        <w:t>awie EIO, na który zwrócono uwagę</w:t>
      </w:r>
      <w:r w:rsidR="00DC40BE" w:rsidRPr="00DC40BE">
        <w:rPr>
          <w:rStyle w:val="cf01"/>
          <w:rFonts w:ascii="Times New Roman" w:hAnsi="Times New Roman"/>
          <w:noProof/>
          <w:sz w:val="24"/>
          <w:lang w:val="pl-PL"/>
        </w:rPr>
        <w:t xml:space="preserve"> w spr</w:t>
      </w:r>
      <w:r w:rsidRPr="00DC40BE">
        <w:rPr>
          <w:rStyle w:val="cf01"/>
          <w:rFonts w:ascii="Times New Roman" w:hAnsi="Times New Roman"/>
          <w:noProof/>
          <w:sz w:val="24"/>
          <w:lang w:val="pl-PL"/>
        </w:rPr>
        <w:t>awozdaniach</w:t>
      </w:r>
      <w:r w:rsidR="00DC40BE" w:rsidRPr="00DC40BE">
        <w:rPr>
          <w:rStyle w:val="cf01"/>
          <w:rFonts w:ascii="Times New Roman" w:hAnsi="Times New Roman"/>
          <w:noProof/>
          <w:sz w:val="24"/>
          <w:lang w:val="pl-PL"/>
        </w:rPr>
        <w:t xml:space="preserve"> z 2</w:t>
      </w:r>
      <w:r w:rsidRPr="00DC40BE">
        <w:rPr>
          <w:rStyle w:val="cf01"/>
          <w:rFonts w:ascii="Times New Roman" w:hAnsi="Times New Roman"/>
          <w:noProof/>
          <w:sz w:val="24"/>
          <w:lang w:val="pl-PL"/>
        </w:rPr>
        <w:t>015</w:t>
      </w:r>
      <w:r w:rsidR="00DC40BE" w:rsidRPr="00DC40BE">
        <w:rPr>
          <w:rStyle w:val="cf01"/>
          <w:rFonts w:ascii="Times New Roman" w:hAnsi="Times New Roman"/>
          <w:noProof/>
          <w:sz w:val="24"/>
          <w:lang w:val="pl-PL"/>
        </w:rPr>
        <w:t> </w:t>
      </w:r>
      <w:r w:rsidRPr="00DC40BE">
        <w:rPr>
          <w:rStyle w:val="cf01"/>
          <w:rFonts w:ascii="Times New Roman" w:hAnsi="Times New Roman"/>
          <w:noProof/>
          <w:sz w:val="24"/>
          <w:lang w:val="pl-PL"/>
        </w:rPr>
        <w:t>r.</w:t>
      </w:r>
      <w:r w:rsidR="00DC40BE" w:rsidRPr="00DC40BE">
        <w:rPr>
          <w:rStyle w:val="cf01"/>
          <w:rFonts w:ascii="Times New Roman" w:hAnsi="Times New Roman"/>
          <w:noProof/>
          <w:sz w:val="24"/>
          <w:lang w:val="pl-PL"/>
        </w:rPr>
        <w:t xml:space="preserve"> i 2</w:t>
      </w:r>
      <w:r w:rsidRPr="00DC40BE">
        <w:rPr>
          <w:rStyle w:val="cf01"/>
          <w:rFonts w:ascii="Times New Roman" w:hAnsi="Times New Roman"/>
          <w:noProof/>
          <w:sz w:val="24"/>
          <w:lang w:val="pl-PL"/>
        </w:rPr>
        <w:t>018</w:t>
      </w:r>
      <w:r w:rsidR="00DC40BE" w:rsidRPr="00DC40BE">
        <w:rPr>
          <w:rStyle w:val="cf01"/>
          <w:rFonts w:ascii="Times New Roman" w:hAnsi="Times New Roman"/>
          <w:noProof/>
          <w:sz w:val="24"/>
          <w:lang w:val="pl-PL"/>
        </w:rPr>
        <w:t> </w:t>
      </w:r>
      <w:r w:rsidRPr="00DC40BE">
        <w:rPr>
          <w:rStyle w:val="cf01"/>
          <w:rFonts w:ascii="Times New Roman" w:hAnsi="Times New Roman"/>
          <w:noProof/>
          <w:sz w:val="24"/>
          <w:lang w:val="pl-PL"/>
        </w:rPr>
        <w:t>r.(</w:t>
      </w:r>
      <w:r w:rsidRPr="00DC40BE">
        <w:rPr>
          <w:rStyle w:val="Odwoanieprzypisudolnego"/>
          <w:noProof/>
          <w:lang w:val="pl-PL"/>
        </w:rPr>
        <w:footnoteReference w:id="58"/>
      </w:r>
      <w:r w:rsidRPr="00DC40BE">
        <w:rPr>
          <w:rStyle w:val="cf01"/>
          <w:rFonts w:ascii="Times New Roman" w:hAnsi="Times New Roman"/>
          <w:noProof/>
          <w:sz w:val="24"/>
          <w:lang w:val="pl-PL"/>
        </w:rPr>
        <w:t>)</w:t>
      </w:r>
    </w:p>
    <w:p w14:paraId="2FE39387" w14:textId="615CADB8" w:rsidR="005A4888" w:rsidRPr="00DC40BE" w:rsidRDefault="00106880" w:rsidP="00E8781C">
      <w:pPr>
        <w:pStyle w:val="Akapitzlist"/>
        <w:numPr>
          <w:ilvl w:val="0"/>
          <w:numId w:val="32"/>
        </w:numPr>
        <w:autoSpaceDE w:val="0"/>
        <w:autoSpaceDN w:val="0"/>
        <w:spacing w:before="100" w:beforeAutospacing="1" w:after="100" w:afterAutospacing="1"/>
        <w:jc w:val="both"/>
        <w:rPr>
          <w:rFonts w:ascii="Times New Roman" w:hAnsi="Times New Roman" w:cs="Times New Roman"/>
          <w:b/>
          <w:noProof/>
          <w:sz w:val="24"/>
          <w:lang w:val="pl-PL"/>
        </w:rPr>
      </w:pPr>
      <w:hyperlink r:id="rId31" w:history="1">
        <w:r w:rsidR="007E40DA" w:rsidRPr="00DC40BE">
          <w:rPr>
            <w:rStyle w:val="Hipercze"/>
            <w:rFonts w:ascii="Times New Roman" w:hAnsi="Times New Roman"/>
            <w:b/>
            <w:noProof/>
            <w:sz w:val="24"/>
            <w:lang w:val="pl-PL"/>
          </w:rPr>
          <w:t>„Minority SafePack – milion podpisów za różnorodnością</w:t>
        </w:r>
        <w:r w:rsidR="00DC40BE" w:rsidRPr="00DC40BE">
          <w:rPr>
            <w:rStyle w:val="Hipercze"/>
            <w:rFonts w:ascii="Times New Roman" w:hAnsi="Times New Roman"/>
            <w:b/>
            <w:noProof/>
            <w:sz w:val="24"/>
            <w:lang w:val="pl-PL"/>
          </w:rPr>
          <w:t xml:space="preserve"> w Eur</w:t>
        </w:r>
        <w:r w:rsidR="007E40DA" w:rsidRPr="00DC40BE">
          <w:rPr>
            <w:rStyle w:val="Hipercze"/>
            <w:rFonts w:ascii="Times New Roman" w:hAnsi="Times New Roman"/>
            <w:b/>
            <w:noProof/>
            <w:sz w:val="24"/>
            <w:lang w:val="pl-PL"/>
          </w:rPr>
          <w:t>opie”</w:t>
        </w:r>
      </w:hyperlink>
      <w:r w:rsidR="007E40DA" w:rsidRPr="00DC40BE">
        <w:rPr>
          <w:rFonts w:ascii="Times New Roman" w:hAnsi="Times New Roman"/>
          <w:b/>
          <w:noProof/>
          <w:sz w:val="24"/>
          <w:lang w:val="pl-PL"/>
        </w:rPr>
        <w:t>(</w:t>
      </w:r>
      <w:r w:rsidR="007E40DA" w:rsidRPr="00DC40BE">
        <w:rPr>
          <w:rStyle w:val="Odwoanieprzypisudolnego"/>
          <w:rFonts w:ascii="Times New Roman" w:hAnsi="Times New Roman" w:cs="Times New Roman"/>
          <w:b/>
          <w:noProof/>
          <w:sz w:val="24"/>
          <w:lang w:val="pl-PL"/>
        </w:rPr>
        <w:footnoteReference w:id="59"/>
      </w:r>
      <w:r w:rsidR="007E40DA" w:rsidRPr="00DC40BE">
        <w:rPr>
          <w:rFonts w:ascii="Times New Roman" w:hAnsi="Times New Roman"/>
          <w:b/>
          <w:noProof/>
          <w:sz w:val="24"/>
          <w:lang w:val="pl-PL"/>
        </w:rPr>
        <w:t>)</w:t>
      </w:r>
      <w:r w:rsidR="00DC40BE" w:rsidRPr="00DC40BE">
        <w:rPr>
          <w:rFonts w:ascii="Times New Roman" w:hAnsi="Times New Roman"/>
          <w:b/>
          <w:noProof/>
          <w:sz w:val="24"/>
          <w:lang w:val="pl-PL"/>
        </w:rPr>
        <w:t xml:space="preserve"> </w:t>
      </w:r>
    </w:p>
    <w:p w14:paraId="489F616F" w14:textId="525588D6" w:rsidR="005A4888" w:rsidRPr="00DC40BE" w:rsidRDefault="005A4888" w:rsidP="00E8781C">
      <w:pPr>
        <w:pStyle w:val="NormalnyWeb"/>
        <w:spacing w:line="276" w:lineRule="auto"/>
        <w:jc w:val="both"/>
        <w:rPr>
          <w:noProof/>
          <w:lang w:val="pl-PL"/>
        </w:rPr>
      </w:pPr>
      <w:r w:rsidRPr="00DC40BE">
        <w:rPr>
          <w:noProof/>
          <w:lang w:val="pl-PL"/>
        </w:rPr>
        <w:t>W ramach tej EIO wezwano do przyjęcia szeregu aktów prawnych</w:t>
      </w:r>
      <w:r w:rsidR="00DC40BE" w:rsidRPr="00DC40BE">
        <w:rPr>
          <w:noProof/>
          <w:lang w:val="pl-PL"/>
        </w:rPr>
        <w:t xml:space="preserve"> z myś</w:t>
      </w:r>
      <w:r w:rsidRPr="00DC40BE">
        <w:rPr>
          <w:noProof/>
          <w:lang w:val="pl-PL"/>
        </w:rPr>
        <w:t>lą</w:t>
      </w:r>
      <w:r w:rsidR="00DC40BE" w:rsidRPr="00DC40BE">
        <w:rPr>
          <w:noProof/>
          <w:lang w:val="pl-PL"/>
        </w:rPr>
        <w:t xml:space="preserve"> o pop</w:t>
      </w:r>
      <w:r w:rsidRPr="00DC40BE">
        <w:rPr>
          <w:noProof/>
          <w:lang w:val="pl-PL"/>
        </w:rPr>
        <w:t>rawie ochrony osób należących do mniejszości narodowych</w:t>
      </w:r>
      <w:r w:rsidR="00DC40BE" w:rsidRPr="00DC40BE">
        <w:rPr>
          <w:noProof/>
          <w:lang w:val="pl-PL"/>
        </w:rPr>
        <w:t xml:space="preserve"> i jęz</w:t>
      </w:r>
      <w:r w:rsidRPr="00DC40BE">
        <w:rPr>
          <w:noProof/>
          <w:lang w:val="pl-PL"/>
        </w:rPr>
        <w:t>ykowych oraz</w:t>
      </w:r>
      <w:r w:rsidR="00DC40BE" w:rsidRPr="00DC40BE">
        <w:rPr>
          <w:noProof/>
          <w:lang w:val="pl-PL"/>
        </w:rPr>
        <w:t xml:space="preserve"> o wzm</w:t>
      </w:r>
      <w:r w:rsidRPr="00DC40BE">
        <w:rPr>
          <w:noProof/>
          <w:lang w:val="pl-PL"/>
        </w:rPr>
        <w:t>ocnieniu różnorodności kulturowej</w:t>
      </w:r>
      <w:r w:rsidR="00DC40BE" w:rsidRPr="00DC40BE">
        <w:rPr>
          <w:noProof/>
          <w:lang w:val="pl-PL"/>
        </w:rPr>
        <w:t xml:space="preserve"> i jęz</w:t>
      </w:r>
      <w:r w:rsidRPr="00DC40BE">
        <w:rPr>
          <w:noProof/>
          <w:lang w:val="pl-PL"/>
        </w:rPr>
        <w:t>ykowej w UE. Organizatorzy przedłożyli Komisji EIO 10 stycznia 2020</w:t>
      </w:r>
      <w:r w:rsidR="00DC40BE" w:rsidRPr="00DC40BE">
        <w:rPr>
          <w:noProof/>
          <w:lang w:val="pl-PL"/>
        </w:rPr>
        <w:t> </w:t>
      </w:r>
      <w:r w:rsidRPr="00DC40BE">
        <w:rPr>
          <w:noProof/>
          <w:lang w:val="pl-PL"/>
        </w:rPr>
        <w:t>r., po zebraniu 1 128 422 ważnych deklaracji poparcia</w:t>
      </w:r>
      <w:r w:rsidR="00DC40BE" w:rsidRPr="00DC40BE">
        <w:rPr>
          <w:noProof/>
          <w:lang w:val="pl-PL"/>
        </w:rPr>
        <w:t xml:space="preserve"> i osi</w:t>
      </w:r>
      <w:r w:rsidRPr="00DC40BE">
        <w:rPr>
          <w:noProof/>
          <w:lang w:val="pl-PL"/>
        </w:rPr>
        <w:t>ągnięciu wymaganych progów</w:t>
      </w:r>
      <w:r w:rsidR="00DC40BE" w:rsidRPr="00DC40BE">
        <w:rPr>
          <w:noProof/>
          <w:lang w:val="pl-PL"/>
        </w:rPr>
        <w:t xml:space="preserve"> w 1</w:t>
      </w:r>
      <w:r w:rsidRPr="00DC40BE">
        <w:rPr>
          <w:noProof/>
          <w:lang w:val="pl-PL"/>
        </w:rPr>
        <w:t>1 państwach członkowskich. 5 lutego 2020</w:t>
      </w:r>
      <w:r w:rsidR="00DC40BE" w:rsidRPr="00DC40BE">
        <w:rPr>
          <w:noProof/>
          <w:lang w:val="pl-PL"/>
        </w:rPr>
        <w:t> </w:t>
      </w:r>
      <w:r w:rsidRPr="00DC40BE">
        <w:rPr>
          <w:noProof/>
          <w:lang w:val="pl-PL"/>
        </w:rPr>
        <w:t>r. organizatorzy spotkali się</w:t>
      </w:r>
      <w:r w:rsidR="00DC40BE" w:rsidRPr="00DC40BE">
        <w:rPr>
          <w:noProof/>
          <w:lang w:val="pl-PL"/>
        </w:rPr>
        <w:t xml:space="preserve"> z wic</w:t>
      </w:r>
      <w:r w:rsidRPr="00DC40BE">
        <w:rPr>
          <w:noProof/>
          <w:lang w:val="pl-PL"/>
        </w:rPr>
        <w:t>eprzewodniczącą Komisji Europejskiej do spraw wartości</w:t>
      </w:r>
      <w:r w:rsidR="00DC40BE" w:rsidRPr="00DC40BE">
        <w:rPr>
          <w:noProof/>
          <w:lang w:val="pl-PL"/>
        </w:rPr>
        <w:t xml:space="preserve"> i prz</w:t>
      </w:r>
      <w:r w:rsidRPr="00DC40BE">
        <w:rPr>
          <w:noProof/>
          <w:lang w:val="pl-PL"/>
        </w:rPr>
        <w:t>ejrzystości Věrą Jourovą oraz komisarz do spraw innowacji, badań naukowych, kultury, edukacji</w:t>
      </w:r>
      <w:r w:rsidR="00DC40BE" w:rsidRPr="00DC40BE">
        <w:rPr>
          <w:noProof/>
          <w:lang w:val="pl-PL"/>
        </w:rPr>
        <w:t xml:space="preserve"> i mło</w:t>
      </w:r>
      <w:r w:rsidRPr="00DC40BE">
        <w:rPr>
          <w:noProof/>
          <w:lang w:val="pl-PL"/>
        </w:rPr>
        <w:t>dzieży Mariyą Gabriel. 15 października 2020</w:t>
      </w:r>
      <w:r w:rsidR="00DC40BE" w:rsidRPr="00DC40BE">
        <w:rPr>
          <w:noProof/>
          <w:lang w:val="pl-PL"/>
        </w:rPr>
        <w:t> </w:t>
      </w:r>
      <w:r w:rsidRPr="00DC40BE">
        <w:rPr>
          <w:noProof/>
          <w:lang w:val="pl-PL"/>
        </w:rPr>
        <w:t>r., podczas wysłuchania publicznego</w:t>
      </w:r>
      <w:r w:rsidR="00DC40BE" w:rsidRPr="00DC40BE">
        <w:rPr>
          <w:noProof/>
          <w:lang w:val="pl-PL"/>
        </w:rPr>
        <w:t xml:space="preserve"> w Par</w:t>
      </w:r>
      <w:r w:rsidRPr="00DC40BE">
        <w:rPr>
          <w:noProof/>
          <w:lang w:val="pl-PL"/>
        </w:rPr>
        <w:t xml:space="preserve">lamencie Europejskim, organizatorzy przedstawili swoją EIO oraz towarzyszące jej wnioski. EIO była również przedmiotem debaty </w:t>
      </w:r>
      <w:r w:rsidRPr="00DC40BE">
        <w:rPr>
          <w:noProof/>
          <w:lang w:val="pl-PL"/>
        </w:rPr>
        <w:lastRenderedPageBreak/>
        <w:t>na sesji plenarnej Parlamentu Europejskiego, która odbyła się</w:t>
      </w:r>
      <w:r w:rsidR="00DC40BE" w:rsidRPr="00DC40BE">
        <w:rPr>
          <w:noProof/>
          <w:lang w:val="pl-PL"/>
        </w:rPr>
        <w:t> </w:t>
      </w:r>
      <w:r w:rsidRPr="00DC40BE">
        <w:rPr>
          <w:noProof/>
          <w:lang w:val="pl-PL"/>
        </w:rPr>
        <w:t>14 grudnia 2020</w:t>
      </w:r>
      <w:r w:rsidR="00DC40BE" w:rsidRPr="00DC40BE">
        <w:rPr>
          <w:noProof/>
          <w:lang w:val="pl-PL"/>
        </w:rPr>
        <w:t> </w:t>
      </w:r>
      <w:r w:rsidRPr="00DC40BE">
        <w:rPr>
          <w:noProof/>
          <w:lang w:val="pl-PL"/>
        </w:rPr>
        <w:t xml:space="preserve">r. Parlament Europejski wyraził swoje poparcie dla EIO w </w:t>
      </w:r>
      <w:hyperlink r:id="rId32" w:history="1">
        <w:r w:rsidRPr="00DC40BE">
          <w:rPr>
            <w:rStyle w:val="Hipercze"/>
            <w:noProof/>
            <w:lang w:val="pl-PL"/>
          </w:rPr>
          <w:t>rezolucji</w:t>
        </w:r>
      </w:hyperlink>
      <w:r w:rsidRPr="00DC40BE">
        <w:rPr>
          <w:noProof/>
          <w:lang w:val="pl-PL"/>
        </w:rPr>
        <w:t>(</w:t>
      </w:r>
      <w:r w:rsidRPr="00DC40BE">
        <w:rPr>
          <w:rStyle w:val="Odwoanieprzypisudolnego"/>
          <w:noProof/>
          <w:lang w:val="pl-PL"/>
        </w:rPr>
        <w:footnoteReference w:id="60"/>
      </w:r>
      <w:r w:rsidRPr="00DC40BE">
        <w:rPr>
          <w:noProof/>
          <w:lang w:val="pl-PL"/>
        </w:rPr>
        <w:t>) przyjętej 17 grudnia 2020</w:t>
      </w:r>
      <w:r w:rsidR="00DC40BE" w:rsidRPr="00DC40BE">
        <w:rPr>
          <w:noProof/>
          <w:lang w:val="pl-PL"/>
        </w:rPr>
        <w:t> </w:t>
      </w:r>
      <w:r w:rsidRPr="00DC40BE">
        <w:rPr>
          <w:noProof/>
          <w:lang w:val="pl-PL"/>
        </w:rPr>
        <w:t>r.</w:t>
      </w:r>
    </w:p>
    <w:p w14:paraId="2569AC6D" w14:textId="33E34460" w:rsidR="005A4888" w:rsidRPr="00DC40BE" w:rsidRDefault="005A4888" w:rsidP="00E8781C">
      <w:pPr>
        <w:spacing w:before="100" w:beforeAutospacing="1" w:after="100" w:afterAutospacing="1" w:line="276" w:lineRule="auto"/>
        <w:rPr>
          <w:noProof/>
          <w:lang w:val="pl-PL"/>
        </w:rPr>
      </w:pPr>
      <w:r w:rsidRPr="00DC40BE">
        <w:rPr>
          <w:noProof/>
          <w:lang w:val="pl-PL"/>
        </w:rPr>
        <w:t>Komisja przyjęła odpowiedź na EIO 14 stycznia 2021</w:t>
      </w:r>
      <w:r w:rsidR="00DC40BE" w:rsidRPr="00DC40BE">
        <w:rPr>
          <w:noProof/>
          <w:lang w:val="pl-PL"/>
        </w:rPr>
        <w:t> </w:t>
      </w:r>
      <w:r w:rsidRPr="00DC40BE">
        <w:rPr>
          <w:noProof/>
          <w:lang w:val="pl-PL"/>
        </w:rPr>
        <w:t>r. (</w:t>
      </w:r>
      <w:hyperlink r:id="rId33" w:history="1">
        <w:r w:rsidRPr="00DC40BE">
          <w:rPr>
            <w:rStyle w:val="Hipercze"/>
            <w:noProof/>
            <w:lang w:val="pl-PL"/>
          </w:rPr>
          <w:t>komunikat Komisji C(2021) 171</w:t>
        </w:r>
      </w:hyperlink>
      <w:r w:rsidRPr="00DC40BE">
        <w:rPr>
          <w:noProof/>
          <w:lang w:val="pl-PL"/>
        </w:rPr>
        <w:t>(</w:t>
      </w:r>
      <w:r w:rsidRPr="00DC40BE">
        <w:rPr>
          <w:rStyle w:val="Odwoanieprzypisudolnego"/>
          <w:noProof/>
          <w:lang w:val="pl-PL"/>
        </w:rPr>
        <w:footnoteReference w:id="61"/>
      </w:r>
      <w:r w:rsidRPr="00DC40BE">
        <w:rPr>
          <w:noProof/>
          <w:lang w:val="pl-PL"/>
        </w:rPr>
        <w:t>)). Komisja oceniła osobno każdy</w:t>
      </w:r>
      <w:r w:rsidR="00DC40BE" w:rsidRPr="00DC40BE">
        <w:rPr>
          <w:noProof/>
          <w:lang w:val="pl-PL"/>
        </w:rPr>
        <w:t xml:space="preserve"> z dzi</w:t>
      </w:r>
      <w:r w:rsidRPr="00DC40BE">
        <w:rPr>
          <w:noProof/>
          <w:lang w:val="pl-PL"/>
        </w:rPr>
        <w:t>ewięciu wniosków, biorąc pod uwagę zasady pomocniczości</w:t>
      </w:r>
      <w:r w:rsidR="00DC40BE" w:rsidRPr="00DC40BE">
        <w:rPr>
          <w:noProof/>
          <w:lang w:val="pl-PL"/>
        </w:rPr>
        <w:t xml:space="preserve"> i pro</w:t>
      </w:r>
      <w:r w:rsidRPr="00DC40BE">
        <w:rPr>
          <w:noProof/>
          <w:lang w:val="pl-PL"/>
        </w:rPr>
        <w:t>porcjonalności. Choć nie przedstawiono żadnych wniosków dotyczących kolejnych aktów prawnych,</w:t>
      </w:r>
      <w:r w:rsidR="00DC40BE" w:rsidRPr="00DC40BE">
        <w:rPr>
          <w:noProof/>
          <w:lang w:val="pl-PL"/>
        </w:rPr>
        <w:t xml:space="preserve"> w swo</w:t>
      </w:r>
      <w:r w:rsidRPr="00DC40BE">
        <w:rPr>
          <w:noProof/>
          <w:lang w:val="pl-PL"/>
        </w:rPr>
        <w:t>jej odpowiedzi Komisja podkreśliła, że pełne wdrożenie już przyjętych przepisów</w:t>
      </w:r>
      <w:r w:rsidR="00DC40BE" w:rsidRPr="00DC40BE">
        <w:rPr>
          <w:noProof/>
          <w:lang w:val="pl-PL"/>
        </w:rPr>
        <w:t xml:space="preserve"> i pol</w:t>
      </w:r>
      <w:r w:rsidRPr="00DC40BE">
        <w:rPr>
          <w:noProof/>
          <w:lang w:val="pl-PL"/>
        </w:rPr>
        <w:t>ityk powinno zapewnić dostęp do kompleksowego zestawu środków służących wspieraniu realizacji celów EIO. Komisja monitoruje wdrażanie odpowiednich inicjatyw</w:t>
      </w:r>
      <w:r w:rsidR="00DC40BE" w:rsidRPr="00DC40BE">
        <w:rPr>
          <w:noProof/>
          <w:lang w:val="pl-PL"/>
        </w:rPr>
        <w:t xml:space="preserve"> i w dal</w:t>
      </w:r>
      <w:r w:rsidRPr="00DC40BE">
        <w:rPr>
          <w:noProof/>
          <w:lang w:val="pl-PL"/>
        </w:rPr>
        <w:t>szym ciągu stosuje środki</w:t>
      </w:r>
      <w:r w:rsidR="00DC40BE" w:rsidRPr="00DC40BE">
        <w:rPr>
          <w:noProof/>
          <w:lang w:val="pl-PL"/>
        </w:rPr>
        <w:t xml:space="preserve"> z zak</w:t>
      </w:r>
      <w:r w:rsidRPr="00DC40BE">
        <w:rPr>
          <w:noProof/>
          <w:lang w:val="pl-PL"/>
        </w:rPr>
        <w:t>resu polityki</w:t>
      </w:r>
      <w:r w:rsidR="00DC40BE" w:rsidRPr="00DC40BE">
        <w:rPr>
          <w:noProof/>
          <w:lang w:val="pl-PL"/>
        </w:rPr>
        <w:t xml:space="preserve"> w tyc</w:t>
      </w:r>
      <w:r w:rsidRPr="00DC40BE">
        <w:rPr>
          <w:noProof/>
          <w:lang w:val="pl-PL"/>
        </w:rPr>
        <w:t>h obszarach(</w:t>
      </w:r>
      <w:r w:rsidRPr="00DC40BE">
        <w:rPr>
          <w:rStyle w:val="Odwoanieprzypisudolnego"/>
          <w:noProof/>
          <w:lang w:val="pl-PL"/>
        </w:rPr>
        <w:footnoteReference w:id="62"/>
      </w:r>
      <w:r w:rsidRPr="00DC40BE">
        <w:rPr>
          <w:noProof/>
          <w:lang w:val="pl-PL"/>
        </w:rPr>
        <w:t>).</w:t>
      </w:r>
    </w:p>
    <w:p w14:paraId="6208A7EA" w14:textId="362DDFBD" w:rsidR="005A4888" w:rsidRPr="00DC40BE" w:rsidRDefault="005A4888" w:rsidP="00E8781C">
      <w:pPr>
        <w:spacing w:before="100" w:beforeAutospacing="1" w:after="100" w:afterAutospacing="1" w:line="276" w:lineRule="auto"/>
        <w:rPr>
          <w:noProof/>
          <w:lang w:val="pl-PL"/>
        </w:rPr>
      </w:pPr>
      <w:r w:rsidRPr="00DC40BE">
        <w:rPr>
          <w:noProof/>
          <w:lang w:val="pl-PL"/>
        </w:rPr>
        <w:t>W kwietniu 2021</w:t>
      </w:r>
      <w:r w:rsidR="00DC40BE" w:rsidRPr="00DC40BE">
        <w:rPr>
          <w:noProof/>
          <w:lang w:val="pl-PL"/>
        </w:rPr>
        <w:t> </w:t>
      </w:r>
      <w:r w:rsidRPr="00DC40BE">
        <w:rPr>
          <w:noProof/>
          <w:lang w:val="pl-PL"/>
        </w:rPr>
        <w:t>r. organizatorzy EIO wnieśli do Sądu skargę</w:t>
      </w:r>
      <w:r w:rsidR="00DC40BE" w:rsidRPr="00DC40BE">
        <w:rPr>
          <w:noProof/>
          <w:lang w:val="pl-PL"/>
        </w:rPr>
        <w:t xml:space="preserve"> o stw</w:t>
      </w:r>
      <w:r w:rsidRPr="00DC40BE">
        <w:rPr>
          <w:noProof/>
          <w:lang w:val="pl-PL"/>
        </w:rPr>
        <w:t xml:space="preserve">ierdzenie nieważności komunikatu Komisji C(2021) 171. W </w:t>
      </w:r>
      <w:hyperlink r:id="rId34" w:history="1">
        <w:r w:rsidRPr="00DC40BE">
          <w:rPr>
            <w:rStyle w:val="Hipercze"/>
            <w:noProof/>
            <w:lang w:val="pl-PL"/>
          </w:rPr>
          <w:t>wyroku</w:t>
        </w:r>
      </w:hyperlink>
      <w:r w:rsidR="00DC40BE" w:rsidRPr="00DC40BE">
        <w:rPr>
          <w:noProof/>
          <w:lang w:val="pl-PL"/>
        </w:rPr>
        <w:t xml:space="preserve"> z dni</w:t>
      </w:r>
      <w:r w:rsidRPr="00DC40BE">
        <w:rPr>
          <w:noProof/>
          <w:lang w:val="pl-PL"/>
        </w:rPr>
        <w:t>a 9 listopada 2022</w:t>
      </w:r>
      <w:r w:rsidR="00DC40BE" w:rsidRPr="00DC40BE">
        <w:rPr>
          <w:noProof/>
          <w:lang w:val="pl-PL"/>
        </w:rPr>
        <w:t> </w:t>
      </w:r>
      <w:r w:rsidRPr="00DC40BE">
        <w:rPr>
          <w:noProof/>
          <w:lang w:val="pl-PL"/>
        </w:rPr>
        <w:t>r.(</w:t>
      </w:r>
      <w:r w:rsidRPr="00DC40BE">
        <w:rPr>
          <w:rStyle w:val="Odwoanieprzypisudolnego"/>
          <w:noProof/>
          <w:lang w:val="pl-PL"/>
        </w:rPr>
        <w:footnoteReference w:id="63"/>
      </w:r>
      <w:r w:rsidRPr="00DC40BE">
        <w:rPr>
          <w:noProof/>
          <w:lang w:val="pl-PL"/>
        </w:rPr>
        <w:t xml:space="preserve">) Sąd oddalił skargę organizatorów EIO. Sąd stwierdził, że Komisja spełniła spoczywający na niej obowiązek uzasadnienia, gdy uznała </w:t>
      </w:r>
      <w:r w:rsidRPr="00DC40BE">
        <w:rPr>
          <w:rStyle w:val="cf01"/>
          <w:rFonts w:ascii="Times New Roman" w:hAnsi="Times New Roman"/>
          <w:noProof/>
          <w:sz w:val="24"/>
          <w:lang w:val="pl-PL"/>
        </w:rPr>
        <w:t>–</w:t>
      </w:r>
      <w:r w:rsidR="00DC40BE" w:rsidRPr="00DC40BE">
        <w:rPr>
          <w:rStyle w:val="cf01"/>
          <w:rFonts w:ascii="Times New Roman" w:hAnsi="Times New Roman"/>
          <w:noProof/>
          <w:sz w:val="24"/>
          <w:lang w:val="pl-PL"/>
        </w:rPr>
        <w:t xml:space="preserve"> w dni</w:t>
      </w:r>
      <w:r w:rsidRPr="00DC40BE">
        <w:rPr>
          <w:rStyle w:val="cf01"/>
          <w:rFonts w:ascii="Times New Roman" w:hAnsi="Times New Roman"/>
          <w:noProof/>
          <w:sz w:val="24"/>
          <w:lang w:val="pl-PL"/>
        </w:rPr>
        <w:t xml:space="preserve">u wydania komunikatu – </w:t>
      </w:r>
      <w:r w:rsidRPr="00DC40BE">
        <w:rPr>
          <w:noProof/>
          <w:lang w:val="pl-PL"/>
        </w:rPr>
        <w:t xml:space="preserve">że </w:t>
      </w:r>
      <w:r w:rsidRPr="00DC40BE">
        <w:rPr>
          <w:rStyle w:val="cf01"/>
          <w:rFonts w:ascii="Times New Roman" w:hAnsi="Times New Roman"/>
          <w:noProof/>
          <w:sz w:val="24"/>
          <w:lang w:val="pl-PL"/>
        </w:rPr>
        <w:t>żaden dodatkowy akt prawny nie był konieczny do osiągnięcia celu,</w:t>
      </w:r>
      <w:r w:rsidR="00DC40BE" w:rsidRPr="00DC40BE">
        <w:rPr>
          <w:rStyle w:val="cf01"/>
          <w:rFonts w:ascii="Times New Roman" w:hAnsi="Times New Roman"/>
          <w:noProof/>
          <w:sz w:val="24"/>
          <w:lang w:val="pl-PL"/>
        </w:rPr>
        <w:t xml:space="preserve"> w jak</w:t>
      </w:r>
      <w:r w:rsidRPr="00DC40BE">
        <w:rPr>
          <w:rStyle w:val="cf01"/>
          <w:rFonts w:ascii="Times New Roman" w:hAnsi="Times New Roman"/>
          <w:noProof/>
          <w:sz w:val="24"/>
          <w:lang w:val="pl-PL"/>
        </w:rPr>
        <w:t>im utworzono EIO,</w:t>
      </w:r>
      <w:r w:rsidR="00DC40BE" w:rsidRPr="00DC40BE">
        <w:rPr>
          <w:rStyle w:val="cf01"/>
          <w:rFonts w:ascii="Times New Roman" w:hAnsi="Times New Roman"/>
          <w:noProof/>
          <w:sz w:val="24"/>
          <w:lang w:val="pl-PL"/>
        </w:rPr>
        <w:t xml:space="preserve"> z uwa</w:t>
      </w:r>
      <w:r w:rsidRPr="00DC40BE">
        <w:rPr>
          <w:rStyle w:val="cf01"/>
          <w:rFonts w:ascii="Times New Roman" w:hAnsi="Times New Roman"/>
          <w:noProof/>
          <w:sz w:val="24"/>
          <w:lang w:val="pl-PL"/>
        </w:rPr>
        <w:t xml:space="preserve">gi na </w:t>
      </w:r>
      <w:r w:rsidRPr="00DC40BE">
        <w:rPr>
          <w:noProof/>
          <w:lang w:val="pl-PL"/>
        </w:rPr>
        <w:t>działania już podjęte przez instytucje Unii</w:t>
      </w:r>
      <w:r w:rsidR="00DC40BE" w:rsidRPr="00DC40BE">
        <w:rPr>
          <w:noProof/>
          <w:lang w:val="pl-PL"/>
        </w:rPr>
        <w:t xml:space="preserve"> w dzi</w:t>
      </w:r>
      <w:r w:rsidRPr="00DC40BE">
        <w:rPr>
          <w:noProof/>
          <w:lang w:val="pl-PL"/>
        </w:rPr>
        <w:t>edzinach objętych EIO</w:t>
      </w:r>
      <w:r w:rsidR="00DC40BE" w:rsidRPr="00DC40BE">
        <w:rPr>
          <w:noProof/>
          <w:lang w:val="pl-PL"/>
        </w:rPr>
        <w:t xml:space="preserve"> i mon</w:t>
      </w:r>
      <w:r w:rsidRPr="00DC40BE">
        <w:rPr>
          <w:noProof/>
          <w:lang w:val="pl-PL"/>
        </w:rPr>
        <w:t>itorowanie wdrażania tych działań przez Komisję. 21 stycznia 2023</w:t>
      </w:r>
      <w:r w:rsidR="00DC40BE" w:rsidRPr="00DC40BE">
        <w:rPr>
          <w:noProof/>
          <w:lang w:val="pl-PL"/>
        </w:rPr>
        <w:t> </w:t>
      </w:r>
      <w:r w:rsidRPr="00DC40BE">
        <w:rPr>
          <w:noProof/>
          <w:lang w:val="pl-PL"/>
        </w:rPr>
        <w:t>r. organizatorzy EIO zaskarżyli ten wyrok przed Trybunałem Sprawiedliwości (sprawa C-26/23 P).</w:t>
      </w:r>
    </w:p>
    <w:p w14:paraId="011E9F71" w14:textId="262C6FD0" w:rsidR="005A4888" w:rsidRPr="00DC40BE" w:rsidRDefault="00106880" w:rsidP="00E8781C">
      <w:pPr>
        <w:pStyle w:val="Akapitzlist"/>
        <w:numPr>
          <w:ilvl w:val="0"/>
          <w:numId w:val="32"/>
        </w:numPr>
        <w:autoSpaceDE w:val="0"/>
        <w:autoSpaceDN w:val="0"/>
        <w:spacing w:before="100" w:beforeAutospacing="1" w:after="100" w:afterAutospacing="1"/>
        <w:jc w:val="both"/>
        <w:rPr>
          <w:rFonts w:ascii="Times New Roman" w:hAnsi="Times New Roman" w:cs="Times New Roman"/>
          <w:b/>
          <w:noProof/>
          <w:sz w:val="24"/>
          <w:lang w:val="pl-PL"/>
        </w:rPr>
      </w:pPr>
      <w:hyperlink r:id="rId35" w:history="1">
        <w:r w:rsidR="007E40DA" w:rsidRPr="00DC40BE">
          <w:rPr>
            <w:rStyle w:val="Hipercze"/>
            <w:rFonts w:ascii="Times New Roman" w:hAnsi="Times New Roman"/>
            <w:b/>
            <w:noProof/>
            <w:sz w:val="24"/>
            <w:lang w:val="pl-PL"/>
          </w:rPr>
          <w:t>„Koniec Epoki Klatkowej”</w:t>
        </w:r>
      </w:hyperlink>
      <w:r w:rsidR="007E40DA" w:rsidRPr="00DC40BE">
        <w:rPr>
          <w:rFonts w:ascii="Times New Roman" w:hAnsi="Times New Roman"/>
          <w:b/>
          <w:noProof/>
          <w:sz w:val="24"/>
          <w:lang w:val="pl-PL"/>
        </w:rPr>
        <w:t>(</w:t>
      </w:r>
      <w:r w:rsidR="007E40DA" w:rsidRPr="00DC40BE">
        <w:rPr>
          <w:rStyle w:val="Odwoanieprzypisudolnego"/>
          <w:rFonts w:ascii="Times New Roman" w:hAnsi="Times New Roman" w:cs="Times New Roman"/>
          <w:b/>
          <w:noProof/>
          <w:sz w:val="24"/>
          <w:lang w:val="pl-PL"/>
        </w:rPr>
        <w:footnoteReference w:id="64"/>
      </w:r>
      <w:r w:rsidR="007E40DA" w:rsidRPr="00DC40BE">
        <w:rPr>
          <w:rFonts w:ascii="Times New Roman" w:hAnsi="Times New Roman"/>
          <w:b/>
          <w:noProof/>
          <w:sz w:val="24"/>
          <w:lang w:val="pl-PL"/>
        </w:rPr>
        <w:t>) </w:t>
      </w:r>
    </w:p>
    <w:p w14:paraId="4E350FC1" w14:textId="7234BC93" w:rsidR="00F769D6" w:rsidRPr="00DC40BE" w:rsidRDefault="005A4888" w:rsidP="00E8781C">
      <w:pPr>
        <w:autoSpaceDE w:val="0"/>
        <w:autoSpaceDN w:val="0"/>
        <w:spacing w:before="100" w:beforeAutospacing="1" w:after="100" w:afterAutospacing="1" w:line="276" w:lineRule="auto"/>
        <w:rPr>
          <w:noProof/>
          <w:lang w:val="pl-PL"/>
        </w:rPr>
      </w:pPr>
      <w:r w:rsidRPr="00DC40BE">
        <w:rPr>
          <w:noProof/>
          <w:lang w:val="pl-PL"/>
        </w:rPr>
        <w:t xml:space="preserve">W ramach tej EIO wezwano do </w:t>
      </w:r>
      <w:r w:rsidRPr="00DC40BE">
        <w:rPr>
          <w:rStyle w:val="Pogrubienie"/>
          <w:noProof/>
          <w:lang w:val="pl-PL"/>
        </w:rPr>
        <w:t>przejścia na stosowanie bardziej etycznych</w:t>
      </w:r>
      <w:r w:rsidR="00DC40BE" w:rsidRPr="00DC40BE">
        <w:rPr>
          <w:rStyle w:val="Pogrubienie"/>
          <w:noProof/>
          <w:lang w:val="pl-PL"/>
        </w:rPr>
        <w:t xml:space="preserve"> i bar</w:t>
      </w:r>
      <w:r w:rsidRPr="00DC40BE">
        <w:rPr>
          <w:rStyle w:val="Pogrubienie"/>
          <w:noProof/>
          <w:lang w:val="pl-PL"/>
        </w:rPr>
        <w:t>dziej zrównoważonych systemów rolniczych</w:t>
      </w:r>
      <w:r w:rsidRPr="00DC40BE">
        <w:rPr>
          <w:noProof/>
          <w:lang w:val="pl-PL"/>
        </w:rPr>
        <w:t>,</w:t>
      </w:r>
      <w:r w:rsidR="00DC40BE" w:rsidRPr="00DC40BE">
        <w:rPr>
          <w:noProof/>
          <w:lang w:val="pl-PL"/>
        </w:rPr>
        <w:t xml:space="preserve"> a tak</w:t>
      </w:r>
      <w:r w:rsidRPr="00DC40BE">
        <w:rPr>
          <w:noProof/>
          <w:lang w:val="pl-PL"/>
        </w:rPr>
        <w:t>że do dokonania rewizji obowiązujących unijnych przepisów</w:t>
      </w:r>
      <w:r w:rsidR="00DC40BE" w:rsidRPr="00DC40BE">
        <w:rPr>
          <w:noProof/>
          <w:lang w:val="pl-PL"/>
        </w:rPr>
        <w:t xml:space="preserve"> w zak</w:t>
      </w:r>
      <w:r w:rsidRPr="00DC40BE">
        <w:rPr>
          <w:noProof/>
          <w:lang w:val="pl-PL"/>
        </w:rPr>
        <w:t>resie dobrostanu zwierząt. EIO zostało przedłożone Komisji 2 października 2020</w:t>
      </w:r>
      <w:r w:rsidR="00DC40BE" w:rsidRPr="00DC40BE">
        <w:rPr>
          <w:noProof/>
          <w:lang w:val="pl-PL"/>
        </w:rPr>
        <w:t> </w:t>
      </w:r>
      <w:r w:rsidRPr="00DC40BE">
        <w:rPr>
          <w:noProof/>
          <w:lang w:val="pl-PL"/>
        </w:rPr>
        <w:t>r., po zebraniu 1 397 113 ważnych deklaracji poparcia</w:t>
      </w:r>
      <w:r w:rsidR="00DC40BE" w:rsidRPr="00DC40BE">
        <w:rPr>
          <w:noProof/>
          <w:lang w:val="pl-PL"/>
        </w:rPr>
        <w:t xml:space="preserve"> i osi</w:t>
      </w:r>
      <w:r w:rsidRPr="00DC40BE">
        <w:rPr>
          <w:noProof/>
          <w:lang w:val="pl-PL"/>
        </w:rPr>
        <w:t>ągnięciu wymaganych progów</w:t>
      </w:r>
      <w:r w:rsidR="00DC40BE" w:rsidRPr="00DC40BE">
        <w:rPr>
          <w:noProof/>
          <w:lang w:val="pl-PL"/>
        </w:rPr>
        <w:t xml:space="preserve"> w 1</w:t>
      </w:r>
      <w:r w:rsidRPr="00DC40BE">
        <w:rPr>
          <w:noProof/>
          <w:lang w:val="pl-PL"/>
        </w:rPr>
        <w:t>8 państwach członkowskich. 30 października 2020</w:t>
      </w:r>
      <w:r w:rsidR="00DC40BE" w:rsidRPr="00DC40BE">
        <w:rPr>
          <w:noProof/>
          <w:lang w:val="pl-PL"/>
        </w:rPr>
        <w:t> </w:t>
      </w:r>
      <w:r w:rsidRPr="00DC40BE">
        <w:rPr>
          <w:noProof/>
          <w:lang w:val="pl-PL"/>
        </w:rPr>
        <w:t>r. organizatorzy EIO spotkali się</w:t>
      </w:r>
      <w:r w:rsidR="00DC40BE" w:rsidRPr="00DC40BE">
        <w:rPr>
          <w:noProof/>
          <w:lang w:val="pl-PL"/>
        </w:rPr>
        <w:t xml:space="preserve"> z wic</w:t>
      </w:r>
      <w:r w:rsidRPr="00DC40BE">
        <w:rPr>
          <w:noProof/>
          <w:lang w:val="pl-PL"/>
        </w:rPr>
        <w:t>eprzewodniczącą Komisji Europejskiej do spraw wartości</w:t>
      </w:r>
      <w:r w:rsidR="00DC40BE" w:rsidRPr="00DC40BE">
        <w:rPr>
          <w:noProof/>
          <w:lang w:val="pl-PL"/>
        </w:rPr>
        <w:t xml:space="preserve"> i prz</w:t>
      </w:r>
      <w:r w:rsidRPr="00DC40BE">
        <w:rPr>
          <w:noProof/>
          <w:lang w:val="pl-PL"/>
        </w:rPr>
        <w:t>ejrzystości Věrą Jourovą oraz komisarz do spraw zdrowia</w:t>
      </w:r>
      <w:r w:rsidR="00DC40BE" w:rsidRPr="00DC40BE">
        <w:rPr>
          <w:noProof/>
          <w:lang w:val="pl-PL"/>
        </w:rPr>
        <w:t xml:space="preserve"> i bez</w:t>
      </w:r>
      <w:r w:rsidRPr="00DC40BE">
        <w:rPr>
          <w:noProof/>
          <w:lang w:val="pl-PL"/>
        </w:rPr>
        <w:t>pieczeństwa żywności Stellą Kyriakides. 15 kwietnia 2021</w:t>
      </w:r>
      <w:r w:rsidR="00DC40BE" w:rsidRPr="00DC40BE">
        <w:rPr>
          <w:noProof/>
          <w:lang w:val="pl-PL"/>
        </w:rPr>
        <w:t> </w:t>
      </w:r>
      <w:r w:rsidRPr="00DC40BE">
        <w:rPr>
          <w:noProof/>
          <w:lang w:val="pl-PL"/>
        </w:rPr>
        <w:t>r. odbyło się wysłuchanie publiczne</w:t>
      </w:r>
      <w:r w:rsidR="00DC40BE" w:rsidRPr="00DC40BE">
        <w:rPr>
          <w:noProof/>
          <w:lang w:val="pl-PL"/>
        </w:rPr>
        <w:t xml:space="preserve"> w Par</w:t>
      </w:r>
      <w:r w:rsidRPr="00DC40BE">
        <w:rPr>
          <w:noProof/>
          <w:lang w:val="pl-PL"/>
        </w:rPr>
        <w:t xml:space="preserve">lamencie Europejskim. EIO była przedmiotem debaty na sesji plenarnej Parlamentu Europejskiego zorganizowanej 10 czerwca </w:t>
      </w:r>
      <w:r w:rsidRPr="00DC40BE">
        <w:rPr>
          <w:noProof/>
          <w:lang w:val="pl-PL"/>
        </w:rPr>
        <w:lastRenderedPageBreak/>
        <w:t>2021</w:t>
      </w:r>
      <w:r w:rsidR="00DC40BE" w:rsidRPr="00DC40BE">
        <w:rPr>
          <w:noProof/>
          <w:lang w:val="pl-PL"/>
        </w:rPr>
        <w:t> </w:t>
      </w:r>
      <w:r w:rsidRPr="00DC40BE">
        <w:rPr>
          <w:noProof/>
          <w:lang w:val="pl-PL"/>
        </w:rPr>
        <w:t xml:space="preserve">r. Parlament Europejski wyraził swoje poparcie dla EIO w </w:t>
      </w:r>
      <w:hyperlink r:id="rId36" w:history="1">
        <w:r w:rsidRPr="00DC40BE">
          <w:rPr>
            <w:rStyle w:val="Hipercze"/>
            <w:noProof/>
            <w:lang w:val="pl-PL"/>
          </w:rPr>
          <w:t>rezolucji</w:t>
        </w:r>
      </w:hyperlink>
      <w:r w:rsidRPr="00DC40BE">
        <w:rPr>
          <w:noProof/>
          <w:lang w:val="pl-PL"/>
        </w:rPr>
        <w:t>(</w:t>
      </w:r>
      <w:r w:rsidRPr="00DC40BE">
        <w:rPr>
          <w:rStyle w:val="Odwoanieprzypisudolnego"/>
          <w:noProof/>
          <w:lang w:val="pl-PL"/>
        </w:rPr>
        <w:footnoteReference w:id="65"/>
      </w:r>
      <w:r w:rsidRPr="00DC40BE">
        <w:rPr>
          <w:noProof/>
          <w:lang w:val="pl-PL"/>
        </w:rPr>
        <w:t>) przyjętej tego samego dnia.</w:t>
      </w:r>
    </w:p>
    <w:p w14:paraId="3F79C353" w14:textId="58A95600" w:rsidR="0058019C" w:rsidRPr="00DC40BE" w:rsidRDefault="00F769D6" w:rsidP="00E8781C">
      <w:pPr>
        <w:autoSpaceDE w:val="0"/>
        <w:autoSpaceDN w:val="0"/>
        <w:adjustRightInd w:val="0"/>
        <w:spacing w:before="100" w:beforeAutospacing="1" w:after="100" w:afterAutospacing="1" w:line="276" w:lineRule="auto"/>
        <w:rPr>
          <w:noProof/>
          <w:lang w:val="pl-PL"/>
        </w:rPr>
      </w:pPr>
      <w:r w:rsidRPr="00DC40BE">
        <w:rPr>
          <w:noProof/>
          <w:lang w:val="pl-PL"/>
        </w:rPr>
        <w:t xml:space="preserve">Komisja przyjęła </w:t>
      </w:r>
      <w:hyperlink r:id="rId37" w:history="1">
        <w:r w:rsidRPr="00DC40BE">
          <w:rPr>
            <w:rStyle w:val="Hipercze"/>
            <w:noProof/>
            <w:lang w:val="pl-PL"/>
          </w:rPr>
          <w:t>odpowiedź</w:t>
        </w:r>
      </w:hyperlink>
      <w:r w:rsidRPr="00DC40BE">
        <w:rPr>
          <w:noProof/>
          <w:lang w:val="pl-PL"/>
        </w:rPr>
        <w:t>(</w:t>
      </w:r>
      <w:r w:rsidRPr="00DC40BE">
        <w:rPr>
          <w:rStyle w:val="Odwoanieprzypisudolnego"/>
          <w:noProof/>
          <w:lang w:val="pl-PL"/>
        </w:rPr>
        <w:footnoteReference w:id="66"/>
      </w:r>
      <w:r w:rsidRPr="00DC40BE">
        <w:rPr>
          <w:noProof/>
          <w:lang w:val="pl-PL"/>
        </w:rPr>
        <w:t>) na EIO 30 czerwca 2021</w:t>
      </w:r>
      <w:r w:rsidR="00DC40BE" w:rsidRPr="00DC40BE">
        <w:rPr>
          <w:noProof/>
          <w:lang w:val="pl-PL"/>
        </w:rPr>
        <w:t> </w:t>
      </w:r>
      <w:r w:rsidRPr="00DC40BE">
        <w:rPr>
          <w:noProof/>
          <w:lang w:val="pl-PL"/>
        </w:rPr>
        <w:t>r. Komisja ogłosiła zamiar przyjęcia do końca 2023</w:t>
      </w:r>
      <w:r w:rsidR="00DC40BE" w:rsidRPr="00DC40BE">
        <w:rPr>
          <w:noProof/>
          <w:lang w:val="pl-PL"/>
        </w:rPr>
        <w:t> </w:t>
      </w:r>
      <w:r w:rsidRPr="00DC40BE">
        <w:rPr>
          <w:noProof/>
          <w:lang w:val="pl-PL"/>
        </w:rPr>
        <w:t>r. wniosku ustawodawczego</w:t>
      </w:r>
      <w:r w:rsidR="00DC40BE" w:rsidRPr="00DC40BE">
        <w:rPr>
          <w:noProof/>
          <w:lang w:val="pl-PL"/>
        </w:rPr>
        <w:t xml:space="preserve"> w spr</w:t>
      </w:r>
      <w:r w:rsidRPr="00DC40BE">
        <w:rPr>
          <w:noProof/>
          <w:lang w:val="pl-PL"/>
        </w:rPr>
        <w:t>awie stopniowego znoszenia,</w:t>
      </w:r>
      <w:r w:rsidR="00DC40BE" w:rsidRPr="00DC40BE">
        <w:rPr>
          <w:noProof/>
          <w:lang w:val="pl-PL"/>
        </w:rPr>
        <w:t xml:space="preserve"> a ost</w:t>
      </w:r>
      <w:r w:rsidRPr="00DC40BE">
        <w:rPr>
          <w:noProof/>
          <w:lang w:val="pl-PL"/>
        </w:rPr>
        <w:t>atecznie zakazania, stosowania systemów klatkowych</w:t>
      </w:r>
      <w:r w:rsidR="00DC40BE" w:rsidRPr="00DC40BE">
        <w:rPr>
          <w:noProof/>
          <w:lang w:val="pl-PL"/>
        </w:rPr>
        <w:t xml:space="preserve"> w odn</w:t>
      </w:r>
      <w:r w:rsidRPr="00DC40BE">
        <w:rPr>
          <w:noProof/>
          <w:lang w:val="pl-PL"/>
        </w:rPr>
        <w:t>iesieniu do wszystkich zwierząt wymienionych w EIO, na warunkach, które zostaną określone na podstawie opinii Europejskiego Urzędu ds. Bezpieczeństwa Żywności oraz wyników oceny skutków</w:t>
      </w:r>
      <w:r w:rsidR="00DC40BE" w:rsidRPr="00DC40BE">
        <w:rPr>
          <w:noProof/>
          <w:lang w:val="pl-PL"/>
        </w:rPr>
        <w:t xml:space="preserve"> i kon</w:t>
      </w:r>
      <w:r w:rsidRPr="00DC40BE">
        <w:rPr>
          <w:noProof/>
          <w:lang w:val="pl-PL"/>
        </w:rPr>
        <w:t>sultacji publicznych. Obecnie Komisja uważnie analizuje istotne aspekty, aby zagwarantować, że przejście na chów bezklatkowy wywrze zrównoważony wpływ na sektor rolnictwa</w:t>
      </w:r>
      <w:r w:rsidR="00DC40BE" w:rsidRPr="00DC40BE">
        <w:rPr>
          <w:noProof/>
          <w:lang w:val="pl-PL"/>
        </w:rPr>
        <w:t xml:space="preserve"> i uni</w:t>
      </w:r>
      <w:r w:rsidRPr="00DC40BE">
        <w:rPr>
          <w:noProof/>
          <w:lang w:val="pl-PL"/>
        </w:rPr>
        <w:t>jne systemy żywnościowe, jak również na bezpieczeństwo żywnościowe. Wstępne wyniki prowadzonej obecnie oceny skutków wskazują, że przejście na systemy chowu bezklatkowego wiąże się</w:t>
      </w:r>
      <w:r w:rsidR="00DC40BE" w:rsidRPr="00DC40BE">
        <w:rPr>
          <w:noProof/>
          <w:lang w:val="pl-PL"/>
        </w:rPr>
        <w:t xml:space="preserve"> z kon</w:t>
      </w:r>
      <w:r w:rsidRPr="00DC40BE">
        <w:rPr>
          <w:noProof/>
          <w:lang w:val="pl-PL"/>
        </w:rPr>
        <w:t>iecznością dostosowania szeregu parametrów związanych</w:t>
      </w:r>
      <w:r w:rsidR="00DC40BE" w:rsidRPr="00DC40BE">
        <w:rPr>
          <w:noProof/>
          <w:lang w:val="pl-PL"/>
        </w:rPr>
        <w:t xml:space="preserve"> z cho</w:t>
      </w:r>
      <w:r w:rsidRPr="00DC40BE">
        <w:rPr>
          <w:noProof/>
          <w:lang w:val="pl-PL"/>
        </w:rPr>
        <w:t>wem, takich jak urozmaicenie warunków bytowania zwierząt</w:t>
      </w:r>
      <w:r w:rsidR="00DC40BE" w:rsidRPr="00DC40BE">
        <w:rPr>
          <w:noProof/>
          <w:lang w:val="pl-PL"/>
        </w:rPr>
        <w:t xml:space="preserve"> i zap</w:t>
      </w:r>
      <w:r w:rsidRPr="00DC40BE">
        <w:rPr>
          <w:noProof/>
          <w:lang w:val="pl-PL"/>
        </w:rPr>
        <w:t>ewnienie im większej ilości przestrzeni, aby zagwarantować poprawę warunków wpływających na ich dobrostan. Należy przeprowadzić dodatkowe konsultacje dotyczące kosztów, odpowiedniego czasu trwania okresu przejściowego oraz stosownych środków kontroli przywozowej. Aby zapewnić właściwą równowagę między dobrostanem zwierząt</w:t>
      </w:r>
      <w:r w:rsidR="00DC40BE" w:rsidRPr="00DC40BE">
        <w:rPr>
          <w:noProof/>
          <w:lang w:val="pl-PL"/>
        </w:rPr>
        <w:t xml:space="preserve"> a sku</w:t>
      </w:r>
      <w:r w:rsidRPr="00DC40BE">
        <w:rPr>
          <w:noProof/>
          <w:lang w:val="pl-PL"/>
        </w:rPr>
        <w:t>tkami społeczno-ekonomicznymi, stopniowemu odchodzeniu od chowu klatkowego musi towarzyszyć podejmowanie innych działań na rzecz dobrostanu zwierząt na poziomie gospodarstwa. Dlatego też prace przygotowawcze będą kontynuowane m.in.</w:t>
      </w:r>
      <w:r w:rsidR="00DC40BE" w:rsidRPr="00DC40BE">
        <w:rPr>
          <w:noProof/>
          <w:lang w:val="pl-PL"/>
        </w:rPr>
        <w:t xml:space="preserve"> w kon</w:t>
      </w:r>
      <w:r w:rsidRPr="00DC40BE">
        <w:rPr>
          <w:noProof/>
          <w:lang w:val="pl-PL"/>
        </w:rPr>
        <w:t>tekście strategicznego dialogu na temat przyszłości rolnictwa w UE.</w:t>
      </w:r>
    </w:p>
    <w:p w14:paraId="14DAD64C" w14:textId="56FE5064" w:rsidR="005A4888" w:rsidRPr="00DC40BE" w:rsidRDefault="00106880" w:rsidP="00E8781C">
      <w:pPr>
        <w:pStyle w:val="NormalnyWeb"/>
        <w:numPr>
          <w:ilvl w:val="0"/>
          <w:numId w:val="32"/>
        </w:numPr>
        <w:spacing w:line="276" w:lineRule="auto"/>
        <w:jc w:val="both"/>
        <w:rPr>
          <w:rStyle w:val="Uwydatnienie"/>
          <w:rFonts w:eastAsiaTheme="minorHAnsi"/>
          <w:b/>
          <w:i w:val="0"/>
          <w:noProof/>
          <w:lang w:val="pl-PL"/>
        </w:rPr>
      </w:pPr>
      <w:hyperlink r:id="rId38" w:history="1">
        <w:r w:rsidR="007E40DA" w:rsidRPr="00DC40BE">
          <w:rPr>
            <w:rStyle w:val="Hipercze"/>
            <w:b/>
            <w:noProof/>
            <w:lang w:val="pl-PL"/>
          </w:rPr>
          <w:t>„Ratujmy pszczoły</w:t>
        </w:r>
        <w:r w:rsidR="00DC40BE" w:rsidRPr="00DC40BE">
          <w:rPr>
            <w:rStyle w:val="Hipercze"/>
            <w:b/>
            <w:noProof/>
            <w:lang w:val="pl-PL"/>
          </w:rPr>
          <w:t xml:space="preserve"> i rol</w:t>
        </w:r>
        <w:r w:rsidR="007E40DA" w:rsidRPr="00DC40BE">
          <w:rPr>
            <w:rStyle w:val="Hipercze"/>
            <w:b/>
            <w:noProof/>
            <w:lang w:val="pl-PL"/>
          </w:rPr>
          <w:t>ników!</w:t>
        </w:r>
      </w:hyperlink>
      <w:hyperlink r:id="rId39" w:history="1">
        <w:r w:rsidR="007E40DA" w:rsidRPr="00DC40BE">
          <w:rPr>
            <w:rStyle w:val="Hipercze"/>
            <w:b/>
            <w:noProof/>
            <w:lang w:val="pl-PL"/>
          </w:rPr>
          <w:t xml:space="preserve"> W kierunku przyjaznego dla pszczół rolnictwa służącego zdrowemu środowisku”</w:t>
        </w:r>
      </w:hyperlink>
      <w:r w:rsidR="007E40DA" w:rsidRPr="00DC40BE">
        <w:rPr>
          <w:rStyle w:val="Uwydatnienie"/>
          <w:b/>
          <w:i w:val="0"/>
          <w:noProof/>
          <w:lang w:val="pl-PL"/>
        </w:rPr>
        <w:t>(</w:t>
      </w:r>
      <w:r w:rsidR="007E40DA" w:rsidRPr="00DC40BE">
        <w:rPr>
          <w:rStyle w:val="Odwoanieprzypisudolnego"/>
          <w:b/>
          <w:noProof/>
          <w:lang w:val="pl-PL"/>
        </w:rPr>
        <w:footnoteReference w:id="67"/>
      </w:r>
      <w:r w:rsidR="007E40DA" w:rsidRPr="00DC40BE">
        <w:rPr>
          <w:rStyle w:val="Uwydatnienie"/>
          <w:b/>
          <w:i w:val="0"/>
          <w:noProof/>
          <w:lang w:val="pl-PL"/>
        </w:rPr>
        <w:t>) </w:t>
      </w:r>
    </w:p>
    <w:p w14:paraId="2A5BDF47" w14:textId="347F208D" w:rsidR="005A4888" w:rsidRPr="00DC40BE" w:rsidRDefault="005A4888" w:rsidP="00E8781C">
      <w:pPr>
        <w:pStyle w:val="NormalnyWeb"/>
        <w:spacing w:line="276" w:lineRule="auto"/>
        <w:jc w:val="both"/>
        <w:rPr>
          <w:noProof/>
          <w:lang w:val="pl-PL"/>
        </w:rPr>
      </w:pPr>
      <w:r w:rsidRPr="00DC40BE">
        <w:rPr>
          <w:noProof/>
          <w:lang w:val="pl-PL"/>
        </w:rPr>
        <w:t>W ramach tej EIO wezwano Komisję do przedstawienia wniosku dotyczącego stopniowego wycofywania pestycydów syntetycznych do</w:t>
      </w:r>
      <w:r w:rsidR="00DC40BE" w:rsidRPr="00DC40BE">
        <w:rPr>
          <w:noProof/>
          <w:lang w:val="pl-PL"/>
        </w:rPr>
        <w:t> </w:t>
      </w:r>
      <w:r w:rsidRPr="00DC40BE">
        <w:rPr>
          <w:noProof/>
          <w:lang w:val="pl-PL"/>
        </w:rPr>
        <w:t>2035</w:t>
      </w:r>
      <w:r w:rsidR="00DC40BE" w:rsidRPr="00DC40BE">
        <w:rPr>
          <w:noProof/>
          <w:lang w:val="pl-PL"/>
        </w:rPr>
        <w:t> </w:t>
      </w:r>
      <w:r w:rsidRPr="00DC40BE">
        <w:rPr>
          <w:noProof/>
          <w:lang w:val="pl-PL"/>
        </w:rPr>
        <w:t>r., przywrócenia różnorodności biologicznej oraz wspierania rolników</w:t>
      </w:r>
      <w:r w:rsidR="00DC40BE" w:rsidRPr="00DC40BE">
        <w:rPr>
          <w:noProof/>
          <w:lang w:val="pl-PL"/>
        </w:rPr>
        <w:t xml:space="preserve"> w okr</w:t>
      </w:r>
      <w:r w:rsidRPr="00DC40BE">
        <w:rPr>
          <w:noProof/>
          <w:lang w:val="pl-PL"/>
        </w:rPr>
        <w:t>esie przejściowym. Organizatorzy przedłożyli EIO Komisji 7 października 2022</w:t>
      </w:r>
      <w:r w:rsidR="00DC40BE" w:rsidRPr="00DC40BE">
        <w:rPr>
          <w:noProof/>
          <w:lang w:val="pl-PL"/>
        </w:rPr>
        <w:t> </w:t>
      </w:r>
      <w:r w:rsidRPr="00DC40BE">
        <w:rPr>
          <w:noProof/>
          <w:lang w:val="pl-PL"/>
        </w:rPr>
        <w:t>r., po zebraniu 1 054 973 ważnych deklaracji poparcia</w:t>
      </w:r>
      <w:r w:rsidR="00DC40BE" w:rsidRPr="00DC40BE">
        <w:rPr>
          <w:noProof/>
          <w:lang w:val="pl-PL"/>
        </w:rPr>
        <w:t xml:space="preserve"> i osi</w:t>
      </w:r>
      <w:r w:rsidRPr="00DC40BE">
        <w:rPr>
          <w:noProof/>
          <w:lang w:val="pl-PL"/>
        </w:rPr>
        <w:t>ągnięciu wymaganych progów</w:t>
      </w:r>
      <w:r w:rsidR="00DC40BE" w:rsidRPr="00DC40BE">
        <w:rPr>
          <w:noProof/>
          <w:lang w:val="pl-PL"/>
        </w:rPr>
        <w:t xml:space="preserve"> w 1</w:t>
      </w:r>
      <w:r w:rsidRPr="00DC40BE">
        <w:rPr>
          <w:noProof/>
          <w:lang w:val="pl-PL"/>
        </w:rPr>
        <w:t>1 państwach członkowskich. 25 listopada 2022</w:t>
      </w:r>
      <w:r w:rsidR="00DC40BE" w:rsidRPr="00DC40BE">
        <w:rPr>
          <w:noProof/>
          <w:lang w:val="pl-PL"/>
        </w:rPr>
        <w:t> </w:t>
      </w:r>
      <w:r w:rsidRPr="00DC40BE">
        <w:rPr>
          <w:noProof/>
          <w:lang w:val="pl-PL"/>
        </w:rPr>
        <w:t>r. organizatorzy EIO spotkali się</w:t>
      </w:r>
      <w:r w:rsidR="00DC40BE" w:rsidRPr="00DC40BE">
        <w:rPr>
          <w:noProof/>
          <w:lang w:val="pl-PL"/>
        </w:rPr>
        <w:t xml:space="preserve"> z wic</w:t>
      </w:r>
      <w:r w:rsidRPr="00DC40BE">
        <w:rPr>
          <w:noProof/>
          <w:lang w:val="pl-PL"/>
        </w:rPr>
        <w:t>eprzewodniczącą Komisji Europejskiej do spraw wartości</w:t>
      </w:r>
      <w:r w:rsidR="00DC40BE" w:rsidRPr="00DC40BE">
        <w:rPr>
          <w:noProof/>
          <w:lang w:val="pl-PL"/>
        </w:rPr>
        <w:t xml:space="preserve"> i prz</w:t>
      </w:r>
      <w:r w:rsidRPr="00DC40BE">
        <w:rPr>
          <w:noProof/>
          <w:lang w:val="pl-PL"/>
        </w:rPr>
        <w:t>ejrzystości Věrą Jourovą oraz komisarz do spraw zdrowia</w:t>
      </w:r>
      <w:r w:rsidR="00DC40BE" w:rsidRPr="00DC40BE">
        <w:rPr>
          <w:noProof/>
          <w:lang w:val="pl-PL"/>
        </w:rPr>
        <w:t xml:space="preserve"> i bez</w:t>
      </w:r>
      <w:r w:rsidRPr="00DC40BE">
        <w:rPr>
          <w:noProof/>
          <w:lang w:val="pl-PL"/>
        </w:rPr>
        <w:t>pieczeństwa żywności Stellą Kyriakides. 24 stycznia 2023</w:t>
      </w:r>
      <w:r w:rsidR="00DC40BE" w:rsidRPr="00DC40BE">
        <w:rPr>
          <w:noProof/>
          <w:lang w:val="pl-PL"/>
        </w:rPr>
        <w:t> </w:t>
      </w:r>
      <w:r w:rsidRPr="00DC40BE">
        <w:rPr>
          <w:noProof/>
          <w:lang w:val="pl-PL"/>
        </w:rPr>
        <w:t>r. odbyło się wysłuchanie publiczne</w:t>
      </w:r>
      <w:r w:rsidR="00DC40BE" w:rsidRPr="00DC40BE">
        <w:rPr>
          <w:noProof/>
          <w:lang w:val="pl-PL"/>
        </w:rPr>
        <w:t xml:space="preserve"> w Par</w:t>
      </w:r>
      <w:r w:rsidRPr="00DC40BE">
        <w:rPr>
          <w:noProof/>
          <w:lang w:val="pl-PL"/>
        </w:rPr>
        <w:t xml:space="preserve">lamencie Europejskim. </w:t>
      </w:r>
      <w:bookmarkStart w:id="32" w:name="_Hlk147415375"/>
      <w:r w:rsidRPr="00DC40BE">
        <w:rPr>
          <w:noProof/>
          <w:lang w:val="pl-PL"/>
        </w:rPr>
        <w:t>EIO była przedmiotem debaty</w:t>
      </w:r>
      <w:bookmarkEnd w:id="32"/>
      <w:r w:rsidRPr="00DC40BE">
        <w:rPr>
          <w:noProof/>
          <w:lang w:val="pl-PL"/>
        </w:rPr>
        <w:t xml:space="preserve"> na sesji plenarnej Parlamentu Europejskiego zorganizowanej 16 marca </w:t>
      </w:r>
      <w:r w:rsidRPr="00DC40BE">
        <w:rPr>
          <w:noProof/>
          <w:lang w:val="pl-PL"/>
        </w:rPr>
        <w:lastRenderedPageBreak/>
        <w:t>2023</w:t>
      </w:r>
      <w:r w:rsidR="00DC40BE" w:rsidRPr="00DC40BE">
        <w:rPr>
          <w:noProof/>
          <w:lang w:val="pl-PL"/>
        </w:rPr>
        <w:t> </w:t>
      </w:r>
      <w:r w:rsidRPr="00DC40BE">
        <w:rPr>
          <w:noProof/>
          <w:lang w:val="pl-PL"/>
        </w:rPr>
        <w:t>r., podczas której nie przyjęto jednak żadnej rezolucji. 14 grudnia 2022</w:t>
      </w:r>
      <w:r w:rsidR="00DC40BE" w:rsidRPr="00DC40BE">
        <w:rPr>
          <w:noProof/>
          <w:lang w:val="pl-PL"/>
        </w:rPr>
        <w:t> </w:t>
      </w:r>
      <w:r w:rsidRPr="00DC40BE">
        <w:rPr>
          <w:noProof/>
          <w:lang w:val="pl-PL"/>
        </w:rPr>
        <w:t>r. Europejski Komitet Ekonomiczno-Społeczny przyjął opinię</w:t>
      </w:r>
      <w:r w:rsidR="00DC40BE" w:rsidRPr="00DC40BE">
        <w:rPr>
          <w:noProof/>
          <w:lang w:val="pl-PL"/>
        </w:rPr>
        <w:t xml:space="preserve"> w spr</w:t>
      </w:r>
      <w:r w:rsidRPr="00DC40BE">
        <w:rPr>
          <w:noProof/>
          <w:lang w:val="pl-PL"/>
        </w:rPr>
        <w:t>awie tej EIO(</w:t>
      </w:r>
      <w:r w:rsidRPr="00DC40BE">
        <w:rPr>
          <w:rStyle w:val="Odwoanieprzypisudolnego"/>
          <w:noProof/>
          <w:lang w:val="pl-PL"/>
        </w:rPr>
        <w:footnoteReference w:id="68"/>
      </w:r>
      <w:r w:rsidRPr="00DC40BE">
        <w:rPr>
          <w:noProof/>
          <w:lang w:val="pl-PL"/>
        </w:rPr>
        <w:t xml:space="preserve">). </w:t>
      </w:r>
    </w:p>
    <w:p w14:paraId="21916D14" w14:textId="72D7B454" w:rsidR="005A4888" w:rsidRPr="00DC40BE" w:rsidRDefault="00F769D6" w:rsidP="00E8781C">
      <w:pPr>
        <w:pStyle w:val="NormalnyWeb"/>
        <w:spacing w:line="276" w:lineRule="auto"/>
        <w:jc w:val="both"/>
        <w:rPr>
          <w:b/>
          <w:noProof/>
          <w:lang w:val="pl-PL"/>
        </w:rPr>
      </w:pPr>
      <w:r w:rsidRPr="00DC40BE">
        <w:rPr>
          <w:noProof/>
          <w:lang w:val="pl-PL"/>
        </w:rPr>
        <w:t xml:space="preserve">Komisja przyjęła </w:t>
      </w:r>
      <w:hyperlink r:id="rId40" w:history="1">
        <w:r w:rsidRPr="00DC40BE">
          <w:rPr>
            <w:rStyle w:val="Hipercze"/>
            <w:noProof/>
            <w:lang w:val="pl-PL"/>
          </w:rPr>
          <w:t>odpowiedź</w:t>
        </w:r>
      </w:hyperlink>
      <w:r w:rsidRPr="00DC40BE">
        <w:rPr>
          <w:noProof/>
          <w:lang w:val="pl-PL"/>
        </w:rPr>
        <w:t>(</w:t>
      </w:r>
      <w:r w:rsidRPr="00DC40BE">
        <w:rPr>
          <w:rStyle w:val="Odwoanieprzypisudolnego"/>
          <w:noProof/>
          <w:lang w:val="pl-PL"/>
        </w:rPr>
        <w:footnoteReference w:id="69"/>
      </w:r>
      <w:r w:rsidRPr="00DC40BE">
        <w:rPr>
          <w:noProof/>
          <w:lang w:val="pl-PL"/>
        </w:rPr>
        <w:t>) na EIO 5 kwietnia 2023</w:t>
      </w:r>
      <w:r w:rsidR="00DC40BE" w:rsidRPr="00DC40BE">
        <w:rPr>
          <w:noProof/>
          <w:lang w:val="pl-PL"/>
        </w:rPr>
        <w:t> </w:t>
      </w:r>
      <w:r w:rsidRPr="00DC40BE">
        <w:rPr>
          <w:noProof/>
          <w:lang w:val="pl-PL"/>
        </w:rPr>
        <w:t>r. Wyraziła</w:t>
      </w:r>
      <w:r w:rsidR="00DC40BE" w:rsidRPr="00DC40BE">
        <w:rPr>
          <w:noProof/>
          <w:lang w:val="pl-PL"/>
        </w:rPr>
        <w:t xml:space="preserve"> w nie</w:t>
      </w:r>
      <w:r w:rsidRPr="00DC40BE">
        <w:rPr>
          <w:noProof/>
          <w:lang w:val="pl-PL"/>
        </w:rPr>
        <w:t xml:space="preserve">j </w:t>
      </w:r>
      <w:r w:rsidRPr="00DC40BE">
        <w:rPr>
          <w:rStyle w:val="Pogrubienie"/>
          <w:b w:val="0"/>
          <w:noProof/>
          <w:lang w:val="pl-PL"/>
        </w:rPr>
        <w:t>zadowolenie</w:t>
      </w:r>
      <w:r w:rsidR="00DC40BE" w:rsidRPr="00DC40BE">
        <w:rPr>
          <w:rStyle w:val="Pogrubienie"/>
          <w:b w:val="0"/>
          <w:noProof/>
          <w:lang w:val="pl-PL"/>
        </w:rPr>
        <w:t xml:space="preserve"> z tyt</w:t>
      </w:r>
      <w:r w:rsidRPr="00DC40BE">
        <w:rPr>
          <w:rStyle w:val="Pogrubienie"/>
          <w:b w:val="0"/>
          <w:noProof/>
          <w:lang w:val="pl-PL"/>
        </w:rPr>
        <w:t>ułu utworzenia EIO</w:t>
      </w:r>
      <w:r w:rsidR="00DC40BE" w:rsidRPr="00DC40BE">
        <w:rPr>
          <w:noProof/>
          <w:lang w:val="pl-PL"/>
        </w:rPr>
        <w:t xml:space="preserve"> i pot</w:t>
      </w:r>
      <w:r w:rsidRPr="00DC40BE">
        <w:rPr>
          <w:noProof/>
          <w:lang w:val="pl-PL"/>
        </w:rPr>
        <w:t>wierdziła jej znaczenie,</w:t>
      </w:r>
      <w:r w:rsidR="00DC40BE" w:rsidRPr="00DC40BE">
        <w:rPr>
          <w:noProof/>
          <w:lang w:val="pl-PL"/>
        </w:rPr>
        <w:t xml:space="preserve"> w szc</w:t>
      </w:r>
      <w:r w:rsidRPr="00DC40BE">
        <w:rPr>
          <w:noProof/>
          <w:lang w:val="pl-PL"/>
        </w:rPr>
        <w:t>zególności</w:t>
      </w:r>
      <w:r w:rsidR="00DC40BE" w:rsidRPr="00DC40BE">
        <w:rPr>
          <w:noProof/>
          <w:lang w:val="pl-PL"/>
        </w:rPr>
        <w:t xml:space="preserve"> w kon</w:t>
      </w:r>
      <w:r w:rsidRPr="00DC40BE">
        <w:rPr>
          <w:noProof/>
          <w:lang w:val="pl-PL"/>
        </w:rPr>
        <w:t>tekście powiązanych ze sobą kryzysów spowodowanych zmianą klimatu, zanieczyszczeniem</w:t>
      </w:r>
      <w:r w:rsidR="00DC40BE" w:rsidRPr="00DC40BE">
        <w:rPr>
          <w:noProof/>
          <w:lang w:val="pl-PL"/>
        </w:rPr>
        <w:t xml:space="preserve"> i utr</w:t>
      </w:r>
      <w:r w:rsidRPr="00DC40BE">
        <w:rPr>
          <w:noProof/>
          <w:lang w:val="pl-PL"/>
        </w:rPr>
        <w:t>atą różnorodności biologicznej. Komisja podkreśliła swój pogląd, zgodnie</w:t>
      </w:r>
      <w:r w:rsidR="00DC40BE" w:rsidRPr="00DC40BE">
        <w:rPr>
          <w:noProof/>
          <w:lang w:val="pl-PL"/>
        </w:rPr>
        <w:t xml:space="preserve"> z któ</w:t>
      </w:r>
      <w:r w:rsidRPr="00DC40BE">
        <w:rPr>
          <w:noProof/>
          <w:lang w:val="pl-PL"/>
        </w:rPr>
        <w:t xml:space="preserve">rym priorytetem jest zadbanie o to, </w:t>
      </w:r>
      <w:r w:rsidRPr="00DC40BE">
        <w:rPr>
          <w:rStyle w:val="Pogrubienie"/>
          <w:b w:val="0"/>
          <w:noProof/>
          <w:lang w:val="pl-PL"/>
        </w:rPr>
        <w:t>by wnioski będące obecnie przedmiotem negocjacji współprawodawców były przyjmowane terminowo,</w:t>
      </w:r>
      <w:r w:rsidR="00DC40BE" w:rsidRPr="00DC40BE">
        <w:rPr>
          <w:rStyle w:val="Pogrubienie"/>
          <w:b w:val="0"/>
          <w:noProof/>
          <w:lang w:val="pl-PL"/>
        </w:rPr>
        <w:t xml:space="preserve"> a nas</w:t>
      </w:r>
      <w:r w:rsidRPr="00DC40BE">
        <w:rPr>
          <w:rStyle w:val="Pogrubienie"/>
          <w:b w:val="0"/>
          <w:noProof/>
          <w:lang w:val="pl-PL"/>
        </w:rPr>
        <w:t>tępnie wdrażane</w:t>
      </w:r>
      <w:r w:rsidRPr="00DC40BE">
        <w:rPr>
          <w:b/>
          <w:noProof/>
          <w:lang w:val="pl-PL"/>
        </w:rPr>
        <w:t xml:space="preserve">, </w:t>
      </w:r>
      <w:r w:rsidRPr="00DC40BE">
        <w:rPr>
          <w:noProof/>
          <w:lang w:val="pl-PL"/>
        </w:rPr>
        <w:t>wraz ze</w:t>
      </w:r>
      <w:r w:rsidRPr="00DC40BE">
        <w:rPr>
          <w:b/>
          <w:noProof/>
          <w:lang w:val="pl-PL"/>
        </w:rPr>
        <w:t xml:space="preserve"> </w:t>
      </w:r>
      <w:r w:rsidRPr="00DC40BE">
        <w:rPr>
          <w:rStyle w:val="Pogrubienie"/>
          <w:b w:val="0"/>
          <w:noProof/>
          <w:lang w:val="pl-PL"/>
        </w:rPr>
        <w:t>skutecznym wdrażaniem wspólnej polityki rolnej</w:t>
      </w:r>
      <w:r w:rsidRPr="00DC40BE">
        <w:rPr>
          <w:noProof/>
          <w:lang w:val="pl-PL"/>
        </w:rPr>
        <w:t>.</w:t>
      </w:r>
      <w:r w:rsidRPr="00DC40BE">
        <w:rPr>
          <w:b/>
          <w:noProof/>
          <w:lang w:val="pl-PL"/>
        </w:rPr>
        <w:t xml:space="preserve"> </w:t>
      </w:r>
    </w:p>
    <w:p w14:paraId="63125A47" w14:textId="363B8F26" w:rsidR="005A4888" w:rsidRPr="00DC40BE" w:rsidRDefault="00106880" w:rsidP="00E8781C">
      <w:pPr>
        <w:pStyle w:val="Akapitzlist"/>
        <w:numPr>
          <w:ilvl w:val="0"/>
          <w:numId w:val="32"/>
        </w:numPr>
        <w:autoSpaceDE w:val="0"/>
        <w:autoSpaceDN w:val="0"/>
        <w:spacing w:before="100" w:beforeAutospacing="1" w:after="100" w:afterAutospacing="1"/>
        <w:jc w:val="both"/>
        <w:rPr>
          <w:rFonts w:ascii="Times New Roman" w:hAnsi="Times New Roman" w:cs="Times New Roman"/>
          <w:b/>
          <w:noProof/>
          <w:sz w:val="24"/>
          <w:lang w:val="pl-PL"/>
        </w:rPr>
      </w:pPr>
      <w:hyperlink r:id="rId41" w:history="1">
        <w:r w:rsidR="007E40DA" w:rsidRPr="00DC40BE">
          <w:rPr>
            <w:rStyle w:val="Hipercze"/>
            <w:rFonts w:ascii="Times New Roman" w:hAnsi="Times New Roman"/>
            <w:b/>
            <w:noProof/>
            <w:sz w:val="24"/>
            <w:lang w:val="pl-PL"/>
          </w:rPr>
          <w:t>„Nie dla obcinania płetw rekinom</w:t>
        </w:r>
        <w:r w:rsidR="00DC40BE" w:rsidRPr="00DC40BE">
          <w:rPr>
            <w:rStyle w:val="Hipercze"/>
            <w:rFonts w:ascii="Times New Roman" w:hAnsi="Times New Roman"/>
            <w:b/>
            <w:noProof/>
            <w:sz w:val="24"/>
            <w:lang w:val="pl-PL"/>
          </w:rPr>
          <w:t xml:space="preserve"> i han</w:t>
        </w:r>
        <w:r w:rsidR="007E40DA" w:rsidRPr="00DC40BE">
          <w:rPr>
            <w:rStyle w:val="Hipercze"/>
            <w:rFonts w:ascii="Times New Roman" w:hAnsi="Times New Roman"/>
            <w:b/>
            <w:noProof/>
            <w:sz w:val="24"/>
            <w:lang w:val="pl-PL"/>
          </w:rPr>
          <w:t>dlu nimi”</w:t>
        </w:r>
      </w:hyperlink>
      <w:r w:rsidR="007E40DA" w:rsidRPr="00DC40BE">
        <w:rPr>
          <w:rFonts w:ascii="Times New Roman" w:hAnsi="Times New Roman"/>
          <w:b/>
          <w:noProof/>
          <w:sz w:val="24"/>
          <w:lang w:val="pl-PL"/>
        </w:rPr>
        <w:t>(</w:t>
      </w:r>
      <w:r w:rsidR="007E40DA" w:rsidRPr="00DC40BE">
        <w:rPr>
          <w:rStyle w:val="Odwoanieprzypisudolnego"/>
          <w:rFonts w:ascii="Times New Roman" w:hAnsi="Times New Roman" w:cs="Times New Roman"/>
          <w:b/>
          <w:noProof/>
          <w:sz w:val="24"/>
          <w:lang w:val="pl-PL"/>
        </w:rPr>
        <w:footnoteReference w:id="70"/>
      </w:r>
      <w:r w:rsidR="007E40DA" w:rsidRPr="00DC40BE">
        <w:rPr>
          <w:rFonts w:ascii="Times New Roman" w:hAnsi="Times New Roman"/>
          <w:b/>
          <w:noProof/>
          <w:sz w:val="24"/>
          <w:lang w:val="pl-PL"/>
        </w:rPr>
        <w:t>) </w:t>
      </w:r>
    </w:p>
    <w:p w14:paraId="6B3B89D7" w14:textId="7AB0DBE8" w:rsidR="005A4888" w:rsidRPr="00DC40BE" w:rsidRDefault="005A4888" w:rsidP="00E8781C">
      <w:pPr>
        <w:pStyle w:val="NormalnyWeb"/>
        <w:spacing w:line="276" w:lineRule="auto"/>
        <w:jc w:val="both"/>
        <w:rPr>
          <w:noProof/>
          <w:lang w:val="pl-PL"/>
        </w:rPr>
      </w:pPr>
      <w:r w:rsidRPr="00DC40BE">
        <w:rPr>
          <w:noProof/>
          <w:lang w:val="pl-PL"/>
        </w:rPr>
        <w:t>W ramach tej EIO wezwano Komisję do przedstawienia wniosku mającego na celu „położenie kresu handlowi płetwami rekinów w UE,</w:t>
      </w:r>
      <w:r w:rsidR="00DC40BE" w:rsidRPr="00DC40BE">
        <w:rPr>
          <w:noProof/>
          <w:lang w:val="pl-PL"/>
        </w:rPr>
        <w:t xml:space="preserve"> w tym</w:t>
      </w:r>
      <w:r w:rsidRPr="00DC40BE">
        <w:rPr>
          <w:noProof/>
          <w:lang w:val="pl-PL"/>
        </w:rPr>
        <w:t xml:space="preserve"> przywozowi, wywozowi</w:t>
      </w:r>
      <w:r w:rsidR="00DC40BE" w:rsidRPr="00DC40BE">
        <w:rPr>
          <w:noProof/>
          <w:lang w:val="pl-PL"/>
        </w:rPr>
        <w:t xml:space="preserve"> i tra</w:t>
      </w:r>
      <w:r w:rsidRPr="00DC40BE">
        <w:rPr>
          <w:noProof/>
          <w:lang w:val="pl-PL"/>
        </w:rPr>
        <w:t>nzytowi płetw innych niż płetwy naturalnie połączone</w:t>
      </w:r>
      <w:r w:rsidR="00DC40BE" w:rsidRPr="00DC40BE">
        <w:rPr>
          <w:noProof/>
          <w:lang w:val="pl-PL"/>
        </w:rPr>
        <w:t xml:space="preserve"> z cia</w:t>
      </w:r>
      <w:r w:rsidRPr="00DC40BE">
        <w:rPr>
          <w:noProof/>
          <w:lang w:val="pl-PL"/>
        </w:rPr>
        <w:t>łem zwierzęcia”. Organizatorzy przedłożyli Komisji EIO 11 stycznia 2023</w:t>
      </w:r>
      <w:r w:rsidR="00DC40BE" w:rsidRPr="00DC40BE">
        <w:rPr>
          <w:noProof/>
          <w:lang w:val="pl-PL"/>
        </w:rPr>
        <w:t> </w:t>
      </w:r>
      <w:r w:rsidRPr="00DC40BE">
        <w:rPr>
          <w:noProof/>
          <w:lang w:val="pl-PL"/>
        </w:rPr>
        <w:t>r., po zebraniu 1 119 996 ważnych deklaracji poparcia</w:t>
      </w:r>
      <w:r w:rsidR="00DC40BE" w:rsidRPr="00DC40BE">
        <w:rPr>
          <w:noProof/>
          <w:lang w:val="pl-PL"/>
        </w:rPr>
        <w:t xml:space="preserve"> i osi</w:t>
      </w:r>
      <w:r w:rsidRPr="00DC40BE">
        <w:rPr>
          <w:noProof/>
          <w:lang w:val="pl-PL"/>
        </w:rPr>
        <w:t>ągnięciu wymaganych progów</w:t>
      </w:r>
      <w:r w:rsidR="00DC40BE" w:rsidRPr="00DC40BE">
        <w:rPr>
          <w:noProof/>
          <w:lang w:val="pl-PL"/>
        </w:rPr>
        <w:t xml:space="preserve"> w 1</w:t>
      </w:r>
      <w:r w:rsidRPr="00DC40BE">
        <w:rPr>
          <w:noProof/>
          <w:lang w:val="pl-PL"/>
        </w:rPr>
        <w:t>5 państwach członkowskich. 6 lutego 2023</w:t>
      </w:r>
      <w:r w:rsidR="00DC40BE" w:rsidRPr="00DC40BE">
        <w:rPr>
          <w:noProof/>
          <w:lang w:val="pl-PL"/>
        </w:rPr>
        <w:t> </w:t>
      </w:r>
      <w:r w:rsidRPr="00DC40BE">
        <w:rPr>
          <w:noProof/>
          <w:lang w:val="pl-PL"/>
        </w:rPr>
        <w:t>r. organizatorzy EIO spotkali się</w:t>
      </w:r>
      <w:r w:rsidR="00DC40BE" w:rsidRPr="00DC40BE">
        <w:rPr>
          <w:noProof/>
          <w:lang w:val="pl-PL"/>
        </w:rPr>
        <w:t xml:space="preserve"> z kom</w:t>
      </w:r>
      <w:r w:rsidRPr="00DC40BE">
        <w:rPr>
          <w:noProof/>
          <w:lang w:val="pl-PL"/>
        </w:rPr>
        <w:t>isarzem do spraw środowiska, oceanów</w:t>
      </w:r>
      <w:r w:rsidR="00DC40BE" w:rsidRPr="00DC40BE">
        <w:rPr>
          <w:noProof/>
          <w:lang w:val="pl-PL"/>
        </w:rPr>
        <w:t xml:space="preserve"> i ryb</w:t>
      </w:r>
      <w:r w:rsidRPr="00DC40BE">
        <w:rPr>
          <w:noProof/>
          <w:lang w:val="pl-PL"/>
        </w:rPr>
        <w:t>ołówstwa Virginijusem Sinkevičiusem. 27 marca 2023</w:t>
      </w:r>
      <w:r w:rsidR="00DC40BE" w:rsidRPr="00DC40BE">
        <w:rPr>
          <w:noProof/>
          <w:lang w:val="pl-PL"/>
        </w:rPr>
        <w:t> </w:t>
      </w:r>
      <w:r w:rsidRPr="00DC40BE">
        <w:rPr>
          <w:noProof/>
          <w:lang w:val="pl-PL"/>
        </w:rPr>
        <w:t>r. odbyło się wysłuchanie publiczne</w:t>
      </w:r>
      <w:r w:rsidR="00DC40BE" w:rsidRPr="00DC40BE">
        <w:rPr>
          <w:noProof/>
          <w:lang w:val="pl-PL"/>
        </w:rPr>
        <w:t xml:space="preserve"> w Par</w:t>
      </w:r>
      <w:r w:rsidRPr="00DC40BE">
        <w:rPr>
          <w:noProof/>
          <w:lang w:val="pl-PL"/>
        </w:rPr>
        <w:t>lamencie Europejskim. EIO była przedmiotem debaty na sesji plenarnej zorganizowanej 11 maja 2023</w:t>
      </w:r>
      <w:r w:rsidR="00DC40BE" w:rsidRPr="00DC40BE">
        <w:rPr>
          <w:noProof/>
          <w:lang w:val="pl-PL"/>
        </w:rPr>
        <w:t> </w:t>
      </w:r>
      <w:r w:rsidRPr="00DC40BE">
        <w:rPr>
          <w:noProof/>
          <w:lang w:val="pl-PL"/>
        </w:rPr>
        <w:t>r., podczas której nie przyjęto jednak żadnej rezolucji.</w:t>
      </w:r>
    </w:p>
    <w:p w14:paraId="6623EDA5" w14:textId="4CB4BC94" w:rsidR="005A4888" w:rsidRPr="00DC40BE" w:rsidRDefault="00F769D6" w:rsidP="00E8781C">
      <w:pPr>
        <w:pStyle w:val="NormalnyWeb"/>
        <w:spacing w:line="276" w:lineRule="auto"/>
        <w:jc w:val="both"/>
        <w:rPr>
          <w:rFonts w:eastAsiaTheme="minorEastAsia"/>
          <w:noProof/>
          <w:lang w:val="pl-PL"/>
        </w:rPr>
      </w:pPr>
      <w:r w:rsidRPr="00DC40BE">
        <w:rPr>
          <w:noProof/>
          <w:lang w:val="pl-PL"/>
        </w:rPr>
        <w:t xml:space="preserve">Komisja przyjęła </w:t>
      </w:r>
      <w:hyperlink r:id="rId42" w:history="1">
        <w:r w:rsidRPr="00DC40BE">
          <w:rPr>
            <w:rStyle w:val="Hipercze"/>
            <w:noProof/>
            <w:lang w:val="pl-PL"/>
          </w:rPr>
          <w:t>odpowiedź</w:t>
        </w:r>
      </w:hyperlink>
      <w:r w:rsidRPr="00DC40BE">
        <w:rPr>
          <w:noProof/>
          <w:lang w:val="pl-PL"/>
        </w:rPr>
        <w:t>(</w:t>
      </w:r>
      <w:r w:rsidRPr="00DC40BE">
        <w:rPr>
          <w:rStyle w:val="Odwoanieprzypisudolnego"/>
          <w:noProof/>
          <w:lang w:val="pl-PL"/>
        </w:rPr>
        <w:footnoteReference w:id="71"/>
      </w:r>
      <w:r w:rsidRPr="00DC40BE">
        <w:rPr>
          <w:noProof/>
          <w:lang w:val="pl-PL"/>
        </w:rPr>
        <w:t>) na EIO 5 lipca 2023</w:t>
      </w:r>
      <w:r w:rsidR="00DC40BE" w:rsidRPr="00DC40BE">
        <w:rPr>
          <w:noProof/>
          <w:lang w:val="pl-PL"/>
        </w:rPr>
        <w:t> </w:t>
      </w:r>
      <w:r w:rsidRPr="00DC40BE">
        <w:rPr>
          <w:noProof/>
          <w:lang w:val="pl-PL"/>
        </w:rPr>
        <w:t>r. Wyraziła</w:t>
      </w:r>
      <w:r w:rsidR="00DC40BE" w:rsidRPr="00DC40BE">
        <w:rPr>
          <w:noProof/>
          <w:lang w:val="pl-PL"/>
        </w:rPr>
        <w:t xml:space="preserve"> w nie</w:t>
      </w:r>
      <w:r w:rsidRPr="00DC40BE">
        <w:rPr>
          <w:noProof/>
          <w:lang w:val="pl-PL"/>
        </w:rPr>
        <w:t xml:space="preserve">j </w:t>
      </w:r>
      <w:r w:rsidRPr="00DC40BE">
        <w:rPr>
          <w:noProof/>
          <w:color w:val="000000" w:themeColor="text1"/>
          <w:lang w:val="pl-PL"/>
        </w:rPr>
        <w:t>zadowolenie</w:t>
      </w:r>
      <w:r w:rsidR="00DC40BE" w:rsidRPr="00DC40BE">
        <w:rPr>
          <w:noProof/>
          <w:color w:val="000000" w:themeColor="text1"/>
          <w:lang w:val="pl-PL"/>
        </w:rPr>
        <w:t xml:space="preserve"> z tyt</w:t>
      </w:r>
      <w:r w:rsidRPr="00DC40BE">
        <w:rPr>
          <w:noProof/>
          <w:color w:val="000000" w:themeColor="text1"/>
          <w:lang w:val="pl-PL"/>
        </w:rPr>
        <w:t>ułu utworzenia EIO</w:t>
      </w:r>
      <w:r w:rsidR="00DC40BE" w:rsidRPr="00DC40BE">
        <w:rPr>
          <w:noProof/>
          <w:color w:val="000000" w:themeColor="text1"/>
          <w:lang w:val="pl-PL"/>
        </w:rPr>
        <w:t xml:space="preserve"> i zob</w:t>
      </w:r>
      <w:r w:rsidRPr="00DC40BE">
        <w:rPr>
          <w:noProof/>
          <w:color w:val="000000" w:themeColor="text1"/>
          <w:lang w:val="pl-PL"/>
        </w:rPr>
        <w:t xml:space="preserve">owiązała się do przeprowadzenia oceny skutków </w:t>
      </w:r>
      <w:r w:rsidRPr="00DC40BE">
        <w:rPr>
          <w:noProof/>
          <w:lang w:val="pl-PL"/>
        </w:rPr>
        <w:t>dotyczącej środowiskowych, społecznych</w:t>
      </w:r>
      <w:r w:rsidR="00DC40BE" w:rsidRPr="00DC40BE">
        <w:rPr>
          <w:noProof/>
          <w:lang w:val="pl-PL"/>
        </w:rPr>
        <w:t xml:space="preserve"> </w:t>
      </w:r>
      <w:r w:rsidR="00DC40BE" w:rsidRPr="00DC40BE">
        <w:rPr>
          <w:noProof/>
          <w:color w:val="000000" w:themeColor="text1"/>
          <w:lang w:val="pl-PL"/>
        </w:rPr>
        <w:t>i</w:t>
      </w:r>
      <w:r w:rsidR="00DC40BE" w:rsidRPr="00DC40BE">
        <w:rPr>
          <w:noProof/>
          <w:lang w:val="pl-PL"/>
        </w:rPr>
        <w:t> gos</w:t>
      </w:r>
      <w:r w:rsidRPr="00DC40BE">
        <w:rPr>
          <w:noProof/>
          <w:lang w:val="pl-PL"/>
        </w:rPr>
        <w:t>podarczych konsekwencji stosowania polityki „płetw naturalnie połączonych</w:t>
      </w:r>
      <w:r w:rsidR="00DC40BE" w:rsidRPr="00DC40BE">
        <w:rPr>
          <w:noProof/>
          <w:lang w:val="pl-PL"/>
        </w:rPr>
        <w:t xml:space="preserve"> z cia</w:t>
      </w:r>
      <w:r w:rsidRPr="00DC40BE">
        <w:rPr>
          <w:noProof/>
          <w:lang w:val="pl-PL"/>
        </w:rPr>
        <w:t>łem zwierzęcia”</w:t>
      </w:r>
      <w:r w:rsidR="00DC40BE" w:rsidRPr="00DC40BE">
        <w:rPr>
          <w:noProof/>
          <w:lang w:val="pl-PL"/>
        </w:rPr>
        <w:t xml:space="preserve"> w odn</w:t>
      </w:r>
      <w:r w:rsidRPr="00DC40BE">
        <w:rPr>
          <w:noProof/>
          <w:lang w:val="pl-PL"/>
        </w:rPr>
        <w:t xml:space="preserve">iesieniu do wprowadzania rekinów do obrotu na rynku Unii </w:t>
      </w:r>
      <w:r w:rsidRPr="00DC40BE">
        <w:rPr>
          <w:noProof/>
          <w:color w:val="000000" w:themeColor="text1"/>
          <w:lang w:val="pl-PL"/>
        </w:rPr>
        <w:t>oraz do zbadania środków prawnych umożliwiających najskuteczniejsze występowanie</w:t>
      </w:r>
      <w:r w:rsidR="00DC40BE" w:rsidRPr="00DC40BE">
        <w:rPr>
          <w:noProof/>
          <w:color w:val="000000" w:themeColor="text1"/>
          <w:lang w:val="pl-PL"/>
        </w:rPr>
        <w:t xml:space="preserve"> o udz</w:t>
      </w:r>
      <w:r w:rsidRPr="00DC40BE">
        <w:rPr>
          <w:noProof/>
          <w:color w:val="000000" w:themeColor="text1"/>
          <w:lang w:val="pl-PL"/>
        </w:rPr>
        <w:t>ielenie bardziej szczegółowych informacji</w:t>
      </w:r>
      <w:r w:rsidR="00DC40BE" w:rsidRPr="00DC40BE">
        <w:rPr>
          <w:noProof/>
          <w:color w:val="000000" w:themeColor="text1"/>
          <w:lang w:val="pl-PL"/>
        </w:rPr>
        <w:t xml:space="preserve"> w cel</w:t>
      </w:r>
      <w:r w:rsidRPr="00DC40BE">
        <w:rPr>
          <w:noProof/>
          <w:color w:val="000000" w:themeColor="text1"/>
          <w:lang w:val="pl-PL"/>
        </w:rPr>
        <w:t>u poprawy jakości danych statystycznych</w:t>
      </w:r>
      <w:r w:rsidR="00DC40BE" w:rsidRPr="00DC40BE">
        <w:rPr>
          <w:noProof/>
          <w:color w:val="000000" w:themeColor="text1"/>
          <w:lang w:val="pl-PL"/>
        </w:rPr>
        <w:t xml:space="preserve"> w tym</w:t>
      </w:r>
      <w:r w:rsidRPr="00DC40BE">
        <w:rPr>
          <w:noProof/>
          <w:color w:val="000000" w:themeColor="text1"/>
          <w:lang w:val="pl-PL"/>
        </w:rPr>
        <w:t xml:space="preserve"> zakresie, Komisja zintensyfikuje również egzekwowanie unijnych środków identyfikowalności</w:t>
      </w:r>
      <w:r w:rsidR="00DC40BE" w:rsidRPr="00DC40BE">
        <w:rPr>
          <w:noProof/>
          <w:color w:val="000000" w:themeColor="text1"/>
          <w:lang w:val="pl-PL"/>
        </w:rPr>
        <w:t xml:space="preserve"> i wsp</w:t>
      </w:r>
      <w:r w:rsidRPr="00DC40BE">
        <w:rPr>
          <w:noProof/>
          <w:color w:val="000000" w:themeColor="text1"/>
          <w:lang w:val="pl-PL"/>
        </w:rPr>
        <w:t>ółpracę</w:t>
      </w:r>
      <w:r w:rsidR="00DC40BE" w:rsidRPr="00DC40BE">
        <w:rPr>
          <w:noProof/>
          <w:color w:val="000000" w:themeColor="text1"/>
          <w:lang w:val="pl-PL"/>
        </w:rPr>
        <w:t xml:space="preserve"> z par</w:t>
      </w:r>
      <w:r w:rsidRPr="00DC40BE">
        <w:rPr>
          <w:noProof/>
          <w:color w:val="000000" w:themeColor="text1"/>
          <w:lang w:val="pl-PL"/>
        </w:rPr>
        <w:t>tnerami międzynarodowymi.</w:t>
      </w:r>
    </w:p>
    <w:p w14:paraId="0B60CC8E" w14:textId="4C9C6913" w:rsidR="005A4888" w:rsidRPr="00DC40BE" w:rsidRDefault="00106880" w:rsidP="00E8781C">
      <w:pPr>
        <w:pStyle w:val="Akapitzlist"/>
        <w:numPr>
          <w:ilvl w:val="0"/>
          <w:numId w:val="32"/>
        </w:numPr>
        <w:autoSpaceDE w:val="0"/>
        <w:autoSpaceDN w:val="0"/>
        <w:spacing w:before="100" w:beforeAutospacing="1" w:after="100" w:afterAutospacing="1"/>
        <w:jc w:val="both"/>
        <w:rPr>
          <w:rFonts w:ascii="Times New Roman" w:hAnsi="Times New Roman" w:cs="Times New Roman"/>
          <w:b/>
          <w:noProof/>
          <w:sz w:val="24"/>
          <w:lang w:val="pl-PL"/>
        </w:rPr>
      </w:pPr>
      <w:hyperlink r:id="rId43" w:history="1">
        <w:r w:rsidR="007E40DA" w:rsidRPr="00DC40BE">
          <w:rPr>
            <w:rStyle w:val="Hipercze"/>
            <w:rFonts w:ascii="Times New Roman" w:hAnsi="Times New Roman"/>
            <w:b/>
            <w:noProof/>
            <w:sz w:val="24"/>
            <w:lang w:val="pl-PL"/>
          </w:rPr>
          <w:t>„Za kosmetykami bez okrucieństwa wobec zwierząt</w:t>
        </w:r>
        <w:r w:rsidR="00DC40BE" w:rsidRPr="00DC40BE">
          <w:rPr>
            <w:rStyle w:val="Hipercze"/>
            <w:rFonts w:ascii="Times New Roman" w:hAnsi="Times New Roman"/>
            <w:b/>
            <w:noProof/>
            <w:sz w:val="24"/>
            <w:lang w:val="pl-PL"/>
          </w:rPr>
          <w:t xml:space="preserve"> i Eur</w:t>
        </w:r>
        <w:r w:rsidR="007E40DA" w:rsidRPr="00DC40BE">
          <w:rPr>
            <w:rStyle w:val="Hipercze"/>
            <w:rFonts w:ascii="Times New Roman" w:hAnsi="Times New Roman"/>
            <w:b/>
            <w:noProof/>
            <w:sz w:val="24"/>
            <w:lang w:val="pl-PL"/>
          </w:rPr>
          <w:t>opą bez testów na zwierzętach”</w:t>
        </w:r>
      </w:hyperlink>
      <w:r w:rsidR="007E40DA" w:rsidRPr="00DC40BE">
        <w:rPr>
          <w:rFonts w:ascii="Times New Roman" w:hAnsi="Times New Roman"/>
          <w:b/>
          <w:noProof/>
          <w:sz w:val="24"/>
          <w:lang w:val="pl-PL"/>
        </w:rPr>
        <w:t>(</w:t>
      </w:r>
      <w:r w:rsidR="007E40DA" w:rsidRPr="00DC40BE">
        <w:rPr>
          <w:rStyle w:val="Odwoanieprzypisudolnego"/>
          <w:rFonts w:ascii="Times New Roman" w:hAnsi="Times New Roman" w:cs="Times New Roman"/>
          <w:b/>
          <w:noProof/>
          <w:sz w:val="24"/>
          <w:lang w:val="pl-PL"/>
        </w:rPr>
        <w:footnoteReference w:id="72"/>
      </w:r>
      <w:r w:rsidR="007E40DA" w:rsidRPr="00DC40BE">
        <w:rPr>
          <w:rFonts w:ascii="Times New Roman" w:hAnsi="Times New Roman"/>
          <w:b/>
          <w:noProof/>
          <w:sz w:val="24"/>
          <w:lang w:val="pl-PL"/>
        </w:rPr>
        <w:t>) </w:t>
      </w:r>
    </w:p>
    <w:p w14:paraId="5549B17A" w14:textId="53188AB8" w:rsidR="005A4888" w:rsidRPr="00DC40BE" w:rsidRDefault="005A4888" w:rsidP="00E8781C">
      <w:pPr>
        <w:pStyle w:val="NormalnyWeb"/>
        <w:spacing w:line="276" w:lineRule="auto"/>
        <w:jc w:val="both"/>
        <w:rPr>
          <w:noProof/>
          <w:lang w:val="pl-PL"/>
        </w:rPr>
      </w:pPr>
      <w:r w:rsidRPr="00DC40BE">
        <w:rPr>
          <w:noProof/>
          <w:lang w:val="pl-PL"/>
        </w:rPr>
        <w:t>W ramach tej EIO wezwano Komisję do przedstawienia wniosku mającego na celu wzmocnienie</w:t>
      </w:r>
      <w:r w:rsidR="00DC40BE" w:rsidRPr="00DC40BE">
        <w:rPr>
          <w:noProof/>
          <w:lang w:val="pl-PL"/>
        </w:rPr>
        <w:t xml:space="preserve"> i pos</w:t>
      </w:r>
      <w:r w:rsidRPr="00DC40BE">
        <w:rPr>
          <w:noProof/>
          <w:lang w:val="pl-PL"/>
        </w:rPr>
        <w:t xml:space="preserve">zerzenie obowiązujących w UE zakazów testowania kosmetyków na </w:t>
      </w:r>
      <w:r w:rsidRPr="00DC40BE">
        <w:rPr>
          <w:noProof/>
          <w:lang w:val="pl-PL"/>
        </w:rPr>
        <w:lastRenderedPageBreak/>
        <w:t>zwierzętach</w:t>
      </w:r>
      <w:r w:rsidR="00DC40BE" w:rsidRPr="00DC40BE">
        <w:rPr>
          <w:noProof/>
          <w:lang w:val="pl-PL"/>
        </w:rPr>
        <w:t xml:space="preserve"> i wpr</w:t>
      </w:r>
      <w:r w:rsidRPr="00DC40BE">
        <w:rPr>
          <w:noProof/>
          <w:lang w:val="pl-PL"/>
        </w:rPr>
        <w:t>owadzania do obrotu składników testowanych na zwierzętach,</w:t>
      </w:r>
      <w:r w:rsidR="00DC40BE" w:rsidRPr="00DC40BE">
        <w:rPr>
          <w:noProof/>
          <w:lang w:val="pl-PL"/>
        </w:rPr>
        <w:t xml:space="preserve"> a tak</w:t>
      </w:r>
      <w:r w:rsidRPr="00DC40BE">
        <w:rPr>
          <w:noProof/>
          <w:lang w:val="pl-PL"/>
        </w:rPr>
        <w:t>że do przyjęcia wniosku ustawodawczego ustanawiającego plan działania na rzecz stopniowego zaprzestania wszelkich badań na zwierzętach do końca obecnej kadencji Komisji. Organizatorzy przedłożyli Komisji EIO 25 stycznia 2023</w:t>
      </w:r>
      <w:r w:rsidR="00DC40BE" w:rsidRPr="00DC40BE">
        <w:rPr>
          <w:noProof/>
          <w:lang w:val="pl-PL"/>
        </w:rPr>
        <w:t> </w:t>
      </w:r>
      <w:r w:rsidRPr="00DC40BE">
        <w:rPr>
          <w:noProof/>
          <w:lang w:val="pl-PL"/>
        </w:rPr>
        <w:t>r., po zebraniu 1 217 916 ważnych deklaracji poparcia</w:t>
      </w:r>
      <w:r w:rsidR="00DC40BE" w:rsidRPr="00DC40BE">
        <w:rPr>
          <w:noProof/>
          <w:lang w:val="pl-PL"/>
        </w:rPr>
        <w:t xml:space="preserve"> i osi</w:t>
      </w:r>
      <w:r w:rsidRPr="00DC40BE">
        <w:rPr>
          <w:noProof/>
          <w:lang w:val="pl-PL"/>
        </w:rPr>
        <w:t>ągnięciu wymaganych progów</w:t>
      </w:r>
      <w:r w:rsidR="00DC40BE" w:rsidRPr="00DC40BE">
        <w:rPr>
          <w:noProof/>
          <w:lang w:val="pl-PL"/>
        </w:rPr>
        <w:t xml:space="preserve"> w 2</w:t>
      </w:r>
      <w:r w:rsidRPr="00DC40BE">
        <w:rPr>
          <w:noProof/>
          <w:lang w:val="pl-PL"/>
        </w:rPr>
        <w:t>1 państwach członkowskich. 17 marca 2023</w:t>
      </w:r>
      <w:r w:rsidR="00DC40BE" w:rsidRPr="00DC40BE">
        <w:rPr>
          <w:noProof/>
          <w:lang w:val="pl-PL"/>
        </w:rPr>
        <w:t> </w:t>
      </w:r>
      <w:r w:rsidRPr="00DC40BE">
        <w:rPr>
          <w:noProof/>
          <w:lang w:val="pl-PL"/>
        </w:rPr>
        <w:t>r. organizatorzy EIO spotkali się</w:t>
      </w:r>
      <w:r w:rsidR="00DC40BE" w:rsidRPr="00DC40BE">
        <w:rPr>
          <w:noProof/>
          <w:lang w:val="pl-PL"/>
        </w:rPr>
        <w:t xml:space="preserve"> z wic</w:t>
      </w:r>
      <w:r w:rsidRPr="00DC40BE">
        <w:rPr>
          <w:noProof/>
          <w:lang w:val="pl-PL"/>
        </w:rPr>
        <w:t>eprzewodniczącą Komisji Europejskiej do spraw wartości</w:t>
      </w:r>
      <w:r w:rsidR="00DC40BE" w:rsidRPr="00DC40BE">
        <w:rPr>
          <w:noProof/>
          <w:lang w:val="pl-PL"/>
        </w:rPr>
        <w:t xml:space="preserve"> i prz</w:t>
      </w:r>
      <w:r w:rsidRPr="00DC40BE">
        <w:rPr>
          <w:noProof/>
          <w:lang w:val="pl-PL"/>
        </w:rPr>
        <w:t>ejrzystości Věrą Jourovą oraz komisarzem europejskim do spraw rynku wewnętrznego Thierrym Bretonem.25 maja 2023</w:t>
      </w:r>
      <w:r w:rsidR="00DC40BE" w:rsidRPr="00DC40BE">
        <w:rPr>
          <w:noProof/>
          <w:lang w:val="pl-PL"/>
        </w:rPr>
        <w:t> </w:t>
      </w:r>
      <w:r w:rsidRPr="00DC40BE">
        <w:rPr>
          <w:noProof/>
          <w:lang w:val="pl-PL"/>
        </w:rPr>
        <w:t>r. Parlament Europejski zorganizował wysłuchanie publiczne poświęcone tej EIO. EIO była przedmiotem debaty na sesji plenarnej zorganizowanej 10 lipca 2023</w:t>
      </w:r>
      <w:r w:rsidR="00DC40BE" w:rsidRPr="00DC40BE">
        <w:rPr>
          <w:noProof/>
          <w:lang w:val="pl-PL"/>
        </w:rPr>
        <w:t> </w:t>
      </w:r>
      <w:r w:rsidRPr="00DC40BE">
        <w:rPr>
          <w:noProof/>
          <w:lang w:val="pl-PL"/>
        </w:rPr>
        <w:t>r., podczas której nie przyjęto jednak żadnej rezolucji.</w:t>
      </w:r>
    </w:p>
    <w:p w14:paraId="072A8A70" w14:textId="0D329736" w:rsidR="005A4888" w:rsidRPr="00DC40BE" w:rsidRDefault="00F769D6" w:rsidP="00E8781C">
      <w:pPr>
        <w:pStyle w:val="NormalnyWeb"/>
        <w:spacing w:line="276" w:lineRule="auto"/>
        <w:jc w:val="both"/>
        <w:rPr>
          <w:noProof/>
          <w:lang w:val="pl-PL"/>
        </w:rPr>
      </w:pPr>
      <w:r w:rsidRPr="00DC40BE">
        <w:rPr>
          <w:noProof/>
          <w:lang w:val="pl-PL"/>
        </w:rPr>
        <w:t xml:space="preserve">Komisja przyjęła </w:t>
      </w:r>
      <w:hyperlink r:id="rId44" w:history="1">
        <w:r w:rsidRPr="00DC40BE">
          <w:rPr>
            <w:rStyle w:val="Hipercze"/>
            <w:noProof/>
            <w:lang w:val="pl-PL"/>
          </w:rPr>
          <w:t>odpowiedź</w:t>
        </w:r>
      </w:hyperlink>
      <w:r w:rsidRPr="00DC40BE">
        <w:rPr>
          <w:noProof/>
          <w:lang w:val="pl-PL"/>
        </w:rPr>
        <w:t>(</w:t>
      </w:r>
      <w:r w:rsidRPr="00DC40BE">
        <w:rPr>
          <w:rStyle w:val="Odwoanieprzypisudolnego"/>
          <w:noProof/>
          <w:lang w:val="pl-PL"/>
        </w:rPr>
        <w:footnoteReference w:id="73"/>
      </w:r>
      <w:r w:rsidRPr="00DC40BE">
        <w:rPr>
          <w:noProof/>
          <w:lang w:val="pl-PL"/>
        </w:rPr>
        <w:t>) na EIO 25 lipca 2023</w:t>
      </w:r>
      <w:r w:rsidR="00DC40BE" w:rsidRPr="00DC40BE">
        <w:rPr>
          <w:noProof/>
          <w:lang w:val="pl-PL"/>
        </w:rPr>
        <w:t> </w:t>
      </w:r>
      <w:r w:rsidRPr="00DC40BE">
        <w:rPr>
          <w:noProof/>
          <w:lang w:val="pl-PL"/>
        </w:rPr>
        <w:t>r. Wyraziła</w:t>
      </w:r>
      <w:r w:rsidR="00DC40BE" w:rsidRPr="00DC40BE">
        <w:rPr>
          <w:noProof/>
          <w:lang w:val="pl-PL"/>
        </w:rPr>
        <w:t xml:space="preserve"> w nie</w:t>
      </w:r>
      <w:r w:rsidRPr="00DC40BE">
        <w:rPr>
          <w:noProof/>
          <w:lang w:val="pl-PL"/>
        </w:rPr>
        <w:t>j zadowolenie</w:t>
      </w:r>
      <w:r w:rsidR="00DC40BE" w:rsidRPr="00DC40BE">
        <w:rPr>
          <w:noProof/>
          <w:lang w:val="pl-PL"/>
        </w:rPr>
        <w:t xml:space="preserve"> z tyt</w:t>
      </w:r>
      <w:r w:rsidRPr="00DC40BE">
        <w:rPr>
          <w:noProof/>
          <w:lang w:val="pl-PL"/>
        </w:rPr>
        <w:t>ułu utworzenia EIO</w:t>
      </w:r>
      <w:r w:rsidR="00DC40BE" w:rsidRPr="00DC40BE">
        <w:rPr>
          <w:noProof/>
          <w:lang w:val="pl-PL"/>
        </w:rPr>
        <w:t xml:space="preserve"> i pot</w:t>
      </w:r>
      <w:r w:rsidRPr="00DC40BE">
        <w:rPr>
          <w:noProof/>
          <w:lang w:val="pl-PL"/>
        </w:rPr>
        <w:t>wierdziła, że dobrostan zwierząt pozostaje kwestią</w:t>
      </w:r>
      <w:r w:rsidR="00DC40BE" w:rsidRPr="00DC40BE">
        <w:rPr>
          <w:noProof/>
          <w:lang w:val="pl-PL"/>
        </w:rPr>
        <w:t xml:space="preserve"> o ist</w:t>
      </w:r>
      <w:r w:rsidRPr="00DC40BE">
        <w:rPr>
          <w:noProof/>
          <w:lang w:val="pl-PL"/>
        </w:rPr>
        <w:t>otnym znaczeniu dla obywateli Unii; zwróciła również uwagę na wiodącą rolę UE</w:t>
      </w:r>
      <w:r w:rsidR="00DC40BE" w:rsidRPr="00DC40BE">
        <w:rPr>
          <w:noProof/>
          <w:lang w:val="pl-PL"/>
        </w:rPr>
        <w:t xml:space="preserve"> w pro</w:t>
      </w:r>
      <w:r w:rsidRPr="00DC40BE">
        <w:rPr>
          <w:noProof/>
          <w:lang w:val="pl-PL"/>
        </w:rPr>
        <w:t>cesie stopniowego odchodzenia od wykorzystywania zwierząt</w:t>
      </w:r>
      <w:r w:rsidR="00DC40BE" w:rsidRPr="00DC40BE">
        <w:rPr>
          <w:noProof/>
          <w:lang w:val="pl-PL"/>
        </w:rPr>
        <w:t xml:space="preserve"> w tes</w:t>
      </w:r>
      <w:r w:rsidRPr="00DC40BE">
        <w:rPr>
          <w:noProof/>
          <w:lang w:val="pl-PL"/>
        </w:rPr>
        <w:t>tach</w:t>
      </w:r>
      <w:r w:rsidR="00DC40BE" w:rsidRPr="00DC40BE">
        <w:rPr>
          <w:noProof/>
          <w:lang w:val="pl-PL"/>
        </w:rPr>
        <w:t xml:space="preserve"> i w dąż</w:t>
      </w:r>
      <w:r w:rsidRPr="00DC40BE">
        <w:rPr>
          <w:noProof/>
          <w:lang w:val="pl-PL"/>
        </w:rPr>
        <w:t>eniu do zapewnienia ogólnej poprawy ich dobrostanu. Znalazło to szczególne odzwierciedlenie</w:t>
      </w:r>
      <w:r w:rsidR="00DC40BE" w:rsidRPr="00DC40BE">
        <w:rPr>
          <w:noProof/>
          <w:lang w:val="pl-PL"/>
        </w:rPr>
        <w:t xml:space="preserve"> w cał</w:t>
      </w:r>
      <w:r w:rsidRPr="00DC40BE">
        <w:rPr>
          <w:noProof/>
          <w:lang w:val="pl-PL"/>
        </w:rPr>
        <w:t>kowitym zakazie testowania produktów kosmetycznych na zwierzętach, który obowiązuje</w:t>
      </w:r>
      <w:r w:rsidR="00DC40BE" w:rsidRPr="00DC40BE">
        <w:rPr>
          <w:noProof/>
          <w:lang w:val="pl-PL"/>
        </w:rPr>
        <w:t xml:space="preserve"> w Uni</w:t>
      </w:r>
      <w:r w:rsidRPr="00DC40BE">
        <w:rPr>
          <w:noProof/>
          <w:lang w:val="pl-PL"/>
        </w:rPr>
        <w:t>i od</w:t>
      </w:r>
      <w:r w:rsidR="00DC40BE" w:rsidRPr="00DC40BE">
        <w:rPr>
          <w:noProof/>
          <w:lang w:val="pl-PL"/>
        </w:rPr>
        <w:t> </w:t>
      </w:r>
      <w:r w:rsidRPr="00DC40BE">
        <w:rPr>
          <w:noProof/>
          <w:lang w:val="pl-PL"/>
        </w:rPr>
        <w:t>2013</w:t>
      </w:r>
      <w:r w:rsidR="00DC40BE" w:rsidRPr="00DC40BE">
        <w:rPr>
          <w:noProof/>
          <w:lang w:val="pl-PL"/>
        </w:rPr>
        <w:t> </w:t>
      </w:r>
      <w:r w:rsidRPr="00DC40BE">
        <w:rPr>
          <w:noProof/>
          <w:lang w:val="pl-PL"/>
        </w:rPr>
        <w:t>r. Komisja ogłosiła, że uruchomi nowy plan działania obejmujący zbiór środków legislacyjnych</w:t>
      </w:r>
      <w:r w:rsidR="00DC40BE" w:rsidRPr="00DC40BE">
        <w:rPr>
          <w:noProof/>
          <w:lang w:val="pl-PL"/>
        </w:rPr>
        <w:t xml:space="preserve"> i nie</w:t>
      </w:r>
      <w:r w:rsidRPr="00DC40BE">
        <w:rPr>
          <w:noProof/>
          <w:lang w:val="pl-PL"/>
        </w:rPr>
        <w:t>legislacyjnych służących dalszemu ograniczeniu testów na zwierzętach</w:t>
      </w:r>
      <w:r w:rsidR="00DC40BE" w:rsidRPr="00DC40BE">
        <w:rPr>
          <w:noProof/>
          <w:lang w:val="pl-PL"/>
        </w:rPr>
        <w:t xml:space="preserve"> w cel</w:t>
      </w:r>
      <w:r w:rsidRPr="00DC40BE">
        <w:rPr>
          <w:noProof/>
          <w:lang w:val="pl-PL"/>
        </w:rPr>
        <w:t>u przejścia do systemu regulacyjnego, który wyklucza wykorzystywanie zwierząt,</w:t>
      </w:r>
      <w:r w:rsidR="00DC40BE" w:rsidRPr="00DC40BE">
        <w:rPr>
          <w:noProof/>
          <w:lang w:val="pl-PL"/>
        </w:rPr>
        <w:t xml:space="preserve"> w ram</w:t>
      </w:r>
      <w:r w:rsidRPr="00DC40BE">
        <w:rPr>
          <w:noProof/>
          <w:lang w:val="pl-PL"/>
        </w:rPr>
        <w:t>ach prawodawstwa dotyczącego chemikaliów (np.</w:t>
      </w:r>
      <w:r w:rsidR="00DC40BE" w:rsidRPr="00DC40BE">
        <w:rPr>
          <w:noProof/>
          <w:lang w:val="pl-PL"/>
        </w:rPr>
        <w:t xml:space="preserve"> w ram</w:t>
      </w:r>
      <w:r w:rsidRPr="00DC40BE">
        <w:rPr>
          <w:noProof/>
          <w:lang w:val="pl-PL"/>
        </w:rPr>
        <w:t>ach rozporządzeniu REACH, rozporządzenia</w:t>
      </w:r>
      <w:r w:rsidR="00DC40BE" w:rsidRPr="00DC40BE">
        <w:rPr>
          <w:noProof/>
          <w:lang w:val="pl-PL"/>
        </w:rPr>
        <w:t xml:space="preserve"> w spr</w:t>
      </w:r>
      <w:r w:rsidRPr="00DC40BE">
        <w:rPr>
          <w:noProof/>
          <w:lang w:val="pl-PL"/>
        </w:rPr>
        <w:t>awie produktów biobójczych, rozporządzenia</w:t>
      </w:r>
      <w:r w:rsidR="00DC40BE" w:rsidRPr="00DC40BE">
        <w:rPr>
          <w:noProof/>
          <w:lang w:val="pl-PL"/>
        </w:rPr>
        <w:t xml:space="preserve"> w spr</w:t>
      </w:r>
      <w:r w:rsidRPr="00DC40BE">
        <w:rPr>
          <w:noProof/>
          <w:lang w:val="pl-PL"/>
        </w:rPr>
        <w:t>awie środków ochrony roślin oraz przepisach dotyczących produktów leczniczych stosowanych</w:t>
      </w:r>
      <w:r w:rsidR="00DC40BE" w:rsidRPr="00DC40BE">
        <w:rPr>
          <w:noProof/>
          <w:lang w:val="pl-PL"/>
        </w:rPr>
        <w:t xml:space="preserve"> u lud</w:t>
      </w:r>
      <w:r w:rsidRPr="00DC40BE">
        <w:rPr>
          <w:noProof/>
          <w:lang w:val="pl-PL"/>
        </w:rPr>
        <w:t>zi</w:t>
      </w:r>
      <w:r w:rsidR="00DC40BE" w:rsidRPr="00DC40BE">
        <w:rPr>
          <w:noProof/>
          <w:lang w:val="pl-PL"/>
        </w:rPr>
        <w:t xml:space="preserve"> i zwi</w:t>
      </w:r>
      <w:r w:rsidRPr="00DC40BE">
        <w:rPr>
          <w:noProof/>
          <w:lang w:val="pl-PL"/>
        </w:rPr>
        <w:t>erząt),</w:t>
      </w:r>
      <w:r w:rsidR="00DC40BE" w:rsidRPr="00DC40BE">
        <w:rPr>
          <w:noProof/>
          <w:lang w:val="pl-PL"/>
        </w:rPr>
        <w:t xml:space="preserve"> a tak</w:t>
      </w:r>
      <w:r w:rsidRPr="00DC40BE">
        <w:rPr>
          <w:noProof/>
          <w:lang w:val="pl-PL"/>
        </w:rPr>
        <w:t>że będzie nadal zdecydowanie wspierać rozwiązania alternatywne względem badań na zwierzętach. Komisja oświadczyła, że będzie również nadal zdecydowanie wspierać badania nad opracowywaniem rozwiązań alternatywnych względem badań na zwierzętach</w:t>
      </w:r>
      <w:r w:rsidR="00DC40BE" w:rsidRPr="00DC40BE">
        <w:rPr>
          <w:noProof/>
          <w:lang w:val="pl-PL"/>
        </w:rPr>
        <w:t xml:space="preserve"> i pos</w:t>
      </w:r>
      <w:r w:rsidRPr="00DC40BE">
        <w:rPr>
          <w:noProof/>
          <w:lang w:val="pl-PL"/>
        </w:rPr>
        <w:t>zuka możliwości skoordynowania działań państw członkowskich</w:t>
      </w:r>
      <w:r w:rsidR="00DC40BE" w:rsidRPr="00DC40BE">
        <w:rPr>
          <w:noProof/>
          <w:lang w:val="pl-PL"/>
        </w:rPr>
        <w:t xml:space="preserve"> w tej</w:t>
      </w:r>
      <w:r w:rsidRPr="00DC40BE">
        <w:rPr>
          <w:noProof/>
          <w:lang w:val="pl-PL"/>
        </w:rPr>
        <w:t xml:space="preserve"> dziedzinie.</w:t>
      </w:r>
    </w:p>
    <w:p w14:paraId="060D9A7F" w14:textId="3D4F3011" w:rsidR="005A4888" w:rsidRPr="00DC40BE" w:rsidRDefault="00106880" w:rsidP="00E8781C">
      <w:pPr>
        <w:pStyle w:val="Akapitzlist"/>
        <w:numPr>
          <w:ilvl w:val="0"/>
          <w:numId w:val="32"/>
        </w:numPr>
        <w:autoSpaceDE w:val="0"/>
        <w:autoSpaceDN w:val="0"/>
        <w:spacing w:before="100" w:beforeAutospacing="1" w:after="100" w:afterAutospacing="1"/>
        <w:jc w:val="both"/>
        <w:rPr>
          <w:rFonts w:ascii="Times New Roman" w:hAnsi="Times New Roman" w:cs="Times New Roman"/>
          <w:b/>
          <w:noProof/>
          <w:sz w:val="24"/>
          <w:lang w:val="pl-PL"/>
        </w:rPr>
      </w:pPr>
      <w:hyperlink r:id="rId45" w:history="1">
        <w:r w:rsidR="007E40DA" w:rsidRPr="00DC40BE">
          <w:rPr>
            <w:rStyle w:val="Hipercze"/>
            <w:rFonts w:ascii="Times New Roman" w:hAnsi="Times New Roman"/>
            <w:b/>
            <w:noProof/>
            <w:sz w:val="24"/>
            <w:lang w:val="pl-PL"/>
          </w:rPr>
          <w:t>„Europa wolna od futer”</w:t>
        </w:r>
      </w:hyperlink>
      <w:r w:rsidR="007E40DA" w:rsidRPr="00DC40BE">
        <w:rPr>
          <w:rFonts w:ascii="Times New Roman" w:hAnsi="Times New Roman"/>
          <w:b/>
          <w:noProof/>
          <w:sz w:val="24"/>
          <w:lang w:val="pl-PL"/>
        </w:rPr>
        <w:t>(</w:t>
      </w:r>
      <w:r w:rsidR="007E40DA" w:rsidRPr="00DC40BE">
        <w:rPr>
          <w:rStyle w:val="Odwoanieprzypisudolnego"/>
          <w:rFonts w:ascii="Times New Roman" w:hAnsi="Times New Roman" w:cs="Times New Roman"/>
          <w:b/>
          <w:noProof/>
          <w:sz w:val="24"/>
          <w:lang w:val="pl-PL"/>
        </w:rPr>
        <w:footnoteReference w:id="74"/>
      </w:r>
      <w:r w:rsidR="007E40DA" w:rsidRPr="00DC40BE">
        <w:rPr>
          <w:rFonts w:ascii="Times New Roman" w:hAnsi="Times New Roman"/>
          <w:b/>
          <w:noProof/>
          <w:sz w:val="24"/>
          <w:lang w:val="pl-PL"/>
        </w:rPr>
        <w:t>) </w:t>
      </w:r>
    </w:p>
    <w:p w14:paraId="3AE51B41" w14:textId="1DB6BBB8" w:rsidR="004F07A7" w:rsidRPr="00DC40BE" w:rsidRDefault="005A4888" w:rsidP="00E8781C">
      <w:pPr>
        <w:autoSpaceDE w:val="0"/>
        <w:autoSpaceDN w:val="0"/>
        <w:spacing w:before="100" w:beforeAutospacing="1" w:after="100" w:afterAutospacing="1" w:line="276" w:lineRule="auto"/>
        <w:rPr>
          <w:noProof/>
          <w:lang w:val="pl-PL"/>
        </w:rPr>
      </w:pPr>
      <w:r w:rsidRPr="00DC40BE">
        <w:rPr>
          <w:noProof/>
          <w:lang w:val="pl-PL"/>
        </w:rPr>
        <w:t>W ramach tej EIO wezwano Komisję do przedstawienia wniosku</w:t>
      </w:r>
      <w:r w:rsidR="00DC40BE" w:rsidRPr="00DC40BE">
        <w:rPr>
          <w:noProof/>
          <w:lang w:val="pl-PL"/>
        </w:rPr>
        <w:t xml:space="preserve"> w spr</w:t>
      </w:r>
      <w:r w:rsidRPr="00DC40BE">
        <w:rPr>
          <w:noProof/>
          <w:lang w:val="pl-PL"/>
        </w:rPr>
        <w:t>awie wprowadzenia ogólnounijnego zakazu przetrzymywania</w:t>
      </w:r>
      <w:r w:rsidR="00DC40BE" w:rsidRPr="00DC40BE">
        <w:rPr>
          <w:noProof/>
          <w:lang w:val="pl-PL"/>
        </w:rPr>
        <w:t xml:space="preserve"> i zab</w:t>
      </w:r>
      <w:r w:rsidRPr="00DC40BE">
        <w:rPr>
          <w:noProof/>
          <w:lang w:val="pl-PL"/>
        </w:rPr>
        <w:t>ijania zwierząt</w:t>
      </w:r>
      <w:r w:rsidR="00DC40BE" w:rsidRPr="00DC40BE">
        <w:rPr>
          <w:noProof/>
          <w:lang w:val="pl-PL"/>
        </w:rPr>
        <w:t xml:space="preserve"> w cel</w:t>
      </w:r>
      <w:r w:rsidRPr="00DC40BE">
        <w:rPr>
          <w:noProof/>
          <w:lang w:val="pl-PL"/>
        </w:rPr>
        <w:t>u produkcji futer,</w:t>
      </w:r>
      <w:r w:rsidR="00DC40BE" w:rsidRPr="00DC40BE">
        <w:rPr>
          <w:noProof/>
          <w:lang w:val="pl-PL"/>
        </w:rPr>
        <w:t xml:space="preserve"> a tak</w:t>
      </w:r>
      <w:r w:rsidRPr="00DC40BE">
        <w:rPr>
          <w:noProof/>
          <w:lang w:val="pl-PL"/>
        </w:rPr>
        <w:t>że zakazu wprowadzania na rynek UE futer ze zwierząt utrzymywanych</w:t>
      </w:r>
      <w:r w:rsidR="00DC40BE" w:rsidRPr="00DC40BE">
        <w:rPr>
          <w:noProof/>
          <w:lang w:val="pl-PL"/>
        </w:rPr>
        <w:t xml:space="preserve"> w war</w:t>
      </w:r>
      <w:r w:rsidRPr="00DC40BE">
        <w:rPr>
          <w:noProof/>
          <w:lang w:val="pl-PL"/>
        </w:rPr>
        <w:t>unkach fermowych</w:t>
      </w:r>
      <w:r w:rsidR="00DC40BE" w:rsidRPr="00DC40BE">
        <w:rPr>
          <w:noProof/>
          <w:lang w:val="pl-PL"/>
        </w:rPr>
        <w:t xml:space="preserve"> i pro</w:t>
      </w:r>
      <w:r w:rsidRPr="00DC40BE">
        <w:rPr>
          <w:noProof/>
          <w:lang w:val="pl-PL"/>
        </w:rPr>
        <w:t>duktów zawierających takie futro. Organizatorzy przedłożyli Komisji EIO 14 czerwca 2023</w:t>
      </w:r>
      <w:r w:rsidR="00DC40BE" w:rsidRPr="00DC40BE">
        <w:rPr>
          <w:noProof/>
          <w:lang w:val="pl-PL"/>
        </w:rPr>
        <w:t> </w:t>
      </w:r>
      <w:r w:rsidRPr="00DC40BE">
        <w:rPr>
          <w:noProof/>
          <w:lang w:val="pl-PL"/>
        </w:rPr>
        <w:t>r., po zebraniu 1 502 319 ważnych deklaracji poparcia</w:t>
      </w:r>
      <w:r w:rsidR="00DC40BE" w:rsidRPr="00DC40BE">
        <w:rPr>
          <w:noProof/>
          <w:lang w:val="pl-PL"/>
        </w:rPr>
        <w:t xml:space="preserve"> i osi</w:t>
      </w:r>
      <w:r w:rsidRPr="00DC40BE">
        <w:rPr>
          <w:noProof/>
          <w:lang w:val="pl-PL"/>
        </w:rPr>
        <w:t>ągnięciu wymaganych progów</w:t>
      </w:r>
      <w:r w:rsidR="00DC40BE" w:rsidRPr="00DC40BE">
        <w:rPr>
          <w:noProof/>
          <w:lang w:val="pl-PL"/>
        </w:rPr>
        <w:t xml:space="preserve"> w 1</w:t>
      </w:r>
      <w:r w:rsidRPr="00DC40BE">
        <w:rPr>
          <w:noProof/>
          <w:lang w:val="pl-PL"/>
        </w:rPr>
        <w:t>8 państwach członkowskich. 20 lipca 2023</w:t>
      </w:r>
      <w:r w:rsidR="00DC40BE" w:rsidRPr="00DC40BE">
        <w:rPr>
          <w:noProof/>
          <w:lang w:val="pl-PL"/>
        </w:rPr>
        <w:t> </w:t>
      </w:r>
      <w:r w:rsidRPr="00DC40BE">
        <w:rPr>
          <w:noProof/>
          <w:lang w:val="pl-PL"/>
        </w:rPr>
        <w:t>r. organizatorzy EIO spotkali się</w:t>
      </w:r>
      <w:r w:rsidR="00DC40BE" w:rsidRPr="00DC40BE">
        <w:rPr>
          <w:noProof/>
          <w:lang w:val="pl-PL"/>
        </w:rPr>
        <w:t xml:space="preserve"> z wic</w:t>
      </w:r>
      <w:r w:rsidRPr="00DC40BE">
        <w:rPr>
          <w:noProof/>
          <w:lang w:val="pl-PL"/>
        </w:rPr>
        <w:t>eprzewodniczącą Komisji Europejskiej do spraw wartości</w:t>
      </w:r>
      <w:r w:rsidR="00DC40BE" w:rsidRPr="00DC40BE">
        <w:rPr>
          <w:noProof/>
          <w:lang w:val="pl-PL"/>
        </w:rPr>
        <w:t xml:space="preserve"> i prz</w:t>
      </w:r>
      <w:r w:rsidRPr="00DC40BE">
        <w:rPr>
          <w:noProof/>
          <w:lang w:val="pl-PL"/>
        </w:rPr>
        <w:t>ejrzystości Věrą Jourovą oraz komisarz do spraw zdrowia</w:t>
      </w:r>
      <w:r w:rsidR="00DC40BE" w:rsidRPr="00DC40BE">
        <w:rPr>
          <w:noProof/>
          <w:lang w:val="pl-PL"/>
        </w:rPr>
        <w:t xml:space="preserve"> i bez</w:t>
      </w:r>
      <w:r w:rsidRPr="00DC40BE">
        <w:rPr>
          <w:noProof/>
          <w:lang w:val="pl-PL"/>
        </w:rPr>
        <w:t>pieczeństwa żywności Stellą Kyriakides, aby zaprezentować cele swojej EIO. 12 października 2023</w:t>
      </w:r>
      <w:r w:rsidR="00DC40BE" w:rsidRPr="00DC40BE">
        <w:rPr>
          <w:noProof/>
          <w:lang w:val="pl-PL"/>
        </w:rPr>
        <w:t> </w:t>
      </w:r>
      <w:r w:rsidRPr="00DC40BE">
        <w:rPr>
          <w:noProof/>
          <w:lang w:val="pl-PL"/>
        </w:rPr>
        <w:t xml:space="preserve">r. Parlament Europejski zorganizował </w:t>
      </w:r>
      <w:r w:rsidRPr="00DC40BE">
        <w:rPr>
          <w:noProof/>
          <w:lang w:val="pl-PL"/>
        </w:rPr>
        <w:lastRenderedPageBreak/>
        <w:t>wysłuchanie publiczne na temat tej inicjatywy,</w:t>
      </w:r>
      <w:r w:rsidR="00DC40BE" w:rsidRPr="00DC40BE">
        <w:rPr>
          <w:noProof/>
          <w:lang w:val="pl-PL"/>
        </w:rPr>
        <w:t xml:space="preserve"> a 1</w:t>
      </w:r>
      <w:r w:rsidRPr="00DC40BE">
        <w:rPr>
          <w:noProof/>
          <w:lang w:val="pl-PL"/>
        </w:rPr>
        <w:t>9 października 2023</w:t>
      </w:r>
      <w:r w:rsidR="00DC40BE" w:rsidRPr="00DC40BE">
        <w:rPr>
          <w:noProof/>
          <w:lang w:val="pl-PL"/>
        </w:rPr>
        <w:t> </w:t>
      </w:r>
      <w:r w:rsidRPr="00DC40BE">
        <w:rPr>
          <w:noProof/>
          <w:lang w:val="pl-PL"/>
        </w:rPr>
        <w:t>r. odbyła się debata plenarna, ale nie przyjęto żadnej rezolucji</w:t>
      </w:r>
      <w:bookmarkStart w:id="33" w:name="_Hlk150421879"/>
      <w:r w:rsidRPr="00DC40BE">
        <w:rPr>
          <w:noProof/>
          <w:lang w:val="pl-PL"/>
        </w:rPr>
        <w:t xml:space="preserve">. </w:t>
      </w:r>
      <w:bookmarkEnd w:id="33"/>
    </w:p>
    <w:p w14:paraId="50CC78AD" w14:textId="109DAF15" w:rsidR="00A36857" w:rsidRPr="00DC40BE" w:rsidRDefault="00A36857" w:rsidP="00E8781C">
      <w:pPr>
        <w:autoSpaceDE w:val="0"/>
        <w:autoSpaceDN w:val="0"/>
        <w:spacing w:before="100" w:beforeAutospacing="1" w:after="100" w:afterAutospacing="1" w:line="276" w:lineRule="auto"/>
        <w:rPr>
          <w:noProof/>
          <w:lang w:val="pl-PL"/>
        </w:rPr>
      </w:pPr>
      <w:r w:rsidRPr="00DC40BE">
        <w:rPr>
          <w:noProof/>
          <w:lang w:val="pl-PL"/>
        </w:rPr>
        <w:t>Komisja przedstawi swoją odpowiedź do</w:t>
      </w:r>
      <w:r w:rsidR="00DC40BE" w:rsidRPr="00DC40BE">
        <w:rPr>
          <w:noProof/>
          <w:lang w:val="pl-PL"/>
        </w:rPr>
        <w:t> </w:t>
      </w:r>
      <w:r w:rsidRPr="00DC40BE">
        <w:rPr>
          <w:noProof/>
          <w:lang w:val="pl-PL"/>
        </w:rPr>
        <w:t>14 grudnia 2023</w:t>
      </w:r>
      <w:r w:rsidR="00DC40BE" w:rsidRPr="00DC40BE">
        <w:rPr>
          <w:noProof/>
          <w:lang w:val="pl-PL"/>
        </w:rPr>
        <w:t> </w:t>
      </w:r>
      <w:r w:rsidRPr="00DC40BE">
        <w:rPr>
          <w:noProof/>
          <w:lang w:val="pl-PL"/>
        </w:rPr>
        <w:t>r.</w:t>
      </w:r>
    </w:p>
    <w:p w14:paraId="038F42A1" w14:textId="29FBBC48" w:rsidR="008841D1" w:rsidRPr="00DC40BE" w:rsidRDefault="008841D1" w:rsidP="00E8781C">
      <w:pPr>
        <w:pStyle w:val="Akapitzlist"/>
        <w:autoSpaceDE w:val="0"/>
        <w:autoSpaceDN w:val="0"/>
        <w:spacing w:before="100" w:beforeAutospacing="1" w:after="100" w:afterAutospacing="1"/>
        <w:ind w:left="0"/>
        <w:jc w:val="both"/>
        <w:rPr>
          <w:rFonts w:ascii="Times New Roman" w:hAnsi="Times New Roman" w:cs="Times New Roman"/>
          <w:noProof/>
          <w:sz w:val="24"/>
          <w:lang w:val="pl-PL"/>
        </w:rPr>
      </w:pPr>
    </w:p>
    <w:p w14:paraId="2BD76A6B" w14:textId="22E94BD8" w:rsidR="008841D1" w:rsidRPr="00DC40BE" w:rsidRDefault="008841D1" w:rsidP="00E8781C">
      <w:pPr>
        <w:pStyle w:val="Akapitzlist"/>
        <w:autoSpaceDE w:val="0"/>
        <w:autoSpaceDN w:val="0"/>
        <w:spacing w:before="100" w:beforeAutospacing="1" w:after="100" w:afterAutospacing="1"/>
        <w:ind w:left="0"/>
        <w:jc w:val="both"/>
        <w:rPr>
          <w:rFonts w:ascii="Times New Roman" w:hAnsi="Times New Roman" w:cs="Times New Roman"/>
          <w:b/>
          <w:noProof/>
          <w:sz w:val="24"/>
          <w:lang w:val="pl-PL"/>
        </w:rPr>
      </w:pPr>
      <w:r w:rsidRPr="00DC40BE">
        <w:rPr>
          <w:rFonts w:ascii="Times New Roman" w:hAnsi="Times New Roman"/>
          <w:b/>
          <w:noProof/>
          <w:sz w:val="24"/>
          <w:lang w:val="pl-PL"/>
        </w:rPr>
        <w:t>Informacje zwrotne od organizatorów EIO biorących udział</w:t>
      </w:r>
      <w:r w:rsidR="00DC40BE" w:rsidRPr="00DC40BE">
        <w:rPr>
          <w:rFonts w:ascii="Times New Roman" w:hAnsi="Times New Roman"/>
          <w:b/>
          <w:noProof/>
          <w:sz w:val="24"/>
          <w:lang w:val="pl-PL"/>
        </w:rPr>
        <w:t xml:space="preserve"> w ank</w:t>
      </w:r>
      <w:r w:rsidRPr="00DC40BE">
        <w:rPr>
          <w:rFonts w:ascii="Times New Roman" w:hAnsi="Times New Roman"/>
          <w:b/>
          <w:noProof/>
          <w:sz w:val="24"/>
          <w:lang w:val="pl-PL"/>
        </w:rPr>
        <w:t>iecie</w:t>
      </w:r>
    </w:p>
    <w:p w14:paraId="5D3EB273" w14:textId="47CFA1B8" w:rsidR="004D44BF" w:rsidRPr="00DC40BE" w:rsidRDefault="005A4888" w:rsidP="00E8781C">
      <w:pPr>
        <w:keepNext/>
        <w:spacing w:before="100" w:beforeAutospacing="1" w:after="100" w:afterAutospacing="1" w:line="276" w:lineRule="auto"/>
        <w:rPr>
          <w:noProof/>
          <w:lang w:val="pl-PL"/>
        </w:rPr>
      </w:pPr>
      <w:r w:rsidRPr="00DC40BE">
        <w:rPr>
          <w:noProof/>
          <w:lang w:val="pl-PL"/>
        </w:rPr>
        <w:t>Organizatorzy EIO zakończonych powodzeniem, którzy wzięli udział</w:t>
      </w:r>
      <w:r w:rsidR="00DC40BE" w:rsidRPr="00DC40BE">
        <w:rPr>
          <w:noProof/>
          <w:lang w:val="pl-PL"/>
        </w:rPr>
        <w:t xml:space="preserve"> w ank</w:t>
      </w:r>
      <w:r w:rsidRPr="00DC40BE">
        <w:rPr>
          <w:noProof/>
          <w:lang w:val="pl-PL"/>
        </w:rPr>
        <w:t>iecie, wyrażali</w:t>
      </w:r>
      <w:r w:rsidR="00DC40BE" w:rsidRPr="00DC40BE">
        <w:rPr>
          <w:noProof/>
          <w:lang w:val="pl-PL"/>
        </w:rPr>
        <w:t xml:space="preserve"> w wię</w:t>
      </w:r>
      <w:r w:rsidRPr="00DC40BE">
        <w:rPr>
          <w:noProof/>
          <w:lang w:val="pl-PL"/>
        </w:rPr>
        <w:t>kszości pozytywne lub neutralne opinie na temat jasności procedury na etapie badania</w:t>
      </w:r>
      <w:r w:rsidR="00DC40BE" w:rsidRPr="00DC40BE">
        <w:rPr>
          <w:noProof/>
          <w:lang w:val="pl-PL"/>
        </w:rPr>
        <w:t xml:space="preserve"> i ogó</w:t>
      </w:r>
      <w:r w:rsidRPr="00DC40BE">
        <w:rPr>
          <w:noProof/>
          <w:lang w:val="pl-PL"/>
        </w:rPr>
        <w:t>lnie byli zadowoleni</w:t>
      </w:r>
      <w:r w:rsidR="00DC40BE" w:rsidRPr="00DC40BE">
        <w:rPr>
          <w:noProof/>
          <w:lang w:val="pl-PL"/>
        </w:rPr>
        <w:t xml:space="preserve"> z moż</w:t>
      </w:r>
      <w:r w:rsidRPr="00DC40BE">
        <w:rPr>
          <w:noProof/>
          <w:lang w:val="pl-PL"/>
        </w:rPr>
        <w:t>liwości przedstawienia swojej EIO podczas spotkania</w:t>
      </w:r>
      <w:r w:rsidR="00DC40BE" w:rsidRPr="00DC40BE">
        <w:rPr>
          <w:noProof/>
          <w:lang w:val="pl-PL"/>
        </w:rPr>
        <w:t xml:space="preserve"> z Kom</w:t>
      </w:r>
      <w:r w:rsidRPr="00DC40BE">
        <w:rPr>
          <w:noProof/>
          <w:lang w:val="pl-PL"/>
        </w:rPr>
        <w:t>isją</w:t>
      </w:r>
      <w:r w:rsidR="00DC40BE" w:rsidRPr="00DC40BE">
        <w:rPr>
          <w:noProof/>
          <w:lang w:val="pl-PL"/>
        </w:rPr>
        <w:t xml:space="preserve"> i wys</w:t>
      </w:r>
      <w:r w:rsidRPr="00DC40BE">
        <w:rPr>
          <w:noProof/>
          <w:lang w:val="pl-PL"/>
        </w:rPr>
        <w:t>łuchania publicznego</w:t>
      </w:r>
      <w:r w:rsidR="00DC40BE" w:rsidRPr="00DC40BE">
        <w:rPr>
          <w:noProof/>
          <w:lang w:val="pl-PL"/>
        </w:rPr>
        <w:t xml:space="preserve"> w Par</w:t>
      </w:r>
      <w:r w:rsidRPr="00DC40BE">
        <w:rPr>
          <w:noProof/>
          <w:lang w:val="pl-PL"/>
        </w:rPr>
        <w:t>lamencie Europejskim. Stwierdzili również, że Komisja określiła</w:t>
      </w:r>
      <w:r w:rsidR="00DC40BE" w:rsidRPr="00DC40BE">
        <w:rPr>
          <w:noProof/>
          <w:lang w:val="pl-PL"/>
        </w:rPr>
        <w:t xml:space="preserve"> w jas</w:t>
      </w:r>
      <w:r w:rsidRPr="00DC40BE">
        <w:rPr>
          <w:noProof/>
          <w:lang w:val="pl-PL"/>
        </w:rPr>
        <w:t>ny, zrozumiały</w:t>
      </w:r>
      <w:r w:rsidR="00DC40BE" w:rsidRPr="00DC40BE">
        <w:rPr>
          <w:noProof/>
          <w:lang w:val="pl-PL"/>
        </w:rPr>
        <w:t xml:space="preserve"> i szc</w:t>
      </w:r>
      <w:r w:rsidRPr="00DC40BE">
        <w:rPr>
          <w:noProof/>
          <w:lang w:val="pl-PL"/>
        </w:rPr>
        <w:t>zegółowy sposób powody, dla których zamierza podjąć działania</w:t>
      </w:r>
      <w:r w:rsidR="00DC40BE" w:rsidRPr="00DC40BE">
        <w:rPr>
          <w:noProof/>
          <w:lang w:val="pl-PL"/>
        </w:rPr>
        <w:t xml:space="preserve"> w odp</w:t>
      </w:r>
      <w:r w:rsidRPr="00DC40BE">
        <w:rPr>
          <w:noProof/>
          <w:lang w:val="pl-PL"/>
        </w:rPr>
        <w:t>owiedzi na EIO zakończoną powodzeniem.</w:t>
      </w:r>
    </w:p>
    <w:p w14:paraId="6882D2C7" w14:textId="63F6B723" w:rsidR="005A4888" w:rsidRPr="00DC40BE" w:rsidRDefault="005455F8" w:rsidP="00E8781C">
      <w:pPr>
        <w:pStyle w:val="Nagwek2"/>
        <w:spacing w:before="100" w:beforeAutospacing="1" w:after="100" w:afterAutospacing="1" w:line="276" w:lineRule="auto"/>
        <w:rPr>
          <w:noProof/>
          <w:lang w:val="pl-PL"/>
        </w:rPr>
      </w:pPr>
      <w:bookmarkStart w:id="34" w:name="_Toc2086404228"/>
      <w:bookmarkStart w:id="35" w:name="_Toc146296682"/>
      <w:r w:rsidRPr="00DC40BE">
        <w:rPr>
          <w:noProof/>
          <w:lang w:val="pl-PL"/>
        </w:rPr>
        <w:t>3.7. Przejrzystość – finansowanie</w:t>
      </w:r>
      <w:bookmarkEnd w:id="34"/>
      <w:bookmarkEnd w:id="35"/>
    </w:p>
    <w:p w14:paraId="22E0B0BF" w14:textId="56C60C85" w:rsidR="005A4888" w:rsidRPr="00DC40BE" w:rsidRDefault="005A4888" w:rsidP="00E8781C">
      <w:pPr>
        <w:spacing w:before="100" w:beforeAutospacing="1" w:after="100" w:afterAutospacing="1" w:line="276" w:lineRule="auto"/>
        <w:rPr>
          <w:noProof/>
          <w:lang w:val="pl-PL"/>
        </w:rPr>
      </w:pPr>
      <w:r w:rsidRPr="00DC40BE">
        <w:rPr>
          <w:noProof/>
          <w:lang w:val="pl-PL"/>
        </w:rPr>
        <w:t>W art.</w:t>
      </w:r>
      <w:r w:rsidR="00DC40BE" w:rsidRPr="00DC40BE">
        <w:rPr>
          <w:noProof/>
          <w:lang w:val="pl-PL"/>
        </w:rPr>
        <w:t> </w:t>
      </w:r>
      <w:r w:rsidRPr="00DC40BE">
        <w:rPr>
          <w:noProof/>
          <w:lang w:val="pl-PL"/>
        </w:rPr>
        <w:t>17 rozporządzenia</w:t>
      </w:r>
      <w:r w:rsidR="00DC40BE" w:rsidRPr="00DC40BE">
        <w:rPr>
          <w:noProof/>
          <w:lang w:val="pl-PL"/>
        </w:rPr>
        <w:t xml:space="preserve"> w spr</w:t>
      </w:r>
      <w:r w:rsidRPr="00DC40BE">
        <w:rPr>
          <w:noProof/>
          <w:lang w:val="pl-PL"/>
        </w:rPr>
        <w:t>awie EIO wymaga się, aby organizatorzy EIO przedstawiali kompleksowe informacje na temat źródeł finansowania</w:t>
      </w:r>
      <w:r w:rsidR="00DC40BE" w:rsidRPr="00DC40BE">
        <w:rPr>
          <w:noProof/>
          <w:lang w:val="pl-PL"/>
        </w:rPr>
        <w:t xml:space="preserve"> i wsp</w:t>
      </w:r>
      <w:r w:rsidRPr="00DC40BE">
        <w:rPr>
          <w:noProof/>
          <w:lang w:val="pl-PL"/>
        </w:rPr>
        <w:t>arcia rzeczowego inicjatywy</w:t>
      </w:r>
      <w:r w:rsidR="00DC40BE" w:rsidRPr="00DC40BE">
        <w:rPr>
          <w:noProof/>
          <w:lang w:val="pl-PL"/>
        </w:rPr>
        <w:t xml:space="preserve"> o war</w:t>
      </w:r>
      <w:r w:rsidRPr="00DC40BE">
        <w:rPr>
          <w:noProof/>
          <w:lang w:val="pl-PL"/>
        </w:rPr>
        <w:t>tości przekraczającej 500 EUR na darczyńcę</w:t>
      </w:r>
      <w:r w:rsidR="00DC40BE" w:rsidRPr="00DC40BE">
        <w:rPr>
          <w:noProof/>
          <w:lang w:val="pl-PL"/>
        </w:rPr>
        <w:t>. Z prz</w:t>
      </w:r>
      <w:r w:rsidRPr="00DC40BE">
        <w:rPr>
          <w:noProof/>
          <w:lang w:val="pl-PL"/>
        </w:rPr>
        <w:t>edstawionych informacji wynika, że wzrósł poziom funduszy zebranych na wsparcie EIO, przy czym</w:t>
      </w:r>
      <w:r w:rsidR="00DC40BE" w:rsidRPr="00DC40BE">
        <w:rPr>
          <w:noProof/>
          <w:lang w:val="pl-PL"/>
        </w:rPr>
        <w:t xml:space="preserve"> w ram</w:t>
      </w:r>
      <w:r w:rsidRPr="00DC40BE">
        <w:rPr>
          <w:noProof/>
          <w:lang w:val="pl-PL"/>
        </w:rPr>
        <w:t xml:space="preserve">ach </w:t>
      </w:r>
      <w:r w:rsidRPr="00DC40BE">
        <w:rPr>
          <w:b/>
          <w:noProof/>
          <w:lang w:val="pl-PL"/>
        </w:rPr>
        <w:t xml:space="preserve">dwóch </w:t>
      </w:r>
      <w:r w:rsidRPr="00DC40BE">
        <w:rPr>
          <w:noProof/>
          <w:lang w:val="pl-PL"/>
        </w:rPr>
        <w:t>EIO(</w:t>
      </w:r>
      <w:r w:rsidRPr="00DC40BE">
        <w:rPr>
          <w:rStyle w:val="Odwoanieprzypisudolnego"/>
          <w:noProof/>
          <w:lang w:val="pl-PL"/>
        </w:rPr>
        <w:footnoteReference w:id="75"/>
      </w:r>
      <w:r w:rsidRPr="00DC40BE">
        <w:rPr>
          <w:noProof/>
          <w:lang w:val="pl-PL"/>
        </w:rPr>
        <w:t xml:space="preserve">) zebrano </w:t>
      </w:r>
      <w:r w:rsidRPr="00DC40BE">
        <w:rPr>
          <w:b/>
          <w:noProof/>
          <w:lang w:val="pl-PL"/>
        </w:rPr>
        <w:t xml:space="preserve">ponad 1 mln EUR </w:t>
      </w:r>
      <w:r w:rsidRPr="00DC40BE">
        <w:rPr>
          <w:noProof/>
          <w:lang w:val="pl-PL"/>
        </w:rPr>
        <w:t>(osiągnięto próg 1 mln podpisów),</w:t>
      </w:r>
      <w:r w:rsidR="00DC40BE" w:rsidRPr="00DC40BE">
        <w:rPr>
          <w:noProof/>
          <w:lang w:val="pl-PL"/>
        </w:rPr>
        <w:t xml:space="preserve"> a ram</w:t>
      </w:r>
      <w:r w:rsidRPr="00DC40BE">
        <w:rPr>
          <w:noProof/>
          <w:lang w:val="pl-PL"/>
        </w:rPr>
        <w:t>ach kolejnych ośmiu EIO(</w:t>
      </w:r>
      <w:r w:rsidRPr="00DC40BE">
        <w:rPr>
          <w:rStyle w:val="Odwoanieprzypisudolnego"/>
          <w:noProof/>
          <w:lang w:val="pl-PL"/>
        </w:rPr>
        <w:footnoteReference w:id="76"/>
      </w:r>
      <w:r w:rsidRPr="00DC40BE">
        <w:rPr>
          <w:noProof/>
          <w:lang w:val="pl-PL"/>
        </w:rPr>
        <w:t>) zgłoszono finansowanie</w:t>
      </w:r>
      <w:r w:rsidR="00DC40BE" w:rsidRPr="00DC40BE">
        <w:rPr>
          <w:noProof/>
          <w:lang w:val="pl-PL"/>
        </w:rPr>
        <w:t xml:space="preserve"> w wys</w:t>
      </w:r>
      <w:r w:rsidRPr="00DC40BE">
        <w:rPr>
          <w:noProof/>
          <w:lang w:val="pl-PL"/>
        </w:rPr>
        <w:t>okości ponad 100 000 EUR (cztery</w:t>
      </w:r>
      <w:r w:rsidR="00DC40BE" w:rsidRPr="00DC40BE">
        <w:rPr>
          <w:noProof/>
          <w:lang w:val="pl-PL"/>
        </w:rPr>
        <w:t xml:space="preserve"> z tyc</w:t>
      </w:r>
      <w:r w:rsidRPr="00DC40BE">
        <w:rPr>
          <w:noProof/>
          <w:lang w:val="pl-PL"/>
        </w:rPr>
        <w:t xml:space="preserve">h EIO osiągnęły próg 1 mln podpisów). </w:t>
      </w:r>
    </w:p>
    <w:p w14:paraId="20E95C0A" w14:textId="5831A41E" w:rsidR="005A4888" w:rsidRPr="00DC40BE" w:rsidRDefault="005A4888" w:rsidP="00E8781C">
      <w:pPr>
        <w:keepNext/>
        <w:spacing w:before="100" w:beforeAutospacing="1" w:after="100" w:afterAutospacing="1" w:line="276" w:lineRule="auto"/>
        <w:rPr>
          <w:b/>
          <w:noProof/>
          <w:lang w:val="pl-PL"/>
        </w:rPr>
      </w:pPr>
      <w:r w:rsidRPr="00DC40BE">
        <w:rPr>
          <w:b/>
          <w:noProof/>
          <w:lang w:val="pl-PL"/>
        </w:rPr>
        <w:t>Wykres 2: podział EIO według finansowania</w:t>
      </w:r>
    </w:p>
    <w:p w14:paraId="53A530A8" w14:textId="5D174105" w:rsidR="005A4888" w:rsidRPr="00DC40BE" w:rsidRDefault="006476D4" w:rsidP="00E8781C">
      <w:pPr>
        <w:spacing w:before="100" w:beforeAutospacing="1" w:after="100" w:afterAutospacing="1" w:line="276" w:lineRule="auto"/>
        <w:rPr>
          <w:noProof/>
          <w:lang w:val="pl-PL"/>
        </w:rPr>
      </w:pPr>
      <w:r w:rsidRPr="00DC40BE">
        <w:rPr>
          <w:noProof/>
          <w:lang w:val="pl-PL" w:eastAsia="pl-PL"/>
        </w:rPr>
        <w:drawing>
          <wp:inline distT="0" distB="0" distL="0" distR="0" wp14:anchorId="2808E0DB" wp14:editId="44195B31">
            <wp:extent cx="5760720" cy="2677160"/>
            <wp:effectExtent l="0" t="0" r="0" b="8890"/>
            <wp:docPr id="1" name="Chart 1">
              <a:extLst xmlns:a="http://schemas.openxmlformats.org/drawingml/2006/main">
                <a:ext uri="{FF2B5EF4-FFF2-40B4-BE49-F238E27FC236}">
                  <a16:creationId xmlns:a16="http://schemas.microsoft.com/office/drawing/2014/main" id="{2FD3962B-D9FC-4B45-89A3-AAB5A26E98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0348760D" w14:textId="7B9A9D1A" w:rsidR="005A4888" w:rsidRPr="00DC40BE" w:rsidRDefault="005455F8" w:rsidP="00E8781C">
      <w:pPr>
        <w:pStyle w:val="Nagwek2"/>
        <w:spacing w:before="100" w:beforeAutospacing="1" w:after="100" w:afterAutospacing="1" w:line="276" w:lineRule="auto"/>
        <w:rPr>
          <w:noProof/>
          <w:lang w:val="pl-PL"/>
        </w:rPr>
      </w:pPr>
      <w:bookmarkStart w:id="36" w:name="_Toc878107234"/>
      <w:bookmarkStart w:id="37" w:name="_Toc146296683"/>
      <w:r w:rsidRPr="00DC40BE">
        <w:rPr>
          <w:noProof/>
          <w:lang w:val="pl-PL"/>
        </w:rPr>
        <w:lastRenderedPageBreak/>
        <w:t>3.8. Ochrona danych osobowych</w:t>
      </w:r>
      <w:bookmarkEnd w:id="36"/>
      <w:bookmarkEnd w:id="37"/>
    </w:p>
    <w:p w14:paraId="2144182C" w14:textId="52390599" w:rsidR="00E07F79" w:rsidRPr="00DC40BE" w:rsidRDefault="005A4888" w:rsidP="00E8781C">
      <w:pPr>
        <w:pStyle w:val="5Normal"/>
        <w:spacing w:before="100" w:beforeAutospacing="1" w:after="100" w:afterAutospacing="1" w:line="276" w:lineRule="auto"/>
        <w:rPr>
          <w:rFonts w:ascii="Times New Roman" w:hAnsi="Times New Roman"/>
          <w:noProof/>
          <w:sz w:val="24"/>
          <w:lang w:val="pl-PL"/>
        </w:rPr>
      </w:pPr>
      <w:r w:rsidRPr="00DC40BE">
        <w:rPr>
          <w:rStyle w:val="cf01"/>
          <w:rFonts w:ascii="Times New Roman" w:hAnsi="Times New Roman"/>
          <w:noProof/>
          <w:sz w:val="24"/>
          <w:lang w:val="pl-PL"/>
        </w:rPr>
        <w:t>Rozporządzeniem</w:t>
      </w:r>
      <w:r w:rsidR="00DC40BE" w:rsidRPr="00DC40BE">
        <w:rPr>
          <w:rStyle w:val="cf01"/>
          <w:rFonts w:ascii="Times New Roman" w:hAnsi="Times New Roman"/>
          <w:noProof/>
          <w:sz w:val="24"/>
          <w:lang w:val="pl-PL"/>
        </w:rPr>
        <w:t xml:space="preserve"> w spr</w:t>
      </w:r>
      <w:r w:rsidRPr="00DC40BE">
        <w:rPr>
          <w:rStyle w:val="cf01"/>
          <w:rFonts w:ascii="Times New Roman" w:hAnsi="Times New Roman"/>
          <w:noProof/>
          <w:sz w:val="24"/>
          <w:lang w:val="pl-PL"/>
        </w:rPr>
        <w:t>awie EIO</w:t>
      </w:r>
      <w:r w:rsidRPr="00DC40BE">
        <w:rPr>
          <w:rFonts w:ascii="Times New Roman" w:hAnsi="Times New Roman"/>
          <w:noProof/>
          <w:sz w:val="24"/>
          <w:lang w:val="pl-PL"/>
        </w:rPr>
        <w:t xml:space="preserve"> uproszczono zarządzanie danymi osobowymi zgromadzonymi</w:t>
      </w:r>
      <w:r w:rsidR="00DC40BE" w:rsidRPr="00DC40BE">
        <w:rPr>
          <w:rFonts w:ascii="Times New Roman" w:hAnsi="Times New Roman"/>
          <w:noProof/>
          <w:sz w:val="24"/>
          <w:lang w:val="pl-PL"/>
        </w:rPr>
        <w:t xml:space="preserve"> w ram</w:t>
      </w:r>
      <w:r w:rsidRPr="00DC40BE">
        <w:rPr>
          <w:rFonts w:ascii="Times New Roman" w:hAnsi="Times New Roman"/>
          <w:noProof/>
          <w:sz w:val="24"/>
          <w:lang w:val="pl-PL"/>
        </w:rPr>
        <w:t>ach organizacji EIO.</w:t>
      </w:r>
    </w:p>
    <w:p w14:paraId="0DE57C1C" w14:textId="52B1269A" w:rsidR="005A4888" w:rsidRPr="00DC40BE" w:rsidRDefault="005A4888" w:rsidP="00E8781C">
      <w:pPr>
        <w:pStyle w:val="5Normal"/>
        <w:spacing w:before="100" w:beforeAutospacing="1" w:after="100" w:afterAutospacing="1" w:line="276" w:lineRule="auto"/>
        <w:rPr>
          <w:rFonts w:ascii="Times New Roman" w:eastAsiaTheme="minorEastAsia" w:hAnsi="Times New Roman"/>
          <w:noProof/>
          <w:sz w:val="24"/>
          <w:lang w:val="pl-PL"/>
        </w:rPr>
      </w:pPr>
      <w:r w:rsidRPr="00DC40BE">
        <w:rPr>
          <w:rFonts w:ascii="Times New Roman" w:hAnsi="Times New Roman"/>
          <w:noProof/>
          <w:sz w:val="24"/>
          <w:lang w:val="pl-PL"/>
        </w:rPr>
        <w:t>Po pierwsze, we wszystkich 27 państwach członkowskich ograniczono</w:t>
      </w:r>
      <w:r w:rsidR="00DC40BE" w:rsidRPr="00DC40BE">
        <w:rPr>
          <w:rFonts w:ascii="Times New Roman" w:hAnsi="Times New Roman"/>
          <w:noProof/>
          <w:sz w:val="24"/>
          <w:lang w:val="pl-PL"/>
        </w:rPr>
        <w:t xml:space="preserve"> i zha</w:t>
      </w:r>
      <w:r w:rsidRPr="00DC40BE">
        <w:rPr>
          <w:rFonts w:ascii="Times New Roman" w:hAnsi="Times New Roman"/>
          <w:noProof/>
          <w:sz w:val="24"/>
          <w:lang w:val="pl-PL"/>
        </w:rPr>
        <w:t xml:space="preserve">rmonizowano zakres danych osobowych, które obywatele muszą przekazać celem wsparcia EIO, przy czym </w:t>
      </w:r>
      <w:r w:rsidRPr="00DC40BE">
        <w:rPr>
          <w:rFonts w:ascii="Times New Roman" w:hAnsi="Times New Roman"/>
          <w:b/>
          <w:noProof/>
          <w:sz w:val="24"/>
          <w:lang w:val="pl-PL"/>
        </w:rPr>
        <w:t>organy krajowe mogą wybrać do gromadzenia tylko jeden</w:t>
      </w:r>
      <w:r w:rsidR="00DC40BE" w:rsidRPr="00DC40BE">
        <w:rPr>
          <w:rFonts w:ascii="Times New Roman" w:hAnsi="Times New Roman"/>
          <w:b/>
          <w:noProof/>
          <w:sz w:val="24"/>
          <w:lang w:val="pl-PL"/>
        </w:rPr>
        <w:t xml:space="preserve"> z nas</w:t>
      </w:r>
      <w:r w:rsidRPr="00DC40BE">
        <w:rPr>
          <w:rFonts w:ascii="Times New Roman" w:hAnsi="Times New Roman"/>
          <w:b/>
          <w:noProof/>
          <w:sz w:val="24"/>
          <w:lang w:val="pl-PL"/>
        </w:rPr>
        <w:t>tępujących dwóch zbiorów danych</w:t>
      </w:r>
      <w:r w:rsidRPr="00DC40BE">
        <w:rPr>
          <w:rFonts w:ascii="Times New Roman" w:hAnsi="Times New Roman"/>
          <w:noProof/>
          <w:sz w:val="24"/>
          <w:lang w:val="pl-PL"/>
        </w:rPr>
        <w:t>: 1) imię, nazwisko, data urodzenia</w:t>
      </w:r>
      <w:r w:rsidR="00DC40BE" w:rsidRPr="00DC40BE">
        <w:rPr>
          <w:rFonts w:ascii="Times New Roman" w:hAnsi="Times New Roman"/>
          <w:noProof/>
          <w:sz w:val="24"/>
          <w:lang w:val="pl-PL"/>
        </w:rPr>
        <w:t xml:space="preserve"> i adr</w:t>
      </w:r>
      <w:r w:rsidRPr="00DC40BE">
        <w:rPr>
          <w:rFonts w:ascii="Times New Roman" w:hAnsi="Times New Roman"/>
          <w:noProof/>
          <w:sz w:val="24"/>
          <w:lang w:val="pl-PL"/>
        </w:rPr>
        <w:t>es; 2) imię, nazwisko, data urodzenia</w:t>
      </w:r>
      <w:r w:rsidR="00DC40BE" w:rsidRPr="00DC40BE">
        <w:rPr>
          <w:rFonts w:ascii="Times New Roman" w:hAnsi="Times New Roman"/>
          <w:noProof/>
          <w:sz w:val="24"/>
          <w:lang w:val="pl-PL"/>
        </w:rPr>
        <w:t xml:space="preserve"> i oso</w:t>
      </w:r>
      <w:r w:rsidRPr="00DC40BE">
        <w:rPr>
          <w:rFonts w:ascii="Times New Roman" w:hAnsi="Times New Roman"/>
          <w:noProof/>
          <w:sz w:val="24"/>
          <w:lang w:val="pl-PL"/>
        </w:rPr>
        <w:t>bisty numer identyfikacyjny (numer osobistego dokumentu tożsamości). Pobranie od sygnatariuszy minimalnego zbioru danych osobowych jest konieczne, aby państwa członkowskie mogły zweryfikować ważność deklaracji poparcia</w:t>
      </w:r>
      <w:r w:rsidR="00DC40BE" w:rsidRPr="00DC40BE">
        <w:rPr>
          <w:rFonts w:ascii="Times New Roman" w:hAnsi="Times New Roman"/>
          <w:noProof/>
          <w:sz w:val="24"/>
          <w:lang w:val="pl-PL"/>
        </w:rPr>
        <w:t xml:space="preserve"> w kra</w:t>
      </w:r>
      <w:r w:rsidRPr="00DC40BE">
        <w:rPr>
          <w:rFonts w:ascii="Times New Roman" w:hAnsi="Times New Roman"/>
          <w:noProof/>
          <w:sz w:val="24"/>
          <w:lang w:val="pl-PL"/>
        </w:rPr>
        <w:t>jowych bazach danych, takich jak rejestry wyborcze lub rejestry ludności. Chociaż Parlament Europejski wezwał do dalszego uproszczenia wymogów</w:t>
      </w:r>
      <w:r w:rsidR="00DC40BE" w:rsidRPr="00DC40BE">
        <w:rPr>
          <w:rFonts w:ascii="Times New Roman" w:hAnsi="Times New Roman"/>
          <w:noProof/>
          <w:sz w:val="24"/>
          <w:lang w:val="pl-PL"/>
        </w:rPr>
        <w:t xml:space="preserve"> w zak</w:t>
      </w:r>
      <w:r w:rsidRPr="00DC40BE">
        <w:rPr>
          <w:rFonts w:ascii="Times New Roman" w:hAnsi="Times New Roman"/>
          <w:noProof/>
          <w:sz w:val="24"/>
          <w:lang w:val="pl-PL"/>
        </w:rPr>
        <w:t>resie danych,</w:t>
      </w:r>
      <w:r w:rsidR="00DC40BE" w:rsidRPr="00DC40BE">
        <w:rPr>
          <w:rFonts w:ascii="Times New Roman" w:hAnsi="Times New Roman"/>
          <w:noProof/>
          <w:sz w:val="24"/>
          <w:lang w:val="pl-PL"/>
        </w:rPr>
        <w:t xml:space="preserve"> w kon</w:t>
      </w:r>
      <w:r w:rsidRPr="00DC40BE">
        <w:rPr>
          <w:rFonts w:ascii="Times New Roman" w:hAnsi="Times New Roman"/>
          <w:noProof/>
          <w:sz w:val="24"/>
          <w:lang w:val="pl-PL"/>
        </w:rPr>
        <w:t>sultacjach</w:t>
      </w:r>
      <w:r w:rsidR="00DC40BE" w:rsidRPr="00DC40BE">
        <w:rPr>
          <w:rFonts w:ascii="Times New Roman" w:hAnsi="Times New Roman"/>
          <w:noProof/>
          <w:sz w:val="24"/>
          <w:lang w:val="pl-PL"/>
        </w:rPr>
        <w:t xml:space="preserve"> z pań</w:t>
      </w:r>
      <w:r w:rsidRPr="00DC40BE">
        <w:rPr>
          <w:rFonts w:ascii="Times New Roman" w:hAnsi="Times New Roman"/>
          <w:noProof/>
          <w:sz w:val="24"/>
          <w:lang w:val="pl-PL"/>
        </w:rPr>
        <w:t>stwami członkowskimi potwierdzono, że takie uproszczenie mogłoby utrudnić weryfikację deklaracji poparcia</w:t>
      </w:r>
      <w:r w:rsidR="00DC40BE" w:rsidRPr="00DC40BE">
        <w:rPr>
          <w:rFonts w:ascii="Times New Roman" w:hAnsi="Times New Roman"/>
          <w:noProof/>
          <w:sz w:val="24"/>
          <w:lang w:val="pl-PL"/>
        </w:rPr>
        <w:t xml:space="preserve"> z wym</w:t>
      </w:r>
      <w:r w:rsidRPr="00DC40BE">
        <w:rPr>
          <w:rFonts w:ascii="Times New Roman" w:hAnsi="Times New Roman"/>
          <w:noProof/>
          <w:sz w:val="24"/>
          <w:lang w:val="pl-PL"/>
        </w:rPr>
        <w:t xml:space="preserve">aganą pewnością. </w:t>
      </w:r>
    </w:p>
    <w:p w14:paraId="37D6F82B" w14:textId="577F786A" w:rsidR="005A4888" w:rsidRPr="00DC40BE" w:rsidRDefault="005A4888" w:rsidP="00E8781C">
      <w:pPr>
        <w:spacing w:before="100" w:beforeAutospacing="1" w:after="100" w:afterAutospacing="1" w:line="276" w:lineRule="auto"/>
        <w:rPr>
          <w:noProof/>
          <w:lang w:val="pl-PL"/>
        </w:rPr>
      </w:pPr>
      <w:r w:rsidRPr="00DC40BE">
        <w:rPr>
          <w:noProof/>
          <w:lang w:val="pl-PL"/>
        </w:rPr>
        <w:t>Aby obywatele mogli łatwo zrozumieć,</w:t>
      </w:r>
      <w:r w:rsidR="00DC40BE" w:rsidRPr="00DC40BE">
        <w:rPr>
          <w:noProof/>
          <w:lang w:val="pl-PL"/>
        </w:rPr>
        <w:t xml:space="preserve"> w jak</w:t>
      </w:r>
      <w:r w:rsidRPr="00DC40BE">
        <w:rPr>
          <w:noProof/>
          <w:lang w:val="pl-PL"/>
        </w:rPr>
        <w:t>i sposób zarządza się ich danymi osobowymi</w:t>
      </w:r>
      <w:r w:rsidR="00DC40BE" w:rsidRPr="00DC40BE">
        <w:rPr>
          <w:noProof/>
          <w:lang w:val="pl-PL"/>
        </w:rPr>
        <w:t xml:space="preserve"> w pro</w:t>
      </w:r>
      <w:r w:rsidRPr="00DC40BE">
        <w:rPr>
          <w:noProof/>
          <w:lang w:val="pl-PL"/>
        </w:rPr>
        <w:t>cesie dotyczącym EIO</w:t>
      </w:r>
      <w:r w:rsidR="00DC40BE" w:rsidRPr="00DC40BE">
        <w:rPr>
          <w:noProof/>
          <w:lang w:val="pl-PL"/>
        </w:rPr>
        <w:t xml:space="preserve"> i jak</w:t>
      </w:r>
      <w:r w:rsidRPr="00DC40BE">
        <w:rPr>
          <w:noProof/>
          <w:lang w:val="pl-PL"/>
        </w:rPr>
        <w:t xml:space="preserve"> mogą uzyskać dostęp do najważniejszych informacji dotyczących przetwarzania ich danych, opracowano oświadczenia</w:t>
      </w:r>
      <w:r w:rsidR="00DC40BE" w:rsidRPr="00DC40BE">
        <w:rPr>
          <w:noProof/>
          <w:lang w:val="pl-PL"/>
        </w:rPr>
        <w:t xml:space="preserve"> o och</w:t>
      </w:r>
      <w:r w:rsidRPr="00DC40BE">
        <w:rPr>
          <w:noProof/>
          <w:lang w:val="pl-PL"/>
        </w:rPr>
        <w:t>ronie prywatności(</w:t>
      </w:r>
      <w:r w:rsidRPr="00DC40BE">
        <w:rPr>
          <w:rStyle w:val="Odwoanieprzypisudolnego"/>
          <w:noProof/>
          <w:lang w:val="pl-PL"/>
        </w:rPr>
        <w:footnoteReference w:id="77"/>
      </w:r>
      <w:r w:rsidRPr="00DC40BE">
        <w:rPr>
          <w:noProof/>
          <w:lang w:val="pl-PL"/>
        </w:rPr>
        <w:t>) obejmujące poszczególne operacje przetwarzania</w:t>
      </w:r>
      <w:r w:rsidR="00DC40BE" w:rsidRPr="00DC40BE">
        <w:rPr>
          <w:noProof/>
          <w:lang w:val="pl-PL"/>
        </w:rPr>
        <w:t xml:space="preserve"> i opu</w:t>
      </w:r>
      <w:r w:rsidRPr="00DC40BE">
        <w:rPr>
          <w:noProof/>
          <w:lang w:val="pl-PL"/>
        </w:rPr>
        <w:t>blikowano odpowiedzi na często zadawane pytania(</w:t>
      </w:r>
      <w:r w:rsidRPr="00DC40BE">
        <w:rPr>
          <w:rStyle w:val="Odwoanieprzypisudolnego"/>
          <w:noProof/>
          <w:lang w:val="pl-PL"/>
        </w:rPr>
        <w:footnoteReference w:id="78"/>
      </w:r>
      <w:r w:rsidRPr="00DC40BE">
        <w:rPr>
          <w:noProof/>
          <w:lang w:val="pl-PL"/>
        </w:rPr>
        <w:t>).</w:t>
      </w:r>
    </w:p>
    <w:p w14:paraId="4CFB6ABA" w14:textId="24D0087A" w:rsidR="005A4888" w:rsidRPr="00DC40BE" w:rsidRDefault="005A4888" w:rsidP="00E8781C">
      <w:pPr>
        <w:spacing w:before="100" w:beforeAutospacing="1" w:after="100" w:afterAutospacing="1" w:line="276" w:lineRule="auto"/>
        <w:rPr>
          <w:noProof/>
          <w:lang w:val="pl-PL"/>
        </w:rPr>
      </w:pPr>
      <w:r w:rsidRPr="00DC40BE">
        <w:rPr>
          <w:noProof/>
          <w:lang w:val="pl-PL"/>
        </w:rPr>
        <w:t>Po drugie,</w:t>
      </w:r>
      <w:r w:rsidR="00DC40BE" w:rsidRPr="00DC40BE">
        <w:rPr>
          <w:noProof/>
          <w:lang w:val="pl-PL"/>
        </w:rPr>
        <w:t xml:space="preserve"> w wyn</w:t>
      </w:r>
      <w:r w:rsidRPr="00DC40BE">
        <w:rPr>
          <w:noProof/>
          <w:lang w:val="pl-PL"/>
        </w:rPr>
        <w:t>iku przejścia na centralny system zbierania deklaracji online oraz uruchomienia przez Komisję bezpiecznego systemu przekazywania danych, Komisja jest odpowiedzialna za zarządzanie wszystkimi danymi osobowymi zgromadzonymi online za pośrednictwem tego systemu. Specjalny moduł administratora danych umożliwia Komisji wypełnianie jej obowiązków jako administratora danych oraz szybkie</w:t>
      </w:r>
      <w:r w:rsidR="00DC40BE" w:rsidRPr="00DC40BE">
        <w:rPr>
          <w:noProof/>
          <w:lang w:val="pl-PL"/>
        </w:rPr>
        <w:t xml:space="preserve"> i sku</w:t>
      </w:r>
      <w:r w:rsidRPr="00DC40BE">
        <w:rPr>
          <w:noProof/>
          <w:lang w:val="pl-PL"/>
        </w:rPr>
        <w:t>teczne rozpatrywanie wniosków osób, których dane dotyczą</w:t>
      </w:r>
      <w:r w:rsidR="00DC40BE" w:rsidRPr="00DC40BE">
        <w:rPr>
          <w:noProof/>
          <w:lang w:val="pl-PL"/>
        </w:rPr>
        <w:t>. W zwi</w:t>
      </w:r>
      <w:r w:rsidRPr="00DC40BE">
        <w:rPr>
          <w:noProof/>
          <w:lang w:val="pl-PL"/>
        </w:rPr>
        <w:t>ązku</w:t>
      </w:r>
      <w:r w:rsidR="00DC40BE" w:rsidRPr="00DC40BE">
        <w:rPr>
          <w:noProof/>
          <w:lang w:val="pl-PL"/>
        </w:rPr>
        <w:t xml:space="preserve"> z tym</w:t>
      </w:r>
      <w:r w:rsidRPr="00DC40BE">
        <w:rPr>
          <w:noProof/>
          <w:lang w:val="pl-PL"/>
        </w:rPr>
        <w:t xml:space="preserve"> </w:t>
      </w:r>
      <w:r w:rsidRPr="00DC40BE">
        <w:rPr>
          <w:b/>
          <w:noProof/>
          <w:lang w:val="pl-PL"/>
        </w:rPr>
        <w:t>odpowiedzialność organizatorów organizatorzy EIO za ochronę danych osobowych jest ograniczona</w:t>
      </w:r>
      <w:r w:rsidRPr="00DC40BE">
        <w:rPr>
          <w:noProof/>
          <w:lang w:val="pl-PL"/>
        </w:rPr>
        <w:t xml:space="preserve"> do danych osobowych gromadzonych na deklaracjach poparcia</w:t>
      </w:r>
      <w:r w:rsidR="00DC40BE" w:rsidRPr="00DC40BE">
        <w:rPr>
          <w:noProof/>
          <w:lang w:val="pl-PL"/>
        </w:rPr>
        <w:t xml:space="preserve"> w for</w:t>
      </w:r>
      <w:r w:rsidRPr="00DC40BE">
        <w:rPr>
          <w:noProof/>
          <w:lang w:val="pl-PL"/>
        </w:rPr>
        <w:t xml:space="preserve">mie papierowej. </w:t>
      </w:r>
    </w:p>
    <w:p w14:paraId="643A4AFE" w14:textId="3B03EE9F" w:rsidR="005A4888" w:rsidRPr="00DC40BE" w:rsidRDefault="005A4888" w:rsidP="00E8781C">
      <w:pPr>
        <w:spacing w:before="100" w:beforeAutospacing="1" w:after="100" w:afterAutospacing="1" w:line="276" w:lineRule="auto"/>
        <w:rPr>
          <w:noProof/>
          <w:lang w:val="pl-PL"/>
        </w:rPr>
      </w:pPr>
      <w:r w:rsidRPr="00DC40BE">
        <w:rPr>
          <w:noProof/>
          <w:lang w:val="pl-PL"/>
        </w:rPr>
        <w:t xml:space="preserve">Udostępniono szczegółowe </w:t>
      </w:r>
      <w:r w:rsidRPr="00DC40BE">
        <w:rPr>
          <w:b/>
          <w:noProof/>
          <w:lang w:val="pl-PL"/>
        </w:rPr>
        <w:t>wytyczne dotyczące ochrony danych skierowane do organizatorów EIO</w:t>
      </w:r>
      <w:r w:rsidRPr="00DC40BE">
        <w:rPr>
          <w:rStyle w:val="Odwoanieprzypisudolnego"/>
          <w:noProof/>
          <w:lang w:val="pl-PL"/>
        </w:rPr>
        <w:footnoteReference w:id="79"/>
      </w:r>
      <w:r w:rsidRPr="00DC40BE">
        <w:rPr>
          <w:noProof/>
          <w:lang w:val="pl-PL"/>
        </w:rPr>
        <w:t>, aby pomóc im</w:t>
      </w:r>
      <w:r w:rsidR="00DC40BE" w:rsidRPr="00DC40BE">
        <w:rPr>
          <w:noProof/>
          <w:lang w:val="pl-PL"/>
        </w:rPr>
        <w:t xml:space="preserve"> w prz</w:t>
      </w:r>
      <w:r w:rsidRPr="00DC40BE">
        <w:rPr>
          <w:noProof/>
          <w:lang w:val="pl-PL"/>
        </w:rPr>
        <w:t>estrzeganiu przepisów ochrony danych</w:t>
      </w:r>
      <w:r w:rsidR="00DC40BE" w:rsidRPr="00DC40BE">
        <w:rPr>
          <w:noProof/>
          <w:lang w:val="pl-PL"/>
        </w:rPr>
        <w:t>. W wyt</w:t>
      </w:r>
      <w:r w:rsidRPr="00DC40BE">
        <w:rPr>
          <w:noProof/>
          <w:lang w:val="pl-PL"/>
        </w:rPr>
        <w:t>ycznych wyjaśniono podstawowe zasady</w:t>
      </w:r>
      <w:r w:rsidR="00DC40BE" w:rsidRPr="00DC40BE">
        <w:rPr>
          <w:noProof/>
          <w:lang w:val="pl-PL"/>
        </w:rPr>
        <w:t xml:space="preserve"> i poj</w:t>
      </w:r>
      <w:r w:rsidRPr="00DC40BE">
        <w:rPr>
          <w:noProof/>
          <w:lang w:val="pl-PL"/>
        </w:rPr>
        <w:t>ęcia,</w:t>
      </w:r>
      <w:r w:rsidR="00DC40BE" w:rsidRPr="00DC40BE">
        <w:rPr>
          <w:noProof/>
          <w:lang w:val="pl-PL"/>
        </w:rPr>
        <w:t xml:space="preserve"> a tak</w:t>
      </w:r>
      <w:r w:rsidRPr="00DC40BE">
        <w:rPr>
          <w:noProof/>
          <w:lang w:val="pl-PL"/>
        </w:rPr>
        <w:t>że obowiązki organizatorów EIO jako administratorów lub współadministratorów podczas przetwarzania danych osobowych</w:t>
      </w:r>
      <w:r w:rsidR="00DC40BE" w:rsidRPr="00DC40BE">
        <w:rPr>
          <w:noProof/>
          <w:lang w:val="pl-PL"/>
        </w:rPr>
        <w:t xml:space="preserve"> w ram</w:t>
      </w:r>
      <w:r w:rsidRPr="00DC40BE">
        <w:rPr>
          <w:noProof/>
          <w:lang w:val="pl-PL"/>
        </w:rPr>
        <w:t xml:space="preserve">ach procedury EIO. </w:t>
      </w:r>
    </w:p>
    <w:p w14:paraId="1DE04B00" w14:textId="4D6F8331" w:rsidR="0008727A" w:rsidRPr="00DC40BE" w:rsidRDefault="005A4888" w:rsidP="00E8781C">
      <w:pPr>
        <w:spacing w:before="100" w:beforeAutospacing="1" w:after="100" w:afterAutospacing="1" w:line="276" w:lineRule="auto"/>
        <w:rPr>
          <w:rStyle w:val="normaltextrun"/>
          <w:noProof/>
          <w:color w:val="FF0000"/>
          <w:u w:val="single"/>
          <w:lang w:val="pl-PL"/>
        </w:rPr>
      </w:pPr>
      <w:r w:rsidRPr="00DC40BE">
        <w:rPr>
          <w:rStyle w:val="normaltextrun"/>
          <w:noProof/>
          <w:shd w:val="clear" w:color="auto" w:fill="FFFFFF"/>
          <w:lang w:val="pl-PL"/>
        </w:rPr>
        <w:t>Większość organizatorów EIO biorących udział</w:t>
      </w:r>
      <w:r w:rsidR="00DC40BE" w:rsidRPr="00DC40BE">
        <w:rPr>
          <w:rStyle w:val="normaltextrun"/>
          <w:noProof/>
          <w:shd w:val="clear" w:color="auto" w:fill="FFFFFF"/>
          <w:lang w:val="pl-PL"/>
        </w:rPr>
        <w:t xml:space="preserve"> w ank</w:t>
      </w:r>
      <w:r w:rsidRPr="00DC40BE">
        <w:rPr>
          <w:rStyle w:val="normaltextrun"/>
          <w:noProof/>
          <w:shd w:val="clear" w:color="auto" w:fill="FFFFFF"/>
          <w:lang w:val="pl-PL"/>
        </w:rPr>
        <w:t>iecie uznała przepisy</w:t>
      </w:r>
      <w:r w:rsidR="00DC40BE" w:rsidRPr="00DC40BE">
        <w:rPr>
          <w:rStyle w:val="normaltextrun"/>
          <w:noProof/>
          <w:shd w:val="clear" w:color="auto" w:fill="FFFFFF"/>
          <w:lang w:val="pl-PL"/>
        </w:rPr>
        <w:t xml:space="preserve"> o och</w:t>
      </w:r>
      <w:r w:rsidRPr="00DC40BE">
        <w:rPr>
          <w:rStyle w:val="normaltextrun"/>
          <w:noProof/>
          <w:shd w:val="clear" w:color="auto" w:fill="FFFFFF"/>
          <w:lang w:val="pl-PL"/>
        </w:rPr>
        <w:t>ronie danych za bardzo jasne</w:t>
      </w:r>
      <w:r w:rsidR="00DC40BE" w:rsidRPr="00DC40BE">
        <w:rPr>
          <w:rStyle w:val="normaltextrun"/>
          <w:noProof/>
          <w:shd w:val="clear" w:color="auto" w:fill="FFFFFF"/>
          <w:lang w:val="pl-PL"/>
        </w:rPr>
        <w:t xml:space="preserve"> i sku</w:t>
      </w:r>
      <w:r w:rsidRPr="00DC40BE">
        <w:rPr>
          <w:rStyle w:val="normaltextrun"/>
          <w:noProof/>
          <w:shd w:val="clear" w:color="auto" w:fill="FFFFFF"/>
          <w:lang w:val="pl-PL"/>
        </w:rPr>
        <w:t>teczne oraz stwierdziła, że nie napotkała żadnych trudności</w:t>
      </w:r>
      <w:r w:rsidR="00DC40BE" w:rsidRPr="00DC40BE">
        <w:rPr>
          <w:rStyle w:val="normaltextrun"/>
          <w:noProof/>
          <w:shd w:val="clear" w:color="auto" w:fill="FFFFFF"/>
          <w:lang w:val="pl-PL"/>
        </w:rPr>
        <w:t xml:space="preserve"> w ich</w:t>
      </w:r>
      <w:r w:rsidRPr="00DC40BE">
        <w:rPr>
          <w:rStyle w:val="normaltextrun"/>
          <w:noProof/>
          <w:shd w:val="clear" w:color="auto" w:fill="FFFFFF"/>
          <w:lang w:val="pl-PL"/>
        </w:rPr>
        <w:t xml:space="preserve"> przestrzeganiu. Kilku organizatorów wspomniało, ze jednym</w:t>
      </w:r>
      <w:r w:rsidR="00DC40BE" w:rsidRPr="00DC40BE">
        <w:rPr>
          <w:rStyle w:val="normaltextrun"/>
          <w:noProof/>
          <w:shd w:val="clear" w:color="auto" w:fill="FFFFFF"/>
          <w:lang w:val="pl-PL"/>
        </w:rPr>
        <w:t xml:space="preserve"> z wyz</w:t>
      </w:r>
      <w:r w:rsidRPr="00DC40BE">
        <w:rPr>
          <w:rStyle w:val="normaltextrun"/>
          <w:noProof/>
          <w:shd w:val="clear" w:color="auto" w:fill="FFFFFF"/>
          <w:lang w:val="pl-PL"/>
        </w:rPr>
        <w:t>wań na etapie zbierania danych jest niechęć obywateli do podawania wymaganych danych osobowych. Aby poznać opinie obywateli, uwzględniono tę kwestię</w:t>
      </w:r>
      <w:r w:rsidR="00DC40BE" w:rsidRPr="00DC40BE">
        <w:rPr>
          <w:rStyle w:val="normaltextrun"/>
          <w:noProof/>
          <w:shd w:val="clear" w:color="auto" w:fill="FFFFFF"/>
          <w:lang w:val="pl-PL"/>
        </w:rPr>
        <w:t xml:space="preserve"> w ank</w:t>
      </w:r>
      <w:r w:rsidRPr="00DC40BE">
        <w:rPr>
          <w:rStyle w:val="normaltextrun"/>
          <w:noProof/>
          <w:shd w:val="clear" w:color="auto" w:fill="FFFFFF"/>
          <w:lang w:val="pl-PL"/>
        </w:rPr>
        <w:t>ietach skierowanych do obywateli</w:t>
      </w:r>
      <w:r w:rsidR="00DC40BE" w:rsidRPr="00DC40BE">
        <w:rPr>
          <w:rStyle w:val="normaltextrun"/>
          <w:noProof/>
          <w:shd w:val="clear" w:color="auto" w:fill="FFFFFF"/>
          <w:lang w:val="pl-PL"/>
        </w:rPr>
        <w:t xml:space="preserve"> </w:t>
      </w:r>
      <w:r w:rsidR="00DC40BE" w:rsidRPr="00DC40BE">
        <w:rPr>
          <w:rStyle w:val="normaltextrun"/>
          <w:noProof/>
          <w:shd w:val="clear" w:color="auto" w:fill="FFFFFF"/>
          <w:lang w:val="pl-PL"/>
        </w:rPr>
        <w:lastRenderedPageBreak/>
        <w:t>i uży</w:t>
      </w:r>
      <w:r w:rsidRPr="00DC40BE">
        <w:rPr>
          <w:rStyle w:val="normaltextrun"/>
          <w:noProof/>
          <w:shd w:val="clear" w:color="auto" w:fill="FFFFFF"/>
          <w:lang w:val="pl-PL"/>
        </w:rPr>
        <w:t xml:space="preserve">tkowników centralnego systemu zbierania deklaracji online. </w:t>
      </w:r>
      <w:r w:rsidRPr="00DC40BE">
        <w:rPr>
          <w:rStyle w:val="normaltextrun"/>
          <w:noProof/>
          <w:lang w:val="pl-PL"/>
        </w:rPr>
        <w:t>Tylko niewielka liczba</w:t>
      </w:r>
      <w:r w:rsidRPr="00DC40BE">
        <w:rPr>
          <w:rStyle w:val="normaltextrun"/>
          <w:noProof/>
          <w:shd w:val="clear" w:color="auto" w:fill="FFFFFF"/>
          <w:lang w:val="pl-PL"/>
        </w:rPr>
        <w:t xml:space="preserve"> respondentów ankiety skierowanej do obywateli stwierdziła, że nie chce udostępniać swoich danych osobowych</w:t>
      </w:r>
      <w:r w:rsidR="00DC40BE" w:rsidRPr="00DC40BE">
        <w:rPr>
          <w:rStyle w:val="normaltextrun"/>
          <w:noProof/>
          <w:shd w:val="clear" w:color="auto" w:fill="FFFFFF"/>
          <w:lang w:val="pl-PL"/>
        </w:rPr>
        <w:t xml:space="preserve"> w cel</w:t>
      </w:r>
      <w:r w:rsidRPr="00DC40BE">
        <w:rPr>
          <w:rStyle w:val="normaltextrun"/>
          <w:noProof/>
          <w:shd w:val="clear" w:color="auto" w:fill="FFFFFF"/>
          <w:lang w:val="pl-PL"/>
        </w:rPr>
        <w:t>u wspierania EIO. Większość obywateli, którzy podpisali EIO</w:t>
      </w:r>
      <w:r w:rsidR="00DC40BE" w:rsidRPr="00DC40BE">
        <w:rPr>
          <w:rStyle w:val="normaltextrun"/>
          <w:noProof/>
          <w:shd w:val="clear" w:color="auto" w:fill="FFFFFF"/>
          <w:lang w:val="pl-PL"/>
        </w:rPr>
        <w:t xml:space="preserve"> z wyk</w:t>
      </w:r>
      <w:r w:rsidRPr="00DC40BE">
        <w:rPr>
          <w:rStyle w:val="normaltextrun"/>
          <w:noProof/>
          <w:shd w:val="clear" w:color="auto" w:fill="FFFFFF"/>
          <w:lang w:val="pl-PL"/>
        </w:rPr>
        <w:t>orzystaniem systemu Komisji</w:t>
      </w:r>
      <w:r w:rsidR="00DC40BE" w:rsidRPr="00DC40BE">
        <w:rPr>
          <w:rStyle w:val="normaltextrun"/>
          <w:noProof/>
          <w:shd w:val="clear" w:color="auto" w:fill="FFFFFF"/>
          <w:lang w:val="pl-PL"/>
        </w:rPr>
        <w:t xml:space="preserve"> i któ</w:t>
      </w:r>
      <w:r w:rsidRPr="00DC40BE">
        <w:rPr>
          <w:rStyle w:val="normaltextrun"/>
          <w:noProof/>
          <w:shd w:val="clear" w:color="auto" w:fill="FFFFFF"/>
          <w:lang w:val="pl-PL"/>
        </w:rPr>
        <w:t>rzy odpowiedzieli na pytania</w:t>
      </w:r>
      <w:r w:rsidR="00DC40BE" w:rsidRPr="00DC40BE">
        <w:rPr>
          <w:rStyle w:val="normaltextrun"/>
          <w:noProof/>
          <w:shd w:val="clear" w:color="auto" w:fill="FFFFFF"/>
          <w:lang w:val="pl-PL"/>
        </w:rPr>
        <w:t xml:space="preserve"> w ank</w:t>
      </w:r>
      <w:r w:rsidRPr="00DC40BE">
        <w:rPr>
          <w:rStyle w:val="normaltextrun"/>
          <w:noProof/>
          <w:shd w:val="clear" w:color="auto" w:fill="FFFFFF"/>
          <w:lang w:val="pl-PL"/>
        </w:rPr>
        <w:t>iecie wyjściowej, czuła się pewna co do bezpieczeństwa danych przekazywanych za pośrednictwem systemu,</w:t>
      </w:r>
      <w:r w:rsidR="00DC40BE" w:rsidRPr="00DC40BE">
        <w:rPr>
          <w:rStyle w:val="normaltextrun"/>
          <w:noProof/>
          <w:shd w:val="clear" w:color="auto" w:fill="FFFFFF"/>
          <w:lang w:val="pl-PL"/>
        </w:rPr>
        <w:t xml:space="preserve"> a wię</w:t>
      </w:r>
      <w:r w:rsidRPr="00DC40BE">
        <w:rPr>
          <w:rStyle w:val="normaltextrun"/>
          <w:noProof/>
          <w:shd w:val="clear" w:color="auto" w:fill="FFFFFF"/>
          <w:lang w:val="pl-PL"/>
        </w:rPr>
        <w:t>kszość respondentów wyraziła zadowolenie</w:t>
      </w:r>
      <w:r w:rsidR="00DC40BE" w:rsidRPr="00DC40BE">
        <w:rPr>
          <w:rStyle w:val="normaltextrun"/>
          <w:noProof/>
          <w:shd w:val="clear" w:color="auto" w:fill="FFFFFF"/>
          <w:lang w:val="pl-PL"/>
        </w:rPr>
        <w:t xml:space="preserve"> z fak</w:t>
      </w:r>
      <w:r w:rsidRPr="00DC40BE">
        <w:rPr>
          <w:rStyle w:val="normaltextrun"/>
          <w:noProof/>
          <w:shd w:val="clear" w:color="auto" w:fill="FFFFFF"/>
          <w:lang w:val="pl-PL"/>
        </w:rPr>
        <w:t>tu, że to właśnie Komisja,</w:t>
      </w:r>
      <w:r w:rsidR="00DC40BE" w:rsidRPr="00DC40BE">
        <w:rPr>
          <w:rStyle w:val="normaltextrun"/>
          <w:noProof/>
          <w:shd w:val="clear" w:color="auto" w:fill="FFFFFF"/>
          <w:lang w:val="pl-PL"/>
        </w:rPr>
        <w:t xml:space="preserve"> a nie</w:t>
      </w:r>
      <w:r w:rsidRPr="00DC40BE">
        <w:rPr>
          <w:rStyle w:val="normaltextrun"/>
          <w:noProof/>
          <w:shd w:val="clear" w:color="auto" w:fill="FFFFFF"/>
          <w:lang w:val="pl-PL"/>
        </w:rPr>
        <w:t xml:space="preserve"> żaden inny podmiot, gromadzi</w:t>
      </w:r>
      <w:r w:rsidR="00DC40BE" w:rsidRPr="00DC40BE">
        <w:rPr>
          <w:rStyle w:val="normaltextrun"/>
          <w:noProof/>
          <w:shd w:val="clear" w:color="auto" w:fill="FFFFFF"/>
          <w:lang w:val="pl-PL"/>
        </w:rPr>
        <w:t xml:space="preserve"> i prz</w:t>
      </w:r>
      <w:r w:rsidRPr="00DC40BE">
        <w:rPr>
          <w:rStyle w:val="normaltextrun"/>
          <w:noProof/>
          <w:shd w:val="clear" w:color="auto" w:fill="FFFFFF"/>
          <w:lang w:val="pl-PL"/>
        </w:rPr>
        <w:t>echowuje ich dane osobowe</w:t>
      </w:r>
      <w:r w:rsidR="00DC40BE" w:rsidRPr="00DC40BE">
        <w:rPr>
          <w:noProof/>
          <w:lang w:val="pl-PL"/>
        </w:rPr>
        <w:t>.</w:t>
      </w:r>
      <w:r w:rsidR="00DC40BE" w:rsidRPr="00DC40BE">
        <w:rPr>
          <w:rStyle w:val="normaltextrun"/>
          <w:noProof/>
          <w:shd w:val="clear" w:color="auto" w:fill="FFFFFF"/>
          <w:lang w:val="pl-PL"/>
        </w:rPr>
        <w:t xml:space="preserve"> Z</w:t>
      </w:r>
      <w:r w:rsidR="00DC40BE" w:rsidRPr="00DC40BE">
        <w:rPr>
          <w:noProof/>
          <w:lang w:val="pl-PL"/>
        </w:rPr>
        <w:t> </w:t>
      </w:r>
      <w:r w:rsidR="00DC40BE" w:rsidRPr="00DC40BE">
        <w:rPr>
          <w:rStyle w:val="normaltextrun"/>
          <w:noProof/>
          <w:shd w:val="clear" w:color="auto" w:fill="FFFFFF"/>
          <w:lang w:val="pl-PL"/>
        </w:rPr>
        <w:t>dru</w:t>
      </w:r>
      <w:r w:rsidRPr="00DC40BE">
        <w:rPr>
          <w:rStyle w:val="normaltextrun"/>
          <w:noProof/>
          <w:shd w:val="clear" w:color="auto" w:fill="FFFFFF"/>
          <w:lang w:val="pl-PL"/>
        </w:rPr>
        <w:t>giej strony, niektórzy respondenci ankiety wyjściowej (17</w:t>
      </w:r>
      <w:r w:rsidR="00DC40BE" w:rsidRPr="00DC40BE">
        <w:rPr>
          <w:rStyle w:val="normaltextrun"/>
          <w:noProof/>
          <w:shd w:val="clear" w:color="auto" w:fill="FFFFFF"/>
          <w:lang w:val="pl-PL"/>
        </w:rPr>
        <w:t> </w:t>
      </w:r>
      <w:r w:rsidRPr="00DC40BE">
        <w:rPr>
          <w:rStyle w:val="normaltextrun"/>
          <w:noProof/>
          <w:shd w:val="clear" w:color="auto" w:fill="FFFFFF"/>
          <w:lang w:val="pl-PL"/>
        </w:rPr>
        <w:t>%) ocenili swój poziom zaufania poniżej 5</w:t>
      </w:r>
      <w:r w:rsidR="00DC40BE" w:rsidRPr="00DC40BE">
        <w:rPr>
          <w:rStyle w:val="normaltextrun"/>
          <w:noProof/>
          <w:shd w:val="clear" w:color="auto" w:fill="FFFFFF"/>
          <w:lang w:val="pl-PL"/>
        </w:rPr>
        <w:t xml:space="preserve"> w dzi</w:t>
      </w:r>
      <w:r w:rsidRPr="00DC40BE">
        <w:rPr>
          <w:rStyle w:val="normaltextrun"/>
          <w:noProof/>
          <w:shd w:val="clear" w:color="auto" w:fill="FFFFFF"/>
          <w:lang w:val="pl-PL"/>
        </w:rPr>
        <w:t>esięciopunktowej skali,</w:t>
      </w:r>
      <w:r w:rsidR="00DC40BE" w:rsidRPr="00DC40BE">
        <w:rPr>
          <w:rStyle w:val="normaltextrun"/>
          <w:noProof/>
          <w:shd w:val="clear" w:color="auto" w:fill="FFFFFF"/>
          <w:lang w:val="pl-PL"/>
        </w:rPr>
        <w:t xml:space="preserve"> z cze</w:t>
      </w:r>
      <w:r w:rsidRPr="00DC40BE">
        <w:rPr>
          <w:rStyle w:val="normaltextrun"/>
          <w:noProof/>
          <w:shd w:val="clear" w:color="auto" w:fill="FFFFFF"/>
          <w:lang w:val="pl-PL"/>
        </w:rPr>
        <w:t>go wynika, że Komisja powinna lepiej informować na temat środków stosowanych</w:t>
      </w:r>
      <w:r w:rsidR="00DC40BE" w:rsidRPr="00DC40BE">
        <w:rPr>
          <w:rStyle w:val="normaltextrun"/>
          <w:noProof/>
          <w:shd w:val="clear" w:color="auto" w:fill="FFFFFF"/>
          <w:lang w:val="pl-PL"/>
        </w:rPr>
        <w:t xml:space="preserve"> w cel</w:t>
      </w:r>
      <w:r w:rsidRPr="00DC40BE">
        <w:rPr>
          <w:rStyle w:val="normaltextrun"/>
          <w:noProof/>
          <w:shd w:val="clear" w:color="auto" w:fill="FFFFFF"/>
          <w:lang w:val="pl-PL"/>
        </w:rPr>
        <w:t xml:space="preserve">u zapewnienia wysokiego poziomu ochrony danych osobowych. </w:t>
      </w:r>
    </w:p>
    <w:p w14:paraId="7EF6C092" w14:textId="6F849EFA" w:rsidR="005A4888" w:rsidRPr="00DC40BE" w:rsidRDefault="005455F8" w:rsidP="00E8781C">
      <w:pPr>
        <w:pStyle w:val="Nagwek2"/>
        <w:spacing w:before="100" w:beforeAutospacing="1" w:after="100" w:afterAutospacing="1" w:line="276" w:lineRule="auto"/>
        <w:rPr>
          <w:noProof/>
          <w:lang w:val="pl-PL"/>
        </w:rPr>
      </w:pPr>
      <w:bookmarkStart w:id="38" w:name="_Toc188206499"/>
      <w:bookmarkStart w:id="39" w:name="_Toc146296684"/>
      <w:r w:rsidRPr="00DC40BE">
        <w:rPr>
          <w:noProof/>
          <w:lang w:val="pl-PL"/>
        </w:rPr>
        <w:t>3.9. Działania Informacyjne</w:t>
      </w:r>
      <w:r w:rsidR="00DC40BE" w:rsidRPr="00DC40BE">
        <w:rPr>
          <w:noProof/>
          <w:lang w:val="pl-PL"/>
        </w:rPr>
        <w:t xml:space="preserve"> i uśw</w:t>
      </w:r>
      <w:r w:rsidRPr="00DC40BE">
        <w:rPr>
          <w:noProof/>
          <w:lang w:val="pl-PL"/>
        </w:rPr>
        <w:t>iadamiające prowadzone przez Komisję oraz państwa członkowskie</w:t>
      </w:r>
      <w:bookmarkEnd w:id="38"/>
      <w:bookmarkEnd w:id="39"/>
      <w:r w:rsidRPr="00DC40BE">
        <w:rPr>
          <w:noProof/>
          <w:lang w:val="pl-PL"/>
        </w:rPr>
        <w:t xml:space="preserve"> </w:t>
      </w:r>
    </w:p>
    <w:p w14:paraId="5B4696D3" w14:textId="584E522C" w:rsidR="005A4888" w:rsidRPr="00DC40BE" w:rsidRDefault="005A4888" w:rsidP="00E8781C">
      <w:pPr>
        <w:spacing w:before="100" w:beforeAutospacing="1" w:after="100" w:afterAutospacing="1" w:line="276" w:lineRule="auto"/>
        <w:rPr>
          <w:noProof/>
          <w:lang w:val="pl-PL"/>
        </w:rPr>
      </w:pPr>
      <w:r w:rsidRPr="00DC40BE">
        <w:rPr>
          <w:noProof/>
          <w:lang w:val="pl-PL"/>
        </w:rPr>
        <w:t>Zgodnie</w:t>
      </w:r>
      <w:r w:rsidR="00DC40BE" w:rsidRPr="00DC40BE">
        <w:rPr>
          <w:noProof/>
          <w:lang w:val="pl-PL"/>
        </w:rPr>
        <w:t xml:space="preserve"> z art</w:t>
      </w:r>
      <w:r w:rsidRPr="00DC40BE">
        <w:rPr>
          <w:noProof/>
          <w:lang w:val="pl-PL"/>
        </w:rPr>
        <w:t>.</w:t>
      </w:r>
      <w:r w:rsidR="00DC40BE" w:rsidRPr="00DC40BE">
        <w:rPr>
          <w:noProof/>
          <w:lang w:val="pl-PL"/>
        </w:rPr>
        <w:t> </w:t>
      </w:r>
      <w:r w:rsidRPr="00DC40BE">
        <w:rPr>
          <w:noProof/>
          <w:lang w:val="pl-PL"/>
        </w:rPr>
        <w:t>4</w:t>
      </w:r>
      <w:r w:rsidR="00DC40BE" w:rsidRPr="00DC40BE">
        <w:rPr>
          <w:noProof/>
          <w:lang w:val="pl-PL"/>
        </w:rPr>
        <w:t xml:space="preserve"> i 1</w:t>
      </w:r>
      <w:r w:rsidRPr="00DC40BE">
        <w:rPr>
          <w:noProof/>
          <w:lang w:val="pl-PL"/>
        </w:rPr>
        <w:t>8 rozporządzenia</w:t>
      </w:r>
      <w:r w:rsidR="00DC40BE" w:rsidRPr="00DC40BE">
        <w:rPr>
          <w:noProof/>
          <w:lang w:val="pl-PL"/>
        </w:rPr>
        <w:t xml:space="preserve"> w spr</w:t>
      </w:r>
      <w:r w:rsidRPr="00DC40BE">
        <w:rPr>
          <w:noProof/>
          <w:lang w:val="pl-PL"/>
        </w:rPr>
        <w:t>awie EIO Komisja przygotowała wielojęzyczną kampanię informacyjną „UE podejmuje inicjatywę”, której celem jest zwiększanie świadomości na temat istnienia, celów</w:t>
      </w:r>
      <w:r w:rsidR="00DC40BE" w:rsidRPr="00DC40BE">
        <w:rPr>
          <w:noProof/>
          <w:lang w:val="pl-PL"/>
        </w:rPr>
        <w:t xml:space="preserve"> i fun</w:t>
      </w:r>
      <w:r w:rsidRPr="00DC40BE">
        <w:rPr>
          <w:noProof/>
          <w:lang w:val="pl-PL"/>
        </w:rPr>
        <w:t>kcjonowania EIO za pomocą wielu różnych działań. Kampania zakłada szerokie wykorzystanie technologii cyfrowych</w:t>
      </w:r>
      <w:r w:rsidR="00DC40BE" w:rsidRPr="00DC40BE">
        <w:rPr>
          <w:noProof/>
          <w:lang w:val="pl-PL"/>
        </w:rPr>
        <w:t xml:space="preserve"> i med</w:t>
      </w:r>
      <w:r w:rsidRPr="00DC40BE">
        <w:rPr>
          <w:noProof/>
          <w:lang w:val="pl-PL"/>
        </w:rPr>
        <w:t>iów społecznościowych,</w:t>
      </w:r>
      <w:r w:rsidR="00DC40BE" w:rsidRPr="00DC40BE">
        <w:rPr>
          <w:noProof/>
          <w:lang w:val="pl-PL"/>
        </w:rPr>
        <w:t xml:space="preserve"> a prz</w:t>
      </w:r>
      <w:r w:rsidRPr="00DC40BE">
        <w:rPr>
          <w:noProof/>
          <w:lang w:val="pl-PL"/>
        </w:rPr>
        <w:t xml:space="preserve">edstawicielstwa Komisji we wszystkich państwach członkowskich będą tę kampanię wspierać. </w:t>
      </w:r>
    </w:p>
    <w:tbl>
      <w:tblPr>
        <w:tblStyle w:val="Tabela-Siatka"/>
        <w:tblW w:w="0" w:type="auto"/>
        <w:shd w:val="clear" w:color="auto" w:fill="D0CECE" w:themeFill="background2" w:themeFillShade="E6"/>
        <w:tblLook w:val="04A0" w:firstRow="1" w:lastRow="0" w:firstColumn="1" w:lastColumn="0" w:noHBand="0" w:noVBand="1"/>
      </w:tblPr>
      <w:tblGrid>
        <w:gridCol w:w="9056"/>
      </w:tblGrid>
      <w:tr w:rsidR="001530D3" w:rsidRPr="00DC40BE" w14:paraId="095C0D58" w14:textId="77777777" w:rsidTr="001530D3">
        <w:tc>
          <w:tcPr>
            <w:tcW w:w="9056" w:type="dxa"/>
            <w:shd w:val="clear" w:color="auto" w:fill="D0CECE" w:themeFill="background2" w:themeFillShade="E6"/>
          </w:tcPr>
          <w:p w14:paraId="539E21A9" w14:textId="20C474A6" w:rsidR="001530D3" w:rsidRPr="00DC40BE" w:rsidRDefault="001530D3" w:rsidP="00E8781C">
            <w:pPr>
              <w:spacing w:before="100" w:beforeAutospacing="1" w:after="100" w:afterAutospacing="1" w:line="276" w:lineRule="auto"/>
              <w:jc w:val="center"/>
              <w:rPr>
                <w:b/>
                <w:noProof/>
                <w:lang w:val="pl-PL"/>
              </w:rPr>
            </w:pPr>
            <w:r w:rsidRPr="00DC40BE">
              <w:rPr>
                <w:b/>
                <w:noProof/>
                <w:lang w:val="pl-PL"/>
              </w:rPr>
              <w:t>Działania związane</w:t>
            </w:r>
            <w:r w:rsidR="00DC40BE" w:rsidRPr="00DC40BE">
              <w:rPr>
                <w:b/>
                <w:noProof/>
                <w:lang w:val="pl-PL"/>
              </w:rPr>
              <w:t xml:space="preserve"> z kam</w:t>
            </w:r>
            <w:r w:rsidRPr="00DC40BE">
              <w:rPr>
                <w:b/>
                <w:noProof/>
                <w:lang w:val="pl-PL"/>
              </w:rPr>
              <w:t>panią informacyjną dotyczącą EIO</w:t>
            </w:r>
          </w:p>
          <w:p w14:paraId="747E2150" w14:textId="3AAF1A1E" w:rsidR="001530D3" w:rsidRPr="00DC40BE" w:rsidRDefault="001530D3" w:rsidP="00E8781C">
            <w:pPr>
              <w:pStyle w:val="Akapitzlist"/>
              <w:numPr>
                <w:ilvl w:val="0"/>
                <w:numId w:val="33"/>
              </w:numPr>
              <w:spacing w:before="100" w:beforeAutospacing="1" w:after="100" w:afterAutospacing="1"/>
              <w:jc w:val="both"/>
              <w:rPr>
                <w:rFonts w:ascii="Times New Roman" w:hAnsi="Times New Roman" w:cs="Times New Roman"/>
                <w:noProof/>
                <w:sz w:val="24"/>
                <w:lang w:val="pl-PL"/>
              </w:rPr>
            </w:pPr>
            <w:r w:rsidRPr="00DC40BE">
              <w:rPr>
                <w:rFonts w:ascii="Times New Roman" w:hAnsi="Times New Roman"/>
                <w:noProof/>
                <w:sz w:val="24"/>
                <w:lang w:val="pl-PL"/>
              </w:rPr>
              <w:t xml:space="preserve">Oprócz </w:t>
            </w:r>
            <w:r w:rsidRPr="00DC40BE">
              <w:rPr>
                <w:rFonts w:ascii="Times New Roman" w:hAnsi="Times New Roman"/>
                <w:b/>
                <w:noProof/>
                <w:sz w:val="24"/>
                <w:lang w:val="pl-PL"/>
              </w:rPr>
              <w:t>wielojęzycznej strony internetowej EIO</w:t>
            </w:r>
            <w:r w:rsidRPr="00DC40BE">
              <w:rPr>
                <w:rFonts w:ascii="Times New Roman" w:hAnsi="Times New Roman"/>
                <w:noProof/>
                <w:sz w:val="24"/>
                <w:lang w:val="pl-PL"/>
              </w:rPr>
              <w:t>(</w:t>
            </w:r>
            <w:r w:rsidRPr="00DC40BE">
              <w:rPr>
                <w:rStyle w:val="Odwoanieprzypisudolnego"/>
                <w:rFonts w:ascii="Times New Roman" w:hAnsi="Times New Roman" w:cs="Times New Roman"/>
                <w:b/>
                <w:noProof/>
                <w:sz w:val="24"/>
                <w:lang w:val="pl-PL"/>
              </w:rPr>
              <w:footnoteReference w:id="80"/>
            </w:r>
            <w:r w:rsidRPr="00DC40BE">
              <w:rPr>
                <w:rFonts w:ascii="Times New Roman" w:hAnsi="Times New Roman"/>
                <w:noProof/>
                <w:sz w:val="24"/>
                <w:lang w:val="pl-PL"/>
              </w:rPr>
              <w:t>),</w:t>
            </w:r>
            <w:r w:rsidR="00DC40BE" w:rsidRPr="00DC40BE">
              <w:rPr>
                <w:rFonts w:ascii="Times New Roman" w:hAnsi="Times New Roman"/>
                <w:noProof/>
                <w:sz w:val="24"/>
                <w:lang w:val="pl-PL"/>
              </w:rPr>
              <w:t xml:space="preserve"> </w:t>
            </w:r>
            <w:r w:rsidRPr="00DC40BE">
              <w:rPr>
                <w:rFonts w:ascii="Times New Roman" w:hAnsi="Times New Roman"/>
                <w:noProof/>
                <w:sz w:val="24"/>
                <w:lang w:val="pl-PL"/>
              </w:rPr>
              <w:t xml:space="preserve">informacje na jej temat są udostępniane za pośrednictwem: </w:t>
            </w:r>
            <w:r w:rsidRPr="00DC40BE">
              <w:rPr>
                <w:rFonts w:ascii="Times New Roman" w:hAnsi="Times New Roman"/>
                <w:b/>
                <w:noProof/>
                <w:sz w:val="24"/>
                <w:lang w:val="pl-PL"/>
              </w:rPr>
              <w:t>comiesięcznego biuletynu EIO(</w:t>
            </w:r>
            <w:r w:rsidRPr="00DC40BE">
              <w:rPr>
                <w:rStyle w:val="Odwoanieprzypisudolnego"/>
                <w:rFonts w:ascii="Times New Roman" w:hAnsi="Times New Roman" w:cs="Times New Roman"/>
                <w:b/>
                <w:noProof/>
                <w:sz w:val="24"/>
                <w:lang w:val="pl-PL"/>
              </w:rPr>
              <w:footnoteReference w:id="81"/>
            </w:r>
            <w:r w:rsidRPr="00DC40BE">
              <w:rPr>
                <w:rFonts w:ascii="Times New Roman" w:hAnsi="Times New Roman"/>
                <w:b/>
                <w:noProof/>
                <w:sz w:val="24"/>
                <w:lang w:val="pl-PL"/>
              </w:rPr>
              <w:t>)</w:t>
            </w:r>
            <w:r w:rsidRPr="00DC40BE">
              <w:rPr>
                <w:rFonts w:ascii="Times New Roman" w:hAnsi="Times New Roman"/>
                <w:noProof/>
                <w:sz w:val="24"/>
                <w:lang w:val="pl-PL"/>
              </w:rPr>
              <w:t xml:space="preserve"> (dostępnego we wszystkich językach UE dzięki wykorzystaniu tłumaczenia maszynowego); </w:t>
            </w:r>
            <w:r w:rsidRPr="00DC40BE">
              <w:rPr>
                <w:rFonts w:ascii="Times New Roman" w:hAnsi="Times New Roman"/>
                <w:b/>
                <w:noProof/>
                <w:sz w:val="24"/>
                <w:lang w:val="pl-PL"/>
              </w:rPr>
              <w:t>kampanii</w:t>
            </w:r>
            <w:r w:rsidR="00DC40BE" w:rsidRPr="00DC40BE">
              <w:rPr>
                <w:rFonts w:ascii="Times New Roman" w:hAnsi="Times New Roman"/>
                <w:b/>
                <w:noProof/>
                <w:sz w:val="24"/>
                <w:lang w:val="pl-PL"/>
              </w:rPr>
              <w:t xml:space="preserve"> w med</w:t>
            </w:r>
            <w:r w:rsidRPr="00DC40BE">
              <w:rPr>
                <w:rFonts w:ascii="Times New Roman" w:hAnsi="Times New Roman"/>
                <w:b/>
                <w:noProof/>
                <w:sz w:val="24"/>
                <w:lang w:val="pl-PL"/>
              </w:rPr>
              <w:t>iach społecznościowych</w:t>
            </w:r>
            <w:r w:rsidR="00DC40BE" w:rsidRPr="00DC40BE">
              <w:rPr>
                <w:rFonts w:ascii="Times New Roman" w:hAnsi="Times New Roman"/>
                <w:b/>
                <w:noProof/>
                <w:sz w:val="24"/>
                <w:lang w:val="pl-PL"/>
              </w:rPr>
              <w:t xml:space="preserve"> w cał</w:t>
            </w:r>
            <w:r w:rsidRPr="00DC40BE">
              <w:rPr>
                <w:rFonts w:ascii="Times New Roman" w:hAnsi="Times New Roman"/>
                <w:b/>
                <w:noProof/>
                <w:sz w:val="24"/>
                <w:lang w:val="pl-PL"/>
              </w:rPr>
              <w:t>ej UE-27</w:t>
            </w:r>
            <w:r w:rsidRPr="00DC40BE">
              <w:rPr>
                <w:rFonts w:ascii="Times New Roman" w:hAnsi="Times New Roman"/>
                <w:noProof/>
                <w:sz w:val="24"/>
                <w:lang w:val="pl-PL"/>
              </w:rPr>
              <w:t xml:space="preserve">; obecności podczas </w:t>
            </w:r>
            <w:r w:rsidRPr="00DC40BE">
              <w:rPr>
                <w:rFonts w:ascii="Times New Roman" w:hAnsi="Times New Roman"/>
                <w:b/>
                <w:noProof/>
                <w:sz w:val="24"/>
                <w:lang w:val="pl-PL"/>
              </w:rPr>
              <w:t>festiwali poświęconych młodzieży/demokracji organizowanych na poziomie krajowym</w:t>
            </w:r>
            <w:r w:rsidRPr="00DC40BE">
              <w:rPr>
                <w:rFonts w:ascii="Times New Roman" w:hAnsi="Times New Roman"/>
                <w:noProof/>
                <w:sz w:val="24"/>
                <w:lang w:val="pl-PL"/>
              </w:rPr>
              <w:t>;</w:t>
            </w:r>
            <w:r w:rsidRPr="00DC40BE">
              <w:rPr>
                <w:rFonts w:ascii="Times New Roman" w:hAnsi="Times New Roman"/>
                <w:b/>
                <w:noProof/>
                <w:sz w:val="24"/>
                <w:lang w:val="pl-PL"/>
              </w:rPr>
              <w:t xml:space="preserve"> kontaktów</w:t>
            </w:r>
            <w:r w:rsidR="00DC40BE" w:rsidRPr="00DC40BE">
              <w:rPr>
                <w:rFonts w:ascii="Times New Roman" w:hAnsi="Times New Roman"/>
                <w:b/>
                <w:noProof/>
                <w:sz w:val="24"/>
                <w:lang w:val="pl-PL"/>
              </w:rPr>
              <w:t xml:space="preserve"> z med</w:t>
            </w:r>
            <w:r w:rsidRPr="00DC40BE">
              <w:rPr>
                <w:rFonts w:ascii="Times New Roman" w:hAnsi="Times New Roman"/>
                <w:b/>
                <w:noProof/>
                <w:sz w:val="24"/>
                <w:lang w:val="pl-PL"/>
              </w:rPr>
              <w:t>iami</w:t>
            </w:r>
            <w:r w:rsidRPr="00DC40BE">
              <w:rPr>
                <w:rFonts w:ascii="Times New Roman" w:hAnsi="Times New Roman"/>
                <w:noProof/>
                <w:sz w:val="24"/>
                <w:lang w:val="pl-PL"/>
              </w:rPr>
              <w:t xml:space="preserve">, </w:t>
            </w:r>
            <w:r w:rsidRPr="00DC40BE">
              <w:rPr>
                <w:rFonts w:ascii="Times New Roman" w:hAnsi="Times New Roman"/>
                <w:b/>
                <w:noProof/>
                <w:sz w:val="24"/>
                <w:lang w:val="pl-PL"/>
              </w:rPr>
              <w:t>seminariów internetowych</w:t>
            </w:r>
            <w:r w:rsidR="00DC40BE" w:rsidRPr="00DC40BE">
              <w:rPr>
                <w:rFonts w:ascii="Times New Roman" w:hAnsi="Times New Roman"/>
                <w:noProof/>
                <w:sz w:val="24"/>
                <w:lang w:val="pl-PL"/>
              </w:rPr>
              <w:t xml:space="preserve"> i ses</w:t>
            </w:r>
            <w:r w:rsidRPr="00DC40BE">
              <w:rPr>
                <w:rFonts w:ascii="Times New Roman" w:hAnsi="Times New Roman"/>
                <w:noProof/>
                <w:sz w:val="24"/>
                <w:lang w:val="pl-PL"/>
              </w:rPr>
              <w:t>ji informacyjnych skierowanych do społeczeństwa lub do podmiotów opiniotwórczych, które pomagają rozpowszechniać informacje na szczeblu krajowym;</w:t>
            </w:r>
            <w:r w:rsidR="00DC40BE" w:rsidRPr="00DC40BE">
              <w:rPr>
                <w:rFonts w:ascii="Times New Roman" w:hAnsi="Times New Roman"/>
                <w:noProof/>
                <w:sz w:val="24"/>
                <w:lang w:val="pl-PL"/>
              </w:rPr>
              <w:t xml:space="preserve"> i </w:t>
            </w:r>
            <w:r w:rsidR="00DC40BE" w:rsidRPr="00DC40BE">
              <w:rPr>
                <w:rFonts w:ascii="Times New Roman" w:hAnsi="Times New Roman"/>
                <w:b/>
                <w:noProof/>
                <w:sz w:val="24"/>
                <w:lang w:val="pl-PL"/>
              </w:rPr>
              <w:t>ser</w:t>
            </w:r>
            <w:r w:rsidRPr="00DC40BE">
              <w:rPr>
                <w:rFonts w:ascii="Times New Roman" w:hAnsi="Times New Roman"/>
                <w:b/>
                <w:noProof/>
                <w:sz w:val="24"/>
                <w:lang w:val="pl-PL"/>
              </w:rPr>
              <w:t>ii podcastów(</w:t>
            </w:r>
            <w:r w:rsidRPr="00DC40BE">
              <w:rPr>
                <w:rStyle w:val="Odwoanieprzypisudolnego"/>
                <w:rFonts w:ascii="Times New Roman" w:hAnsi="Times New Roman" w:cs="Times New Roman"/>
                <w:b/>
                <w:noProof/>
                <w:sz w:val="24"/>
                <w:lang w:val="pl-PL"/>
              </w:rPr>
              <w:footnoteReference w:id="82"/>
            </w:r>
            <w:r w:rsidRPr="00DC40BE">
              <w:rPr>
                <w:rFonts w:ascii="Times New Roman" w:hAnsi="Times New Roman"/>
                <w:b/>
                <w:noProof/>
                <w:sz w:val="24"/>
                <w:lang w:val="pl-PL"/>
              </w:rPr>
              <w:t>)</w:t>
            </w:r>
            <w:r w:rsidRPr="00DC40BE">
              <w:rPr>
                <w:rFonts w:ascii="Times New Roman" w:hAnsi="Times New Roman"/>
                <w:noProof/>
                <w:sz w:val="24"/>
                <w:lang w:val="pl-PL"/>
              </w:rPr>
              <w:t xml:space="preserve">. </w:t>
            </w:r>
          </w:p>
          <w:p w14:paraId="25D100DC" w14:textId="70C48D7F" w:rsidR="001530D3" w:rsidRPr="00DC40BE" w:rsidRDefault="001530D3" w:rsidP="00E8781C">
            <w:pPr>
              <w:pStyle w:val="Akapitzlist"/>
              <w:numPr>
                <w:ilvl w:val="0"/>
                <w:numId w:val="33"/>
              </w:numPr>
              <w:spacing w:before="100" w:beforeAutospacing="1" w:after="100" w:afterAutospacing="1"/>
              <w:jc w:val="both"/>
              <w:rPr>
                <w:rFonts w:ascii="Times New Roman" w:hAnsi="Times New Roman" w:cs="Times New Roman"/>
                <w:noProof/>
                <w:sz w:val="24"/>
                <w:lang w:val="pl-PL"/>
              </w:rPr>
            </w:pPr>
            <w:r w:rsidRPr="00DC40BE">
              <w:rPr>
                <w:rFonts w:ascii="Times New Roman" w:hAnsi="Times New Roman"/>
                <w:noProof/>
                <w:sz w:val="24"/>
                <w:lang w:val="pl-PL"/>
              </w:rPr>
              <w:t xml:space="preserve">Najważniejszą grupą docelową są </w:t>
            </w:r>
            <w:r w:rsidRPr="00DC40BE">
              <w:rPr>
                <w:rFonts w:ascii="Times New Roman" w:hAnsi="Times New Roman"/>
                <w:b/>
                <w:noProof/>
                <w:sz w:val="24"/>
                <w:lang w:val="pl-PL"/>
              </w:rPr>
              <w:t>osoby młode</w:t>
            </w:r>
            <w:r w:rsidR="00DC40BE" w:rsidRPr="00DC40BE">
              <w:rPr>
                <w:rFonts w:ascii="Times New Roman" w:hAnsi="Times New Roman"/>
                <w:noProof/>
                <w:sz w:val="24"/>
                <w:lang w:val="pl-PL"/>
              </w:rPr>
              <w:t>. W cze</w:t>
            </w:r>
            <w:r w:rsidRPr="00DC40BE">
              <w:rPr>
                <w:rFonts w:ascii="Times New Roman" w:hAnsi="Times New Roman"/>
                <w:noProof/>
                <w:sz w:val="24"/>
                <w:lang w:val="pl-PL"/>
              </w:rPr>
              <w:t>rwcu 2023</w:t>
            </w:r>
            <w:r w:rsidR="00DC40BE" w:rsidRPr="00DC40BE">
              <w:rPr>
                <w:rFonts w:ascii="Times New Roman" w:hAnsi="Times New Roman"/>
                <w:noProof/>
                <w:sz w:val="24"/>
                <w:lang w:val="pl-PL"/>
              </w:rPr>
              <w:t> </w:t>
            </w:r>
            <w:r w:rsidRPr="00DC40BE">
              <w:rPr>
                <w:rFonts w:ascii="Times New Roman" w:hAnsi="Times New Roman"/>
                <w:noProof/>
                <w:sz w:val="24"/>
                <w:lang w:val="pl-PL"/>
              </w:rPr>
              <w:t xml:space="preserve">r. udostępniono </w:t>
            </w:r>
            <w:r w:rsidRPr="00DC40BE">
              <w:rPr>
                <w:rFonts w:ascii="Times New Roman" w:hAnsi="Times New Roman"/>
                <w:b/>
                <w:noProof/>
                <w:sz w:val="24"/>
                <w:lang w:val="pl-PL"/>
              </w:rPr>
              <w:t>wielojęzyczny zestaw narzędzi edukacyjnych(</w:t>
            </w:r>
            <w:r w:rsidRPr="00DC40BE">
              <w:rPr>
                <w:rStyle w:val="Odwoanieprzypisudolnego"/>
                <w:rFonts w:ascii="Times New Roman" w:hAnsi="Times New Roman" w:cs="Times New Roman"/>
                <w:b/>
                <w:noProof/>
                <w:sz w:val="24"/>
                <w:lang w:val="pl-PL"/>
              </w:rPr>
              <w:footnoteReference w:id="83"/>
            </w:r>
            <w:r w:rsidRPr="00DC40BE">
              <w:rPr>
                <w:rFonts w:ascii="Times New Roman" w:hAnsi="Times New Roman"/>
                <w:b/>
                <w:noProof/>
                <w:sz w:val="24"/>
                <w:lang w:val="pl-PL"/>
              </w:rPr>
              <w:t>)</w:t>
            </w:r>
            <w:r w:rsidRPr="00DC40BE">
              <w:rPr>
                <w:rFonts w:ascii="Times New Roman" w:hAnsi="Times New Roman"/>
                <w:noProof/>
                <w:sz w:val="24"/>
                <w:lang w:val="pl-PL"/>
              </w:rPr>
              <w:t>, umożliwiający nauczycielom angażowanie uczniów ostatnich klas szkół średnich</w:t>
            </w:r>
            <w:r w:rsidR="00DC40BE" w:rsidRPr="00DC40BE">
              <w:rPr>
                <w:rFonts w:ascii="Times New Roman" w:hAnsi="Times New Roman"/>
                <w:noProof/>
                <w:sz w:val="24"/>
                <w:lang w:val="pl-PL"/>
              </w:rPr>
              <w:t xml:space="preserve"> w dys</w:t>
            </w:r>
            <w:r w:rsidRPr="00DC40BE">
              <w:rPr>
                <w:rFonts w:ascii="Times New Roman" w:hAnsi="Times New Roman"/>
                <w:noProof/>
                <w:sz w:val="24"/>
                <w:lang w:val="pl-PL"/>
              </w:rPr>
              <w:t>kusje</w:t>
            </w:r>
            <w:r w:rsidR="00DC40BE" w:rsidRPr="00DC40BE">
              <w:rPr>
                <w:rFonts w:ascii="Times New Roman" w:hAnsi="Times New Roman"/>
                <w:noProof/>
                <w:sz w:val="24"/>
                <w:lang w:val="pl-PL"/>
              </w:rPr>
              <w:t xml:space="preserve"> i dzi</w:t>
            </w:r>
            <w:r w:rsidRPr="00DC40BE">
              <w:rPr>
                <w:rFonts w:ascii="Times New Roman" w:hAnsi="Times New Roman"/>
                <w:noProof/>
                <w:sz w:val="24"/>
                <w:lang w:val="pl-PL"/>
              </w:rPr>
              <w:t>ałania związane</w:t>
            </w:r>
            <w:r w:rsidR="00DC40BE" w:rsidRPr="00DC40BE">
              <w:rPr>
                <w:rFonts w:ascii="Times New Roman" w:hAnsi="Times New Roman"/>
                <w:noProof/>
                <w:sz w:val="24"/>
                <w:lang w:val="pl-PL"/>
              </w:rPr>
              <w:t xml:space="preserve"> z akt</w:t>
            </w:r>
            <w:r w:rsidRPr="00DC40BE">
              <w:rPr>
                <w:rFonts w:ascii="Times New Roman" w:hAnsi="Times New Roman"/>
                <w:noProof/>
                <w:sz w:val="24"/>
                <w:lang w:val="pl-PL"/>
              </w:rPr>
              <w:t>ywnym obywatelstwem Unii oraz</w:t>
            </w:r>
            <w:r w:rsidR="00DC40BE" w:rsidRPr="00DC40BE">
              <w:rPr>
                <w:rFonts w:ascii="Times New Roman" w:hAnsi="Times New Roman"/>
                <w:noProof/>
                <w:sz w:val="24"/>
                <w:lang w:val="pl-PL"/>
              </w:rPr>
              <w:t xml:space="preserve"> z dos</w:t>
            </w:r>
            <w:r w:rsidRPr="00DC40BE">
              <w:rPr>
                <w:rFonts w:ascii="Times New Roman" w:hAnsi="Times New Roman"/>
                <w:noProof/>
                <w:sz w:val="24"/>
                <w:lang w:val="pl-PL"/>
              </w:rPr>
              <w:t>tępnymi na szczeblu UE narzędziami,</w:t>
            </w:r>
            <w:r w:rsidR="00DC40BE" w:rsidRPr="00DC40BE">
              <w:rPr>
                <w:rFonts w:ascii="Times New Roman" w:hAnsi="Times New Roman"/>
                <w:noProof/>
                <w:sz w:val="24"/>
                <w:lang w:val="pl-PL"/>
              </w:rPr>
              <w:t xml:space="preserve"> w tym</w:t>
            </w:r>
            <w:r w:rsidRPr="00DC40BE">
              <w:rPr>
                <w:rFonts w:ascii="Times New Roman" w:hAnsi="Times New Roman"/>
                <w:noProof/>
                <w:sz w:val="24"/>
                <w:lang w:val="pl-PL"/>
              </w:rPr>
              <w:t xml:space="preserve"> z EIO. Towarzyszy mu </w:t>
            </w:r>
            <w:r w:rsidRPr="00DC40BE">
              <w:rPr>
                <w:rFonts w:ascii="Times New Roman" w:hAnsi="Times New Roman"/>
                <w:b/>
                <w:noProof/>
                <w:sz w:val="24"/>
                <w:lang w:val="pl-PL"/>
              </w:rPr>
              <w:t>konkurs wideo(</w:t>
            </w:r>
            <w:r w:rsidRPr="00DC40BE">
              <w:rPr>
                <w:rStyle w:val="Odwoanieprzypisudolnego"/>
                <w:rFonts w:ascii="Times New Roman" w:hAnsi="Times New Roman" w:cs="Times New Roman"/>
                <w:b/>
                <w:noProof/>
                <w:sz w:val="24"/>
                <w:lang w:val="pl-PL"/>
              </w:rPr>
              <w:footnoteReference w:id="84"/>
            </w:r>
            <w:r w:rsidRPr="00DC40BE">
              <w:rPr>
                <w:rFonts w:ascii="Times New Roman" w:hAnsi="Times New Roman"/>
                <w:b/>
                <w:noProof/>
                <w:sz w:val="24"/>
                <w:lang w:val="pl-PL"/>
              </w:rPr>
              <w:t>) dla studentów</w:t>
            </w:r>
            <w:r w:rsidRPr="00DC40BE">
              <w:rPr>
                <w:rFonts w:ascii="Times New Roman" w:hAnsi="Times New Roman"/>
                <w:noProof/>
                <w:sz w:val="24"/>
                <w:lang w:val="pl-PL"/>
              </w:rPr>
              <w:t>, który rozpocznie się</w:t>
            </w:r>
            <w:r w:rsidR="00DC40BE" w:rsidRPr="00DC40BE">
              <w:rPr>
                <w:rFonts w:ascii="Times New Roman" w:hAnsi="Times New Roman"/>
                <w:noProof/>
                <w:sz w:val="24"/>
                <w:lang w:val="pl-PL"/>
              </w:rPr>
              <w:t xml:space="preserve"> w paź</w:t>
            </w:r>
            <w:r w:rsidRPr="00DC40BE">
              <w:rPr>
                <w:rFonts w:ascii="Times New Roman" w:hAnsi="Times New Roman"/>
                <w:noProof/>
                <w:sz w:val="24"/>
                <w:lang w:val="pl-PL"/>
              </w:rPr>
              <w:t>dzierniku 2023</w:t>
            </w:r>
            <w:r w:rsidR="00DC40BE" w:rsidRPr="00DC40BE">
              <w:rPr>
                <w:rFonts w:ascii="Times New Roman" w:hAnsi="Times New Roman"/>
                <w:noProof/>
                <w:sz w:val="24"/>
                <w:lang w:val="pl-PL"/>
              </w:rPr>
              <w:t> </w:t>
            </w:r>
            <w:r w:rsidRPr="00DC40BE">
              <w:rPr>
                <w:rFonts w:ascii="Times New Roman" w:hAnsi="Times New Roman"/>
                <w:noProof/>
                <w:sz w:val="24"/>
                <w:lang w:val="pl-PL"/>
              </w:rPr>
              <w:t>r.</w:t>
            </w:r>
          </w:p>
          <w:p w14:paraId="1B7F4514" w14:textId="77777777" w:rsidR="001530D3" w:rsidRPr="00DC40BE" w:rsidRDefault="001530D3" w:rsidP="00E8781C">
            <w:pPr>
              <w:pStyle w:val="Akapitzlist"/>
              <w:spacing w:before="100" w:beforeAutospacing="1" w:after="100" w:afterAutospacing="1"/>
              <w:ind w:left="360"/>
              <w:jc w:val="both"/>
              <w:rPr>
                <w:rFonts w:ascii="Times New Roman" w:hAnsi="Times New Roman" w:cs="Times New Roman"/>
                <w:noProof/>
                <w:sz w:val="24"/>
                <w:lang w:val="pl-PL"/>
              </w:rPr>
            </w:pPr>
          </w:p>
          <w:p w14:paraId="3749129E" w14:textId="7CA2749A" w:rsidR="001530D3" w:rsidRPr="00DC40BE" w:rsidRDefault="001530D3" w:rsidP="00E8781C">
            <w:pPr>
              <w:pStyle w:val="Akapitzlist"/>
              <w:numPr>
                <w:ilvl w:val="0"/>
                <w:numId w:val="33"/>
              </w:numPr>
              <w:spacing w:before="100" w:beforeAutospacing="1" w:after="100" w:afterAutospacing="1"/>
              <w:jc w:val="both"/>
              <w:rPr>
                <w:noProof/>
                <w:lang w:val="pl-PL"/>
              </w:rPr>
            </w:pPr>
            <w:r w:rsidRPr="00DC40BE">
              <w:rPr>
                <w:rFonts w:ascii="Times New Roman" w:hAnsi="Times New Roman"/>
                <w:noProof/>
                <w:sz w:val="24"/>
                <w:lang w:val="pl-PL"/>
              </w:rPr>
              <w:lastRenderedPageBreak/>
              <w:t xml:space="preserve">Utworzono </w:t>
            </w:r>
            <w:r w:rsidRPr="00DC40BE">
              <w:rPr>
                <w:rFonts w:ascii="Times New Roman" w:hAnsi="Times New Roman"/>
                <w:b/>
                <w:noProof/>
                <w:sz w:val="24"/>
                <w:lang w:val="pl-PL"/>
              </w:rPr>
              <w:t>sieć ambasadorów</w:t>
            </w:r>
            <w:r w:rsidR="00DC40BE" w:rsidRPr="00DC40BE">
              <w:rPr>
                <w:rFonts w:ascii="Times New Roman" w:hAnsi="Times New Roman"/>
                <w:b/>
                <w:noProof/>
                <w:sz w:val="24"/>
                <w:lang w:val="pl-PL"/>
              </w:rPr>
              <w:t xml:space="preserve"> i pod</w:t>
            </w:r>
            <w:r w:rsidRPr="00DC40BE">
              <w:rPr>
                <w:rFonts w:ascii="Times New Roman" w:hAnsi="Times New Roman"/>
                <w:b/>
                <w:noProof/>
                <w:sz w:val="24"/>
                <w:lang w:val="pl-PL"/>
              </w:rPr>
              <w:t>miotów opiniotwórczych</w:t>
            </w:r>
            <w:r w:rsidRPr="00DC40BE">
              <w:rPr>
                <w:rFonts w:ascii="Times New Roman" w:hAnsi="Times New Roman"/>
                <w:noProof/>
                <w:sz w:val="24"/>
                <w:lang w:val="pl-PL"/>
              </w:rPr>
              <w:t>, aby pomóc</w:t>
            </w:r>
            <w:r w:rsidR="00DC40BE" w:rsidRPr="00DC40BE">
              <w:rPr>
                <w:rFonts w:ascii="Times New Roman" w:hAnsi="Times New Roman"/>
                <w:noProof/>
                <w:sz w:val="24"/>
                <w:lang w:val="pl-PL"/>
              </w:rPr>
              <w:t xml:space="preserve"> w roz</w:t>
            </w:r>
            <w:r w:rsidRPr="00DC40BE">
              <w:rPr>
                <w:rFonts w:ascii="Times New Roman" w:hAnsi="Times New Roman"/>
                <w:noProof/>
                <w:sz w:val="24"/>
                <w:lang w:val="pl-PL"/>
              </w:rPr>
              <w:t>powszechnianiu przekazu na szczeblu krajowym</w:t>
            </w:r>
            <w:r w:rsidR="00DC40BE" w:rsidRPr="00DC40BE">
              <w:rPr>
                <w:rFonts w:ascii="Times New Roman" w:hAnsi="Times New Roman"/>
                <w:noProof/>
                <w:sz w:val="24"/>
                <w:lang w:val="pl-PL"/>
              </w:rPr>
              <w:t xml:space="preserve"> i lok</w:t>
            </w:r>
            <w:r w:rsidRPr="00DC40BE">
              <w:rPr>
                <w:rFonts w:ascii="Times New Roman" w:hAnsi="Times New Roman"/>
                <w:noProof/>
                <w:sz w:val="24"/>
                <w:lang w:val="pl-PL"/>
              </w:rPr>
              <w:t>alnym</w:t>
            </w:r>
            <w:r w:rsidR="00DC40BE" w:rsidRPr="00DC40BE">
              <w:rPr>
                <w:rFonts w:ascii="Times New Roman" w:hAnsi="Times New Roman"/>
                <w:noProof/>
                <w:sz w:val="24"/>
                <w:lang w:val="pl-PL"/>
              </w:rPr>
              <w:t>. W jeg</w:t>
            </w:r>
            <w:r w:rsidRPr="00DC40BE">
              <w:rPr>
                <w:rFonts w:ascii="Times New Roman" w:hAnsi="Times New Roman"/>
                <w:noProof/>
                <w:sz w:val="24"/>
                <w:lang w:val="pl-PL"/>
              </w:rPr>
              <w:t xml:space="preserve">o skład wchodzą </w:t>
            </w:r>
            <w:r w:rsidRPr="00DC40BE">
              <w:rPr>
                <w:rFonts w:ascii="Times New Roman" w:hAnsi="Times New Roman"/>
                <w:b/>
                <w:noProof/>
                <w:sz w:val="24"/>
                <w:lang w:val="pl-PL"/>
              </w:rPr>
              <w:t>krajowe punkty kontaktowe(</w:t>
            </w:r>
            <w:r w:rsidRPr="00DC40BE">
              <w:rPr>
                <w:rStyle w:val="Odwoanieprzypisudolnego"/>
                <w:rFonts w:ascii="Times New Roman" w:hAnsi="Times New Roman" w:cs="Times New Roman"/>
                <w:b/>
                <w:noProof/>
                <w:sz w:val="24"/>
                <w:lang w:val="pl-PL"/>
              </w:rPr>
              <w:footnoteReference w:id="85"/>
            </w:r>
            <w:r w:rsidRPr="00DC40BE">
              <w:rPr>
                <w:rFonts w:ascii="Times New Roman" w:hAnsi="Times New Roman"/>
                <w:b/>
                <w:noProof/>
                <w:sz w:val="24"/>
                <w:lang w:val="pl-PL"/>
              </w:rPr>
              <w:t>)</w:t>
            </w:r>
            <w:r w:rsidRPr="00DC40BE">
              <w:rPr>
                <w:rFonts w:ascii="Times New Roman" w:hAnsi="Times New Roman"/>
                <w:noProof/>
                <w:sz w:val="24"/>
                <w:lang w:val="pl-PL"/>
              </w:rPr>
              <w:t xml:space="preserve">, </w:t>
            </w:r>
            <w:r w:rsidRPr="00DC40BE">
              <w:rPr>
                <w:rFonts w:ascii="Times New Roman" w:hAnsi="Times New Roman"/>
                <w:b/>
                <w:noProof/>
                <w:sz w:val="24"/>
                <w:lang w:val="pl-PL"/>
              </w:rPr>
              <w:t>ambasadorzy EIO (</w:t>
            </w:r>
            <w:r w:rsidRPr="00DC40BE">
              <w:rPr>
                <w:rStyle w:val="Odwoanieprzypisudolnego"/>
                <w:rFonts w:ascii="Times New Roman" w:hAnsi="Times New Roman" w:cs="Times New Roman"/>
                <w:b/>
                <w:noProof/>
                <w:sz w:val="24"/>
                <w:lang w:val="pl-PL"/>
              </w:rPr>
              <w:footnoteReference w:id="86"/>
            </w:r>
            <w:r w:rsidRPr="00DC40BE">
              <w:rPr>
                <w:rFonts w:ascii="Times New Roman" w:hAnsi="Times New Roman"/>
                <w:b/>
                <w:noProof/>
                <w:sz w:val="24"/>
                <w:lang w:val="pl-PL"/>
              </w:rPr>
              <w:t>)</w:t>
            </w:r>
            <w:r w:rsidRPr="00DC40BE">
              <w:rPr>
                <w:rFonts w:ascii="Times New Roman" w:hAnsi="Times New Roman"/>
                <w:noProof/>
                <w:sz w:val="24"/>
                <w:lang w:val="pl-PL"/>
              </w:rPr>
              <w:t xml:space="preserve"> (reprezentujący najważniejsze organizacje społeczeństwa obywatelskiego), centra Europe Direct (</w:t>
            </w:r>
            <w:r w:rsidRPr="00DC40BE">
              <w:rPr>
                <w:rStyle w:val="Odwoanieprzypisudolnego"/>
                <w:rFonts w:ascii="Times New Roman" w:hAnsi="Times New Roman" w:cs="Times New Roman"/>
                <w:noProof/>
                <w:sz w:val="24"/>
                <w:lang w:val="pl-PL"/>
              </w:rPr>
              <w:footnoteReference w:id="87"/>
            </w:r>
            <w:r w:rsidRPr="00DC40BE">
              <w:rPr>
                <w:rFonts w:ascii="Times New Roman" w:hAnsi="Times New Roman"/>
                <w:noProof/>
                <w:sz w:val="24"/>
                <w:lang w:val="pl-PL"/>
              </w:rPr>
              <w:t xml:space="preserve">), oraz </w:t>
            </w:r>
            <w:r w:rsidRPr="00DC40BE">
              <w:rPr>
                <w:rFonts w:ascii="Times New Roman" w:hAnsi="Times New Roman"/>
                <w:b/>
                <w:noProof/>
                <w:sz w:val="24"/>
                <w:lang w:val="pl-PL"/>
              </w:rPr>
              <w:t>inne unijne instytucje</w:t>
            </w:r>
            <w:r w:rsidR="00DC40BE" w:rsidRPr="00DC40BE">
              <w:rPr>
                <w:rFonts w:ascii="Times New Roman" w:hAnsi="Times New Roman"/>
                <w:b/>
                <w:noProof/>
                <w:sz w:val="24"/>
                <w:lang w:val="pl-PL"/>
              </w:rPr>
              <w:t xml:space="preserve"> i par</w:t>
            </w:r>
            <w:r w:rsidRPr="00DC40BE">
              <w:rPr>
                <w:rFonts w:ascii="Times New Roman" w:hAnsi="Times New Roman"/>
                <w:b/>
                <w:noProof/>
                <w:sz w:val="24"/>
                <w:lang w:val="pl-PL"/>
              </w:rPr>
              <w:t>tnerzy</w:t>
            </w:r>
            <w:r w:rsidRPr="00DC40BE">
              <w:rPr>
                <w:rFonts w:ascii="Times New Roman" w:hAnsi="Times New Roman"/>
                <w:noProof/>
                <w:sz w:val="24"/>
                <w:lang w:val="pl-PL"/>
              </w:rPr>
              <w:t>.</w:t>
            </w:r>
          </w:p>
        </w:tc>
      </w:tr>
    </w:tbl>
    <w:p w14:paraId="3FEF87BD" w14:textId="77777777" w:rsidR="00222CE1" w:rsidRPr="00DC40BE" w:rsidRDefault="00222CE1" w:rsidP="00E8781C">
      <w:pPr>
        <w:spacing w:before="100" w:beforeAutospacing="1" w:after="100" w:afterAutospacing="1" w:line="276" w:lineRule="auto"/>
        <w:rPr>
          <w:noProof/>
          <w:lang w:val="pl-PL"/>
        </w:rPr>
      </w:pPr>
    </w:p>
    <w:p w14:paraId="78A7CFFF" w14:textId="5F8E71E2" w:rsidR="00222CE1" w:rsidRPr="00DC40BE" w:rsidRDefault="005A4888" w:rsidP="00E8781C">
      <w:pPr>
        <w:spacing w:before="100" w:beforeAutospacing="1" w:after="100" w:afterAutospacing="1" w:line="276" w:lineRule="auto"/>
        <w:rPr>
          <w:noProof/>
          <w:lang w:val="pl-PL"/>
        </w:rPr>
      </w:pPr>
      <w:r w:rsidRPr="00DC40BE">
        <w:rPr>
          <w:noProof/>
          <w:lang w:val="pl-PL"/>
        </w:rPr>
        <w:t>Komisja zapewnia promocję EIO również podczas dnia otwartego Komisji(</w:t>
      </w:r>
      <w:r w:rsidRPr="00DC40BE">
        <w:rPr>
          <w:rStyle w:val="Odwoanieprzypisudolnego"/>
          <w:noProof/>
          <w:lang w:val="pl-PL"/>
        </w:rPr>
        <w:footnoteReference w:id="88"/>
      </w:r>
      <w:r w:rsidRPr="00DC40BE">
        <w:rPr>
          <w:noProof/>
          <w:lang w:val="pl-PL"/>
        </w:rPr>
        <w:t>) przypadającego na początku maja każdego roku oraz podczas wydarzeń organizowanych przez inne instytucje UE, takich jak Dzień EIO(</w:t>
      </w:r>
      <w:r w:rsidRPr="00DC40BE">
        <w:rPr>
          <w:rStyle w:val="Odwoanieprzypisudolnego"/>
          <w:noProof/>
          <w:lang w:val="pl-PL"/>
        </w:rPr>
        <w:footnoteReference w:id="89"/>
      </w:r>
      <w:r w:rsidRPr="00DC40BE">
        <w:rPr>
          <w:noProof/>
          <w:lang w:val="pl-PL"/>
        </w:rPr>
        <w:t>), Europejski Tydzień Regionów</w:t>
      </w:r>
      <w:r w:rsidR="00DC40BE" w:rsidRPr="00DC40BE">
        <w:rPr>
          <w:noProof/>
          <w:lang w:val="pl-PL"/>
        </w:rPr>
        <w:t xml:space="preserve"> i Mia</w:t>
      </w:r>
      <w:r w:rsidRPr="00DC40BE">
        <w:rPr>
          <w:noProof/>
          <w:lang w:val="pl-PL"/>
        </w:rPr>
        <w:t>st(</w:t>
      </w:r>
      <w:r w:rsidRPr="00DC40BE">
        <w:rPr>
          <w:rStyle w:val="Odwoanieprzypisudolnego"/>
          <w:noProof/>
          <w:lang w:val="pl-PL"/>
        </w:rPr>
        <w:footnoteReference w:id="90"/>
      </w:r>
      <w:r w:rsidRPr="00DC40BE">
        <w:rPr>
          <w:noProof/>
          <w:lang w:val="pl-PL"/>
        </w:rPr>
        <w:t>) oraz Europejskie Spotkanie Młodzieży(</w:t>
      </w:r>
      <w:r w:rsidRPr="00DC40BE">
        <w:rPr>
          <w:rStyle w:val="Odwoanieprzypisudolnego"/>
          <w:noProof/>
          <w:lang w:val="pl-PL"/>
        </w:rPr>
        <w:footnoteReference w:id="91"/>
      </w:r>
      <w:r w:rsidRPr="00DC40BE">
        <w:rPr>
          <w:noProof/>
          <w:lang w:val="pl-PL"/>
        </w:rPr>
        <w:t>)</w:t>
      </w:r>
      <w:r w:rsidR="00DC40BE" w:rsidRPr="00DC40BE">
        <w:rPr>
          <w:noProof/>
          <w:lang w:val="pl-PL"/>
        </w:rPr>
        <w:t>. W ost</w:t>
      </w:r>
      <w:r w:rsidRPr="00DC40BE">
        <w:rPr>
          <w:noProof/>
          <w:lang w:val="pl-PL"/>
        </w:rPr>
        <w:t>atnim kwartale 2023</w:t>
      </w:r>
      <w:r w:rsidR="00DC40BE" w:rsidRPr="00DC40BE">
        <w:rPr>
          <w:noProof/>
          <w:lang w:val="pl-PL"/>
        </w:rPr>
        <w:t> </w:t>
      </w:r>
      <w:r w:rsidRPr="00DC40BE">
        <w:rPr>
          <w:noProof/>
          <w:lang w:val="pl-PL"/>
        </w:rPr>
        <w:t xml:space="preserve">r. Komisja prowadzi również kampanię informacyjną upamiętniającą </w:t>
      </w:r>
      <w:r w:rsidRPr="00DC40BE">
        <w:rPr>
          <w:b/>
          <w:noProof/>
          <w:lang w:val="pl-PL"/>
        </w:rPr>
        <w:t>30. rocznicę ustanowienia obywatelstwa Unii</w:t>
      </w:r>
      <w:r w:rsidR="00DC40BE" w:rsidRPr="00DC40BE">
        <w:rPr>
          <w:noProof/>
          <w:lang w:val="pl-PL"/>
        </w:rPr>
        <w:t xml:space="preserve"> w cel</w:t>
      </w:r>
      <w:r w:rsidRPr="00DC40BE">
        <w:rPr>
          <w:noProof/>
          <w:lang w:val="pl-PL"/>
        </w:rPr>
        <w:t>u dalszego zwiększenia świadomości</w:t>
      </w:r>
      <w:r w:rsidR="00DC40BE" w:rsidRPr="00DC40BE">
        <w:rPr>
          <w:noProof/>
          <w:lang w:val="pl-PL"/>
        </w:rPr>
        <w:t xml:space="preserve"> i wie</w:t>
      </w:r>
      <w:r w:rsidRPr="00DC40BE">
        <w:rPr>
          <w:noProof/>
          <w:lang w:val="pl-PL"/>
        </w:rPr>
        <w:t>dzy obywateli Unii na temat przysługującym im praw; jednym</w:t>
      </w:r>
      <w:r w:rsidR="00DC40BE" w:rsidRPr="00DC40BE">
        <w:rPr>
          <w:noProof/>
          <w:lang w:val="pl-PL"/>
        </w:rPr>
        <w:t xml:space="preserve"> z pra</w:t>
      </w:r>
      <w:r w:rsidRPr="00DC40BE">
        <w:rPr>
          <w:noProof/>
          <w:lang w:val="pl-PL"/>
        </w:rPr>
        <w:t>w objętych tą kampanią jest EIO.</w:t>
      </w:r>
    </w:p>
    <w:p w14:paraId="485A6DC0" w14:textId="165329EC" w:rsidR="005A4888" w:rsidRPr="00DC40BE" w:rsidRDefault="00C10C6F" w:rsidP="00E8781C">
      <w:pPr>
        <w:spacing w:before="100" w:beforeAutospacing="1" w:after="100" w:afterAutospacing="1" w:line="276" w:lineRule="auto"/>
        <w:rPr>
          <w:noProof/>
          <w:lang w:val="pl-PL"/>
        </w:rPr>
      </w:pPr>
      <w:r w:rsidRPr="00DC40BE">
        <w:rPr>
          <w:noProof/>
          <w:lang w:val="pl-PL"/>
        </w:rPr>
        <w:t>Również inne instytucje</w:t>
      </w:r>
      <w:r w:rsidR="00DC40BE" w:rsidRPr="00DC40BE">
        <w:rPr>
          <w:noProof/>
          <w:lang w:val="pl-PL"/>
        </w:rPr>
        <w:t xml:space="preserve"> i org</w:t>
      </w:r>
      <w:r w:rsidRPr="00DC40BE">
        <w:rPr>
          <w:noProof/>
          <w:lang w:val="pl-PL"/>
        </w:rPr>
        <w:t>any UE przyczyniają się do zwiększania świadomości na temat EIO –</w:t>
      </w:r>
      <w:r w:rsidR="00DC40BE" w:rsidRPr="00DC40BE">
        <w:rPr>
          <w:noProof/>
          <w:lang w:val="pl-PL"/>
        </w:rPr>
        <w:t xml:space="preserve"> w szc</w:t>
      </w:r>
      <w:r w:rsidRPr="00DC40BE">
        <w:rPr>
          <w:noProof/>
          <w:lang w:val="pl-PL"/>
        </w:rPr>
        <w:t>zególności Europejski Komitet Ekonomiczno-Społeczny, który dokonuje tego za pośrednictwem corocznego Dnia EIO, oraz Parlament Europejski, za pośrednictwem wysłuchań</w:t>
      </w:r>
      <w:r w:rsidR="00DC40BE" w:rsidRPr="00DC40BE">
        <w:rPr>
          <w:noProof/>
          <w:lang w:val="pl-PL"/>
        </w:rPr>
        <w:t xml:space="preserve"> i deb</w:t>
      </w:r>
      <w:r w:rsidRPr="00DC40BE">
        <w:rPr>
          <w:noProof/>
          <w:lang w:val="pl-PL"/>
        </w:rPr>
        <w:t xml:space="preserve">at plenarnych na temat EIO. </w:t>
      </w:r>
    </w:p>
    <w:p w14:paraId="503145A0" w14:textId="7B0F19FD" w:rsidR="005A4888" w:rsidRPr="00DC40BE" w:rsidRDefault="008516BC" w:rsidP="00E8781C">
      <w:pPr>
        <w:spacing w:before="100" w:beforeAutospacing="1" w:after="100" w:afterAutospacing="1" w:line="276" w:lineRule="auto"/>
        <w:rPr>
          <w:noProof/>
          <w:lang w:val="pl-PL"/>
        </w:rPr>
      </w:pPr>
      <w:r w:rsidRPr="00DC40BE">
        <w:rPr>
          <w:noProof/>
          <w:lang w:val="pl-PL"/>
        </w:rPr>
        <w:t xml:space="preserve">W latach 2020–2021 kampanię utrudniły </w:t>
      </w:r>
      <w:r w:rsidRPr="00DC40BE">
        <w:rPr>
          <w:b/>
          <w:noProof/>
          <w:lang w:val="pl-PL"/>
        </w:rPr>
        <w:t>pandemia COVID-19</w:t>
      </w:r>
      <w:r w:rsidR="00DC40BE" w:rsidRPr="00DC40BE">
        <w:rPr>
          <w:noProof/>
          <w:lang w:val="pl-PL"/>
        </w:rPr>
        <w:t xml:space="preserve"> i sku</w:t>
      </w:r>
      <w:r w:rsidRPr="00DC40BE">
        <w:rPr>
          <w:noProof/>
          <w:lang w:val="pl-PL"/>
        </w:rPr>
        <w:t xml:space="preserve">pienie uwagi społeczeństwa na rosyjskiej wojnie napastniczej przeciwko </w:t>
      </w:r>
      <w:r w:rsidRPr="00DC40BE">
        <w:rPr>
          <w:b/>
          <w:noProof/>
          <w:lang w:val="pl-PL"/>
        </w:rPr>
        <w:t>Ukrainie</w:t>
      </w:r>
      <w:r w:rsidRPr="00DC40BE">
        <w:rPr>
          <w:noProof/>
          <w:lang w:val="pl-PL"/>
        </w:rPr>
        <w:t xml:space="preserve"> rozpoczętej</w:t>
      </w:r>
      <w:r w:rsidR="00DC40BE" w:rsidRPr="00DC40BE">
        <w:rPr>
          <w:noProof/>
          <w:lang w:val="pl-PL"/>
        </w:rPr>
        <w:t xml:space="preserve"> w 2</w:t>
      </w:r>
      <w:r w:rsidRPr="00DC40BE">
        <w:rPr>
          <w:noProof/>
          <w:lang w:val="pl-PL"/>
        </w:rPr>
        <w:t>022</w:t>
      </w:r>
      <w:r w:rsidR="00DC40BE" w:rsidRPr="00DC40BE">
        <w:rPr>
          <w:noProof/>
          <w:lang w:val="pl-PL"/>
        </w:rPr>
        <w:t> </w:t>
      </w:r>
      <w:r w:rsidRPr="00DC40BE">
        <w:rPr>
          <w:noProof/>
          <w:lang w:val="pl-PL"/>
        </w:rPr>
        <w:t xml:space="preserve">r., ale mimo to uzyskano dobre rezultaty, obejmujące </w:t>
      </w:r>
      <w:r w:rsidRPr="00DC40BE">
        <w:rPr>
          <w:b/>
          <w:noProof/>
          <w:lang w:val="pl-PL"/>
        </w:rPr>
        <w:t>pozytywne tendencje</w:t>
      </w:r>
      <w:r w:rsidR="00DC40BE" w:rsidRPr="00DC40BE">
        <w:rPr>
          <w:noProof/>
          <w:lang w:val="pl-PL"/>
        </w:rPr>
        <w:t xml:space="preserve"> w zak</w:t>
      </w:r>
      <w:r w:rsidRPr="00DC40BE">
        <w:rPr>
          <w:noProof/>
          <w:lang w:val="pl-PL"/>
        </w:rPr>
        <w:t xml:space="preserve">resie ruchu na </w:t>
      </w:r>
      <w:hyperlink r:id="rId47" w:history="1">
        <w:r w:rsidRPr="00DC40BE">
          <w:rPr>
            <w:rStyle w:val="Hipercze"/>
            <w:noProof/>
            <w:lang w:val="pl-PL"/>
          </w:rPr>
          <w:t>stronie internetowej EIO</w:t>
        </w:r>
      </w:hyperlink>
      <w:r w:rsidRPr="00DC40BE">
        <w:rPr>
          <w:noProof/>
          <w:lang w:val="pl-PL"/>
        </w:rPr>
        <w:t>(</w:t>
      </w:r>
      <w:r w:rsidRPr="00DC40BE">
        <w:rPr>
          <w:rStyle w:val="Odwoanieprzypisudolnego"/>
          <w:noProof/>
          <w:lang w:val="pl-PL"/>
        </w:rPr>
        <w:footnoteReference w:id="92"/>
      </w:r>
      <w:r w:rsidRPr="00DC40BE">
        <w:rPr>
          <w:noProof/>
          <w:lang w:val="pl-PL"/>
        </w:rPr>
        <w:t>) (ponad dwukrotny wzrost od</w:t>
      </w:r>
      <w:r w:rsidR="00DC40BE" w:rsidRPr="00DC40BE">
        <w:rPr>
          <w:noProof/>
          <w:lang w:val="pl-PL"/>
        </w:rPr>
        <w:t> </w:t>
      </w:r>
      <w:r w:rsidRPr="00DC40BE">
        <w:rPr>
          <w:noProof/>
          <w:lang w:val="pl-PL"/>
        </w:rPr>
        <w:t>2020</w:t>
      </w:r>
      <w:r w:rsidR="00DC40BE" w:rsidRPr="00DC40BE">
        <w:rPr>
          <w:noProof/>
          <w:lang w:val="pl-PL"/>
        </w:rPr>
        <w:t> </w:t>
      </w:r>
      <w:r w:rsidRPr="00DC40BE">
        <w:rPr>
          <w:noProof/>
          <w:lang w:val="pl-PL"/>
        </w:rPr>
        <w:t>r.); liczby subskrypcji biuletynu EIO (130 000, co stanowi sześciokrotny wzrost od</w:t>
      </w:r>
      <w:r w:rsidR="00DC40BE" w:rsidRPr="00DC40BE">
        <w:rPr>
          <w:noProof/>
          <w:lang w:val="pl-PL"/>
        </w:rPr>
        <w:t> </w:t>
      </w:r>
      <w:r w:rsidRPr="00DC40BE">
        <w:rPr>
          <w:noProof/>
          <w:lang w:val="pl-PL"/>
        </w:rPr>
        <w:t>2020</w:t>
      </w:r>
      <w:r w:rsidR="00DC40BE" w:rsidRPr="00DC40BE">
        <w:rPr>
          <w:noProof/>
          <w:lang w:val="pl-PL"/>
        </w:rPr>
        <w:t> </w:t>
      </w:r>
      <w:r w:rsidRPr="00DC40BE">
        <w:rPr>
          <w:noProof/>
          <w:lang w:val="pl-PL"/>
        </w:rPr>
        <w:t>r.) oraz zasięgu kampanii</w:t>
      </w:r>
      <w:r w:rsidR="00DC40BE" w:rsidRPr="00DC40BE">
        <w:rPr>
          <w:noProof/>
          <w:lang w:val="pl-PL"/>
        </w:rPr>
        <w:t xml:space="preserve"> w med</w:t>
      </w:r>
      <w:r w:rsidRPr="00DC40BE">
        <w:rPr>
          <w:noProof/>
          <w:lang w:val="pl-PL"/>
        </w:rPr>
        <w:t>iach społecznościowych (od</w:t>
      </w:r>
      <w:r w:rsidR="00DC40BE" w:rsidRPr="00DC40BE">
        <w:rPr>
          <w:noProof/>
          <w:lang w:val="pl-PL"/>
        </w:rPr>
        <w:t> </w:t>
      </w:r>
      <w:r w:rsidRPr="00DC40BE">
        <w:rPr>
          <w:noProof/>
          <w:lang w:val="pl-PL"/>
        </w:rPr>
        <w:t>2020</w:t>
      </w:r>
      <w:r w:rsidR="00DC40BE" w:rsidRPr="00DC40BE">
        <w:rPr>
          <w:noProof/>
          <w:lang w:val="pl-PL"/>
        </w:rPr>
        <w:t> </w:t>
      </w:r>
      <w:r w:rsidRPr="00DC40BE">
        <w:rPr>
          <w:noProof/>
          <w:lang w:val="pl-PL"/>
        </w:rPr>
        <w:t>r. wyświetlono ponad 130 mln komunikatów dotyczących kampanii).</w:t>
      </w:r>
    </w:p>
    <w:p w14:paraId="0D48F407" w14:textId="22C9EBD5" w:rsidR="005A4888" w:rsidRPr="00DC40BE" w:rsidRDefault="005A4888" w:rsidP="00E8781C">
      <w:pPr>
        <w:spacing w:before="100" w:beforeAutospacing="1" w:after="100" w:afterAutospacing="1" w:line="276" w:lineRule="auto"/>
        <w:rPr>
          <w:noProof/>
          <w:highlight w:val="yellow"/>
          <w:lang w:val="pl-PL"/>
        </w:rPr>
      </w:pPr>
      <w:r w:rsidRPr="00DC40BE">
        <w:rPr>
          <w:noProof/>
          <w:lang w:val="pl-PL"/>
        </w:rPr>
        <w:t>Pomimo pozytywnych tendencji</w:t>
      </w:r>
      <w:r w:rsidR="00DC40BE" w:rsidRPr="00DC40BE">
        <w:rPr>
          <w:noProof/>
          <w:lang w:val="pl-PL"/>
        </w:rPr>
        <w:t xml:space="preserve"> i sze</w:t>
      </w:r>
      <w:r w:rsidRPr="00DC40BE">
        <w:rPr>
          <w:noProof/>
          <w:lang w:val="pl-PL"/>
        </w:rPr>
        <w:t>rokiego zakresu prowadzonych działań szereg zainteresowanych stron (obywatele, organizatorzy, organizacje pozarządowe, inne instytucje Unii) uważa, że poziom wiedzy na temat EIO</w:t>
      </w:r>
      <w:r w:rsidR="00DC40BE" w:rsidRPr="00DC40BE">
        <w:rPr>
          <w:noProof/>
          <w:lang w:val="pl-PL"/>
        </w:rPr>
        <w:t xml:space="preserve"> w spo</w:t>
      </w:r>
      <w:r w:rsidRPr="00DC40BE">
        <w:rPr>
          <w:noProof/>
          <w:lang w:val="pl-PL"/>
        </w:rPr>
        <w:t>łeczeństwie jest niewystarczający. Organizatorzy zgłaszają, że brak świadomości na temat EIO stanowi poważne wyzwanie podczas zbierania deklaracji poparcia,</w:t>
      </w:r>
      <w:r w:rsidR="00DC40BE" w:rsidRPr="00DC40BE">
        <w:rPr>
          <w:noProof/>
          <w:lang w:val="pl-PL"/>
        </w:rPr>
        <w:t xml:space="preserve"> a oby</w:t>
      </w:r>
      <w:r w:rsidRPr="00DC40BE">
        <w:rPr>
          <w:noProof/>
          <w:lang w:val="pl-PL"/>
        </w:rPr>
        <w:t xml:space="preserve">watele zgłaszają to jako główny powód, dla którego nie popierali EIO. </w:t>
      </w:r>
      <w:bookmarkStart w:id="40" w:name="_Hlk143526315"/>
      <w:r w:rsidRPr="00DC40BE">
        <w:rPr>
          <w:noProof/>
          <w:lang w:val="pl-PL"/>
        </w:rPr>
        <w:t>Jednocześnie ogólnounijny poziom świadomości obywateli Unii (mierzony</w:t>
      </w:r>
      <w:r w:rsidR="00DC40BE" w:rsidRPr="00DC40BE">
        <w:rPr>
          <w:noProof/>
          <w:lang w:val="pl-PL"/>
        </w:rPr>
        <w:t xml:space="preserve"> </w:t>
      </w:r>
      <w:r w:rsidR="00DC40BE" w:rsidRPr="00DC40BE">
        <w:rPr>
          <w:noProof/>
          <w:lang w:val="pl-PL"/>
        </w:rPr>
        <w:lastRenderedPageBreak/>
        <w:t>w dwó</w:t>
      </w:r>
      <w:r w:rsidRPr="00DC40BE">
        <w:rPr>
          <w:noProof/>
          <w:lang w:val="pl-PL"/>
        </w:rPr>
        <w:t>ch kolejnych seriach badań Eurobarometer(</w:t>
      </w:r>
      <w:r w:rsidRPr="00DC40BE">
        <w:rPr>
          <w:rStyle w:val="Odwoanieprzypisudolnego"/>
          <w:noProof/>
          <w:lang w:val="pl-PL"/>
        </w:rPr>
        <w:footnoteReference w:id="93"/>
      </w:r>
      <w:r w:rsidRPr="00DC40BE">
        <w:rPr>
          <w:noProof/>
          <w:lang w:val="pl-PL"/>
        </w:rPr>
        <w:t>)) waha się od</w:t>
      </w:r>
      <w:r w:rsidR="00DC40BE" w:rsidRPr="00DC40BE">
        <w:rPr>
          <w:noProof/>
          <w:lang w:val="pl-PL"/>
        </w:rPr>
        <w:t> </w:t>
      </w:r>
      <w:r w:rsidRPr="00DC40BE">
        <w:rPr>
          <w:noProof/>
          <w:lang w:val="pl-PL"/>
        </w:rPr>
        <w:t>41</w:t>
      </w:r>
      <w:r w:rsidR="00DC40BE" w:rsidRPr="00DC40BE">
        <w:rPr>
          <w:noProof/>
          <w:lang w:val="pl-PL"/>
        </w:rPr>
        <w:t> </w:t>
      </w:r>
      <w:r w:rsidRPr="00DC40BE">
        <w:rPr>
          <w:noProof/>
          <w:lang w:val="pl-PL"/>
        </w:rPr>
        <w:t>%</w:t>
      </w:r>
      <w:r w:rsidR="00DC40BE" w:rsidRPr="00DC40BE">
        <w:rPr>
          <w:noProof/>
          <w:lang w:val="pl-PL"/>
        </w:rPr>
        <w:t xml:space="preserve"> w 2</w:t>
      </w:r>
      <w:r w:rsidRPr="00DC40BE">
        <w:rPr>
          <w:noProof/>
          <w:lang w:val="pl-PL"/>
        </w:rPr>
        <w:t>021</w:t>
      </w:r>
      <w:r w:rsidR="00DC40BE" w:rsidRPr="00DC40BE">
        <w:rPr>
          <w:noProof/>
          <w:lang w:val="pl-PL"/>
        </w:rPr>
        <w:t> </w:t>
      </w:r>
      <w:r w:rsidRPr="00DC40BE">
        <w:rPr>
          <w:noProof/>
          <w:lang w:val="pl-PL"/>
        </w:rPr>
        <w:t>r. do</w:t>
      </w:r>
      <w:r w:rsidR="00DC40BE" w:rsidRPr="00DC40BE">
        <w:rPr>
          <w:noProof/>
          <w:lang w:val="pl-PL"/>
        </w:rPr>
        <w:t> </w:t>
      </w:r>
      <w:r w:rsidRPr="00DC40BE">
        <w:rPr>
          <w:noProof/>
          <w:lang w:val="pl-PL"/>
        </w:rPr>
        <w:t>64</w:t>
      </w:r>
      <w:r w:rsidR="00DC40BE" w:rsidRPr="00DC40BE">
        <w:rPr>
          <w:noProof/>
          <w:lang w:val="pl-PL"/>
        </w:rPr>
        <w:t> </w:t>
      </w:r>
      <w:r w:rsidRPr="00DC40BE">
        <w:rPr>
          <w:noProof/>
          <w:lang w:val="pl-PL"/>
        </w:rPr>
        <w:t>%</w:t>
      </w:r>
      <w:r w:rsidR="00DC40BE" w:rsidRPr="00DC40BE">
        <w:rPr>
          <w:noProof/>
          <w:lang w:val="pl-PL"/>
        </w:rPr>
        <w:t xml:space="preserve"> w 2</w:t>
      </w:r>
      <w:r w:rsidRPr="00DC40BE">
        <w:rPr>
          <w:noProof/>
          <w:lang w:val="pl-PL"/>
        </w:rPr>
        <w:t>023</w:t>
      </w:r>
      <w:r w:rsidR="00DC40BE" w:rsidRPr="00DC40BE">
        <w:rPr>
          <w:noProof/>
          <w:lang w:val="pl-PL"/>
        </w:rPr>
        <w:t> </w:t>
      </w:r>
      <w:r w:rsidRPr="00DC40BE">
        <w:rPr>
          <w:noProof/>
          <w:lang w:val="pl-PL"/>
        </w:rPr>
        <w:t>r.(</w:t>
      </w:r>
      <w:r w:rsidRPr="00DC40BE">
        <w:rPr>
          <w:rStyle w:val="Odwoanieprzypisudolnego"/>
          <w:noProof/>
          <w:lang w:val="pl-PL"/>
        </w:rPr>
        <w:footnoteReference w:id="94"/>
      </w:r>
      <w:r w:rsidRPr="00DC40BE">
        <w:rPr>
          <w:noProof/>
          <w:lang w:val="pl-PL"/>
        </w:rPr>
        <w:t>).</w:t>
      </w:r>
    </w:p>
    <w:p w14:paraId="42C66F68" w14:textId="4FDC2DDA" w:rsidR="005A4888" w:rsidRPr="00DC40BE" w:rsidRDefault="005A4888" w:rsidP="00E8781C">
      <w:pPr>
        <w:pStyle w:val="Nagwek3"/>
        <w:spacing w:before="100" w:beforeAutospacing="1" w:after="100" w:afterAutospacing="1" w:line="276" w:lineRule="auto"/>
        <w:rPr>
          <w:b/>
          <w:i w:val="0"/>
          <w:noProof/>
          <w:lang w:val="pl-PL"/>
        </w:rPr>
      </w:pPr>
      <w:bookmarkStart w:id="41" w:name="_Toc1617230002"/>
      <w:bookmarkStart w:id="42" w:name="_Toc146296685"/>
      <w:bookmarkEnd w:id="40"/>
      <w:r w:rsidRPr="00DC40BE">
        <w:rPr>
          <w:b/>
          <w:i w:val="0"/>
          <w:noProof/>
          <w:lang w:val="pl-PL"/>
        </w:rPr>
        <w:t>Krajowe punkty kontaktowe</w:t>
      </w:r>
      <w:bookmarkEnd w:id="41"/>
      <w:bookmarkEnd w:id="42"/>
    </w:p>
    <w:p w14:paraId="51ACD1D4" w14:textId="188C6878" w:rsidR="005A4888" w:rsidRPr="00DC40BE" w:rsidRDefault="005A4888" w:rsidP="00E8781C">
      <w:pPr>
        <w:spacing w:before="100" w:beforeAutospacing="1" w:after="100" w:afterAutospacing="1" w:line="276" w:lineRule="auto"/>
        <w:rPr>
          <w:b/>
          <w:noProof/>
          <w:lang w:val="pl-PL"/>
        </w:rPr>
      </w:pPr>
      <w:r w:rsidRPr="00DC40BE">
        <w:rPr>
          <w:noProof/>
          <w:lang w:val="pl-PL"/>
        </w:rPr>
        <w:t>Zgodnie</w:t>
      </w:r>
      <w:r w:rsidR="00DC40BE" w:rsidRPr="00DC40BE">
        <w:rPr>
          <w:noProof/>
          <w:lang w:val="pl-PL"/>
        </w:rPr>
        <w:t xml:space="preserve"> z art</w:t>
      </w:r>
      <w:r w:rsidRPr="00DC40BE">
        <w:rPr>
          <w:noProof/>
          <w:lang w:val="pl-PL"/>
        </w:rPr>
        <w:t>.</w:t>
      </w:r>
      <w:r w:rsidR="00DC40BE" w:rsidRPr="00DC40BE">
        <w:rPr>
          <w:noProof/>
          <w:lang w:val="pl-PL"/>
        </w:rPr>
        <w:t> </w:t>
      </w:r>
      <w:r w:rsidRPr="00DC40BE">
        <w:rPr>
          <w:noProof/>
          <w:lang w:val="pl-PL"/>
        </w:rPr>
        <w:t>4 ust.</w:t>
      </w:r>
      <w:r w:rsidR="00DC40BE" w:rsidRPr="00DC40BE">
        <w:rPr>
          <w:noProof/>
          <w:lang w:val="pl-PL"/>
        </w:rPr>
        <w:t> </w:t>
      </w:r>
      <w:r w:rsidRPr="00DC40BE">
        <w:rPr>
          <w:noProof/>
          <w:lang w:val="pl-PL"/>
        </w:rPr>
        <w:t>6 rozporządzenia</w:t>
      </w:r>
      <w:r w:rsidR="00DC40BE" w:rsidRPr="00DC40BE">
        <w:rPr>
          <w:noProof/>
          <w:lang w:val="pl-PL"/>
        </w:rPr>
        <w:t xml:space="preserve"> w spr</w:t>
      </w:r>
      <w:r w:rsidRPr="00DC40BE">
        <w:rPr>
          <w:noProof/>
          <w:lang w:val="pl-PL"/>
        </w:rPr>
        <w:t>awie EIO, każde państwo członkowskie ustanowiło co najmniej jeden krajowy punkt kontaktowy(</w:t>
      </w:r>
      <w:r w:rsidRPr="00DC40BE">
        <w:rPr>
          <w:rStyle w:val="Odwoanieprzypisudolnego"/>
          <w:noProof/>
          <w:lang w:val="pl-PL"/>
        </w:rPr>
        <w:footnoteReference w:id="95"/>
      </w:r>
      <w:r w:rsidRPr="00DC40BE">
        <w:rPr>
          <w:noProof/>
          <w:lang w:val="pl-PL"/>
        </w:rPr>
        <w:t>)</w:t>
      </w:r>
      <w:r w:rsidR="00DC40BE" w:rsidRPr="00DC40BE">
        <w:rPr>
          <w:noProof/>
          <w:lang w:val="pl-PL"/>
        </w:rPr>
        <w:t xml:space="preserve"> w cel</w:t>
      </w:r>
      <w:r w:rsidRPr="00DC40BE">
        <w:rPr>
          <w:noProof/>
          <w:lang w:val="pl-PL"/>
        </w:rPr>
        <w:t>u bezpłatnego zapewnienia organizatorom EIO informacji</w:t>
      </w:r>
      <w:r w:rsidR="00DC40BE" w:rsidRPr="00DC40BE">
        <w:rPr>
          <w:noProof/>
          <w:lang w:val="pl-PL"/>
        </w:rPr>
        <w:t xml:space="preserve"> i pom</w:t>
      </w:r>
      <w:r w:rsidRPr="00DC40BE">
        <w:rPr>
          <w:noProof/>
          <w:lang w:val="pl-PL"/>
        </w:rPr>
        <w:t>ocy.</w:t>
      </w:r>
      <w:r w:rsidRPr="00DC40BE">
        <w:rPr>
          <w:b/>
          <w:noProof/>
          <w:lang w:val="pl-PL"/>
        </w:rPr>
        <w:t xml:space="preserve"> </w:t>
      </w:r>
      <w:r w:rsidRPr="00DC40BE">
        <w:rPr>
          <w:noProof/>
          <w:lang w:val="pl-PL"/>
        </w:rPr>
        <w:t>Komisja informuje krajowe punkty kontaktowe</w:t>
      </w:r>
      <w:r w:rsidR="00DC40BE" w:rsidRPr="00DC40BE">
        <w:rPr>
          <w:noProof/>
          <w:lang w:val="pl-PL"/>
        </w:rPr>
        <w:t xml:space="preserve"> o naj</w:t>
      </w:r>
      <w:r w:rsidRPr="00DC40BE">
        <w:rPr>
          <w:noProof/>
          <w:lang w:val="pl-PL"/>
        </w:rPr>
        <w:t>nowszych wydarzeniach związanych z EIO</w:t>
      </w:r>
      <w:r w:rsidR="00DC40BE" w:rsidRPr="00DC40BE">
        <w:rPr>
          <w:noProof/>
          <w:lang w:val="pl-PL"/>
        </w:rPr>
        <w:t xml:space="preserve"> i udo</w:t>
      </w:r>
      <w:r w:rsidRPr="00DC40BE">
        <w:rPr>
          <w:noProof/>
          <w:lang w:val="pl-PL"/>
        </w:rPr>
        <w:t>stępnia im materiały we wszystkich językach UE do rozpowszechniania wśród odbiorców krajowych. Państwa członkowskie poinformowały za pośrednictwem ankiety, że większość punktów kontaktowych podaje informacje na swoich stronach internetowych</w:t>
      </w:r>
      <w:r w:rsidR="00DC40BE" w:rsidRPr="00DC40BE">
        <w:rPr>
          <w:noProof/>
          <w:lang w:val="pl-PL"/>
        </w:rPr>
        <w:t xml:space="preserve"> i odp</w:t>
      </w:r>
      <w:r w:rsidRPr="00DC40BE">
        <w:rPr>
          <w:noProof/>
          <w:lang w:val="pl-PL"/>
        </w:rPr>
        <w:t>owiada na wnioski obywateli lub mediów. Niektóre</w:t>
      </w:r>
      <w:r w:rsidR="00DC40BE" w:rsidRPr="00DC40BE">
        <w:rPr>
          <w:noProof/>
          <w:lang w:val="pl-PL"/>
        </w:rPr>
        <w:t xml:space="preserve"> z nic</w:t>
      </w:r>
      <w:r w:rsidRPr="00DC40BE">
        <w:rPr>
          <w:noProof/>
          <w:lang w:val="pl-PL"/>
        </w:rPr>
        <w:t>h podejmują również aktywne działania</w:t>
      </w:r>
      <w:r w:rsidR="00DC40BE" w:rsidRPr="00DC40BE">
        <w:rPr>
          <w:noProof/>
          <w:lang w:val="pl-PL"/>
        </w:rPr>
        <w:t xml:space="preserve"> i wyk</w:t>
      </w:r>
      <w:r w:rsidRPr="00DC40BE">
        <w:rPr>
          <w:noProof/>
          <w:lang w:val="pl-PL"/>
        </w:rPr>
        <w:t>orzystują szerszy zakres kanałów komunikacji</w:t>
      </w:r>
      <w:r w:rsidR="00DC40BE" w:rsidRPr="00DC40BE">
        <w:rPr>
          <w:noProof/>
          <w:lang w:val="pl-PL"/>
        </w:rPr>
        <w:t xml:space="preserve"> i dzi</w:t>
      </w:r>
      <w:r w:rsidRPr="00DC40BE">
        <w:rPr>
          <w:noProof/>
          <w:lang w:val="pl-PL"/>
        </w:rPr>
        <w:t>ałań</w:t>
      </w:r>
      <w:r w:rsidR="00DC40BE" w:rsidRPr="00DC40BE">
        <w:rPr>
          <w:noProof/>
          <w:lang w:val="pl-PL"/>
        </w:rPr>
        <w:t xml:space="preserve"> w cel</w:t>
      </w:r>
      <w:r w:rsidRPr="00DC40BE">
        <w:rPr>
          <w:noProof/>
          <w:lang w:val="pl-PL"/>
        </w:rPr>
        <w:t>u informowania obywateli</w:t>
      </w:r>
      <w:r w:rsidR="00DC40BE" w:rsidRPr="00DC40BE">
        <w:rPr>
          <w:noProof/>
          <w:lang w:val="pl-PL"/>
        </w:rPr>
        <w:t>. Z ank</w:t>
      </w:r>
      <w:r w:rsidRPr="00DC40BE">
        <w:rPr>
          <w:noProof/>
          <w:lang w:val="pl-PL"/>
        </w:rPr>
        <w:t>iety wynika również, że punkty kontaktowe dysponują wszystkimi informacjami</w:t>
      </w:r>
      <w:r w:rsidR="00DC40BE" w:rsidRPr="00DC40BE">
        <w:rPr>
          <w:noProof/>
          <w:lang w:val="pl-PL"/>
        </w:rPr>
        <w:t xml:space="preserve"> i dok</w:t>
      </w:r>
      <w:r w:rsidRPr="00DC40BE">
        <w:rPr>
          <w:noProof/>
          <w:lang w:val="pl-PL"/>
        </w:rPr>
        <w:t>umentami, których potrzebują, aby sprawnie pełnić swoją rolę.</w:t>
      </w:r>
      <w:r w:rsidRPr="00DC40BE">
        <w:rPr>
          <w:b/>
          <w:noProof/>
          <w:lang w:val="pl-PL"/>
        </w:rPr>
        <w:t xml:space="preserve"> </w:t>
      </w:r>
      <w:r w:rsidRPr="00DC40BE">
        <w:rPr>
          <w:noProof/>
          <w:lang w:val="pl-PL"/>
        </w:rPr>
        <w:t>Komisja umożliwia im wymianę doświadczeń</w:t>
      </w:r>
      <w:r w:rsidR="00DC40BE" w:rsidRPr="00DC40BE">
        <w:rPr>
          <w:noProof/>
          <w:lang w:val="pl-PL"/>
        </w:rPr>
        <w:t xml:space="preserve"> i dob</w:t>
      </w:r>
      <w:r w:rsidRPr="00DC40BE">
        <w:rPr>
          <w:noProof/>
          <w:lang w:val="pl-PL"/>
        </w:rPr>
        <w:t>rych praktyk.</w:t>
      </w:r>
    </w:p>
    <w:p w14:paraId="6DFAA52E" w14:textId="4087671D" w:rsidR="005A4888" w:rsidRPr="00DC40BE" w:rsidRDefault="005455F8" w:rsidP="00E8781C">
      <w:pPr>
        <w:pStyle w:val="Nagwek2"/>
        <w:spacing w:before="100" w:beforeAutospacing="1" w:after="100" w:afterAutospacing="1" w:line="276" w:lineRule="auto"/>
        <w:rPr>
          <w:noProof/>
          <w:lang w:val="pl-PL"/>
        </w:rPr>
      </w:pPr>
      <w:bookmarkStart w:id="43" w:name="_Toc685093866"/>
      <w:bookmarkStart w:id="44" w:name="_Toc146296686"/>
      <w:r w:rsidRPr="00DC40BE">
        <w:rPr>
          <w:noProof/>
          <w:lang w:val="pl-PL"/>
        </w:rPr>
        <w:t>3.10. Wytyczne</w:t>
      </w:r>
      <w:r w:rsidR="00DC40BE" w:rsidRPr="00DC40BE">
        <w:rPr>
          <w:noProof/>
          <w:lang w:val="pl-PL"/>
        </w:rPr>
        <w:t xml:space="preserve"> i wsp</w:t>
      </w:r>
      <w:r w:rsidRPr="00DC40BE">
        <w:rPr>
          <w:noProof/>
          <w:lang w:val="pl-PL"/>
        </w:rPr>
        <w:t>arcie dla organizatorów</w:t>
      </w:r>
      <w:bookmarkEnd w:id="43"/>
      <w:bookmarkEnd w:id="44"/>
    </w:p>
    <w:p w14:paraId="2953CD03" w14:textId="214A9B33" w:rsidR="00E464AF" w:rsidRPr="00DC40BE" w:rsidRDefault="005A4888" w:rsidP="00E464AF">
      <w:pPr>
        <w:spacing w:before="100" w:beforeAutospacing="1" w:after="100" w:afterAutospacing="1" w:line="276" w:lineRule="auto"/>
        <w:rPr>
          <w:noProof/>
          <w:lang w:val="pl-PL"/>
        </w:rPr>
      </w:pPr>
      <w:r w:rsidRPr="00DC40BE">
        <w:rPr>
          <w:noProof/>
          <w:lang w:val="pl-PL"/>
        </w:rPr>
        <w:t>Jak uzgodniono podczas reformy EIO</w:t>
      </w:r>
      <w:r w:rsidR="00DC40BE" w:rsidRPr="00DC40BE">
        <w:rPr>
          <w:noProof/>
          <w:lang w:val="pl-PL"/>
        </w:rPr>
        <w:t xml:space="preserve"> z 2</w:t>
      </w:r>
      <w:r w:rsidRPr="00DC40BE">
        <w:rPr>
          <w:noProof/>
          <w:lang w:val="pl-PL"/>
        </w:rPr>
        <w:t>019</w:t>
      </w:r>
      <w:r w:rsidR="00DC40BE" w:rsidRPr="00DC40BE">
        <w:rPr>
          <w:noProof/>
          <w:lang w:val="pl-PL"/>
        </w:rPr>
        <w:t> </w:t>
      </w:r>
      <w:r w:rsidRPr="00DC40BE">
        <w:rPr>
          <w:noProof/>
          <w:lang w:val="pl-PL"/>
        </w:rPr>
        <w:t>r., organizatorom EIO udostępniono znaczne wsparcie rzeczowe</w:t>
      </w:r>
      <w:r w:rsidR="00DC40BE" w:rsidRPr="00DC40BE">
        <w:rPr>
          <w:noProof/>
          <w:lang w:val="pl-PL"/>
        </w:rPr>
        <w:t xml:space="preserve"> w pos</w:t>
      </w:r>
      <w:r w:rsidRPr="00DC40BE">
        <w:rPr>
          <w:noProof/>
          <w:lang w:val="pl-PL"/>
        </w:rPr>
        <w:t>taci: bezpłatnego centralnego systemu zbierania deklaracji online (oraz powiązanego wsparcia informatycznego oferowanego przez Komisję); wytycznych, szkoleń</w:t>
      </w:r>
      <w:r w:rsidR="00DC40BE" w:rsidRPr="00DC40BE">
        <w:rPr>
          <w:noProof/>
          <w:lang w:val="pl-PL"/>
        </w:rPr>
        <w:t xml:space="preserve"> i por</w:t>
      </w:r>
      <w:r w:rsidRPr="00DC40BE">
        <w:rPr>
          <w:noProof/>
          <w:lang w:val="pl-PL"/>
        </w:rPr>
        <w:t>ady prawnej, zapewnianych za pomocą forum europejskiej inicjatywy obywatelskiej (zarządzanego przez Komisję za pośrednictwem zewnętrznego wykonawcy); oraz intensyfikacji działań na rzecz zwiększenia świadomości na temat EIO, za pomocą których pośrednio promuje się również bieżące EIO.</w:t>
      </w:r>
      <w:bookmarkStart w:id="45" w:name="_Toc497053839"/>
      <w:bookmarkStart w:id="46" w:name="_Toc146296687"/>
    </w:p>
    <w:p w14:paraId="189301B1" w14:textId="77777777" w:rsidR="00E464AF" w:rsidRPr="00DC40BE" w:rsidRDefault="005A4888" w:rsidP="00E8781C">
      <w:pPr>
        <w:spacing w:before="100" w:beforeAutospacing="1" w:after="100" w:afterAutospacing="1" w:line="276" w:lineRule="auto"/>
        <w:rPr>
          <w:b/>
          <w:noProof/>
          <w:lang w:val="pl-PL"/>
        </w:rPr>
      </w:pPr>
      <w:r w:rsidRPr="00DC40BE">
        <w:rPr>
          <w:b/>
          <w:noProof/>
          <w:lang w:val="pl-PL"/>
        </w:rPr>
        <w:t>Forum europejskiej inicjatywy obywatelskiej</w:t>
      </w:r>
      <w:bookmarkEnd w:id="45"/>
      <w:bookmarkEnd w:id="46"/>
    </w:p>
    <w:p w14:paraId="1D97F36A" w14:textId="2FA324A0" w:rsidR="005A4888" w:rsidRPr="00DC40BE" w:rsidRDefault="005A4888" w:rsidP="00E8781C">
      <w:pPr>
        <w:spacing w:before="100" w:beforeAutospacing="1" w:after="100" w:afterAutospacing="1" w:line="276" w:lineRule="auto"/>
        <w:rPr>
          <w:noProof/>
          <w:lang w:val="pl-PL"/>
        </w:rPr>
      </w:pPr>
      <w:r w:rsidRPr="00DC40BE">
        <w:rPr>
          <w:noProof/>
          <w:lang w:val="pl-PL"/>
        </w:rPr>
        <w:t>Zgodnie</w:t>
      </w:r>
      <w:r w:rsidR="00DC40BE" w:rsidRPr="00DC40BE">
        <w:rPr>
          <w:noProof/>
          <w:lang w:val="pl-PL"/>
        </w:rPr>
        <w:t xml:space="preserve"> z art</w:t>
      </w:r>
      <w:r w:rsidRPr="00DC40BE">
        <w:rPr>
          <w:noProof/>
          <w:lang w:val="pl-PL"/>
        </w:rPr>
        <w:t>.</w:t>
      </w:r>
      <w:r w:rsidR="00DC40BE" w:rsidRPr="00DC40BE">
        <w:rPr>
          <w:noProof/>
          <w:lang w:val="pl-PL"/>
        </w:rPr>
        <w:t> </w:t>
      </w:r>
      <w:r w:rsidRPr="00DC40BE">
        <w:rPr>
          <w:noProof/>
          <w:lang w:val="pl-PL"/>
        </w:rPr>
        <w:t>4 rozporządzenia</w:t>
      </w:r>
      <w:r w:rsidR="00DC40BE" w:rsidRPr="00DC40BE">
        <w:rPr>
          <w:noProof/>
          <w:lang w:val="pl-PL"/>
        </w:rPr>
        <w:t xml:space="preserve"> w spr</w:t>
      </w:r>
      <w:r w:rsidRPr="00DC40BE">
        <w:rPr>
          <w:noProof/>
          <w:lang w:val="pl-PL"/>
        </w:rPr>
        <w:t>awie EIO Komisja udostępnia bezpłatnie internetową platformę współpracy na potrzeby europejskiej inicjatywy obywatelskiej, która zapewnia porady praktyczne</w:t>
      </w:r>
      <w:r w:rsidR="00DC40BE" w:rsidRPr="00DC40BE">
        <w:rPr>
          <w:noProof/>
          <w:lang w:val="pl-PL"/>
        </w:rPr>
        <w:t xml:space="preserve"> i pra</w:t>
      </w:r>
      <w:r w:rsidRPr="00DC40BE">
        <w:rPr>
          <w:noProof/>
          <w:lang w:val="pl-PL"/>
        </w:rPr>
        <w:t>wne oraz forum dyskusyjne do celów wymiany informacji</w:t>
      </w:r>
      <w:r w:rsidR="00DC40BE" w:rsidRPr="00DC40BE">
        <w:rPr>
          <w:noProof/>
          <w:lang w:val="pl-PL"/>
        </w:rPr>
        <w:t xml:space="preserve"> i naj</w:t>
      </w:r>
      <w:r w:rsidRPr="00DC40BE">
        <w:rPr>
          <w:noProof/>
          <w:lang w:val="pl-PL"/>
        </w:rPr>
        <w:t>lepszych praktyk. Komisja zleciła zarządzanie tą platformą (</w:t>
      </w:r>
      <w:hyperlink r:id="rId48" w:history="1">
        <w:r w:rsidRPr="00DC40BE">
          <w:rPr>
            <w:noProof/>
            <w:lang w:val="pl-PL"/>
          </w:rPr>
          <w:t>forum europejskiej inicjatywy obywatelskiej(</w:t>
        </w:r>
        <w:r w:rsidRPr="00DC40BE">
          <w:rPr>
            <w:rStyle w:val="Odwoanieprzypisudolnego"/>
            <w:noProof/>
            <w:lang w:val="pl-PL"/>
          </w:rPr>
          <w:footnoteReference w:id="96"/>
        </w:r>
        <w:r w:rsidRPr="00DC40BE">
          <w:rPr>
            <w:noProof/>
            <w:lang w:val="pl-PL"/>
          </w:rPr>
          <w:t>))</w:t>
        </w:r>
      </w:hyperlink>
      <w:r w:rsidRPr="00DC40BE">
        <w:rPr>
          <w:noProof/>
          <w:lang w:val="pl-PL"/>
        </w:rPr>
        <w:t xml:space="preserve"> zewnętrznemu usługodawcy</w:t>
      </w:r>
      <w:r w:rsidR="00DC40BE" w:rsidRPr="00DC40BE">
        <w:rPr>
          <w:noProof/>
          <w:lang w:val="pl-PL"/>
        </w:rPr>
        <w:t xml:space="preserve"> w dro</w:t>
      </w:r>
      <w:r w:rsidRPr="00DC40BE">
        <w:rPr>
          <w:noProof/>
          <w:lang w:val="pl-PL"/>
        </w:rPr>
        <w:t xml:space="preserve">dze procedury otwartej. </w:t>
      </w:r>
    </w:p>
    <w:p w14:paraId="6961F436" w14:textId="2BCABFF1" w:rsidR="005A4888" w:rsidRPr="00DC40BE" w:rsidRDefault="005A4888" w:rsidP="00E8781C">
      <w:pPr>
        <w:spacing w:before="100" w:beforeAutospacing="1" w:after="100" w:afterAutospacing="1" w:line="276" w:lineRule="auto"/>
        <w:rPr>
          <w:noProof/>
          <w:lang w:val="pl-PL"/>
        </w:rPr>
      </w:pPr>
      <w:r w:rsidRPr="00DC40BE">
        <w:rPr>
          <w:noProof/>
          <w:lang w:val="pl-PL"/>
        </w:rPr>
        <w:t>Organizatorzy EIO wyrazili</w:t>
      </w:r>
      <w:r w:rsidR="00DC40BE" w:rsidRPr="00DC40BE">
        <w:rPr>
          <w:noProof/>
          <w:lang w:val="pl-PL"/>
        </w:rPr>
        <w:t xml:space="preserve"> w spe</w:t>
      </w:r>
      <w:r w:rsidRPr="00DC40BE">
        <w:rPr>
          <w:noProof/>
          <w:lang w:val="pl-PL"/>
        </w:rPr>
        <w:t>cjalnej ankiecie ogólnie pozytywne opinie na temat porad udzielanych na forum europejskiej inicjatywy obywatelskiej na różnych etapach procedury EIO,</w:t>
      </w:r>
      <w:r w:rsidR="00DC40BE" w:rsidRPr="00DC40BE">
        <w:rPr>
          <w:noProof/>
          <w:lang w:val="pl-PL"/>
        </w:rPr>
        <w:t xml:space="preserve"> w tym</w:t>
      </w:r>
      <w:r w:rsidRPr="00DC40BE">
        <w:rPr>
          <w:noProof/>
          <w:lang w:val="pl-PL"/>
        </w:rPr>
        <w:t xml:space="preserve"> podczas dwuetapowej procedury rejestracji (kiedy muszą dokonać przeglądu swojego wstępnego zgłoszenia) oraz na etapie zbierania deklaracji. Organizatorzy EIO</w:t>
      </w:r>
      <w:r w:rsidR="00DC40BE" w:rsidRPr="00DC40BE">
        <w:rPr>
          <w:noProof/>
          <w:lang w:val="pl-PL"/>
        </w:rPr>
        <w:t xml:space="preserve"> w sze</w:t>
      </w:r>
      <w:r w:rsidRPr="00DC40BE">
        <w:rPr>
          <w:noProof/>
          <w:lang w:val="pl-PL"/>
        </w:rPr>
        <w:t>rokim zakresie korzystali</w:t>
      </w:r>
      <w:r w:rsidR="00DC40BE" w:rsidRPr="00DC40BE">
        <w:rPr>
          <w:noProof/>
          <w:lang w:val="pl-PL"/>
        </w:rPr>
        <w:t xml:space="preserve"> z mat</w:t>
      </w:r>
      <w:r w:rsidRPr="00DC40BE">
        <w:rPr>
          <w:noProof/>
          <w:lang w:val="pl-PL"/>
        </w:rPr>
        <w:t>eriałów dydaktycznych forum przed rejestracją</w:t>
      </w:r>
      <w:r w:rsidR="00DC40BE" w:rsidRPr="00DC40BE">
        <w:rPr>
          <w:noProof/>
          <w:lang w:val="pl-PL"/>
        </w:rPr>
        <w:t xml:space="preserve"> i wys</w:t>
      </w:r>
      <w:r w:rsidRPr="00DC40BE">
        <w:rPr>
          <w:noProof/>
          <w:lang w:val="pl-PL"/>
        </w:rPr>
        <w:t xml:space="preserve">oko </w:t>
      </w:r>
      <w:r w:rsidRPr="00DC40BE">
        <w:rPr>
          <w:noProof/>
          <w:lang w:val="pl-PL"/>
        </w:rPr>
        <w:lastRenderedPageBreak/>
        <w:t>ocenili seminaria internetowe, blogi, kurs internetowy</w:t>
      </w:r>
      <w:r w:rsidR="00DC40BE" w:rsidRPr="00DC40BE">
        <w:rPr>
          <w:noProof/>
          <w:lang w:val="pl-PL"/>
        </w:rPr>
        <w:t xml:space="preserve"> i moż</w:t>
      </w:r>
      <w:r w:rsidRPr="00DC40BE">
        <w:rPr>
          <w:noProof/>
          <w:lang w:val="pl-PL"/>
        </w:rPr>
        <w:t>liwość poszukiwania innych potencjalnych członków swojej grupy</w:t>
      </w:r>
      <w:r w:rsidRPr="00DC40BE">
        <w:rPr>
          <w:noProof/>
          <w:lang w:val="pl-PL" w:eastAsia="pl-PL"/>
        </w:rPr>
        <mc:AlternateContent>
          <mc:Choice Requires="wps">
            <w:drawing>
              <wp:anchor distT="0" distB="0" distL="114300" distR="114300" simplePos="0" relativeHeight="251659264" behindDoc="0" locked="0" layoutInCell="1" allowOverlap="1" wp14:anchorId="08EBB2C4" wp14:editId="0A7C6EFF">
                <wp:simplePos x="0" y="0"/>
                <wp:positionH relativeFrom="margin">
                  <wp:align>left</wp:align>
                </wp:positionH>
                <wp:positionV relativeFrom="paragraph">
                  <wp:posOffset>795020</wp:posOffset>
                </wp:positionV>
                <wp:extent cx="1828800" cy="1828800"/>
                <wp:effectExtent l="0" t="0" r="24130" b="26035"/>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2"/>
                        </a:solidFill>
                        <a:ln w="6350">
                          <a:solidFill>
                            <a:prstClr val="black"/>
                          </a:solidFill>
                        </a:ln>
                      </wps:spPr>
                      <wps:txbx>
                        <w:txbxContent>
                          <w:p w14:paraId="4655BF5B" w14:textId="77777777" w:rsidR="00E464AF" w:rsidRPr="00DC40BE" w:rsidRDefault="00E464AF" w:rsidP="00E464AF">
                            <w:pPr>
                              <w:jc w:val="center"/>
                              <w:rPr>
                                <w:b/>
                                <w:lang w:val="pl-PL"/>
                              </w:rPr>
                            </w:pPr>
                            <w:r w:rsidRPr="00DC40BE">
                              <w:rPr>
                                <w:b/>
                                <w:lang w:val="pl-PL"/>
                              </w:rPr>
                              <w:t>Działalność forum europejskiej inicjatywy obywatelskiej</w:t>
                            </w:r>
                          </w:p>
                          <w:p w14:paraId="629AD6E8" w14:textId="77777777" w:rsidR="00E464AF" w:rsidRPr="00DC40BE" w:rsidRDefault="00E464AF" w:rsidP="00E464AF">
                            <w:pPr>
                              <w:pStyle w:val="Akapitzlist"/>
                              <w:numPr>
                                <w:ilvl w:val="0"/>
                                <w:numId w:val="34"/>
                              </w:numPr>
                              <w:jc w:val="both"/>
                              <w:rPr>
                                <w:rFonts w:ascii="Times New Roman" w:hAnsi="Times New Roman" w:cs="Times New Roman"/>
                                <w:sz w:val="24"/>
                                <w:lang w:val="pl-PL"/>
                              </w:rPr>
                            </w:pPr>
                            <w:r w:rsidRPr="00DC40BE">
                              <w:rPr>
                                <w:rFonts w:ascii="Times New Roman" w:hAnsi="Times New Roman"/>
                                <w:sz w:val="24"/>
                                <w:lang w:val="pl-PL"/>
                              </w:rPr>
                              <w:t xml:space="preserve">Forum europejskiej inicjatywy obywatelskiej oferuje szeroki wachlarz </w:t>
                            </w:r>
                            <w:r w:rsidRPr="00DC40BE">
                              <w:rPr>
                                <w:rFonts w:ascii="Times New Roman" w:hAnsi="Times New Roman"/>
                                <w:b/>
                                <w:sz w:val="24"/>
                                <w:lang w:val="pl-PL"/>
                              </w:rPr>
                              <w:t>materiałów edukacyjnych</w:t>
                            </w:r>
                            <w:r w:rsidRPr="00DC40BE">
                              <w:rPr>
                                <w:rFonts w:ascii="Times New Roman" w:hAnsi="Times New Roman"/>
                                <w:sz w:val="24"/>
                                <w:lang w:val="pl-PL"/>
                              </w:rPr>
                              <w:t xml:space="preserve">, które mają pomóc obywatelom w przygotowaniu i realizowaniu EIO (wytyczne, przykłady udanych inicjatyw itp.); </w:t>
                            </w:r>
                            <w:r w:rsidRPr="00DC40BE">
                              <w:rPr>
                                <w:rFonts w:ascii="Times New Roman" w:hAnsi="Times New Roman"/>
                                <w:b/>
                                <w:sz w:val="24"/>
                                <w:lang w:val="pl-PL"/>
                              </w:rPr>
                              <w:t>webinaria</w:t>
                            </w:r>
                            <w:r w:rsidRPr="00DC40BE">
                              <w:rPr>
                                <w:rFonts w:ascii="Times New Roman" w:hAnsi="Times New Roman"/>
                                <w:sz w:val="24"/>
                                <w:lang w:val="pl-PL"/>
                              </w:rPr>
                              <w:t xml:space="preserve">; </w:t>
                            </w:r>
                            <w:r w:rsidRPr="00DC40BE">
                              <w:rPr>
                                <w:rFonts w:ascii="Times New Roman" w:hAnsi="Times New Roman"/>
                                <w:b/>
                                <w:sz w:val="24"/>
                                <w:lang w:val="pl-PL"/>
                              </w:rPr>
                              <w:t>kurs internetowy</w:t>
                            </w:r>
                            <w:r w:rsidRPr="00DC40BE">
                              <w:rPr>
                                <w:rFonts w:ascii="Times New Roman" w:hAnsi="Times New Roman"/>
                                <w:sz w:val="24"/>
                                <w:lang w:val="pl-PL"/>
                              </w:rPr>
                              <w:t xml:space="preserve">; oraz </w:t>
                            </w:r>
                            <w:r w:rsidRPr="00DC40BE">
                              <w:rPr>
                                <w:rFonts w:ascii="Times New Roman" w:hAnsi="Times New Roman"/>
                                <w:b/>
                                <w:sz w:val="24"/>
                                <w:lang w:val="pl-PL"/>
                              </w:rPr>
                              <w:t>prezentacje</w:t>
                            </w:r>
                            <w:r w:rsidRPr="00DC40BE">
                              <w:rPr>
                                <w:rFonts w:ascii="Times New Roman" w:hAnsi="Times New Roman"/>
                                <w:sz w:val="24"/>
                                <w:lang w:val="pl-PL"/>
                              </w:rPr>
                              <w:t xml:space="preserve"> w uczelniach wyższych i podczas wydarzeń. </w:t>
                            </w:r>
                          </w:p>
                          <w:p w14:paraId="69335BBE" w14:textId="77777777" w:rsidR="00E464AF" w:rsidRPr="00DC40BE" w:rsidRDefault="00E464AF" w:rsidP="00E464AF">
                            <w:pPr>
                              <w:pStyle w:val="Akapitzlist"/>
                              <w:numPr>
                                <w:ilvl w:val="0"/>
                                <w:numId w:val="34"/>
                              </w:numPr>
                              <w:jc w:val="both"/>
                              <w:rPr>
                                <w:rFonts w:ascii="Times New Roman" w:hAnsi="Times New Roman" w:cs="Times New Roman"/>
                                <w:sz w:val="24"/>
                                <w:lang w:val="pl-PL"/>
                              </w:rPr>
                            </w:pPr>
                            <w:r w:rsidRPr="00DC40BE">
                              <w:rPr>
                                <w:rFonts w:ascii="Times New Roman" w:hAnsi="Times New Roman"/>
                                <w:sz w:val="24"/>
                                <w:lang w:val="pl-PL"/>
                              </w:rPr>
                              <w:t xml:space="preserve">Organizuje również, zgodnie z wytycznymi Komisji, </w:t>
                            </w:r>
                            <w:r w:rsidRPr="00DC40BE">
                              <w:rPr>
                                <w:rFonts w:ascii="Times New Roman" w:hAnsi="Times New Roman"/>
                                <w:b/>
                                <w:sz w:val="24"/>
                                <w:lang w:val="pl-PL"/>
                              </w:rPr>
                              <w:t>konsultacje z zainteresowanymi stronami</w:t>
                            </w:r>
                            <w:r w:rsidRPr="00DC40BE">
                              <w:rPr>
                                <w:rFonts w:ascii="Times New Roman" w:hAnsi="Times New Roman"/>
                                <w:sz w:val="24"/>
                                <w:lang w:val="pl-PL"/>
                              </w:rPr>
                              <w:t xml:space="preserve"> na temat różnych aspektów wdrażania forum i funkcjonowania EIO w celu udoskonalenia usług oferowanych organizatorom EIO.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8EBB2C4" id="_x0000_t202" coordsize="21600,21600" o:spt="202" path="m,l,21600r21600,l21600,xe">
                <v:stroke joinstyle="miter"/>
                <v:path gradientshapeok="t" o:connecttype="rect"/>
              </v:shapetype>
              <v:shape id="Text Box 3" o:spid="_x0000_s1026" type="#_x0000_t202" style="position:absolute;left:0;text-align:left;margin-left:0;margin-top:62.6pt;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14RAIAAKAEAAAOAAAAZHJzL2Uyb0RvYy54bWysVE1v2zAMvQ/YfxB0X+x8tEuDOEWWIsOA&#10;oC2QDD0rshwbk0RBUmJnv36UbKdpu9Owi0yK1JP4Hun5faMkOQnrKtAZHQ5SSoTmkFf6kNGfu/WX&#10;KSXOM50zCVpk9CwcvV98/jSvzUyMoASZC0sQRLtZbTJaem9mSeJ4KRRzAzBCY7AAq5hH1x6S3LIa&#10;0ZVMRml6m9Rgc2OBC+dw96EN0kXELwrB/VNROOGJzCi+zcfVxnUf1mQxZ7ODZaasePcM9g+vUKzS&#10;eOkF6oF5Ro62+gClKm7BQeEHHFQCRVFxEWvAaobpu2q2JTMi1oLkOHOhyf0/WP54erakyjM6pkQz&#10;hRLtROPJN2jIOLBTGzfDpK3BNN/gNqrc7zvcDEU3hVXhi+UQjCPP5wu3AYyHQ9PRdJpiiGOsdxA/&#10;eT1urPPfBSgSjIxaFC9yyk4b59vUPiXc5kBW+bqSMjqhYcRKWnJiKPX+MAqPRPA3WVKTOqO345s0&#10;Ar+JBejX85LxXx8REE9qhA2ktMUHyzf7pmNqD/kZibLQNpozfF0h7oY5/8wsdhYSgNPin3ApJOBj&#10;oLMoKcH+/tt+yEfBMUpJjZ2aUY2jRIn8obER7oaTSWjs6Exuvo7QsdeR/XVEH9UKkJ8hTqXh0Qz5&#10;XvZmYUG94Egtw50YYprjzRn1vbny7fTgSHKxXMYkbGXD/EZvDQ/QQY/A5q55YdZ0anpshEfoO5rN&#10;3ona5kYlzfLoYV1FxQO9Lacd6zgGUdZuZMOcXfsx6/XHsvgDAAD//wMAUEsDBBQABgAIAAAAIQCC&#10;txF73wAAAAgBAAAPAAAAZHJzL2Rvd25yZXYueG1sTI/BTsMwEETvSPyDtUhcEHXiAopCnKogVUgc&#10;kCg9wM2Nt0nAXkex24S/ZznBcWdGs2+q1eydOOEY+0Aa8kUGAqkJtqdWw+5tc12AiMmQNS4QavjG&#10;CKv6/KwypQ0TveJpm1rBJRRLo6FLaSiljE2H3sRFGJDYO4TRm8Tn2Eo7monLvZMqy+6kNz3xh84M&#10;+Nhh87U9eg1Dv/mY3Xr5cPX5cthNz+Y9x6eg9eXFvL4HkXBOf2H4xWd0qJlpH45ko3AaeEhiVd0q&#10;EGyromBlr+EmXyqQdSX/D6h/AAAA//8DAFBLAQItABQABgAIAAAAIQC2gziS/gAAAOEBAAATAAAA&#10;AAAAAAAAAAAAAAAAAABbQ29udGVudF9UeXBlc10ueG1sUEsBAi0AFAAGAAgAAAAhADj9If/WAAAA&#10;lAEAAAsAAAAAAAAAAAAAAAAALwEAAF9yZWxzLy5yZWxzUEsBAi0AFAAGAAgAAAAhANUD7XhEAgAA&#10;oAQAAA4AAAAAAAAAAAAAAAAALgIAAGRycy9lMm9Eb2MueG1sUEsBAi0AFAAGAAgAAAAhAIK3EXvf&#10;AAAACAEAAA8AAAAAAAAAAAAAAAAAngQAAGRycy9kb3ducmV2LnhtbFBLBQYAAAAABAAEAPMAAACq&#10;BQAAAAA=&#10;" fillcolor="#e7e6e6 [3214]" strokeweight=".5pt">
                <v:textbox style="mso-fit-shape-to-text:t">
                  <w:txbxContent>
                    <w:p w14:paraId="4655BF5B" w14:textId="77777777" w:rsidR="00E464AF" w:rsidRPr="00DC40BE" w:rsidRDefault="00E464AF" w:rsidP="00E464AF">
                      <w:pPr>
                        <w:jc w:val="center"/>
                        <w:rPr>
                          <w:b/>
                          <w:lang w:val="pl-PL"/>
                        </w:rPr>
                      </w:pPr>
                      <w:r w:rsidRPr="00DC40BE">
                        <w:rPr>
                          <w:b/>
                          <w:lang w:val="pl-PL"/>
                        </w:rPr>
                        <w:t>Działalność forum europejskiej inicjatywy obywatelskiej</w:t>
                      </w:r>
                    </w:p>
                    <w:p w14:paraId="629AD6E8" w14:textId="77777777" w:rsidR="00E464AF" w:rsidRPr="00DC40BE" w:rsidRDefault="00E464AF" w:rsidP="00E464AF">
                      <w:pPr>
                        <w:pStyle w:val="ListParagraph"/>
                        <w:numPr>
                          <w:ilvl w:val="0"/>
                          <w:numId w:val="34"/>
                        </w:numPr>
                        <w:jc w:val="both"/>
                        <w:rPr>
                          <w:rFonts w:ascii="Times New Roman" w:hAnsi="Times New Roman" w:cs="Times New Roman"/>
                          <w:sz w:val="24"/>
                          <w:lang w:val="pl-PL"/>
                        </w:rPr>
                      </w:pPr>
                      <w:r w:rsidRPr="00DC40BE">
                        <w:rPr>
                          <w:rFonts w:ascii="Times New Roman" w:hAnsi="Times New Roman"/>
                          <w:sz w:val="24"/>
                          <w:lang w:val="pl-PL"/>
                        </w:rPr>
                        <w:t xml:space="preserve">Forum europejskiej inicjatywy obywatelskiej oferuje szeroki wachlarz </w:t>
                      </w:r>
                      <w:r w:rsidRPr="00DC40BE">
                        <w:rPr>
                          <w:rFonts w:ascii="Times New Roman" w:hAnsi="Times New Roman"/>
                          <w:b/>
                          <w:sz w:val="24"/>
                          <w:lang w:val="pl-PL"/>
                        </w:rPr>
                        <w:t>materiałów edukacyjnych</w:t>
                      </w:r>
                      <w:r w:rsidRPr="00DC40BE">
                        <w:rPr>
                          <w:rFonts w:ascii="Times New Roman" w:hAnsi="Times New Roman"/>
                          <w:sz w:val="24"/>
                          <w:lang w:val="pl-PL"/>
                        </w:rPr>
                        <w:t xml:space="preserve">, które mają pomóc obywatelom w przygotowaniu i realizowaniu EIO (wytyczne, przykłady udanych inicjatyw itp.); </w:t>
                      </w:r>
                      <w:r w:rsidRPr="00DC40BE">
                        <w:rPr>
                          <w:rFonts w:ascii="Times New Roman" w:hAnsi="Times New Roman"/>
                          <w:b/>
                          <w:sz w:val="24"/>
                          <w:lang w:val="pl-PL"/>
                        </w:rPr>
                        <w:t>webinaria</w:t>
                      </w:r>
                      <w:r w:rsidRPr="00DC40BE">
                        <w:rPr>
                          <w:rFonts w:ascii="Times New Roman" w:hAnsi="Times New Roman"/>
                          <w:sz w:val="24"/>
                          <w:lang w:val="pl-PL"/>
                        </w:rPr>
                        <w:t xml:space="preserve">; </w:t>
                      </w:r>
                      <w:r w:rsidRPr="00DC40BE">
                        <w:rPr>
                          <w:rFonts w:ascii="Times New Roman" w:hAnsi="Times New Roman"/>
                          <w:b/>
                          <w:sz w:val="24"/>
                          <w:lang w:val="pl-PL"/>
                        </w:rPr>
                        <w:t>kurs internetowy</w:t>
                      </w:r>
                      <w:r w:rsidRPr="00DC40BE">
                        <w:rPr>
                          <w:rFonts w:ascii="Times New Roman" w:hAnsi="Times New Roman"/>
                          <w:sz w:val="24"/>
                          <w:lang w:val="pl-PL"/>
                        </w:rPr>
                        <w:t xml:space="preserve">; oraz </w:t>
                      </w:r>
                      <w:r w:rsidRPr="00DC40BE">
                        <w:rPr>
                          <w:rFonts w:ascii="Times New Roman" w:hAnsi="Times New Roman"/>
                          <w:b/>
                          <w:sz w:val="24"/>
                          <w:lang w:val="pl-PL"/>
                        </w:rPr>
                        <w:t>prezentacje</w:t>
                      </w:r>
                      <w:r w:rsidRPr="00DC40BE">
                        <w:rPr>
                          <w:rFonts w:ascii="Times New Roman" w:hAnsi="Times New Roman"/>
                          <w:sz w:val="24"/>
                          <w:lang w:val="pl-PL"/>
                        </w:rPr>
                        <w:t xml:space="preserve"> w uczelniach wyższych i podczas wydarzeń. </w:t>
                      </w:r>
                    </w:p>
                    <w:p w14:paraId="69335BBE" w14:textId="77777777" w:rsidR="00E464AF" w:rsidRPr="00DC40BE" w:rsidRDefault="00E464AF" w:rsidP="00E464AF">
                      <w:pPr>
                        <w:pStyle w:val="ListParagraph"/>
                        <w:numPr>
                          <w:ilvl w:val="0"/>
                          <w:numId w:val="34"/>
                        </w:numPr>
                        <w:jc w:val="both"/>
                        <w:rPr>
                          <w:rFonts w:ascii="Times New Roman" w:hAnsi="Times New Roman" w:cs="Times New Roman"/>
                          <w:sz w:val="24"/>
                          <w:lang w:val="pl-PL"/>
                        </w:rPr>
                      </w:pPr>
                      <w:r w:rsidRPr="00DC40BE">
                        <w:rPr>
                          <w:rFonts w:ascii="Times New Roman" w:hAnsi="Times New Roman"/>
                          <w:sz w:val="24"/>
                          <w:lang w:val="pl-PL"/>
                        </w:rPr>
                        <w:t xml:space="preserve">Organizuje również, zgodnie z wytycznymi Komisji, </w:t>
                      </w:r>
                      <w:r w:rsidRPr="00DC40BE">
                        <w:rPr>
                          <w:rFonts w:ascii="Times New Roman" w:hAnsi="Times New Roman"/>
                          <w:b/>
                          <w:sz w:val="24"/>
                          <w:lang w:val="pl-PL"/>
                        </w:rPr>
                        <w:t>konsultacje z zainteresowanymi stronami</w:t>
                      </w:r>
                      <w:r w:rsidRPr="00DC40BE">
                        <w:rPr>
                          <w:rFonts w:ascii="Times New Roman" w:hAnsi="Times New Roman"/>
                          <w:sz w:val="24"/>
                          <w:lang w:val="pl-PL"/>
                        </w:rPr>
                        <w:t xml:space="preserve"> na temat różnych aspektów wdrażania forum i funkcjonowania EIO w celu udoskonalenia usług oferowanych organizatorom EIO. </w:t>
                      </w:r>
                    </w:p>
                  </w:txbxContent>
                </v:textbox>
                <w10:wrap type="square" anchorx="margin"/>
              </v:shape>
            </w:pict>
          </mc:Fallback>
        </mc:AlternateContent>
      </w:r>
      <w:r w:rsidRPr="00DC40BE">
        <w:rPr>
          <w:noProof/>
          <w:lang w:val="pl-PL"/>
        </w:rPr>
        <w:t xml:space="preserve">. </w:t>
      </w:r>
    </w:p>
    <w:p w14:paraId="345A3F8C" w14:textId="77777777" w:rsidR="00E464AF" w:rsidRPr="00DC40BE" w:rsidRDefault="00E464AF" w:rsidP="00E8781C">
      <w:pPr>
        <w:pStyle w:val="Nagwek2"/>
        <w:spacing w:before="100" w:beforeAutospacing="1" w:after="100" w:afterAutospacing="1" w:line="276" w:lineRule="auto"/>
        <w:rPr>
          <w:noProof/>
          <w:lang w:val="pl-PL"/>
        </w:rPr>
      </w:pPr>
      <w:bookmarkStart w:id="47" w:name="_Toc146296688"/>
    </w:p>
    <w:p w14:paraId="6DE29920" w14:textId="62BAD3BF" w:rsidR="005A4888" w:rsidRPr="00DC40BE" w:rsidRDefault="005455F8" w:rsidP="00E8781C">
      <w:pPr>
        <w:pStyle w:val="Nagwek2"/>
        <w:spacing w:before="100" w:beforeAutospacing="1" w:after="100" w:afterAutospacing="1" w:line="276" w:lineRule="auto"/>
        <w:rPr>
          <w:noProof/>
          <w:lang w:val="pl-PL"/>
        </w:rPr>
      </w:pPr>
      <w:r w:rsidRPr="00DC40BE">
        <w:rPr>
          <w:noProof/>
          <w:lang w:val="pl-PL"/>
        </w:rPr>
        <w:t>3.11. Doświadczenia organizatorów z EIO</w:t>
      </w:r>
      <w:bookmarkEnd w:id="47"/>
      <w:r w:rsidRPr="00DC40BE">
        <w:rPr>
          <w:noProof/>
          <w:lang w:val="pl-PL"/>
        </w:rPr>
        <w:t xml:space="preserve"> </w:t>
      </w:r>
    </w:p>
    <w:p w14:paraId="291954D7" w14:textId="2B936F2D" w:rsidR="005A4888" w:rsidRPr="00DC40BE" w:rsidRDefault="005A4888" w:rsidP="00E8781C">
      <w:pPr>
        <w:keepNext/>
        <w:spacing w:before="100" w:beforeAutospacing="1" w:after="100" w:afterAutospacing="1" w:line="276" w:lineRule="auto"/>
        <w:rPr>
          <w:noProof/>
          <w:lang w:val="pl-PL"/>
        </w:rPr>
      </w:pPr>
      <w:r w:rsidRPr="00DC40BE">
        <w:rPr>
          <w:noProof/>
          <w:lang w:val="pl-PL"/>
        </w:rPr>
        <w:t xml:space="preserve">Większość ankietowanych organizatorów twierdzi, że zaangażowała się w EIO, ponieważ </w:t>
      </w:r>
      <w:r w:rsidRPr="00DC40BE">
        <w:rPr>
          <w:b/>
          <w:noProof/>
          <w:lang w:val="pl-PL"/>
        </w:rPr>
        <w:t>osobiście interesują się sprawą, którą ich zdaniem należy się zająć na szczeblu UE</w:t>
      </w:r>
      <w:r w:rsidRPr="00DC40BE">
        <w:rPr>
          <w:noProof/>
          <w:lang w:val="pl-PL"/>
        </w:rPr>
        <w:t>. Jedna trzecia respondentów rozpoczęła EIO</w:t>
      </w:r>
      <w:r w:rsidR="00DC40BE" w:rsidRPr="00DC40BE">
        <w:rPr>
          <w:noProof/>
          <w:lang w:val="pl-PL"/>
        </w:rPr>
        <w:t xml:space="preserve"> z </w:t>
      </w:r>
      <w:r w:rsidR="00DC40BE" w:rsidRPr="00DC40BE">
        <w:rPr>
          <w:b/>
          <w:noProof/>
          <w:lang w:val="pl-PL"/>
        </w:rPr>
        <w:t>pob</w:t>
      </w:r>
      <w:r w:rsidRPr="00DC40BE">
        <w:rPr>
          <w:b/>
          <w:noProof/>
          <w:lang w:val="pl-PL"/>
        </w:rPr>
        <w:t>udek zawodowych lub akademickich</w:t>
      </w:r>
      <w:r w:rsidRPr="00DC40BE">
        <w:rPr>
          <w:noProof/>
          <w:lang w:val="pl-PL"/>
        </w:rPr>
        <w:t>,</w:t>
      </w:r>
      <w:r w:rsidR="00DC40BE" w:rsidRPr="00DC40BE">
        <w:rPr>
          <w:noProof/>
          <w:lang w:val="pl-PL"/>
        </w:rPr>
        <w:t xml:space="preserve"> w tym w jed</w:t>
      </w:r>
      <w:r w:rsidRPr="00DC40BE">
        <w:rPr>
          <w:noProof/>
          <w:lang w:val="pl-PL"/>
        </w:rPr>
        <w:t>nym przypadku</w:t>
      </w:r>
      <w:r w:rsidR="00DC40BE" w:rsidRPr="00DC40BE">
        <w:rPr>
          <w:noProof/>
          <w:lang w:val="pl-PL"/>
        </w:rPr>
        <w:t xml:space="preserve"> w odp</w:t>
      </w:r>
      <w:r w:rsidRPr="00DC40BE">
        <w:rPr>
          <w:noProof/>
          <w:lang w:val="pl-PL"/>
        </w:rPr>
        <w:t>owiedzi na inną EIO („reakcja na fakt, że nie ma możliwości złożenia podpisu przeciwko konkretnej EIO”). Szereg respondentów zamieściło linki do wcześniejszych EIO. Połowa respondentów rozważała wcześniej wykorzystanie innych instrumentów (np. petycji składanych na szczeblu krajowym lub do Parlamentu Europejskiego), ale uznała, że nie umożliwiają osiągnięcia ich celów</w:t>
      </w:r>
      <w:r w:rsidR="00DC40BE" w:rsidRPr="00DC40BE">
        <w:rPr>
          <w:noProof/>
          <w:lang w:val="pl-PL"/>
        </w:rPr>
        <w:t xml:space="preserve"> w wys</w:t>
      </w:r>
      <w:r w:rsidRPr="00DC40BE">
        <w:rPr>
          <w:noProof/>
          <w:lang w:val="pl-PL"/>
        </w:rPr>
        <w:t xml:space="preserve">tarczającym stopniu. Wybrali EIO, ponieważ wywiera </w:t>
      </w:r>
      <w:r w:rsidRPr="00DC40BE">
        <w:rPr>
          <w:b/>
          <w:noProof/>
          <w:lang w:val="pl-PL"/>
        </w:rPr>
        <w:t>większy wpływ polityczny</w:t>
      </w:r>
      <w:r w:rsidRPr="00DC40BE">
        <w:rPr>
          <w:noProof/>
          <w:lang w:val="pl-PL"/>
        </w:rPr>
        <w:t>, („ponieważ Komisja musi zareagować”), „bardzo ułatwia realizację strategii</w:t>
      </w:r>
      <w:r w:rsidR="00DC40BE" w:rsidRPr="00DC40BE">
        <w:rPr>
          <w:noProof/>
          <w:lang w:val="pl-PL"/>
        </w:rPr>
        <w:t xml:space="preserve"> w zak</w:t>
      </w:r>
      <w:r w:rsidRPr="00DC40BE">
        <w:rPr>
          <w:noProof/>
          <w:lang w:val="pl-PL"/>
        </w:rPr>
        <w:t>resie rzecznictwa</w:t>
      </w:r>
      <w:r w:rsidR="00DC40BE" w:rsidRPr="00DC40BE">
        <w:rPr>
          <w:noProof/>
          <w:lang w:val="pl-PL"/>
        </w:rPr>
        <w:t xml:space="preserve"> i nad</w:t>
      </w:r>
      <w:r w:rsidRPr="00DC40BE">
        <w:rPr>
          <w:noProof/>
          <w:lang w:val="pl-PL"/>
        </w:rPr>
        <w:t xml:space="preserve">aje kampanii większą wiarygodność” lub ze względu na jej </w:t>
      </w:r>
      <w:r w:rsidRPr="00DC40BE">
        <w:rPr>
          <w:b/>
          <w:noProof/>
          <w:lang w:val="pl-PL"/>
        </w:rPr>
        <w:t>ogólnounijny wymiar</w:t>
      </w:r>
      <w:r w:rsidRPr="00DC40BE">
        <w:rPr>
          <w:noProof/>
          <w:lang w:val="pl-PL"/>
        </w:rPr>
        <w:t>. Jeden organizator EIO oświadczył, że starannie zaplanował harmonogram swojej EIO</w:t>
      </w:r>
      <w:r w:rsidR="00DC40BE" w:rsidRPr="00DC40BE">
        <w:rPr>
          <w:noProof/>
          <w:lang w:val="pl-PL"/>
        </w:rPr>
        <w:t xml:space="preserve"> w tak</w:t>
      </w:r>
      <w:r w:rsidRPr="00DC40BE">
        <w:rPr>
          <w:noProof/>
          <w:lang w:val="pl-PL"/>
        </w:rPr>
        <w:t>i sposób, tak aby można ją było uwzględnić</w:t>
      </w:r>
      <w:r w:rsidR="00DC40BE" w:rsidRPr="00DC40BE">
        <w:rPr>
          <w:noProof/>
          <w:lang w:val="pl-PL"/>
        </w:rPr>
        <w:t xml:space="preserve"> w pla</w:t>
      </w:r>
      <w:r w:rsidRPr="00DC40BE">
        <w:rPr>
          <w:noProof/>
          <w:lang w:val="pl-PL"/>
        </w:rPr>
        <w:t>nowanym przeglądzie odpowiednich przepisów.</w:t>
      </w:r>
    </w:p>
    <w:p w14:paraId="0D45C544" w14:textId="5D5A588B" w:rsidR="00DD2428" w:rsidRPr="00DC40BE" w:rsidRDefault="005A4888" w:rsidP="00E8781C">
      <w:pPr>
        <w:spacing w:before="100" w:beforeAutospacing="1" w:after="100" w:afterAutospacing="1" w:line="276" w:lineRule="auto"/>
        <w:rPr>
          <w:b/>
          <w:noProof/>
          <w:lang w:val="pl-PL"/>
        </w:rPr>
      </w:pPr>
      <w:r w:rsidRPr="00DC40BE">
        <w:rPr>
          <w:noProof/>
          <w:lang w:val="pl-PL"/>
        </w:rPr>
        <w:t xml:space="preserve">Większość respondentów uważa, że </w:t>
      </w:r>
      <w:r w:rsidRPr="00DC40BE">
        <w:rPr>
          <w:b/>
          <w:noProof/>
          <w:lang w:val="pl-PL"/>
        </w:rPr>
        <w:t>EIO stanowi cenne doświadczenie</w:t>
      </w:r>
      <w:r w:rsidRPr="00DC40BE">
        <w:rPr>
          <w:noProof/>
          <w:lang w:val="pl-PL"/>
        </w:rPr>
        <w:t>, ponieważ przybliżyła realizację ich pierwotnych celów</w:t>
      </w:r>
      <w:r w:rsidR="00DC40BE" w:rsidRPr="00DC40BE">
        <w:rPr>
          <w:noProof/>
          <w:lang w:val="pl-PL"/>
        </w:rPr>
        <w:t xml:space="preserve"> w odn</w:t>
      </w:r>
      <w:r w:rsidRPr="00DC40BE">
        <w:rPr>
          <w:noProof/>
          <w:lang w:val="pl-PL"/>
        </w:rPr>
        <w:t>iesieniu do co najmniej jednego lub kilku wskaźników wymienionych</w:t>
      </w:r>
      <w:r w:rsidR="00DC40BE" w:rsidRPr="00DC40BE">
        <w:rPr>
          <w:noProof/>
          <w:lang w:val="pl-PL"/>
        </w:rPr>
        <w:t xml:space="preserve"> w ank</w:t>
      </w:r>
      <w:r w:rsidRPr="00DC40BE">
        <w:rPr>
          <w:noProof/>
          <w:lang w:val="pl-PL"/>
        </w:rPr>
        <w:t>iecie (zob. wykres 3). Na pytanie, co udało im się osiągnąć dzięki EIO, organizatorzy wskazali przede wszystkim: rozwój osobisty</w:t>
      </w:r>
      <w:r w:rsidR="00DC40BE" w:rsidRPr="00DC40BE">
        <w:rPr>
          <w:noProof/>
          <w:lang w:val="pl-PL"/>
        </w:rPr>
        <w:t xml:space="preserve"> i zaw</w:t>
      </w:r>
      <w:r w:rsidRPr="00DC40BE">
        <w:rPr>
          <w:noProof/>
          <w:lang w:val="pl-PL"/>
        </w:rPr>
        <w:t>odowy; zwiększenie świadomości na temat sprawy, która jest dla nich ważna; rozpoczęcie debaty na temat zagadnienia będącego przedmiotem ich EIO; oraz utworzenie sieci partnerów</w:t>
      </w:r>
      <w:r w:rsidR="00DC40BE" w:rsidRPr="00DC40BE">
        <w:rPr>
          <w:noProof/>
          <w:lang w:val="pl-PL"/>
        </w:rPr>
        <w:t xml:space="preserve"> z myś</w:t>
      </w:r>
      <w:r w:rsidRPr="00DC40BE">
        <w:rPr>
          <w:noProof/>
          <w:lang w:val="pl-PL"/>
        </w:rPr>
        <w:t>lą</w:t>
      </w:r>
      <w:r w:rsidR="00DC40BE" w:rsidRPr="00DC40BE">
        <w:rPr>
          <w:noProof/>
          <w:lang w:val="pl-PL"/>
        </w:rPr>
        <w:t xml:space="preserve"> o dłu</w:t>
      </w:r>
      <w:r w:rsidRPr="00DC40BE">
        <w:rPr>
          <w:noProof/>
          <w:lang w:val="pl-PL"/>
        </w:rPr>
        <w:t xml:space="preserve">goterminowej współpracy. </w:t>
      </w:r>
    </w:p>
    <w:p w14:paraId="36A192B6" w14:textId="77777777" w:rsidR="00E464AF" w:rsidRPr="00DC40BE" w:rsidRDefault="00E464AF" w:rsidP="00E8781C">
      <w:pPr>
        <w:spacing w:before="100" w:beforeAutospacing="1" w:after="100" w:afterAutospacing="1" w:line="276" w:lineRule="auto"/>
        <w:rPr>
          <w:b/>
          <w:noProof/>
          <w:lang w:val="pl-PL"/>
        </w:rPr>
      </w:pPr>
    </w:p>
    <w:p w14:paraId="07BF9C4B" w14:textId="77777777" w:rsidR="00E464AF" w:rsidRPr="00DC40BE" w:rsidRDefault="00E464AF" w:rsidP="00E8781C">
      <w:pPr>
        <w:spacing w:before="100" w:beforeAutospacing="1" w:after="100" w:afterAutospacing="1" w:line="276" w:lineRule="auto"/>
        <w:rPr>
          <w:b/>
          <w:noProof/>
          <w:lang w:val="pl-PL"/>
        </w:rPr>
      </w:pPr>
    </w:p>
    <w:p w14:paraId="70D5EE57" w14:textId="77777777" w:rsidR="00E464AF" w:rsidRPr="00DC40BE" w:rsidRDefault="00E464AF" w:rsidP="00E8781C">
      <w:pPr>
        <w:spacing w:before="100" w:beforeAutospacing="1" w:after="100" w:afterAutospacing="1" w:line="276" w:lineRule="auto"/>
        <w:rPr>
          <w:b/>
          <w:noProof/>
          <w:lang w:val="pl-PL"/>
        </w:rPr>
      </w:pPr>
    </w:p>
    <w:p w14:paraId="6B0F80AB" w14:textId="77777777" w:rsidR="00E464AF" w:rsidRPr="00DC40BE" w:rsidRDefault="00E464AF" w:rsidP="00E8781C">
      <w:pPr>
        <w:spacing w:before="100" w:beforeAutospacing="1" w:after="100" w:afterAutospacing="1" w:line="276" w:lineRule="auto"/>
        <w:rPr>
          <w:b/>
          <w:noProof/>
          <w:lang w:val="pl-PL"/>
        </w:rPr>
      </w:pPr>
    </w:p>
    <w:p w14:paraId="33259224" w14:textId="77777777" w:rsidR="00E464AF" w:rsidRPr="00DC40BE" w:rsidRDefault="00E464AF" w:rsidP="00E8781C">
      <w:pPr>
        <w:spacing w:before="100" w:beforeAutospacing="1" w:after="100" w:afterAutospacing="1" w:line="276" w:lineRule="auto"/>
        <w:rPr>
          <w:b/>
          <w:noProof/>
          <w:lang w:val="pl-PL"/>
        </w:rPr>
      </w:pPr>
    </w:p>
    <w:p w14:paraId="78095FA7" w14:textId="77777777" w:rsidR="00E464AF" w:rsidRPr="00DC40BE" w:rsidRDefault="00E464AF" w:rsidP="00E8781C">
      <w:pPr>
        <w:spacing w:before="100" w:beforeAutospacing="1" w:after="100" w:afterAutospacing="1" w:line="276" w:lineRule="auto"/>
        <w:rPr>
          <w:b/>
          <w:noProof/>
          <w:lang w:val="pl-PL"/>
        </w:rPr>
      </w:pPr>
    </w:p>
    <w:p w14:paraId="4D6AC8B1" w14:textId="43644073" w:rsidR="005A4888" w:rsidRPr="00DC40BE" w:rsidRDefault="005A4888" w:rsidP="00E8781C">
      <w:pPr>
        <w:spacing w:before="100" w:beforeAutospacing="1" w:after="100" w:afterAutospacing="1" w:line="276" w:lineRule="auto"/>
        <w:rPr>
          <w:b/>
          <w:noProof/>
          <w:lang w:val="pl-PL"/>
        </w:rPr>
      </w:pPr>
      <w:r w:rsidRPr="00DC40BE">
        <w:rPr>
          <w:b/>
          <w:noProof/>
          <w:lang w:val="pl-PL"/>
        </w:rPr>
        <w:t>Wykres 3: opinie organizatorów na temat osiągnięcia ich pierwotnych celów</w:t>
      </w:r>
    </w:p>
    <w:p w14:paraId="0E8F4466" w14:textId="6B196980" w:rsidR="00081144" w:rsidRPr="00DC40BE" w:rsidRDefault="006476D4" w:rsidP="00E8781C">
      <w:pPr>
        <w:spacing w:before="100" w:beforeAutospacing="1" w:after="100" w:afterAutospacing="1" w:line="276" w:lineRule="auto"/>
        <w:rPr>
          <w:noProof/>
          <w:lang w:val="pl-PL"/>
        </w:rPr>
      </w:pPr>
      <w:r w:rsidRPr="00DC40BE">
        <w:rPr>
          <w:noProof/>
          <w:lang w:val="pl-PL" w:eastAsia="pl-PL"/>
        </w:rPr>
        <w:drawing>
          <wp:inline distT="0" distB="0" distL="0" distR="0" wp14:anchorId="1F38A066" wp14:editId="6B9843FB">
            <wp:extent cx="5554800" cy="261720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554800" cy="2617200"/>
                    </a:xfrm>
                    <a:prstGeom prst="rect">
                      <a:avLst/>
                    </a:prstGeom>
                    <a:noFill/>
                  </pic:spPr>
                </pic:pic>
              </a:graphicData>
            </a:graphic>
          </wp:inline>
        </w:drawing>
      </w:r>
    </w:p>
    <w:p w14:paraId="27475CF1" w14:textId="77777777" w:rsidR="005A4888" w:rsidRPr="00DC40BE" w:rsidRDefault="005A4888" w:rsidP="00E8781C">
      <w:pPr>
        <w:pStyle w:val="Nagwek1"/>
        <w:numPr>
          <w:ilvl w:val="0"/>
          <w:numId w:val="16"/>
        </w:numPr>
        <w:tabs>
          <w:tab w:val="clear" w:pos="7145"/>
          <w:tab w:val="num" w:pos="482"/>
        </w:tabs>
        <w:spacing w:before="100" w:beforeAutospacing="1" w:after="100" w:afterAutospacing="1" w:line="276" w:lineRule="auto"/>
        <w:ind w:left="482"/>
        <w:rPr>
          <w:noProof/>
          <w:lang w:val="pl-PL"/>
        </w:rPr>
      </w:pPr>
      <w:bookmarkStart w:id="48" w:name="_Toc1252061429"/>
      <w:bookmarkStart w:id="49" w:name="_Toc146296689"/>
      <w:r w:rsidRPr="00DC40BE">
        <w:rPr>
          <w:noProof/>
          <w:lang w:val="pl-PL"/>
        </w:rPr>
        <w:t>WPŁYW PANDEMII COVID-19</w:t>
      </w:r>
      <w:bookmarkEnd w:id="48"/>
      <w:bookmarkEnd w:id="49"/>
    </w:p>
    <w:p w14:paraId="77C54F9B" w14:textId="0156BFD3" w:rsidR="005A4888" w:rsidRPr="00DC40BE" w:rsidRDefault="005A4888" w:rsidP="00E8781C">
      <w:pPr>
        <w:spacing w:before="100" w:beforeAutospacing="1" w:after="100" w:afterAutospacing="1" w:line="276" w:lineRule="auto"/>
        <w:rPr>
          <w:noProof/>
          <w:lang w:val="pl-PL"/>
        </w:rPr>
      </w:pPr>
      <w:r w:rsidRPr="00DC40BE">
        <w:rPr>
          <w:noProof/>
          <w:lang w:val="pl-PL"/>
        </w:rPr>
        <w:t xml:space="preserve">Pandemia COVID-19 </w:t>
      </w:r>
      <w:r w:rsidRPr="00DC40BE">
        <w:rPr>
          <w:rStyle w:val="cf01"/>
          <w:rFonts w:ascii="Times New Roman" w:hAnsi="Times New Roman"/>
          <w:noProof/>
          <w:sz w:val="24"/>
          <w:lang w:val="pl-PL"/>
        </w:rPr>
        <w:t>miała bezprecedensowy wpływ na państwa członkowskie</w:t>
      </w:r>
      <w:r w:rsidR="00DC40BE" w:rsidRPr="00DC40BE">
        <w:rPr>
          <w:rStyle w:val="cf01"/>
          <w:rFonts w:ascii="Times New Roman" w:hAnsi="Times New Roman"/>
          <w:noProof/>
          <w:sz w:val="24"/>
          <w:lang w:val="pl-PL"/>
        </w:rPr>
        <w:t xml:space="preserve"> i ich</w:t>
      </w:r>
      <w:r w:rsidRPr="00DC40BE">
        <w:rPr>
          <w:rStyle w:val="cf01"/>
          <w:rFonts w:ascii="Times New Roman" w:hAnsi="Times New Roman"/>
          <w:noProof/>
          <w:sz w:val="24"/>
          <w:lang w:val="pl-PL"/>
        </w:rPr>
        <w:t xml:space="preserve"> obywateli</w:t>
      </w:r>
      <w:r w:rsidRPr="00DC40BE">
        <w:rPr>
          <w:noProof/>
          <w:lang w:val="pl-PL"/>
        </w:rPr>
        <w:t>. Krajowe środki izolacji oraz, ogólniej rzecz biorąc, wszechobecność pandemii niemal całkowicie uniemożliwiły organizatorom EIO skuteczne kontynuowanie lokalnych działań promocyjnych</w:t>
      </w:r>
      <w:r w:rsidR="00DC40BE" w:rsidRPr="00DC40BE">
        <w:rPr>
          <w:noProof/>
          <w:lang w:val="pl-PL"/>
        </w:rPr>
        <w:t xml:space="preserve"> i pro</w:t>
      </w:r>
      <w:r w:rsidRPr="00DC40BE">
        <w:rPr>
          <w:noProof/>
          <w:lang w:val="pl-PL"/>
        </w:rPr>
        <w:t>cesu zbierania deklaracji poparcia</w:t>
      </w:r>
      <w:r w:rsidR="00DC40BE" w:rsidRPr="00DC40BE">
        <w:rPr>
          <w:noProof/>
          <w:lang w:val="pl-PL"/>
        </w:rPr>
        <w:t xml:space="preserve"> w for</w:t>
      </w:r>
      <w:r w:rsidRPr="00DC40BE">
        <w:rPr>
          <w:noProof/>
          <w:lang w:val="pl-PL"/>
        </w:rPr>
        <w:t>mie papierowej, które był niezbędne do zgromadzenia wymaganego wsparcia</w:t>
      </w:r>
      <w:r w:rsidR="00DC40BE" w:rsidRPr="00DC40BE">
        <w:rPr>
          <w:noProof/>
          <w:lang w:val="pl-PL"/>
        </w:rPr>
        <w:t xml:space="preserve"> w okr</w:t>
      </w:r>
      <w:r w:rsidRPr="00DC40BE">
        <w:rPr>
          <w:noProof/>
          <w:lang w:val="pl-PL"/>
        </w:rPr>
        <w:t>esie 12 miesięcy</w:t>
      </w:r>
      <w:r w:rsidR="00DC40BE" w:rsidRPr="00DC40BE">
        <w:rPr>
          <w:noProof/>
          <w:lang w:val="pl-PL"/>
        </w:rPr>
        <w:t>. W rea</w:t>
      </w:r>
      <w:r w:rsidRPr="00DC40BE">
        <w:rPr>
          <w:noProof/>
          <w:lang w:val="pl-PL"/>
        </w:rPr>
        <w:t>kcji na wyjątkowe okoliczności</w:t>
      </w:r>
      <w:r w:rsidR="00DC40BE" w:rsidRPr="00DC40BE">
        <w:rPr>
          <w:noProof/>
          <w:lang w:val="pl-PL"/>
        </w:rPr>
        <w:t xml:space="preserve"> i w cel</w:t>
      </w:r>
      <w:r w:rsidRPr="00DC40BE">
        <w:rPr>
          <w:noProof/>
          <w:lang w:val="pl-PL"/>
        </w:rPr>
        <w:t>u zachowania skuteczności EIO</w:t>
      </w:r>
      <w:r w:rsidR="00DC40BE" w:rsidRPr="00DC40BE">
        <w:rPr>
          <w:noProof/>
          <w:lang w:val="pl-PL"/>
        </w:rPr>
        <w:t xml:space="preserve"> w cza</w:t>
      </w:r>
      <w:r w:rsidRPr="00DC40BE">
        <w:rPr>
          <w:noProof/>
          <w:lang w:val="pl-PL"/>
        </w:rPr>
        <w:t xml:space="preserve">sie pandemii instytucje UE szybko wprowadziły środki tymczasowe (w drodze </w:t>
      </w:r>
      <w:hyperlink r:id="rId50">
        <w:r w:rsidRPr="00DC40BE">
          <w:rPr>
            <w:rStyle w:val="Hipercze"/>
            <w:noProof/>
            <w:color w:val="0E47CB"/>
            <w:lang w:val="pl-PL"/>
          </w:rPr>
          <w:t>rozporządzenia (UE) 2020/1042</w:t>
        </w:r>
      </w:hyperlink>
      <w:r w:rsidRPr="00DC40BE">
        <w:rPr>
          <w:rStyle w:val="Hipercze"/>
          <w:noProof/>
          <w:u w:val="none"/>
          <w:lang w:val="pl-PL"/>
        </w:rPr>
        <w:t>(</w:t>
      </w:r>
      <w:r w:rsidRPr="00DC40BE">
        <w:rPr>
          <w:rStyle w:val="Odwoanieprzypisudolnego"/>
          <w:noProof/>
          <w:lang w:val="pl-PL"/>
        </w:rPr>
        <w:footnoteReference w:id="97"/>
      </w:r>
      <w:r w:rsidRPr="00DC40BE">
        <w:rPr>
          <w:rStyle w:val="Hipercze"/>
          <w:noProof/>
          <w:u w:val="none"/>
          <w:lang w:val="pl-PL"/>
        </w:rPr>
        <w:t>)</w:t>
      </w:r>
      <w:r w:rsidRPr="00DC40BE">
        <w:rPr>
          <w:noProof/>
          <w:lang w:val="pl-PL"/>
        </w:rPr>
        <w:t>), takie jak: przedłużenie terminów zbierania deklaracji</w:t>
      </w:r>
      <w:r w:rsidR="00DC40BE" w:rsidRPr="00DC40BE">
        <w:rPr>
          <w:noProof/>
          <w:lang w:val="pl-PL"/>
        </w:rPr>
        <w:t xml:space="preserve"> w ram</w:t>
      </w:r>
      <w:r w:rsidRPr="00DC40BE">
        <w:rPr>
          <w:noProof/>
          <w:lang w:val="pl-PL"/>
        </w:rPr>
        <w:t>ach EIO, których to dotyczyło; przedłużenie okresów weryfikacji</w:t>
      </w:r>
      <w:r w:rsidR="00DC40BE" w:rsidRPr="00DC40BE">
        <w:rPr>
          <w:noProof/>
          <w:lang w:val="pl-PL"/>
        </w:rPr>
        <w:t xml:space="preserve"> i bad</w:t>
      </w:r>
      <w:r w:rsidRPr="00DC40BE">
        <w:rPr>
          <w:noProof/>
          <w:lang w:val="pl-PL"/>
        </w:rPr>
        <w:t>ania</w:t>
      </w:r>
      <w:r w:rsidR="00DC40BE" w:rsidRPr="00DC40BE">
        <w:rPr>
          <w:noProof/>
          <w:lang w:val="pl-PL"/>
        </w:rPr>
        <w:t xml:space="preserve"> w odn</w:t>
      </w:r>
      <w:r w:rsidRPr="00DC40BE">
        <w:rPr>
          <w:noProof/>
          <w:lang w:val="pl-PL"/>
        </w:rPr>
        <w:t>iesieniu do, odpowiednio, właściwych organów krajowych</w:t>
      </w:r>
      <w:r w:rsidR="00DC40BE" w:rsidRPr="00DC40BE">
        <w:rPr>
          <w:noProof/>
          <w:lang w:val="pl-PL"/>
        </w:rPr>
        <w:t xml:space="preserve"> i ins</w:t>
      </w:r>
      <w:r w:rsidRPr="00DC40BE">
        <w:rPr>
          <w:noProof/>
          <w:lang w:val="pl-PL"/>
        </w:rPr>
        <w:t>tytucji Unii; oraz szczegółowe ustalenia dotyczące spotkania Komisji</w:t>
      </w:r>
      <w:r w:rsidR="00DC40BE" w:rsidRPr="00DC40BE">
        <w:rPr>
          <w:noProof/>
          <w:lang w:val="pl-PL"/>
        </w:rPr>
        <w:t xml:space="preserve"> z org</w:t>
      </w:r>
      <w:r w:rsidRPr="00DC40BE">
        <w:rPr>
          <w:noProof/>
          <w:lang w:val="pl-PL"/>
        </w:rPr>
        <w:t>anizatorami EIO</w:t>
      </w:r>
      <w:r w:rsidR="00DC40BE" w:rsidRPr="00DC40BE">
        <w:rPr>
          <w:noProof/>
          <w:lang w:val="pl-PL"/>
        </w:rPr>
        <w:t xml:space="preserve"> i wys</w:t>
      </w:r>
      <w:r w:rsidRPr="00DC40BE">
        <w:rPr>
          <w:noProof/>
          <w:lang w:val="pl-PL"/>
        </w:rPr>
        <w:t>łuchania publicznego</w:t>
      </w:r>
      <w:r w:rsidR="00DC40BE" w:rsidRPr="00DC40BE">
        <w:rPr>
          <w:noProof/>
          <w:lang w:val="pl-PL"/>
        </w:rPr>
        <w:t xml:space="preserve"> w Par</w:t>
      </w:r>
      <w:r w:rsidRPr="00DC40BE">
        <w:rPr>
          <w:noProof/>
          <w:lang w:val="pl-PL"/>
        </w:rPr>
        <w:t>lamencie Europejskim.</w:t>
      </w:r>
    </w:p>
    <w:p w14:paraId="2F039299" w14:textId="16A31E0A" w:rsidR="00FC5DE3" w:rsidRPr="00DC40BE" w:rsidRDefault="005A4888" w:rsidP="00E8781C">
      <w:pPr>
        <w:spacing w:before="100" w:beforeAutospacing="1" w:after="100" w:afterAutospacing="1" w:line="276" w:lineRule="auto"/>
        <w:rPr>
          <w:noProof/>
          <w:lang w:val="pl-PL"/>
        </w:rPr>
      </w:pPr>
      <w:r w:rsidRPr="00DC40BE">
        <w:rPr>
          <w:noProof/>
          <w:lang w:val="pl-PL"/>
        </w:rPr>
        <w:t>W połączeniu</w:t>
      </w:r>
      <w:r w:rsidR="00DC40BE" w:rsidRPr="00DC40BE">
        <w:rPr>
          <w:noProof/>
          <w:lang w:val="pl-PL"/>
        </w:rPr>
        <w:t xml:space="preserve"> z póź</w:t>
      </w:r>
      <w:r w:rsidRPr="00DC40BE">
        <w:rPr>
          <w:noProof/>
          <w:lang w:val="pl-PL"/>
        </w:rPr>
        <w:t>niejszymi aktami wykonawczymi</w:t>
      </w:r>
      <w:r w:rsidRPr="00DC40BE">
        <w:rPr>
          <w:noProof/>
          <w:color w:val="515560"/>
          <w:lang w:val="pl-PL"/>
        </w:rPr>
        <w:t xml:space="preserve"> </w:t>
      </w:r>
      <w:r w:rsidRPr="00DC40BE">
        <w:rPr>
          <w:noProof/>
          <w:lang w:val="pl-PL"/>
        </w:rPr>
        <w:t>(</w:t>
      </w:r>
      <w:r w:rsidRPr="00DC40BE">
        <w:rPr>
          <w:rStyle w:val="Odwoanieprzypisudolnego"/>
          <w:noProof/>
          <w:color w:val="515560"/>
          <w:lang w:val="pl-PL"/>
        </w:rPr>
        <w:footnoteReference w:id="98"/>
      </w:r>
      <w:r w:rsidRPr="00DC40BE">
        <w:rPr>
          <w:noProof/>
          <w:lang w:val="pl-PL"/>
        </w:rPr>
        <w:t xml:space="preserve">), środki tymczasowe spełniły swój cel. Dzięki tym środkom </w:t>
      </w:r>
      <w:r w:rsidRPr="00DC40BE">
        <w:rPr>
          <w:b/>
          <w:noProof/>
          <w:lang w:val="pl-PL"/>
        </w:rPr>
        <w:t xml:space="preserve">12 </w:t>
      </w:r>
      <w:r w:rsidRPr="00DC40BE">
        <w:rPr>
          <w:noProof/>
          <w:lang w:val="pl-PL"/>
        </w:rPr>
        <w:t xml:space="preserve">EIO uzyskało </w:t>
      </w:r>
      <w:r w:rsidRPr="00DC40BE">
        <w:rPr>
          <w:b/>
          <w:noProof/>
          <w:lang w:val="pl-PL"/>
        </w:rPr>
        <w:t>przedłużenie</w:t>
      </w:r>
      <w:r w:rsidRPr="00DC40BE">
        <w:rPr>
          <w:noProof/>
          <w:lang w:val="pl-PL"/>
        </w:rPr>
        <w:t xml:space="preserve"> terminu na zebranie podpisów do</w:t>
      </w:r>
      <w:r w:rsidR="00DC40BE" w:rsidRPr="00DC40BE">
        <w:rPr>
          <w:noProof/>
          <w:lang w:val="pl-PL"/>
        </w:rPr>
        <w:t> </w:t>
      </w:r>
      <w:r w:rsidRPr="00DC40BE">
        <w:rPr>
          <w:noProof/>
          <w:lang w:val="pl-PL"/>
        </w:rPr>
        <w:t>12 miesięcy,</w:t>
      </w:r>
      <w:r w:rsidR="00DC40BE" w:rsidRPr="00DC40BE">
        <w:rPr>
          <w:noProof/>
          <w:lang w:val="pl-PL"/>
        </w:rPr>
        <w:t xml:space="preserve"> a 3 z nic</w:t>
      </w:r>
      <w:r w:rsidRPr="00DC40BE">
        <w:rPr>
          <w:noProof/>
          <w:lang w:val="pl-PL"/>
        </w:rPr>
        <w:t>h(</w:t>
      </w:r>
      <w:r w:rsidRPr="00DC40BE">
        <w:rPr>
          <w:rStyle w:val="Odwoanieprzypisudolnego"/>
          <w:noProof/>
          <w:lang w:val="pl-PL"/>
        </w:rPr>
        <w:footnoteReference w:id="99"/>
      </w:r>
      <w:r w:rsidRPr="00DC40BE">
        <w:rPr>
          <w:noProof/>
          <w:lang w:val="pl-PL"/>
        </w:rPr>
        <w:t xml:space="preserve">) osiągnęły dzięki temu wymagane progi. Ponadto Komisja przyznała </w:t>
      </w:r>
      <w:r w:rsidRPr="00DC40BE">
        <w:rPr>
          <w:noProof/>
          <w:lang w:val="pl-PL"/>
        </w:rPr>
        <w:lastRenderedPageBreak/>
        <w:t>jednemu państwu członkowskiemu, na jego wniosek, przedłużenie terminu wypełnienia obowiązków</w:t>
      </w:r>
      <w:r w:rsidR="00DC40BE" w:rsidRPr="00DC40BE">
        <w:rPr>
          <w:noProof/>
          <w:lang w:val="pl-PL"/>
        </w:rPr>
        <w:t xml:space="preserve"> w zak</w:t>
      </w:r>
      <w:r w:rsidRPr="00DC40BE">
        <w:rPr>
          <w:noProof/>
          <w:lang w:val="pl-PL"/>
        </w:rPr>
        <w:t>resie weryfikacji.</w:t>
      </w:r>
    </w:p>
    <w:p w14:paraId="176D56C4" w14:textId="7F9A9016" w:rsidR="005A4888" w:rsidRPr="00DC40BE" w:rsidRDefault="005A4888" w:rsidP="00E8781C">
      <w:pPr>
        <w:keepNext/>
        <w:spacing w:before="100" w:beforeAutospacing="1" w:after="100" w:afterAutospacing="1" w:line="276" w:lineRule="auto"/>
        <w:rPr>
          <w:noProof/>
          <w:lang w:val="pl-PL"/>
        </w:rPr>
      </w:pPr>
      <w:r w:rsidRPr="00DC40BE">
        <w:rPr>
          <w:noProof/>
          <w:lang w:val="pl-PL"/>
        </w:rPr>
        <w:t>Nie wszystkie EIO, których przedstawiciele odpowiedzieli na ankietę, ucierpiały</w:t>
      </w:r>
      <w:r w:rsidR="00DC40BE" w:rsidRPr="00DC40BE">
        <w:rPr>
          <w:noProof/>
          <w:lang w:val="pl-PL"/>
        </w:rPr>
        <w:t xml:space="preserve"> w wyn</w:t>
      </w:r>
      <w:r w:rsidRPr="00DC40BE">
        <w:rPr>
          <w:noProof/>
          <w:lang w:val="pl-PL"/>
        </w:rPr>
        <w:t>iku pandemii COVID</w:t>
      </w:r>
      <w:r w:rsidRPr="00DC40BE">
        <w:rPr>
          <w:noProof/>
          <w:lang w:val="pl-PL"/>
        </w:rPr>
        <w:noBreakHyphen/>
        <w:t>19</w:t>
      </w:r>
      <w:r w:rsidR="00DC40BE" w:rsidRPr="00DC40BE">
        <w:rPr>
          <w:noProof/>
          <w:lang w:val="pl-PL"/>
        </w:rPr>
        <w:t xml:space="preserve"> w tak</w:t>
      </w:r>
      <w:r w:rsidRPr="00DC40BE">
        <w:rPr>
          <w:noProof/>
          <w:lang w:val="pl-PL"/>
        </w:rPr>
        <w:t>im samym stopniu</w:t>
      </w:r>
      <w:r w:rsidR="00DC40BE" w:rsidRPr="00DC40BE">
        <w:rPr>
          <w:noProof/>
          <w:lang w:val="pl-PL"/>
        </w:rPr>
        <w:t>. W prz</w:t>
      </w:r>
      <w:r w:rsidRPr="00DC40BE">
        <w:rPr>
          <w:noProof/>
          <w:lang w:val="pl-PL"/>
        </w:rPr>
        <w:t>ypadku EIO, które ucierpiały</w:t>
      </w:r>
      <w:r w:rsidR="00DC40BE" w:rsidRPr="00DC40BE">
        <w:rPr>
          <w:noProof/>
          <w:lang w:val="pl-PL"/>
        </w:rPr>
        <w:t xml:space="preserve"> w sto</w:t>
      </w:r>
      <w:r w:rsidRPr="00DC40BE">
        <w:rPr>
          <w:noProof/>
          <w:lang w:val="pl-PL"/>
        </w:rPr>
        <w:t>pniu znacznym, za najbardziej skuteczne</w:t>
      </w:r>
      <w:r w:rsidR="00DC40BE" w:rsidRPr="00DC40BE">
        <w:rPr>
          <w:noProof/>
          <w:lang w:val="pl-PL"/>
        </w:rPr>
        <w:t xml:space="preserve"> </w:t>
      </w:r>
      <w:r w:rsidR="00DC40BE" w:rsidRPr="00DC40BE">
        <w:rPr>
          <w:noProof/>
          <w:color w:val="000000" w:themeColor="text1"/>
          <w:lang w:val="pl-PL"/>
        </w:rPr>
        <w:t>w</w:t>
      </w:r>
      <w:r w:rsidR="00DC40BE" w:rsidRPr="00DC40BE">
        <w:rPr>
          <w:noProof/>
          <w:lang w:val="pl-PL"/>
        </w:rPr>
        <w:t> </w:t>
      </w:r>
      <w:r w:rsidR="00DC40BE" w:rsidRPr="00DC40BE">
        <w:rPr>
          <w:noProof/>
          <w:color w:val="000000" w:themeColor="text1"/>
          <w:lang w:val="pl-PL"/>
        </w:rPr>
        <w:t>rad</w:t>
      </w:r>
      <w:r w:rsidRPr="00DC40BE">
        <w:rPr>
          <w:noProof/>
          <w:color w:val="000000" w:themeColor="text1"/>
          <w:lang w:val="pl-PL"/>
        </w:rPr>
        <w:t>zeniu sobie</w:t>
      </w:r>
      <w:r w:rsidR="00DC40BE" w:rsidRPr="00DC40BE">
        <w:rPr>
          <w:noProof/>
          <w:color w:val="000000" w:themeColor="text1"/>
          <w:lang w:val="pl-PL"/>
        </w:rPr>
        <w:t xml:space="preserve"> z wyz</w:t>
      </w:r>
      <w:r w:rsidRPr="00DC40BE">
        <w:rPr>
          <w:noProof/>
          <w:color w:val="000000" w:themeColor="text1"/>
          <w:lang w:val="pl-PL"/>
        </w:rPr>
        <w:t>waniami związanymi</w:t>
      </w:r>
      <w:r w:rsidR="00DC40BE" w:rsidRPr="00DC40BE">
        <w:rPr>
          <w:noProof/>
          <w:color w:val="000000" w:themeColor="text1"/>
          <w:lang w:val="pl-PL"/>
        </w:rPr>
        <w:t xml:space="preserve"> z pan</w:t>
      </w:r>
      <w:r w:rsidRPr="00DC40BE">
        <w:rPr>
          <w:noProof/>
          <w:color w:val="000000" w:themeColor="text1"/>
          <w:lang w:val="pl-PL"/>
        </w:rPr>
        <w:t>demią</w:t>
      </w:r>
      <w:r w:rsidRPr="00DC40BE">
        <w:rPr>
          <w:noProof/>
          <w:lang w:val="pl-PL"/>
        </w:rPr>
        <w:t xml:space="preserve"> COVID</w:t>
      </w:r>
      <w:r w:rsidRPr="00DC40BE">
        <w:rPr>
          <w:noProof/>
          <w:lang w:val="pl-PL"/>
        </w:rPr>
        <w:noBreakHyphen/>
        <w:t>19 uznano następujące środki:</w:t>
      </w:r>
      <w:r w:rsidRPr="00DC40BE">
        <w:rPr>
          <w:noProof/>
          <w:color w:val="000000" w:themeColor="text1"/>
          <w:lang w:val="pl-PL"/>
        </w:rPr>
        <w:t xml:space="preserve"> przedłużenie terminów zbierania podpisów; </w:t>
      </w:r>
      <w:r w:rsidRPr="00DC40BE">
        <w:rPr>
          <w:noProof/>
          <w:lang w:val="pl-PL"/>
        </w:rPr>
        <w:t>udostępnienie infrastruktury internetowej do prowadzenia EIO;</w:t>
      </w:r>
      <w:r w:rsidRPr="00DC40BE">
        <w:rPr>
          <w:noProof/>
          <w:color w:val="000000" w:themeColor="text1"/>
          <w:lang w:val="pl-PL"/>
        </w:rPr>
        <w:t xml:space="preserve"> </w:t>
      </w:r>
      <w:r w:rsidRPr="00DC40BE">
        <w:rPr>
          <w:noProof/>
          <w:lang w:val="pl-PL"/>
        </w:rPr>
        <w:t>oraz przejście na działania</w:t>
      </w:r>
      <w:r w:rsidR="00DC40BE" w:rsidRPr="00DC40BE">
        <w:rPr>
          <w:noProof/>
          <w:lang w:val="pl-PL"/>
        </w:rPr>
        <w:t xml:space="preserve"> w int</w:t>
      </w:r>
      <w:r w:rsidRPr="00DC40BE">
        <w:rPr>
          <w:noProof/>
          <w:lang w:val="pl-PL"/>
        </w:rPr>
        <w:t xml:space="preserve">ernecie, co ułatwiło promowanie EIO. </w:t>
      </w:r>
    </w:p>
    <w:p w14:paraId="58A669DB" w14:textId="77777777" w:rsidR="005A4888" w:rsidRPr="00DC40BE" w:rsidRDefault="005A4888" w:rsidP="00E8781C">
      <w:pPr>
        <w:pStyle w:val="Nagwek1"/>
        <w:numPr>
          <w:ilvl w:val="0"/>
          <w:numId w:val="16"/>
        </w:numPr>
        <w:tabs>
          <w:tab w:val="clear" w:pos="7145"/>
          <w:tab w:val="num" w:pos="482"/>
        </w:tabs>
        <w:spacing w:before="100" w:beforeAutospacing="1" w:after="100" w:afterAutospacing="1" w:line="276" w:lineRule="auto"/>
        <w:ind w:left="482"/>
        <w:rPr>
          <w:noProof/>
          <w:lang w:val="pl-PL"/>
        </w:rPr>
      </w:pPr>
      <w:bookmarkStart w:id="50" w:name="_Toc279873258"/>
      <w:bookmarkStart w:id="51" w:name="_Toc146296690"/>
      <w:r w:rsidRPr="00DC40BE">
        <w:rPr>
          <w:noProof/>
          <w:lang w:val="pl-PL"/>
        </w:rPr>
        <w:t>DALSZE DZIAŁANIA</w:t>
      </w:r>
      <w:bookmarkEnd w:id="50"/>
      <w:r w:rsidRPr="00DC40BE">
        <w:rPr>
          <w:noProof/>
          <w:lang w:val="pl-PL"/>
        </w:rPr>
        <w:t xml:space="preserve"> </w:t>
      </w:r>
      <w:bookmarkEnd w:id="51"/>
    </w:p>
    <w:p w14:paraId="11D3A550" w14:textId="2B72AC8F" w:rsidR="0052772C" w:rsidRPr="00DC40BE" w:rsidRDefault="005A4888" w:rsidP="00E8781C">
      <w:pPr>
        <w:spacing w:before="100" w:beforeAutospacing="1" w:after="100" w:afterAutospacing="1" w:line="276" w:lineRule="auto"/>
        <w:rPr>
          <w:noProof/>
          <w:lang w:val="pl-PL"/>
        </w:rPr>
      </w:pPr>
      <w:r w:rsidRPr="00DC40BE">
        <w:rPr>
          <w:noProof/>
          <w:lang w:val="pl-PL"/>
        </w:rPr>
        <w:t>Pandemia COVID-19 znacznie zakłóciła realizację EIO</w:t>
      </w:r>
      <w:r w:rsidR="00DC40BE" w:rsidRPr="00DC40BE">
        <w:rPr>
          <w:noProof/>
          <w:lang w:val="pl-PL"/>
        </w:rPr>
        <w:t xml:space="preserve"> w pie</w:t>
      </w:r>
      <w:r w:rsidRPr="00DC40BE">
        <w:rPr>
          <w:noProof/>
          <w:lang w:val="pl-PL"/>
        </w:rPr>
        <w:t>rwszych dwóch latach stosowania drugiego rozporządzenia</w:t>
      </w:r>
      <w:r w:rsidR="00DC40BE" w:rsidRPr="00DC40BE">
        <w:rPr>
          <w:noProof/>
          <w:lang w:val="pl-PL"/>
        </w:rPr>
        <w:t xml:space="preserve"> w spr</w:t>
      </w:r>
      <w:r w:rsidRPr="00DC40BE">
        <w:rPr>
          <w:noProof/>
          <w:lang w:val="pl-PL"/>
        </w:rPr>
        <w:t>awie EIO. Jak opisano powyżej, środki tymczasowe okazały się skuteczne, biorąc pod uwagę nadzwyczajne okoliczności, a po zniesieniu środków ograniczających można było wznowić normalną działalność</w:t>
      </w:r>
      <w:r w:rsidR="00DC40BE" w:rsidRPr="00DC40BE">
        <w:rPr>
          <w:noProof/>
          <w:lang w:val="pl-PL"/>
        </w:rPr>
        <w:t xml:space="preserve"> w zak</w:t>
      </w:r>
      <w:r w:rsidRPr="00DC40BE">
        <w:rPr>
          <w:noProof/>
          <w:lang w:val="pl-PL"/>
        </w:rPr>
        <w:t>resie EIO. Można już zaobserwować szereg pozytywnych zmian, ale Komisja szacuje, że pełny wpływ zaktualizowanych przepisów można będzie ocenić jedynie po dłuższym okresie działania</w:t>
      </w:r>
      <w:r w:rsidR="00DC40BE" w:rsidRPr="00DC40BE">
        <w:rPr>
          <w:noProof/>
          <w:lang w:val="pl-PL"/>
        </w:rPr>
        <w:t xml:space="preserve"> w nor</w:t>
      </w:r>
      <w:r w:rsidRPr="00DC40BE">
        <w:rPr>
          <w:noProof/>
          <w:lang w:val="pl-PL"/>
        </w:rPr>
        <w:t>malnych warunkach.</w:t>
      </w:r>
    </w:p>
    <w:p w14:paraId="2082B71B" w14:textId="40B98C90" w:rsidR="005A4888" w:rsidRPr="00DC40BE" w:rsidRDefault="005A4888" w:rsidP="00E8781C">
      <w:pPr>
        <w:spacing w:before="100" w:beforeAutospacing="1" w:after="100" w:afterAutospacing="1" w:line="276" w:lineRule="auto"/>
        <w:rPr>
          <w:noProof/>
          <w:lang w:val="pl-PL"/>
        </w:rPr>
      </w:pPr>
      <w:r w:rsidRPr="00DC40BE">
        <w:rPr>
          <w:noProof/>
          <w:lang w:val="pl-PL"/>
        </w:rPr>
        <w:t>Na podstawie przedstawionej powyżej oceny stosowania drugiego rozporządzenia</w:t>
      </w:r>
      <w:r w:rsidR="00DC40BE" w:rsidRPr="00DC40BE">
        <w:rPr>
          <w:noProof/>
          <w:lang w:val="pl-PL"/>
        </w:rPr>
        <w:t xml:space="preserve"> w spr</w:t>
      </w:r>
      <w:r w:rsidRPr="00DC40BE">
        <w:rPr>
          <w:noProof/>
          <w:lang w:val="pl-PL"/>
        </w:rPr>
        <w:t>awie EIO Komisja uważa, że przepisy dotyczące EIO, które wprowadzono</w:t>
      </w:r>
      <w:r w:rsidR="00DC40BE" w:rsidRPr="00DC40BE">
        <w:rPr>
          <w:noProof/>
          <w:lang w:val="pl-PL"/>
        </w:rPr>
        <w:t xml:space="preserve"> w 2</w:t>
      </w:r>
      <w:r w:rsidRPr="00DC40BE">
        <w:rPr>
          <w:noProof/>
          <w:lang w:val="pl-PL"/>
        </w:rPr>
        <w:t>020</w:t>
      </w:r>
      <w:r w:rsidR="00DC40BE" w:rsidRPr="00DC40BE">
        <w:rPr>
          <w:noProof/>
          <w:lang w:val="pl-PL"/>
        </w:rPr>
        <w:t> </w:t>
      </w:r>
      <w:r w:rsidRPr="00DC40BE">
        <w:rPr>
          <w:noProof/>
          <w:lang w:val="pl-PL"/>
        </w:rPr>
        <w:t>r., zapewniają organizatorom</w:t>
      </w:r>
      <w:r w:rsidR="00DC40BE" w:rsidRPr="00DC40BE">
        <w:rPr>
          <w:noProof/>
          <w:lang w:val="pl-PL"/>
        </w:rPr>
        <w:t xml:space="preserve"> i zwo</w:t>
      </w:r>
      <w:r w:rsidRPr="00DC40BE">
        <w:rPr>
          <w:noProof/>
          <w:lang w:val="pl-PL"/>
        </w:rPr>
        <w:t>lennikom EIO ramy, które są bardziej dostępne, mniej uciążliwe</w:t>
      </w:r>
      <w:r w:rsidR="00DC40BE" w:rsidRPr="00DC40BE">
        <w:rPr>
          <w:noProof/>
          <w:lang w:val="pl-PL"/>
        </w:rPr>
        <w:t xml:space="preserve"> i bar</w:t>
      </w:r>
      <w:r w:rsidRPr="00DC40BE">
        <w:rPr>
          <w:noProof/>
          <w:lang w:val="pl-PL"/>
        </w:rPr>
        <w:t>dziej przyjazne dla użytkownika. Jednocześnie Komisja stwierdziła również – po uwzględnieniu opinii Parlamentu Europejskiego, Europejskiego Komitetu Ekonomiczno-Społecznego(</w:t>
      </w:r>
      <w:r w:rsidRPr="00DC40BE">
        <w:rPr>
          <w:rStyle w:val="Odwoanieprzypisudolnego"/>
          <w:noProof/>
          <w:lang w:val="pl-PL"/>
        </w:rPr>
        <w:footnoteReference w:id="100"/>
      </w:r>
      <w:r w:rsidRPr="00DC40BE">
        <w:rPr>
          <w:noProof/>
          <w:lang w:val="pl-PL"/>
        </w:rPr>
        <w:t>) oraz organizatorów EIO, obywateli</w:t>
      </w:r>
      <w:r w:rsidR="00DC40BE" w:rsidRPr="00DC40BE">
        <w:rPr>
          <w:noProof/>
          <w:lang w:val="pl-PL"/>
        </w:rPr>
        <w:t xml:space="preserve"> i zai</w:t>
      </w:r>
      <w:r w:rsidRPr="00DC40BE">
        <w:rPr>
          <w:noProof/>
          <w:lang w:val="pl-PL"/>
        </w:rPr>
        <w:t>nteresowanych stron – że</w:t>
      </w:r>
      <w:r w:rsidR="00DC40BE" w:rsidRPr="00DC40BE">
        <w:rPr>
          <w:noProof/>
          <w:lang w:val="pl-PL"/>
        </w:rPr>
        <w:t xml:space="preserve"> w ist</w:t>
      </w:r>
      <w:r w:rsidRPr="00DC40BE">
        <w:rPr>
          <w:noProof/>
          <w:lang w:val="pl-PL"/>
        </w:rPr>
        <w:t>niejących ramach prawnych można już wprowadzić dalsze usprawnienia</w:t>
      </w:r>
      <w:r w:rsidR="00DC40BE" w:rsidRPr="00DC40BE">
        <w:rPr>
          <w:noProof/>
          <w:lang w:val="pl-PL"/>
        </w:rPr>
        <w:t xml:space="preserve"> o cha</w:t>
      </w:r>
      <w:r w:rsidRPr="00DC40BE">
        <w:rPr>
          <w:noProof/>
          <w:lang w:val="pl-PL"/>
        </w:rPr>
        <w:t>rakterze praktycznym.</w:t>
      </w:r>
    </w:p>
    <w:p w14:paraId="51B7394F" w14:textId="38E8337C" w:rsidR="005A4888" w:rsidRPr="00DC40BE" w:rsidRDefault="005A4888" w:rsidP="00E8781C">
      <w:pPr>
        <w:spacing w:before="100" w:beforeAutospacing="1" w:after="100" w:afterAutospacing="1" w:line="276" w:lineRule="auto"/>
        <w:rPr>
          <w:noProof/>
          <w:lang w:val="pl-PL"/>
        </w:rPr>
      </w:pPr>
      <w:r w:rsidRPr="00DC40BE">
        <w:rPr>
          <w:noProof/>
          <w:lang w:val="pl-PL"/>
        </w:rPr>
        <w:t>W świetle powyższej oceny oraz rezolucji Parlamentu Europejskiego</w:t>
      </w:r>
      <w:r w:rsidR="00DC40BE" w:rsidRPr="00DC40BE">
        <w:rPr>
          <w:noProof/>
          <w:lang w:val="pl-PL"/>
        </w:rPr>
        <w:t xml:space="preserve"> z 1</w:t>
      </w:r>
      <w:r w:rsidRPr="00DC40BE">
        <w:rPr>
          <w:noProof/>
          <w:lang w:val="pl-PL"/>
        </w:rPr>
        <w:t>3 czerwca 2023</w:t>
      </w:r>
      <w:r w:rsidR="00DC40BE" w:rsidRPr="00DC40BE">
        <w:rPr>
          <w:noProof/>
          <w:lang w:val="pl-PL"/>
        </w:rPr>
        <w:t> </w:t>
      </w:r>
      <w:r w:rsidRPr="00DC40BE">
        <w:rPr>
          <w:noProof/>
          <w:lang w:val="pl-PL"/>
        </w:rPr>
        <w:t>r.</w:t>
      </w:r>
      <w:r w:rsidR="00DC40BE" w:rsidRPr="00DC40BE">
        <w:rPr>
          <w:noProof/>
          <w:lang w:val="pl-PL"/>
        </w:rPr>
        <w:t xml:space="preserve"> w spr</w:t>
      </w:r>
      <w:r w:rsidRPr="00DC40BE">
        <w:rPr>
          <w:noProof/>
          <w:lang w:val="pl-PL"/>
        </w:rPr>
        <w:t>awie wdrożenia rozporządzeń dotyczących EIO Komisja zrealizuje następujące działania:</w:t>
      </w:r>
    </w:p>
    <w:p w14:paraId="7D1E75DF" w14:textId="03B5ACD7" w:rsidR="005A4888" w:rsidRPr="00DC40BE" w:rsidRDefault="005A4888" w:rsidP="00E8781C">
      <w:pPr>
        <w:keepNext/>
        <w:pBdr>
          <w:top w:val="single" w:sz="4" w:space="1" w:color="auto"/>
          <w:left w:val="single" w:sz="4" w:space="4" w:color="auto"/>
          <w:bottom w:val="single" w:sz="4" w:space="1" w:color="auto"/>
          <w:right w:val="single" w:sz="4" w:space="4" w:color="auto"/>
        </w:pBdr>
        <w:spacing w:before="100" w:beforeAutospacing="1" w:after="100" w:afterAutospacing="1" w:line="276" w:lineRule="auto"/>
        <w:rPr>
          <w:noProof/>
          <w:lang w:val="pl-PL"/>
        </w:rPr>
      </w:pPr>
      <w:r w:rsidRPr="00DC40BE">
        <w:rPr>
          <w:b/>
          <w:noProof/>
          <w:lang w:val="pl-PL"/>
        </w:rPr>
        <w:t>Działanie nr</w:t>
      </w:r>
      <w:r w:rsidR="00DC40BE" w:rsidRPr="00DC40BE">
        <w:rPr>
          <w:b/>
          <w:noProof/>
          <w:lang w:val="pl-PL"/>
        </w:rPr>
        <w:t> </w:t>
      </w:r>
      <w:r w:rsidRPr="00DC40BE">
        <w:rPr>
          <w:b/>
          <w:noProof/>
          <w:lang w:val="pl-PL"/>
        </w:rPr>
        <w:t>1: zwiększanie świadomości na temat EIO</w:t>
      </w:r>
      <w:r w:rsidR="00DC40BE" w:rsidRPr="00DC40BE">
        <w:rPr>
          <w:b/>
          <w:noProof/>
          <w:lang w:val="pl-PL"/>
        </w:rPr>
        <w:t xml:space="preserve"> i wid</w:t>
      </w:r>
      <w:r w:rsidRPr="00DC40BE">
        <w:rPr>
          <w:b/>
          <w:noProof/>
          <w:lang w:val="pl-PL"/>
        </w:rPr>
        <w:t>oczności tych inicjatyw</w:t>
      </w:r>
      <w:r w:rsidRPr="00DC40BE">
        <w:rPr>
          <w:noProof/>
          <w:lang w:val="pl-PL"/>
        </w:rPr>
        <w:t xml:space="preserve"> </w:t>
      </w:r>
    </w:p>
    <w:p w14:paraId="149CD49D" w14:textId="6A19D98C" w:rsidR="005A4888" w:rsidRPr="00DC40BE" w:rsidRDefault="005A4888" w:rsidP="00E8781C">
      <w:pPr>
        <w:spacing w:before="100" w:beforeAutospacing="1" w:after="100" w:afterAutospacing="1" w:line="276" w:lineRule="auto"/>
        <w:rPr>
          <w:noProof/>
          <w:lang w:val="pl-PL"/>
        </w:rPr>
      </w:pPr>
      <w:r w:rsidRPr="00DC40BE">
        <w:rPr>
          <w:noProof/>
          <w:lang w:val="pl-PL"/>
        </w:rPr>
        <w:t>Zwiększenie świadomości obywateli na temat przysługujących im praw ma zasadnicze znaczenie pod kątem ich aktywnego</w:t>
      </w:r>
      <w:r w:rsidR="00DC40BE" w:rsidRPr="00DC40BE">
        <w:rPr>
          <w:noProof/>
          <w:lang w:val="pl-PL"/>
        </w:rPr>
        <w:t xml:space="preserve"> i sku</w:t>
      </w:r>
      <w:r w:rsidRPr="00DC40BE">
        <w:rPr>
          <w:noProof/>
          <w:lang w:val="pl-PL"/>
        </w:rPr>
        <w:t>tecznego uczestnictwa</w:t>
      </w:r>
      <w:r w:rsidR="00DC40BE" w:rsidRPr="00DC40BE">
        <w:rPr>
          <w:noProof/>
          <w:lang w:val="pl-PL"/>
        </w:rPr>
        <w:t xml:space="preserve"> w życ</w:t>
      </w:r>
      <w:r w:rsidRPr="00DC40BE">
        <w:rPr>
          <w:noProof/>
          <w:lang w:val="pl-PL"/>
        </w:rPr>
        <w:t xml:space="preserve">iu demokratycznym UE. </w:t>
      </w:r>
    </w:p>
    <w:p w14:paraId="5F955463" w14:textId="2E0D32E1" w:rsidR="005A4888" w:rsidRPr="00DC40BE" w:rsidRDefault="005A4888" w:rsidP="00E8781C">
      <w:pPr>
        <w:pStyle w:val="Akapitzlist"/>
        <w:numPr>
          <w:ilvl w:val="0"/>
          <w:numId w:val="27"/>
        </w:numPr>
        <w:spacing w:before="100" w:beforeAutospacing="1" w:after="100" w:afterAutospacing="1"/>
        <w:jc w:val="both"/>
        <w:rPr>
          <w:rFonts w:ascii="Times New Roman" w:hAnsi="Times New Roman"/>
          <w:noProof/>
          <w:sz w:val="24"/>
          <w:lang w:val="pl-PL"/>
        </w:rPr>
      </w:pPr>
      <w:r w:rsidRPr="00DC40BE">
        <w:rPr>
          <w:rFonts w:ascii="Times New Roman" w:hAnsi="Times New Roman"/>
          <w:noProof/>
          <w:sz w:val="24"/>
          <w:lang w:val="pl-PL"/>
        </w:rPr>
        <w:t xml:space="preserve">Komisja będzie zatem </w:t>
      </w:r>
      <w:r w:rsidRPr="00DC40BE">
        <w:rPr>
          <w:rFonts w:ascii="Times New Roman" w:hAnsi="Times New Roman"/>
          <w:b/>
          <w:noProof/>
          <w:sz w:val="24"/>
          <w:lang w:val="pl-PL"/>
        </w:rPr>
        <w:t>kontynuować</w:t>
      </w:r>
      <w:r w:rsidR="00DC40BE" w:rsidRPr="00DC40BE">
        <w:rPr>
          <w:rFonts w:ascii="Times New Roman" w:hAnsi="Times New Roman"/>
          <w:b/>
          <w:noProof/>
          <w:sz w:val="24"/>
          <w:lang w:val="pl-PL"/>
        </w:rPr>
        <w:t xml:space="preserve"> i usp</w:t>
      </w:r>
      <w:r w:rsidRPr="00DC40BE">
        <w:rPr>
          <w:rFonts w:ascii="Times New Roman" w:hAnsi="Times New Roman"/>
          <w:b/>
          <w:noProof/>
          <w:sz w:val="24"/>
          <w:lang w:val="pl-PL"/>
        </w:rPr>
        <w:t>rawniać wielojęzyczną kampanię informacyjną na temat EIO</w:t>
      </w:r>
      <w:r w:rsidRPr="00DC40BE">
        <w:rPr>
          <w:rFonts w:ascii="Times New Roman" w:hAnsi="Times New Roman"/>
          <w:noProof/>
          <w:sz w:val="24"/>
          <w:lang w:val="pl-PL"/>
        </w:rPr>
        <w:t>, wykorzystując</w:t>
      </w:r>
      <w:r w:rsidR="00DC40BE" w:rsidRPr="00DC40BE">
        <w:rPr>
          <w:rFonts w:ascii="Times New Roman" w:hAnsi="Times New Roman"/>
          <w:noProof/>
          <w:sz w:val="24"/>
          <w:lang w:val="pl-PL"/>
        </w:rPr>
        <w:t xml:space="preserve"> w wię</w:t>
      </w:r>
      <w:r w:rsidRPr="00DC40BE">
        <w:rPr>
          <w:rFonts w:ascii="Times New Roman" w:hAnsi="Times New Roman"/>
          <w:noProof/>
          <w:sz w:val="24"/>
          <w:lang w:val="pl-PL"/>
        </w:rPr>
        <w:t xml:space="preserve">kszym stopniu media społecznościowe. </w:t>
      </w:r>
    </w:p>
    <w:p w14:paraId="7ED3537F" w14:textId="2C35501D" w:rsidR="005A4888" w:rsidRPr="00DC40BE" w:rsidRDefault="005A4888" w:rsidP="00E8781C">
      <w:pPr>
        <w:pStyle w:val="Akapitzlist"/>
        <w:numPr>
          <w:ilvl w:val="0"/>
          <w:numId w:val="27"/>
        </w:numPr>
        <w:spacing w:before="100" w:beforeAutospacing="1" w:after="100" w:afterAutospacing="1"/>
        <w:jc w:val="both"/>
        <w:rPr>
          <w:rFonts w:ascii="Times New Roman" w:hAnsi="Times New Roman"/>
          <w:noProof/>
          <w:sz w:val="24"/>
          <w:lang w:val="pl-PL"/>
        </w:rPr>
      </w:pPr>
      <w:r w:rsidRPr="00DC40BE">
        <w:rPr>
          <w:rFonts w:ascii="Times New Roman" w:hAnsi="Times New Roman"/>
          <w:noProof/>
          <w:sz w:val="24"/>
          <w:lang w:val="pl-PL"/>
        </w:rPr>
        <w:t>Ponadto działania</w:t>
      </w:r>
      <w:r w:rsidR="00DC40BE" w:rsidRPr="00DC40BE">
        <w:rPr>
          <w:rFonts w:ascii="Times New Roman" w:hAnsi="Times New Roman"/>
          <w:noProof/>
          <w:sz w:val="24"/>
          <w:lang w:val="pl-PL"/>
        </w:rPr>
        <w:t xml:space="preserve"> w ram</w:t>
      </w:r>
      <w:r w:rsidRPr="00DC40BE">
        <w:rPr>
          <w:rFonts w:ascii="Times New Roman" w:hAnsi="Times New Roman"/>
          <w:noProof/>
          <w:sz w:val="24"/>
          <w:lang w:val="pl-PL"/>
        </w:rPr>
        <w:t>ach kampanii zostaną ukierunkowane</w:t>
      </w:r>
      <w:r w:rsidR="00DC40BE" w:rsidRPr="00DC40BE">
        <w:rPr>
          <w:rFonts w:ascii="Times New Roman" w:hAnsi="Times New Roman"/>
          <w:noProof/>
          <w:sz w:val="24"/>
          <w:lang w:val="pl-PL"/>
        </w:rPr>
        <w:t xml:space="preserve"> w szc</w:t>
      </w:r>
      <w:r w:rsidRPr="00DC40BE">
        <w:rPr>
          <w:rFonts w:ascii="Times New Roman" w:hAnsi="Times New Roman"/>
          <w:noProof/>
          <w:sz w:val="24"/>
          <w:lang w:val="pl-PL"/>
        </w:rPr>
        <w:t xml:space="preserve">zególności na </w:t>
      </w:r>
      <w:r w:rsidRPr="00DC40BE">
        <w:rPr>
          <w:rFonts w:ascii="Times New Roman" w:hAnsi="Times New Roman"/>
          <w:b/>
          <w:noProof/>
          <w:sz w:val="24"/>
          <w:lang w:val="pl-PL"/>
        </w:rPr>
        <w:t>osoby młode</w:t>
      </w:r>
      <w:r w:rsidRPr="00DC40BE">
        <w:rPr>
          <w:rFonts w:ascii="Times New Roman" w:hAnsi="Times New Roman"/>
          <w:noProof/>
          <w:sz w:val="24"/>
          <w:lang w:val="pl-PL"/>
        </w:rPr>
        <w:t>.</w:t>
      </w:r>
    </w:p>
    <w:p w14:paraId="0C3720CE" w14:textId="2A04B15C" w:rsidR="005A4888" w:rsidRPr="00DC40BE" w:rsidRDefault="005A4888" w:rsidP="00E8781C">
      <w:pPr>
        <w:pStyle w:val="Akapitzlist"/>
        <w:numPr>
          <w:ilvl w:val="0"/>
          <w:numId w:val="27"/>
        </w:numPr>
        <w:spacing w:before="100" w:beforeAutospacing="1" w:after="100" w:afterAutospacing="1"/>
        <w:jc w:val="both"/>
        <w:rPr>
          <w:rFonts w:ascii="Times New Roman" w:hAnsi="Times New Roman"/>
          <w:noProof/>
          <w:sz w:val="24"/>
          <w:lang w:val="pl-PL"/>
        </w:rPr>
      </w:pPr>
      <w:r w:rsidRPr="00DC40BE">
        <w:rPr>
          <w:rFonts w:ascii="Times New Roman" w:hAnsi="Times New Roman"/>
          <w:noProof/>
          <w:sz w:val="24"/>
          <w:lang w:val="pl-PL"/>
        </w:rPr>
        <w:t xml:space="preserve">Komisja będzie aktywnie dążyć do </w:t>
      </w:r>
      <w:r w:rsidRPr="00DC40BE">
        <w:rPr>
          <w:rFonts w:ascii="Times New Roman" w:hAnsi="Times New Roman"/>
          <w:b/>
          <w:noProof/>
          <w:sz w:val="24"/>
          <w:lang w:val="pl-PL"/>
        </w:rPr>
        <w:t>zaangażowania Parlamentu Europejskiego (i jego biur łącznikowych</w:t>
      </w:r>
      <w:r w:rsidR="00DC40BE" w:rsidRPr="00DC40BE">
        <w:rPr>
          <w:rFonts w:ascii="Times New Roman" w:hAnsi="Times New Roman"/>
          <w:b/>
          <w:noProof/>
          <w:sz w:val="24"/>
          <w:lang w:val="pl-PL"/>
        </w:rPr>
        <w:t xml:space="preserve"> w pań</w:t>
      </w:r>
      <w:r w:rsidRPr="00DC40BE">
        <w:rPr>
          <w:rFonts w:ascii="Times New Roman" w:hAnsi="Times New Roman"/>
          <w:b/>
          <w:noProof/>
          <w:sz w:val="24"/>
          <w:lang w:val="pl-PL"/>
        </w:rPr>
        <w:t>stwach członkowskich)</w:t>
      </w:r>
      <w:r w:rsidR="00DC40BE" w:rsidRPr="00DC40BE">
        <w:rPr>
          <w:rFonts w:ascii="Times New Roman" w:hAnsi="Times New Roman"/>
          <w:b/>
          <w:noProof/>
          <w:sz w:val="24"/>
          <w:lang w:val="pl-PL"/>
        </w:rPr>
        <w:t xml:space="preserve"> i pań</w:t>
      </w:r>
      <w:r w:rsidRPr="00DC40BE">
        <w:rPr>
          <w:rFonts w:ascii="Times New Roman" w:hAnsi="Times New Roman"/>
          <w:b/>
          <w:noProof/>
          <w:sz w:val="24"/>
          <w:lang w:val="pl-PL"/>
        </w:rPr>
        <w:t>stw członkowskich (za pośrednictwem krajowych punktów kontaktowych)</w:t>
      </w:r>
      <w:r w:rsidR="00DC40BE" w:rsidRPr="00DC40BE">
        <w:rPr>
          <w:rFonts w:ascii="Times New Roman" w:hAnsi="Times New Roman"/>
          <w:noProof/>
          <w:sz w:val="24"/>
          <w:lang w:val="pl-PL"/>
        </w:rPr>
        <w:t xml:space="preserve"> w kam</w:t>
      </w:r>
      <w:r w:rsidRPr="00DC40BE">
        <w:rPr>
          <w:rFonts w:ascii="Times New Roman" w:hAnsi="Times New Roman"/>
          <w:noProof/>
          <w:sz w:val="24"/>
          <w:lang w:val="pl-PL"/>
        </w:rPr>
        <w:t>panię informacyjną,</w:t>
      </w:r>
      <w:r w:rsidR="00DC40BE" w:rsidRPr="00DC40BE">
        <w:rPr>
          <w:rFonts w:ascii="Times New Roman" w:hAnsi="Times New Roman"/>
          <w:noProof/>
          <w:sz w:val="24"/>
          <w:lang w:val="pl-PL"/>
        </w:rPr>
        <w:t xml:space="preserve"> </w:t>
      </w:r>
      <w:r w:rsidR="00DC40BE" w:rsidRPr="00DC40BE">
        <w:rPr>
          <w:rFonts w:ascii="Times New Roman" w:hAnsi="Times New Roman"/>
          <w:noProof/>
          <w:sz w:val="24"/>
          <w:lang w:val="pl-PL"/>
        </w:rPr>
        <w:lastRenderedPageBreak/>
        <w:t>a jed</w:t>
      </w:r>
      <w:r w:rsidRPr="00DC40BE">
        <w:rPr>
          <w:rFonts w:ascii="Times New Roman" w:hAnsi="Times New Roman"/>
          <w:noProof/>
          <w:sz w:val="24"/>
          <w:lang w:val="pl-PL"/>
        </w:rPr>
        <w:t>nocześnie</w:t>
      </w:r>
      <w:r w:rsidR="00DC40BE" w:rsidRPr="00DC40BE">
        <w:rPr>
          <w:rFonts w:ascii="Times New Roman" w:hAnsi="Times New Roman"/>
          <w:noProof/>
          <w:sz w:val="24"/>
          <w:lang w:val="pl-PL"/>
        </w:rPr>
        <w:t xml:space="preserve"> z zad</w:t>
      </w:r>
      <w:r w:rsidRPr="00DC40BE">
        <w:rPr>
          <w:rFonts w:ascii="Times New Roman" w:hAnsi="Times New Roman"/>
          <w:noProof/>
          <w:sz w:val="24"/>
          <w:lang w:val="pl-PL"/>
        </w:rPr>
        <w:t>owoleniem przyjmie wkład innych instytucji</w:t>
      </w:r>
      <w:r w:rsidR="00DC40BE" w:rsidRPr="00DC40BE">
        <w:rPr>
          <w:rFonts w:ascii="Times New Roman" w:hAnsi="Times New Roman"/>
          <w:noProof/>
          <w:sz w:val="24"/>
          <w:lang w:val="pl-PL"/>
        </w:rPr>
        <w:t xml:space="preserve"> i org</w:t>
      </w:r>
      <w:r w:rsidRPr="00DC40BE">
        <w:rPr>
          <w:rFonts w:ascii="Times New Roman" w:hAnsi="Times New Roman"/>
          <w:noProof/>
          <w:sz w:val="24"/>
          <w:lang w:val="pl-PL"/>
        </w:rPr>
        <w:t>anów UE,</w:t>
      </w:r>
      <w:r w:rsidR="00DC40BE" w:rsidRPr="00DC40BE">
        <w:rPr>
          <w:rFonts w:ascii="Times New Roman" w:hAnsi="Times New Roman"/>
          <w:noProof/>
          <w:sz w:val="24"/>
          <w:lang w:val="pl-PL"/>
        </w:rPr>
        <w:t xml:space="preserve"> a tak</w:t>
      </w:r>
      <w:r w:rsidRPr="00DC40BE">
        <w:rPr>
          <w:rFonts w:ascii="Times New Roman" w:hAnsi="Times New Roman"/>
          <w:noProof/>
          <w:sz w:val="24"/>
          <w:lang w:val="pl-PL"/>
        </w:rPr>
        <w:t>że władz regionalnych</w:t>
      </w:r>
      <w:r w:rsidR="00DC40BE" w:rsidRPr="00DC40BE">
        <w:rPr>
          <w:rFonts w:ascii="Times New Roman" w:hAnsi="Times New Roman"/>
          <w:noProof/>
          <w:sz w:val="24"/>
          <w:lang w:val="pl-PL"/>
        </w:rPr>
        <w:t xml:space="preserve"> i lok</w:t>
      </w:r>
      <w:r w:rsidRPr="00DC40BE">
        <w:rPr>
          <w:rFonts w:ascii="Times New Roman" w:hAnsi="Times New Roman"/>
          <w:noProof/>
          <w:sz w:val="24"/>
          <w:lang w:val="pl-PL"/>
        </w:rPr>
        <w:t>alnych, instytucji edukacyjnych</w:t>
      </w:r>
      <w:r w:rsidR="00DC40BE" w:rsidRPr="00DC40BE">
        <w:rPr>
          <w:rFonts w:ascii="Times New Roman" w:hAnsi="Times New Roman"/>
          <w:noProof/>
          <w:sz w:val="24"/>
          <w:lang w:val="pl-PL"/>
        </w:rPr>
        <w:t xml:space="preserve"> i org</w:t>
      </w:r>
      <w:r w:rsidRPr="00DC40BE">
        <w:rPr>
          <w:rFonts w:ascii="Times New Roman" w:hAnsi="Times New Roman"/>
          <w:noProof/>
          <w:sz w:val="24"/>
          <w:lang w:val="pl-PL"/>
        </w:rPr>
        <w:t xml:space="preserve">anizacji społeczeństwa obywatelskiego. </w:t>
      </w:r>
    </w:p>
    <w:p w14:paraId="39F24771" w14:textId="65264184" w:rsidR="005A4888" w:rsidRPr="00DC40BE" w:rsidRDefault="005A4888" w:rsidP="00E8781C">
      <w:pPr>
        <w:pStyle w:val="Akapitzlist"/>
        <w:numPr>
          <w:ilvl w:val="0"/>
          <w:numId w:val="27"/>
        </w:numPr>
        <w:spacing w:before="100" w:beforeAutospacing="1" w:after="100" w:afterAutospacing="1"/>
        <w:jc w:val="both"/>
        <w:rPr>
          <w:noProof/>
          <w:lang w:val="pl-PL"/>
        </w:rPr>
      </w:pPr>
      <w:bookmarkStart w:id="52" w:name="_Hlk149667408"/>
      <w:r w:rsidRPr="00DC40BE">
        <w:rPr>
          <w:rFonts w:ascii="Times New Roman" w:hAnsi="Times New Roman"/>
          <w:noProof/>
          <w:sz w:val="24"/>
          <w:lang w:val="pl-PL"/>
        </w:rPr>
        <w:t>W związku</w:t>
      </w:r>
      <w:r w:rsidR="00DC40BE" w:rsidRPr="00DC40BE">
        <w:rPr>
          <w:rFonts w:ascii="Times New Roman" w:hAnsi="Times New Roman"/>
          <w:noProof/>
          <w:sz w:val="24"/>
          <w:lang w:val="pl-PL"/>
        </w:rPr>
        <w:t xml:space="preserve"> z Kon</w:t>
      </w:r>
      <w:r w:rsidRPr="00DC40BE">
        <w:rPr>
          <w:rFonts w:ascii="Times New Roman" w:hAnsi="Times New Roman"/>
          <w:noProof/>
          <w:sz w:val="24"/>
          <w:lang w:val="pl-PL"/>
        </w:rPr>
        <w:t>ferencją</w:t>
      </w:r>
      <w:r w:rsidR="00DC40BE" w:rsidRPr="00DC40BE">
        <w:rPr>
          <w:rFonts w:ascii="Times New Roman" w:hAnsi="Times New Roman"/>
          <w:noProof/>
          <w:sz w:val="24"/>
          <w:lang w:val="pl-PL"/>
        </w:rPr>
        <w:t xml:space="preserve"> w spr</w:t>
      </w:r>
      <w:r w:rsidRPr="00DC40BE">
        <w:rPr>
          <w:rFonts w:ascii="Times New Roman" w:hAnsi="Times New Roman"/>
          <w:noProof/>
          <w:sz w:val="24"/>
          <w:lang w:val="pl-PL"/>
        </w:rPr>
        <w:t>awie przyszłości Europy</w:t>
      </w:r>
      <w:r w:rsidR="00DC40BE" w:rsidRPr="00DC40BE">
        <w:rPr>
          <w:rFonts w:ascii="Times New Roman" w:hAnsi="Times New Roman"/>
          <w:noProof/>
          <w:sz w:val="24"/>
          <w:lang w:val="pl-PL"/>
        </w:rPr>
        <w:t xml:space="preserve"> i wzn</w:t>
      </w:r>
      <w:r w:rsidRPr="00DC40BE">
        <w:rPr>
          <w:rFonts w:ascii="Times New Roman" w:hAnsi="Times New Roman"/>
          <w:noProof/>
          <w:sz w:val="24"/>
          <w:lang w:val="pl-PL"/>
        </w:rPr>
        <w:t xml:space="preserve">owieniem przez Komisję wysiłków na rzecz uczestnictwa obywateli trwają prace nad włączeniem EIO do nowej wersji portalu „Wyraź swoją opinię” – </w:t>
      </w:r>
      <w:r w:rsidRPr="00DC40BE">
        <w:rPr>
          <w:rFonts w:ascii="Times New Roman" w:hAnsi="Times New Roman"/>
          <w:b/>
          <w:noProof/>
          <w:sz w:val="24"/>
          <w:lang w:val="pl-PL"/>
        </w:rPr>
        <w:t>nowego internetowego „punktu kompleksowej obsługi” poświęconemu aktywności obywatelskiej</w:t>
      </w:r>
      <w:r w:rsidRPr="00DC40BE">
        <w:rPr>
          <w:rFonts w:ascii="Times New Roman" w:hAnsi="Times New Roman"/>
          <w:noProof/>
          <w:sz w:val="24"/>
          <w:lang w:val="pl-PL"/>
        </w:rPr>
        <w:t xml:space="preserve">, który zapewnia dodatkowe możliwości zwiększenia widoczności EIO. </w:t>
      </w:r>
    </w:p>
    <w:bookmarkEnd w:id="52"/>
    <w:p w14:paraId="1EAB9444" w14:textId="7A526523" w:rsidR="005A4888" w:rsidRPr="00DC40BE" w:rsidRDefault="005A4888" w:rsidP="00E8781C">
      <w:pPr>
        <w:pStyle w:val="Akapitzlist"/>
        <w:numPr>
          <w:ilvl w:val="0"/>
          <w:numId w:val="27"/>
        </w:numPr>
        <w:spacing w:before="100" w:beforeAutospacing="1" w:after="100" w:afterAutospacing="1"/>
        <w:jc w:val="both"/>
        <w:rPr>
          <w:rFonts w:ascii="Times New Roman" w:hAnsi="Times New Roman"/>
          <w:noProof/>
          <w:sz w:val="24"/>
          <w:lang w:val="pl-PL"/>
        </w:rPr>
      </w:pPr>
      <w:r w:rsidRPr="00DC40BE">
        <w:rPr>
          <w:rFonts w:ascii="Times New Roman" w:hAnsi="Times New Roman"/>
          <w:noProof/>
          <w:sz w:val="24"/>
          <w:lang w:val="pl-PL"/>
        </w:rPr>
        <w:t>Komisja będzie współpracować</w:t>
      </w:r>
      <w:r w:rsidR="00DC40BE" w:rsidRPr="00DC40BE">
        <w:rPr>
          <w:rFonts w:ascii="Times New Roman" w:hAnsi="Times New Roman"/>
          <w:noProof/>
          <w:sz w:val="24"/>
          <w:lang w:val="pl-PL"/>
        </w:rPr>
        <w:t xml:space="preserve"> z kra</w:t>
      </w:r>
      <w:r w:rsidRPr="00DC40BE">
        <w:rPr>
          <w:rFonts w:ascii="Times New Roman" w:hAnsi="Times New Roman"/>
          <w:noProof/>
          <w:sz w:val="24"/>
          <w:lang w:val="pl-PL"/>
        </w:rPr>
        <w:t>jowymi punktami kontaktowymi</w:t>
      </w:r>
      <w:r w:rsidR="00DC40BE" w:rsidRPr="00DC40BE">
        <w:rPr>
          <w:rFonts w:ascii="Times New Roman" w:hAnsi="Times New Roman"/>
          <w:noProof/>
          <w:sz w:val="24"/>
          <w:lang w:val="pl-PL"/>
        </w:rPr>
        <w:t xml:space="preserve"> w cel</w:t>
      </w:r>
      <w:r w:rsidRPr="00DC40BE">
        <w:rPr>
          <w:rFonts w:ascii="Times New Roman" w:hAnsi="Times New Roman"/>
          <w:noProof/>
          <w:sz w:val="24"/>
          <w:lang w:val="pl-PL"/>
        </w:rPr>
        <w:t xml:space="preserve">u </w:t>
      </w:r>
      <w:r w:rsidRPr="00DC40BE">
        <w:rPr>
          <w:rFonts w:ascii="Times New Roman" w:hAnsi="Times New Roman"/>
          <w:b/>
          <w:noProof/>
          <w:sz w:val="24"/>
          <w:lang w:val="pl-PL"/>
        </w:rPr>
        <w:t>promowania strony internetowej EIO na odpowiednich platformach krajowych</w:t>
      </w:r>
      <w:r w:rsidRPr="00DC40BE">
        <w:rPr>
          <w:rFonts w:ascii="Times New Roman" w:hAnsi="Times New Roman"/>
          <w:noProof/>
          <w:sz w:val="24"/>
          <w:lang w:val="pl-PL"/>
        </w:rPr>
        <w:t>.</w:t>
      </w:r>
    </w:p>
    <w:p w14:paraId="3763C2DB" w14:textId="39596CCF" w:rsidR="005A4888" w:rsidRPr="00DC40BE" w:rsidRDefault="005A4888" w:rsidP="00E8781C">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b/>
          <w:noProof/>
          <w:lang w:val="pl-PL"/>
        </w:rPr>
      </w:pPr>
      <w:r w:rsidRPr="00DC40BE">
        <w:rPr>
          <w:b/>
          <w:noProof/>
          <w:lang w:val="pl-PL"/>
        </w:rPr>
        <w:t>Działanie nr</w:t>
      </w:r>
      <w:r w:rsidR="00DC40BE" w:rsidRPr="00DC40BE">
        <w:rPr>
          <w:b/>
          <w:noProof/>
          <w:lang w:val="pl-PL"/>
        </w:rPr>
        <w:t> </w:t>
      </w:r>
      <w:r w:rsidRPr="00DC40BE">
        <w:rPr>
          <w:b/>
          <w:noProof/>
          <w:lang w:val="pl-PL"/>
        </w:rPr>
        <w:t>2: zwiększenie wsparcia dla organizatorów EIO</w:t>
      </w:r>
    </w:p>
    <w:p w14:paraId="09371059" w14:textId="4DD96236" w:rsidR="005A4888" w:rsidRPr="00DC40BE" w:rsidRDefault="00815A7B" w:rsidP="00E8781C">
      <w:pPr>
        <w:spacing w:before="100" w:beforeAutospacing="1" w:after="100" w:afterAutospacing="1" w:line="276" w:lineRule="auto"/>
        <w:rPr>
          <w:noProof/>
          <w:lang w:val="pl-PL"/>
        </w:rPr>
      </w:pPr>
      <w:r w:rsidRPr="00DC40BE">
        <w:rPr>
          <w:noProof/>
          <w:lang w:val="pl-PL"/>
        </w:rPr>
        <w:t>Komisja zdaje sobie sprawę, że przygotowanie</w:t>
      </w:r>
      <w:r w:rsidR="00DC40BE" w:rsidRPr="00DC40BE">
        <w:rPr>
          <w:noProof/>
          <w:lang w:val="pl-PL"/>
        </w:rPr>
        <w:t xml:space="preserve"> i rea</w:t>
      </w:r>
      <w:r w:rsidRPr="00DC40BE">
        <w:rPr>
          <w:noProof/>
          <w:lang w:val="pl-PL"/>
        </w:rPr>
        <w:t>lizacja EIO wymaga czasu, środków, poświęcenia</w:t>
      </w:r>
      <w:r w:rsidR="00DC40BE" w:rsidRPr="00DC40BE">
        <w:rPr>
          <w:noProof/>
          <w:lang w:val="pl-PL"/>
        </w:rPr>
        <w:t xml:space="preserve"> i wyt</w:t>
      </w:r>
      <w:r w:rsidRPr="00DC40BE">
        <w:rPr>
          <w:noProof/>
          <w:lang w:val="pl-PL"/>
        </w:rPr>
        <w:t>rwałości</w:t>
      </w:r>
      <w:r w:rsidR="00DC40BE" w:rsidRPr="00DC40BE">
        <w:rPr>
          <w:noProof/>
          <w:lang w:val="pl-PL"/>
        </w:rPr>
        <w:t>. W zwi</w:t>
      </w:r>
      <w:r w:rsidRPr="00DC40BE">
        <w:rPr>
          <w:noProof/>
          <w:lang w:val="pl-PL"/>
        </w:rPr>
        <w:t>ązku</w:t>
      </w:r>
      <w:r w:rsidR="00DC40BE" w:rsidRPr="00DC40BE">
        <w:rPr>
          <w:noProof/>
          <w:lang w:val="pl-PL"/>
        </w:rPr>
        <w:t xml:space="preserve"> z tym</w:t>
      </w:r>
      <w:r w:rsidRPr="00DC40BE">
        <w:rPr>
          <w:noProof/>
          <w:lang w:val="pl-PL"/>
        </w:rPr>
        <w:t xml:space="preserve"> Komisja zwiększy swoje wsparcie na rzecz organizatorów EIO.</w:t>
      </w:r>
    </w:p>
    <w:p w14:paraId="207AD012" w14:textId="6E0EE75D" w:rsidR="005A4888" w:rsidRPr="00DC40BE" w:rsidRDefault="005A4888" w:rsidP="00E8781C">
      <w:pPr>
        <w:pStyle w:val="Akapitzlist"/>
        <w:numPr>
          <w:ilvl w:val="0"/>
          <w:numId w:val="23"/>
        </w:numPr>
        <w:spacing w:before="100" w:beforeAutospacing="1" w:after="100" w:afterAutospacing="1"/>
        <w:jc w:val="both"/>
        <w:rPr>
          <w:rFonts w:ascii="Times New Roman" w:hAnsi="Times New Roman"/>
          <w:noProof/>
          <w:sz w:val="24"/>
          <w:lang w:val="pl-PL"/>
        </w:rPr>
      </w:pPr>
      <w:r w:rsidRPr="00DC40BE">
        <w:rPr>
          <w:rFonts w:ascii="Times New Roman" w:hAnsi="Times New Roman"/>
          <w:noProof/>
          <w:sz w:val="24"/>
          <w:lang w:val="pl-PL"/>
        </w:rPr>
        <w:t xml:space="preserve">Komisja będzie nadal wspierać organizatorów EIO bezpośrednio lub pośrednio, oferując szereg usług, takich jak: </w:t>
      </w:r>
      <w:r w:rsidRPr="00DC40BE">
        <w:rPr>
          <w:rFonts w:ascii="Times New Roman" w:hAnsi="Times New Roman"/>
          <w:b/>
          <w:noProof/>
          <w:sz w:val="24"/>
          <w:lang w:val="pl-PL"/>
        </w:rPr>
        <w:t>doradztwo</w:t>
      </w:r>
      <w:r w:rsidR="00DC40BE" w:rsidRPr="00DC40BE">
        <w:rPr>
          <w:rFonts w:ascii="Times New Roman" w:hAnsi="Times New Roman"/>
          <w:b/>
          <w:noProof/>
          <w:sz w:val="24"/>
          <w:lang w:val="pl-PL"/>
        </w:rPr>
        <w:t xml:space="preserve"> i por</w:t>
      </w:r>
      <w:r w:rsidRPr="00DC40BE">
        <w:rPr>
          <w:rFonts w:ascii="Times New Roman" w:hAnsi="Times New Roman"/>
          <w:b/>
          <w:noProof/>
          <w:sz w:val="24"/>
          <w:lang w:val="pl-PL"/>
        </w:rPr>
        <w:t>ady prawne (za pośrednictwem forum europejskiej inicjatywy obywatelskiej)</w:t>
      </w:r>
      <w:r w:rsidRPr="00DC40BE">
        <w:rPr>
          <w:rFonts w:ascii="Times New Roman" w:hAnsi="Times New Roman"/>
          <w:noProof/>
          <w:sz w:val="24"/>
          <w:lang w:val="pl-PL"/>
        </w:rPr>
        <w:t>;</w:t>
      </w:r>
      <w:r w:rsidRPr="00DC40BE">
        <w:rPr>
          <w:rFonts w:ascii="Times New Roman" w:hAnsi="Times New Roman"/>
          <w:b/>
          <w:noProof/>
          <w:sz w:val="24"/>
          <w:lang w:val="pl-PL"/>
        </w:rPr>
        <w:t xml:space="preserve"> możliwość bezpłatnego korzystania</w:t>
      </w:r>
      <w:r w:rsidR="00DC40BE" w:rsidRPr="00DC40BE">
        <w:rPr>
          <w:rFonts w:ascii="Times New Roman" w:hAnsi="Times New Roman"/>
          <w:b/>
          <w:noProof/>
          <w:sz w:val="24"/>
          <w:lang w:val="pl-PL"/>
        </w:rPr>
        <w:t xml:space="preserve"> z bez</w:t>
      </w:r>
      <w:r w:rsidRPr="00DC40BE">
        <w:rPr>
          <w:rFonts w:ascii="Times New Roman" w:hAnsi="Times New Roman"/>
          <w:b/>
          <w:noProof/>
          <w:sz w:val="24"/>
          <w:lang w:val="pl-PL"/>
        </w:rPr>
        <w:t>piecznego</w:t>
      </w:r>
      <w:r w:rsidR="00DC40BE" w:rsidRPr="00DC40BE">
        <w:rPr>
          <w:rFonts w:ascii="Times New Roman" w:hAnsi="Times New Roman"/>
          <w:b/>
          <w:noProof/>
          <w:sz w:val="24"/>
          <w:lang w:val="pl-PL"/>
        </w:rPr>
        <w:t xml:space="preserve"> i prz</w:t>
      </w:r>
      <w:r w:rsidRPr="00DC40BE">
        <w:rPr>
          <w:rFonts w:ascii="Times New Roman" w:hAnsi="Times New Roman"/>
          <w:b/>
          <w:noProof/>
          <w:sz w:val="24"/>
          <w:lang w:val="pl-PL"/>
        </w:rPr>
        <w:t>yjaznego dla użytkownika centralnego systemu zbierania deklaracji online</w:t>
      </w:r>
      <w:r w:rsidRPr="00DC40BE">
        <w:rPr>
          <w:rFonts w:ascii="Times New Roman" w:hAnsi="Times New Roman"/>
          <w:noProof/>
          <w:sz w:val="24"/>
          <w:lang w:val="pl-PL"/>
        </w:rPr>
        <w:t xml:space="preserve">, co znacznie ogranicza obowiązki organizatorów EIO jako administratorów danych; oraz </w:t>
      </w:r>
      <w:r w:rsidRPr="00DC40BE">
        <w:rPr>
          <w:rFonts w:ascii="Times New Roman" w:hAnsi="Times New Roman"/>
          <w:b/>
          <w:noProof/>
          <w:sz w:val="24"/>
          <w:lang w:val="pl-PL"/>
        </w:rPr>
        <w:t>bezpłatne usługi tłumaczeniowe</w:t>
      </w:r>
      <w:r w:rsidRPr="00DC40BE">
        <w:rPr>
          <w:rFonts w:ascii="Times New Roman" w:hAnsi="Times New Roman"/>
          <w:noProof/>
          <w:sz w:val="24"/>
          <w:lang w:val="pl-PL"/>
        </w:rPr>
        <w:t xml:space="preserve">. </w:t>
      </w:r>
    </w:p>
    <w:p w14:paraId="228CFCAF" w14:textId="64324975" w:rsidR="005A4888" w:rsidRPr="00DC40BE" w:rsidRDefault="005A4888" w:rsidP="00E8781C">
      <w:pPr>
        <w:pStyle w:val="Akapitzlist"/>
        <w:numPr>
          <w:ilvl w:val="0"/>
          <w:numId w:val="23"/>
        </w:numPr>
        <w:spacing w:before="100" w:beforeAutospacing="1" w:after="100" w:afterAutospacing="1"/>
        <w:jc w:val="both"/>
        <w:rPr>
          <w:rFonts w:ascii="Times New Roman" w:eastAsiaTheme="minorEastAsia" w:hAnsi="Times New Roman" w:cs="Times New Roman"/>
          <w:noProof/>
          <w:sz w:val="24"/>
          <w:lang w:val="pl-PL"/>
        </w:rPr>
      </w:pPr>
      <w:r w:rsidRPr="00DC40BE">
        <w:rPr>
          <w:rFonts w:ascii="Times New Roman" w:hAnsi="Times New Roman"/>
          <w:b/>
          <w:noProof/>
          <w:sz w:val="24"/>
          <w:lang w:val="pl-PL"/>
        </w:rPr>
        <w:t>Wsparcie rzeczowe dla organizatorów zostanie dodatkowo zwiększone</w:t>
      </w:r>
      <w:r w:rsidR="00DC40BE" w:rsidRPr="00DC40BE">
        <w:rPr>
          <w:rFonts w:ascii="Times New Roman" w:hAnsi="Times New Roman"/>
          <w:noProof/>
          <w:sz w:val="24"/>
          <w:lang w:val="pl-PL"/>
        </w:rPr>
        <w:t xml:space="preserve"> w ram</w:t>
      </w:r>
      <w:r w:rsidRPr="00DC40BE">
        <w:rPr>
          <w:rFonts w:ascii="Times New Roman" w:hAnsi="Times New Roman"/>
          <w:noProof/>
          <w:sz w:val="24"/>
          <w:lang w:val="pl-PL"/>
        </w:rPr>
        <w:t>ach obowiązujących przepisów budżetowych</w:t>
      </w:r>
      <w:r w:rsidR="00DC40BE" w:rsidRPr="00DC40BE">
        <w:rPr>
          <w:rFonts w:ascii="Times New Roman" w:hAnsi="Times New Roman"/>
          <w:noProof/>
          <w:sz w:val="24"/>
          <w:lang w:val="pl-PL"/>
        </w:rPr>
        <w:t xml:space="preserve"> i pra</w:t>
      </w:r>
      <w:r w:rsidRPr="00DC40BE">
        <w:rPr>
          <w:rFonts w:ascii="Times New Roman" w:hAnsi="Times New Roman"/>
          <w:noProof/>
          <w:sz w:val="24"/>
          <w:lang w:val="pl-PL"/>
        </w:rPr>
        <w:t>wnych poprzez: zapewnienie dalszych wytycznych dotyczących kwestii praktycznych związanych</w:t>
      </w:r>
      <w:r w:rsidR="00DC40BE" w:rsidRPr="00DC40BE">
        <w:rPr>
          <w:rFonts w:ascii="Times New Roman" w:hAnsi="Times New Roman"/>
          <w:noProof/>
          <w:sz w:val="24"/>
          <w:lang w:val="pl-PL"/>
        </w:rPr>
        <w:t xml:space="preserve"> z pro</w:t>
      </w:r>
      <w:r w:rsidRPr="00DC40BE">
        <w:rPr>
          <w:rFonts w:ascii="Times New Roman" w:hAnsi="Times New Roman"/>
          <w:noProof/>
          <w:sz w:val="24"/>
          <w:lang w:val="pl-PL"/>
        </w:rPr>
        <w:t>wadzeniem EIO (w szczególności</w:t>
      </w:r>
      <w:r w:rsidR="00DC40BE" w:rsidRPr="00DC40BE">
        <w:rPr>
          <w:rFonts w:ascii="Times New Roman" w:hAnsi="Times New Roman"/>
          <w:noProof/>
          <w:sz w:val="24"/>
          <w:lang w:val="pl-PL"/>
        </w:rPr>
        <w:t xml:space="preserve"> w zak</w:t>
      </w:r>
      <w:r w:rsidRPr="00DC40BE">
        <w:rPr>
          <w:rFonts w:ascii="Times New Roman" w:hAnsi="Times New Roman"/>
          <w:noProof/>
          <w:sz w:val="24"/>
          <w:lang w:val="pl-PL"/>
        </w:rPr>
        <w:t>resie pozyskiwania funduszy</w:t>
      </w:r>
      <w:r w:rsidR="00DC40BE" w:rsidRPr="00DC40BE">
        <w:rPr>
          <w:rFonts w:ascii="Times New Roman" w:hAnsi="Times New Roman"/>
          <w:noProof/>
          <w:sz w:val="24"/>
          <w:lang w:val="pl-PL"/>
        </w:rPr>
        <w:t xml:space="preserve"> i pro</w:t>
      </w:r>
      <w:r w:rsidRPr="00DC40BE">
        <w:rPr>
          <w:rFonts w:ascii="Times New Roman" w:hAnsi="Times New Roman"/>
          <w:noProof/>
          <w:sz w:val="24"/>
          <w:lang w:val="pl-PL"/>
        </w:rPr>
        <w:t>mowania EIO</w:t>
      </w:r>
      <w:r w:rsidR="00DC40BE" w:rsidRPr="00DC40BE">
        <w:rPr>
          <w:rFonts w:ascii="Times New Roman" w:hAnsi="Times New Roman"/>
          <w:noProof/>
          <w:sz w:val="24"/>
          <w:lang w:val="pl-PL"/>
        </w:rPr>
        <w:t xml:space="preserve"> w cał</w:t>
      </w:r>
      <w:r w:rsidRPr="00DC40BE">
        <w:rPr>
          <w:rFonts w:ascii="Times New Roman" w:hAnsi="Times New Roman"/>
          <w:noProof/>
          <w:sz w:val="24"/>
          <w:lang w:val="pl-PL"/>
        </w:rPr>
        <w:t>ej UE); ulepszenie wytycznych dotyczących kompetencji UE</w:t>
      </w:r>
      <w:r w:rsidR="00DC40BE" w:rsidRPr="00DC40BE">
        <w:rPr>
          <w:rFonts w:ascii="Times New Roman" w:hAnsi="Times New Roman"/>
          <w:noProof/>
          <w:sz w:val="24"/>
          <w:lang w:val="pl-PL"/>
        </w:rPr>
        <w:t xml:space="preserve"> i Kom</w:t>
      </w:r>
      <w:r w:rsidRPr="00DC40BE">
        <w:rPr>
          <w:rFonts w:ascii="Times New Roman" w:hAnsi="Times New Roman"/>
          <w:noProof/>
          <w:sz w:val="24"/>
          <w:lang w:val="pl-PL"/>
        </w:rPr>
        <w:t>isji oraz innych aspektów rejestracji EIO; oraz dalsze udoskonalanie narzędzi informatycznych (w szczególności centralnego systemu zbierania deklaracji online).</w:t>
      </w:r>
    </w:p>
    <w:p w14:paraId="15C69D9E" w14:textId="224877C9" w:rsidR="005A4888" w:rsidRPr="00DC40BE" w:rsidRDefault="005A4888" w:rsidP="00E8781C">
      <w:pPr>
        <w:pStyle w:val="Akapitzlist"/>
        <w:numPr>
          <w:ilvl w:val="0"/>
          <w:numId w:val="35"/>
        </w:numPr>
        <w:spacing w:before="100" w:beforeAutospacing="1" w:after="100" w:afterAutospacing="1"/>
        <w:jc w:val="both"/>
        <w:rPr>
          <w:rFonts w:ascii="Times New Roman" w:hAnsi="Times New Roman"/>
          <w:noProof/>
          <w:sz w:val="24"/>
          <w:lang w:val="pl-PL"/>
        </w:rPr>
      </w:pPr>
      <w:r w:rsidRPr="00DC40BE">
        <w:rPr>
          <w:rFonts w:ascii="Times New Roman" w:hAnsi="Times New Roman"/>
          <w:noProof/>
          <w:sz w:val="24"/>
          <w:lang w:val="pl-PL"/>
        </w:rPr>
        <w:t xml:space="preserve">Komisja </w:t>
      </w:r>
      <w:r w:rsidRPr="00DC40BE">
        <w:rPr>
          <w:rFonts w:ascii="Times New Roman" w:hAnsi="Times New Roman"/>
          <w:b/>
          <w:noProof/>
          <w:sz w:val="24"/>
          <w:lang w:val="pl-PL"/>
        </w:rPr>
        <w:t>zamierza lepiej informować na</w:t>
      </w:r>
      <w:r w:rsidR="00DC40BE" w:rsidRPr="00DC40BE">
        <w:rPr>
          <w:rFonts w:ascii="Times New Roman" w:hAnsi="Times New Roman"/>
          <w:b/>
          <w:noProof/>
          <w:sz w:val="24"/>
          <w:lang w:val="pl-PL"/>
        </w:rPr>
        <w:t xml:space="preserve"> o moż</w:t>
      </w:r>
      <w:r w:rsidRPr="00DC40BE">
        <w:rPr>
          <w:rFonts w:ascii="Times New Roman" w:hAnsi="Times New Roman"/>
          <w:b/>
          <w:noProof/>
          <w:sz w:val="24"/>
          <w:lang w:val="pl-PL"/>
        </w:rPr>
        <w:t>liwościach uzyskania wsparcia finansowego</w:t>
      </w:r>
      <w:r w:rsidR="00DC40BE" w:rsidRPr="00DC40BE">
        <w:rPr>
          <w:rFonts w:ascii="Times New Roman" w:hAnsi="Times New Roman"/>
          <w:b/>
          <w:noProof/>
          <w:sz w:val="24"/>
          <w:lang w:val="pl-PL"/>
        </w:rPr>
        <w:t xml:space="preserve"> w ram</w:t>
      </w:r>
      <w:r w:rsidRPr="00DC40BE">
        <w:rPr>
          <w:rFonts w:ascii="Times New Roman" w:hAnsi="Times New Roman"/>
          <w:b/>
          <w:noProof/>
          <w:sz w:val="24"/>
          <w:lang w:val="pl-PL"/>
        </w:rPr>
        <w:t>ach istniejących programów UE</w:t>
      </w:r>
      <w:r w:rsidRPr="00DC40BE">
        <w:rPr>
          <w:rFonts w:ascii="Times New Roman" w:hAnsi="Times New Roman"/>
          <w:noProof/>
          <w:sz w:val="24"/>
          <w:lang w:val="pl-PL"/>
        </w:rPr>
        <w:t>, zgodnie ze szczegółowymi kryteriami poszczególnych zaproszeń do składania wniosków. Na przykład</w:t>
      </w:r>
      <w:r w:rsidR="00DC40BE" w:rsidRPr="00DC40BE">
        <w:rPr>
          <w:rFonts w:ascii="Times New Roman" w:hAnsi="Times New Roman"/>
          <w:noProof/>
          <w:sz w:val="24"/>
          <w:lang w:val="pl-PL"/>
        </w:rPr>
        <w:t xml:space="preserve"> w ram</w:t>
      </w:r>
      <w:r w:rsidRPr="00DC40BE">
        <w:rPr>
          <w:rFonts w:ascii="Times New Roman" w:hAnsi="Times New Roman"/>
          <w:noProof/>
          <w:sz w:val="24"/>
          <w:lang w:val="pl-PL"/>
        </w:rPr>
        <w:t>ach programu „Obywatele, równość, prawa</w:t>
      </w:r>
      <w:r w:rsidR="00DC40BE" w:rsidRPr="00DC40BE">
        <w:rPr>
          <w:rFonts w:ascii="Times New Roman" w:hAnsi="Times New Roman"/>
          <w:noProof/>
          <w:sz w:val="24"/>
          <w:lang w:val="pl-PL"/>
        </w:rPr>
        <w:t xml:space="preserve"> i war</w:t>
      </w:r>
      <w:r w:rsidRPr="00DC40BE">
        <w:rPr>
          <w:rFonts w:ascii="Times New Roman" w:hAnsi="Times New Roman"/>
          <w:noProof/>
          <w:sz w:val="24"/>
          <w:lang w:val="pl-PL"/>
        </w:rPr>
        <w:t>tości” (CERV)(</w:t>
      </w:r>
      <w:r w:rsidRPr="00DC40BE">
        <w:rPr>
          <w:rStyle w:val="Odwoanieprzypisudolnego"/>
          <w:rFonts w:ascii="Times New Roman" w:hAnsi="Times New Roman" w:cs="Times New Roman"/>
          <w:noProof/>
          <w:sz w:val="24"/>
          <w:lang w:val="pl-PL"/>
        </w:rPr>
        <w:footnoteReference w:id="101"/>
      </w:r>
      <w:r w:rsidRPr="00DC40BE">
        <w:rPr>
          <w:rFonts w:ascii="Times New Roman" w:hAnsi="Times New Roman"/>
          <w:noProof/>
          <w:sz w:val="24"/>
          <w:lang w:val="pl-PL"/>
        </w:rPr>
        <w:t>) finansuje się projekty dotyczące zaangażowania obywateli. Aby ułatwić organizatorom EIO dostęp do takiego finansowania, Komisja będzie regularnie zamieszczać informacje na temat odpowiednich zaproszeń do składania wniosków</w:t>
      </w:r>
      <w:r w:rsidR="00DC40BE" w:rsidRPr="00DC40BE">
        <w:rPr>
          <w:rFonts w:ascii="Times New Roman" w:hAnsi="Times New Roman"/>
          <w:noProof/>
          <w:sz w:val="24"/>
          <w:lang w:val="pl-PL"/>
        </w:rPr>
        <w:t xml:space="preserve"> i spe</w:t>
      </w:r>
      <w:r w:rsidRPr="00DC40BE">
        <w:rPr>
          <w:rFonts w:ascii="Times New Roman" w:hAnsi="Times New Roman"/>
          <w:noProof/>
          <w:sz w:val="24"/>
          <w:lang w:val="pl-PL"/>
        </w:rPr>
        <w:t>cjalnych sesji informacyjnych</w:t>
      </w:r>
      <w:r w:rsidR="00DC40BE" w:rsidRPr="00DC40BE">
        <w:rPr>
          <w:rFonts w:ascii="Times New Roman" w:hAnsi="Times New Roman"/>
          <w:noProof/>
          <w:sz w:val="24"/>
          <w:lang w:val="pl-PL"/>
        </w:rPr>
        <w:t xml:space="preserve"> w swo</w:t>
      </w:r>
      <w:r w:rsidRPr="00DC40BE">
        <w:rPr>
          <w:rFonts w:ascii="Times New Roman" w:hAnsi="Times New Roman"/>
          <w:noProof/>
          <w:sz w:val="24"/>
          <w:lang w:val="pl-PL"/>
        </w:rPr>
        <w:t>ich comiesięcznych biuletynach dotyczących EIO. Ponadto Komisja będzie regularnie informować krajowe punkty kontaktowe ds. programu CERV o EIO, tak aby były one dobrze przygotowane do udzielania odpowiedzi na zapytania potencjalnych organizatorów EIO. Komisja dopilnuje również, aby wsparcie rzeczowe dostępne dla organizatorów było dostosowane do ich potrzeb (w tym potrzeb</w:t>
      </w:r>
      <w:r w:rsidR="00DC40BE" w:rsidRPr="00DC40BE">
        <w:rPr>
          <w:rFonts w:ascii="Times New Roman" w:hAnsi="Times New Roman"/>
          <w:noProof/>
          <w:sz w:val="24"/>
          <w:lang w:val="pl-PL"/>
        </w:rPr>
        <w:t xml:space="preserve"> w zak</w:t>
      </w:r>
      <w:r w:rsidRPr="00DC40BE">
        <w:rPr>
          <w:rFonts w:ascii="Times New Roman" w:hAnsi="Times New Roman"/>
          <w:noProof/>
          <w:sz w:val="24"/>
          <w:lang w:val="pl-PL"/>
        </w:rPr>
        <w:t xml:space="preserve">resie </w:t>
      </w:r>
      <w:r w:rsidRPr="00DC40BE">
        <w:rPr>
          <w:rFonts w:ascii="Times New Roman" w:hAnsi="Times New Roman"/>
          <w:noProof/>
          <w:sz w:val="24"/>
          <w:lang w:val="pl-PL"/>
        </w:rPr>
        <w:lastRenderedPageBreak/>
        <w:t>finansowania)</w:t>
      </w:r>
      <w:r w:rsidR="00DC40BE" w:rsidRPr="00DC40BE">
        <w:rPr>
          <w:rFonts w:ascii="Times New Roman" w:hAnsi="Times New Roman"/>
          <w:noProof/>
          <w:sz w:val="24"/>
          <w:lang w:val="pl-PL"/>
        </w:rPr>
        <w:t xml:space="preserve"> i aby</w:t>
      </w:r>
      <w:r w:rsidRPr="00DC40BE">
        <w:rPr>
          <w:rFonts w:ascii="Times New Roman" w:hAnsi="Times New Roman"/>
          <w:noProof/>
          <w:sz w:val="24"/>
          <w:lang w:val="pl-PL"/>
        </w:rPr>
        <w:t xml:space="preserve"> zostali poinformowani</w:t>
      </w:r>
      <w:r w:rsidR="00DC40BE" w:rsidRPr="00DC40BE">
        <w:rPr>
          <w:rFonts w:ascii="Times New Roman" w:hAnsi="Times New Roman"/>
          <w:noProof/>
          <w:sz w:val="24"/>
          <w:lang w:val="pl-PL"/>
        </w:rPr>
        <w:t xml:space="preserve"> o wsz</w:t>
      </w:r>
      <w:r w:rsidRPr="00DC40BE">
        <w:rPr>
          <w:rFonts w:ascii="Times New Roman" w:hAnsi="Times New Roman"/>
          <w:noProof/>
          <w:sz w:val="24"/>
          <w:lang w:val="pl-PL"/>
        </w:rPr>
        <w:t>ystkich usługach,</w:t>
      </w:r>
      <w:r w:rsidR="00DC40BE" w:rsidRPr="00DC40BE">
        <w:rPr>
          <w:rFonts w:ascii="Times New Roman" w:hAnsi="Times New Roman"/>
          <w:noProof/>
          <w:sz w:val="24"/>
          <w:lang w:val="pl-PL"/>
        </w:rPr>
        <w:t xml:space="preserve"> z któ</w:t>
      </w:r>
      <w:r w:rsidRPr="00DC40BE">
        <w:rPr>
          <w:rFonts w:ascii="Times New Roman" w:hAnsi="Times New Roman"/>
          <w:noProof/>
          <w:sz w:val="24"/>
          <w:lang w:val="pl-PL"/>
        </w:rPr>
        <w:t>rych mogą skorzystać.</w:t>
      </w:r>
    </w:p>
    <w:p w14:paraId="7F997A48" w14:textId="19BA2675" w:rsidR="005A4888" w:rsidRPr="00DC40BE" w:rsidRDefault="005A4888" w:rsidP="00E8781C">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b/>
          <w:noProof/>
          <w:lang w:val="pl-PL"/>
        </w:rPr>
      </w:pPr>
      <w:r w:rsidRPr="00DC40BE">
        <w:rPr>
          <w:b/>
          <w:noProof/>
          <w:lang w:val="pl-PL"/>
        </w:rPr>
        <w:t>Działanie nr</w:t>
      </w:r>
      <w:r w:rsidR="00DC40BE" w:rsidRPr="00DC40BE">
        <w:rPr>
          <w:b/>
          <w:noProof/>
          <w:lang w:val="pl-PL"/>
        </w:rPr>
        <w:t> </w:t>
      </w:r>
      <w:r w:rsidRPr="00DC40BE">
        <w:rPr>
          <w:b/>
          <w:noProof/>
          <w:lang w:val="pl-PL"/>
        </w:rPr>
        <w:t>3: stałe usprawnianie centralnego systemu zbierania deklaracji online</w:t>
      </w:r>
    </w:p>
    <w:p w14:paraId="3DF50BBA" w14:textId="4F706307" w:rsidR="005A4888" w:rsidRPr="00DC40BE" w:rsidRDefault="005A4888" w:rsidP="00E8781C">
      <w:pPr>
        <w:spacing w:before="100" w:beforeAutospacing="1" w:after="100" w:afterAutospacing="1" w:line="276" w:lineRule="auto"/>
        <w:rPr>
          <w:noProof/>
          <w:lang w:val="pl-PL"/>
        </w:rPr>
      </w:pPr>
      <w:r w:rsidRPr="00DC40BE">
        <w:rPr>
          <w:noProof/>
          <w:lang w:val="pl-PL"/>
        </w:rPr>
        <w:t>Jak wynika ze znacznej liczby opinii zebranych od obywateli, centralny system zbierania deklaracji online jest łatwym</w:t>
      </w:r>
      <w:r w:rsidR="00DC40BE" w:rsidRPr="00DC40BE">
        <w:rPr>
          <w:noProof/>
          <w:lang w:val="pl-PL"/>
        </w:rPr>
        <w:t xml:space="preserve"> w uży</w:t>
      </w:r>
      <w:r w:rsidRPr="00DC40BE">
        <w:rPr>
          <w:noProof/>
          <w:lang w:val="pl-PL"/>
        </w:rPr>
        <w:t>ciu</w:t>
      </w:r>
      <w:r w:rsidR="00DC40BE" w:rsidRPr="00DC40BE">
        <w:rPr>
          <w:noProof/>
          <w:lang w:val="pl-PL"/>
        </w:rPr>
        <w:t xml:space="preserve"> i nie</w:t>
      </w:r>
      <w:r w:rsidRPr="00DC40BE">
        <w:rPr>
          <w:noProof/>
          <w:lang w:val="pl-PL"/>
        </w:rPr>
        <w:t>zawodnym narzędziem zbierania podpisów,</w:t>
      </w:r>
      <w:r w:rsidR="00DC40BE" w:rsidRPr="00DC40BE">
        <w:rPr>
          <w:noProof/>
          <w:lang w:val="pl-PL"/>
        </w:rPr>
        <w:t xml:space="preserve"> a pon</w:t>
      </w:r>
      <w:r w:rsidRPr="00DC40BE">
        <w:rPr>
          <w:noProof/>
          <w:lang w:val="pl-PL"/>
        </w:rPr>
        <w:t>adto spełnia rygorystyczne normy bezpieczeństwa wymagane</w:t>
      </w:r>
      <w:r w:rsidR="00DC40BE" w:rsidRPr="00DC40BE">
        <w:rPr>
          <w:noProof/>
          <w:lang w:val="pl-PL"/>
        </w:rPr>
        <w:t xml:space="preserve"> w prz</w:t>
      </w:r>
      <w:r w:rsidRPr="00DC40BE">
        <w:rPr>
          <w:noProof/>
          <w:lang w:val="pl-PL"/>
        </w:rPr>
        <w:t>ypadku przetwarzania dużych ilości danych osobowych, jak ma to miejsce</w:t>
      </w:r>
      <w:r w:rsidR="00DC40BE" w:rsidRPr="00DC40BE">
        <w:rPr>
          <w:noProof/>
          <w:lang w:val="pl-PL"/>
        </w:rPr>
        <w:t xml:space="preserve"> w prz</w:t>
      </w:r>
      <w:r w:rsidRPr="00DC40BE">
        <w:rPr>
          <w:noProof/>
          <w:lang w:val="pl-PL"/>
        </w:rPr>
        <w:t>ypadku EIO.</w:t>
      </w:r>
    </w:p>
    <w:p w14:paraId="7CCFA3E0" w14:textId="368AF3FB" w:rsidR="005A4888" w:rsidRPr="00DC40BE" w:rsidRDefault="005A4888" w:rsidP="00E8781C">
      <w:pPr>
        <w:pStyle w:val="Akapitzlist"/>
        <w:numPr>
          <w:ilvl w:val="0"/>
          <w:numId w:val="24"/>
        </w:numPr>
        <w:spacing w:before="100" w:beforeAutospacing="1" w:after="100" w:afterAutospacing="1"/>
        <w:jc w:val="both"/>
        <w:rPr>
          <w:rFonts w:ascii="Times New Roman" w:hAnsi="Times New Roman" w:cs="Times New Roman"/>
          <w:noProof/>
          <w:sz w:val="24"/>
          <w:lang w:val="pl-PL"/>
        </w:rPr>
      </w:pPr>
      <w:r w:rsidRPr="00DC40BE">
        <w:rPr>
          <w:rFonts w:ascii="Times New Roman" w:hAnsi="Times New Roman"/>
          <w:noProof/>
          <w:sz w:val="24"/>
          <w:lang w:val="pl-PL"/>
        </w:rPr>
        <w:t xml:space="preserve">Komisja będzie nadal </w:t>
      </w:r>
      <w:r w:rsidRPr="00DC40BE">
        <w:rPr>
          <w:rFonts w:ascii="Times New Roman" w:hAnsi="Times New Roman"/>
          <w:b/>
          <w:noProof/>
          <w:sz w:val="24"/>
          <w:lang w:val="pl-PL"/>
        </w:rPr>
        <w:t>rozwijać centralny system zbierania deklaracji online</w:t>
      </w:r>
      <w:r w:rsidRPr="00DC40BE">
        <w:rPr>
          <w:rFonts w:ascii="Times New Roman" w:hAnsi="Times New Roman"/>
          <w:noProof/>
          <w:sz w:val="24"/>
          <w:lang w:val="pl-PL"/>
        </w:rPr>
        <w:t xml:space="preserve"> (na podstawie zebranych podczas przeglądu opinii</w:t>
      </w:r>
      <w:r w:rsidR="00DC40BE" w:rsidRPr="00DC40BE">
        <w:rPr>
          <w:rFonts w:ascii="Times New Roman" w:hAnsi="Times New Roman"/>
          <w:noProof/>
          <w:sz w:val="24"/>
          <w:lang w:val="pl-PL"/>
        </w:rPr>
        <w:t xml:space="preserve"> i sug</w:t>
      </w:r>
      <w:r w:rsidRPr="00DC40BE">
        <w:rPr>
          <w:rFonts w:ascii="Times New Roman" w:hAnsi="Times New Roman"/>
          <w:noProof/>
          <w:sz w:val="24"/>
          <w:lang w:val="pl-PL"/>
        </w:rPr>
        <w:t>estii organizatorów, ekspertów</w:t>
      </w:r>
      <w:r w:rsidR="00DC40BE" w:rsidRPr="00DC40BE">
        <w:rPr>
          <w:rFonts w:ascii="Times New Roman" w:hAnsi="Times New Roman"/>
          <w:noProof/>
          <w:sz w:val="24"/>
          <w:lang w:val="pl-PL"/>
        </w:rPr>
        <w:t xml:space="preserve"> i oby</w:t>
      </w:r>
      <w:r w:rsidRPr="00DC40BE">
        <w:rPr>
          <w:rFonts w:ascii="Times New Roman" w:hAnsi="Times New Roman"/>
          <w:noProof/>
          <w:sz w:val="24"/>
          <w:lang w:val="pl-PL"/>
        </w:rPr>
        <w:t>wateli,</w:t>
      </w:r>
      <w:r w:rsidR="00DC40BE" w:rsidRPr="00DC40BE">
        <w:rPr>
          <w:rFonts w:ascii="Times New Roman" w:hAnsi="Times New Roman"/>
          <w:noProof/>
          <w:sz w:val="24"/>
          <w:lang w:val="pl-PL"/>
        </w:rPr>
        <w:t xml:space="preserve"> a tak</w:t>
      </w:r>
      <w:r w:rsidRPr="00DC40BE">
        <w:rPr>
          <w:rFonts w:ascii="Times New Roman" w:hAnsi="Times New Roman"/>
          <w:noProof/>
          <w:sz w:val="24"/>
          <w:lang w:val="pl-PL"/>
        </w:rPr>
        <w:t>że</w:t>
      </w:r>
      <w:r w:rsidR="00DC40BE" w:rsidRPr="00DC40BE">
        <w:rPr>
          <w:rFonts w:ascii="Times New Roman" w:hAnsi="Times New Roman"/>
          <w:noProof/>
          <w:sz w:val="24"/>
          <w:lang w:val="pl-PL"/>
        </w:rPr>
        <w:t xml:space="preserve"> w dro</w:t>
      </w:r>
      <w:r w:rsidRPr="00DC40BE">
        <w:rPr>
          <w:rFonts w:ascii="Times New Roman" w:hAnsi="Times New Roman"/>
          <w:noProof/>
          <w:sz w:val="24"/>
          <w:lang w:val="pl-PL"/>
        </w:rPr>
        <w:t>dze regularnych testów</w:t>
      </w:r>
      <w:r w:rsidR="00DC40BE" w:rsidRPr="00DC40BE">
        <w:rPr>
          <w:rFonts w:ascii="Times New Roman" w:hAnsi="Times New Roman"/>
          <w:noProof/>
          <w:sz w:val="24"/>
          <w:lang w:val="pl-PL"/>
        </w:rPr>
        <w:t xml:space="preserve"> i kon</w:t>
      </w:r>
      <w:r w:rsidRPr="00DC40BE">
        <w:rPr>
          <w:rFonts w:ascii="Times New Roman" w:hAnsi="Times New Roman"/>
          <w:noProof/>
          <w:sz w:val="24"/>
          <w:lang w:val="pl-PL"/>
        </w:rPr>
        <w:t>sultacji</w:t>
      </w:r>
      <w:r w:rsidR="00DC40BE" w:rsidRPr="00DC40BE">
        <w:rPr>
          <w:rFonts w:ascii="Times New Roman" w:hAnsi="Times New Roman"/>
          <w:noProof/>
          <w:sz w:val="24"/>
          <w:lang w:val="pl-PL"/>
        </w:rPr>
        <w:t xml:space="preserve"> z uży</w:t>
      </w:r>
      <w:r w:rsidRPr="00DC40BE">
        <w:rPr>
          <w:rFonts w:ascii="Times New Roman" w:hAnsi="Times New Roman"/>
          <w:noProof/>
          <w:sz w:val="24"/>
          <w:lang w:val="pl-PL"/>
        </w:rPr>
        <w:t xml:space="preserve">tkownikami), aby system mógł jeszcze lepiej zaspokoić potrzeby organizatorów EIO. </w:t>
      </w:r>
    </w:p>
    <w:p w14:paraId="44CEC940" w14:textId="557B3DA3" w:rsidR="005A4888" w:rsidRPr="00DC40BE" w:rsidRDefault="005A4888" w:rsidP="00E8781C">
      <w:pPr>
        <w:pStyle w:val="Akapitzlist"/>
        <w:numPr>
          <w:ilvl w:val="0"/>
          <w:numId w:val="24"/>
        </w:numPr>
        <w:spacing w:before="100" w:beforeAutospacing="1" w:after="100" w:afterAutospacing="1"/>
        <w:jc w:val="both"/>
        <w:rPr>
          <w:rFonts w:ascii="Times New Roman" w:hAnsi="Times New Roman" w:cs="Times New Roman"/>
          <w:noProof/>
          <w:sz w:val="24"/>
          <w:lang w:val="pl-PL"/>
        </w:rPr>
      </w:pPr>
      <w:r w:rsidRPr="00DC40BE">
        <w:rPr>
          <w:rFonts w:ascii="Times New Roman" w:hAnsi="Times New Roman"/>
          <w:noProof/>
          <w:sz w:val="24"/>
          <w:lang w:val="pl-PL"/>
        </w:rPr>
        <w:t xml:space="preserve">Komisja rozważy </w:t>
      </w:r>
      <w:r w:rsidRPr="00DC40BE">
        <w:rPr>
          <w:rFonts w:ascii="Times New Roman" w:hAnsi="Times New Roman"/>
          <w:b/>
          <w:noProof/>
          <w:sz w:val="24"/>
          <w:lang w:val="pl-PL"/>
        </w:rPr>
        <w:t>inne usprawnienia</w:t>
      </w:r>
      <w:r w:rsidRPr="00DC40BE">
        <w:rPr>
          <w:rFonts w:ascii="Times New Roman" w:hAnsi="Times New Roman"/>
          <w:noProof/>
          <w:sz w:val="24"/>
          <w:lang w:val="pl-PL"/>
        </w:rPr>
        <w:t xml:space="preserve">, takie jak dodanie </w:t>
      </w:r>
      <w:r w:rsidRPr="00DC40BE">
        <w:rPr>
          <w:rStyle w:val="normaltextrun"/>
          <w:rFonts w:ascii="Times New Roman" w:hAnsi="Times New Roman"/>
          <w:noProof/>
          <w:sz w:val="24"/>
          <w:lang w:val="pl-PL"/>
        </w:rPr>
        <w:t>dalszych możliwości dostosowania systemu do własnych potrzeb, aby stał się jeszcze bardziej przyjazny dla aktywistów</w:t>
      </w:r>
      <w:r w:rsidR="00DC40BE" w:rsidRPr="00DC40BE">
        <w:rPr>
          <w:rStyle w:val="normaltextrun"/>
          <w:rFonts w:ascii="Times New Roman" w:hAnsi="Times New Roman"/>
          <w:noProof/>
          <w:sz w:val="24"/>
          <w:lang w:val="pl-PL"/>
        </w:rPr>
        <w:t xml:space="preserve"> i bar</w:t>
      </w:r>
      <w:r w:rsidRPr="00DC40BE">
        <w:rPr>
          <w:rStyle w:val="normaltextrun"/>
          <w:rFonts w:ascii="Times New Roman" w:hAnsi="Times New Roman"/>
          <w:noProof/>
          <w:sz w:val="24"/>
          <w:lang w:val="pl-PL"/>
        </w:rPr>
        <w:t>dziej przystępny; dostarczanie organizatorom EIO danych statystycznych</w:t>
      </w:r>
      <w:r w:rsidR="00DC40BE" w:rsidRPr="00DC40BE">
        <w:rPr>
          <w:rStyle w:val="normaltextrun"/>
          <w:rFonts w:ascii="Times New Roman" w:hAnsi="Times New Roman"/>
          <w:noProof/>
          <w:sz w:val="24"/>
          <w:lang w:val="pl-PL"/>
        </w:rPr>
        <w:t xml:space="preserve"> w cza</w:t>
      </w:r>
      <w:r w:rsidRPr="00DC40BE">
        <w:rPr>
          <w:rStyle w:val="normaltextrun"/>
          <w:rFonts w:ascii="Times New Roman" w:hAnsi="Times New Roman"/>
          <w:noProof/>
          <w:sz w:val="24"/>
          <w:lang w:val="pl-PL"/>
        </w:rPr>
        <w:t>sie rzeczywistym, jak również udostępnienie im panelu umożliwiającego monitorowanie ich EIO; oraz określenie sposobów powiadamiania sygnatariuszy, że już podpisali daną EIO</w:t>
      </w:r>
      <w:r w:rsidR="00DC40BE" w:rsidRPr="00DC40BE">
        <w:rPr>
          <w:rStyle w:val="normaltextrun"/>
          <w:rFonts w:ascii="Times New Roman" w:hAnsi="Times New Roman"/>
          <w:noProof/>
          <w:sz w:val="24"/>
          <w:lang w:val="pl-PL"/>
        </w:rPr>
        <w:t xml:space="preserve"> i nie</w:t>
      </w:r>
      <w:r w:rsidRPr="00DC40BE">
        <w:rPr>
          <w:rStyle w:val="normaltextrun"/>
          <w:rFonts w:ascii="Times New Roman" w:hAnsi="Times New Roman"/>
          <w:noProof/>
          <w:sz w:val="24"/>
          <w:lang w:val="pl-PL"/>
        </w:rPr>
        <w:t xml:space="preserve"> muszą tego robić wielokrotnie. </w:t>
      </w:r>
    </w:p>
    <w:p w14:paraId="4A828A41" w14:textId="20FFF6AE" w:rsidR="00834B5E" w:rsidRPr="00DC40BE" w:rsidRDefault="00834B5E" w:rsidP="00E8781C">
      <w:pPr>
        <w:pStyle w:val="Akapitzlist"/>
        <w:numPr>
          <w:ilvl w:val="0"/>
          <w:numId w:val="24"/>
        </w:numPr>
        <w:spacing w:before="100" w:beforeAutospacing="1" w:after="100" w:afterAutospacing="1"/>
        <w:jc w:val="both"/>
        <w:rPr>
          <w:rFonts w:ascii="Times New Roman" w:hAnsi="Times New Roman" w:cs="Times New Roman"/>
          <w:noProof/>
          <w:sz w:val="24"/>
          <w:lang w:val="pl-PL"/>
        </w:rPr>
      </w:pPr>
      <w:r w:rsidRPr="00DC40BE">
        <w:rPr>
          <w:rStyle w:val="cf01"/>
          <w:rFonts w:ascii="Times New Roman" w:hAnsi="Times New Roman"/>
          <w:noProof/>
          <w:sz w:val="24"/>
          <w:lang w:val="pl-PL"/>
        </w:rPr>
        <w:t>Działania komunikacyjne będą również ukierunkowane na zwiększanie świadomości obywateli na temat przestrzegania wymogów</w:t>
      </w:r>
      <w:r w:rsidR="00DC40BE" w:rsidRPr="00DC40BE">
        <w:rPr>
          <w:rStyle w:val="cf01"/>
          <w:rFonts w:ascii="Times New Roman" w:hAnsi="Times New Roman"/>
          <w:noProof/>
          <w:sz w:val="24"/>
          <w:lang w:val="pl-PL"/>
        </w:rPr>
        <w:t xml:space="preserve"> w zak</w:t>
      </w:r>
      <w:r w:rsidRPr="00DC40BE">
        <w:rPr>
          <w:rStyle w:val="cf01"/>
          <w:rFonts w:ascii="Times New Roman" w:hAnsi="Times New Roman"/>
          <w:noProof/>
          <w:sz w:val="24"/>
          <w:lang w:val="pl-PL"/>
        </w:rPr>
        <w:t>resie ochrony danych podczas gromadzenia ich danych osobowych za pośrednictwem centralnego systemu zbierania deklaracji online.</w:t>
      </w:r>
    </w:p>
    <w:p w14:paraId="4C0B8646" w14:textId="710B26FA" w:rsidR="005A4888" w:rsidRPr="00DC40BE" w:rsidRDefault="005A4888" w:rsidP="00E8781C">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b/>
          <w:noProof/>
          <w:lang w:val="pl-PL"/>
        </w:rPr>
      </w:pPr>
      <w:r w:rsidRPr="00DC40BE">
        <w:rPr>
          <w:b/>
          <w:noProof/>
          <w:lang w:val="pl-PL"/>
        </w:rPr>
        <w:t>Działanie nr</w:t>
      </w:r>
      <w:r w:rsidR="00DC40BE" w:rsidRPr="00DC40BE">
        <w:rPr>
          <w:b/>
          <w:noProof/>
          <w:lang w:val="pl-PL"/>
        </w:rPr>
        <w:t> </w:t>
      </w:r>
      <w:r w:rsidRPr="00DC40BE">
        <w:rPr>
          <w:b/>
          <w:noProof/>
          <w:lang w:val="pl-PL"/>
        </w:rPr>
        <w:t>4: usprawnienie wdrożenia EIO na szczeblu krajowym i we współpracy ze społeczeństwem obywatelskim</w:t>
      </w:r>
    </w:p>
    <w:p w14:paraId="712B0617" w14:textId="61C1C59E" w:rsidR="005A4888" w:rsidRPr="00DC40BE" w:rsidRDefault="005A4888" w:rsidP="00E8781C">
      <w:pPr>
        <w:spacing w:before="100" w:beforeAutospacing="1" w:after="100" w:afterAutospacing="1" w:line="276" w:lineRule="auto"/>
        <w:rPr>
          <w:rStyle w:val="normaltextrun"/>
          <w:rFonts w:eastAsiaTheme="minorEastAsia"/>
          <w:noProof/>
          <w:lang w:val="pl-PL"/>
        </w:rPr>
      </w:pPr>
      <w:r w:rsidRPr="00DC40BE">
        <w:rPr>
          <w:rStyle w:val="normaltextrun"/>
          <w:noProof/>
          <w:bdr w:val="none" w:sz="0" w:space="0" w:color="auto" w:frame="1"/>
          <w:lang w:val="pl-PL"/>
        </w:rPr>
        <w:t>Komisja utworzyła grupę ekspertów ds. EIO jako specjalne forum służące do konsultacji</w:t>
      </w:r>
      <w:r w:rsidR="00DC40BE" w:rsidRPr="00DC40BE">
        <w:rPr>
          <w:rStyle w:val="normaltextrun"/>
          <w:noProof/>
          <w:bdr w:val="none" w:sz="0" w:space="0" w:color="auto" w:frame="1"/>
          <w:lang w:val="pl-PL"/>
        </w:rPr>
        <w:t xml:space="preserve"> i wym</w:t>
      </w:r>
      <w:r w:rsidRPr="00DC40BE">
        <w:rPr>
          <w:rStyle w:val="normaltextrun"/>
          <w:noProof/>
          <w:bdr w:val="none" w:sz="0" w:space="0" w:color="auto" w:frame="1"/>
          <w:lang w:val="pl-PL"/>
        </w:rPr>
        <w:t>iany praktyk</w:t>
      </w:r>
      <w:r w:rsidR="00DC40BE" w:rsidRPr="00DC40BE">
        <w:rPr>
          <w:rStyle w:val="normaltextrun"/>
          <w:noProof/>
          <w:bdr w:val="none" w:sz="0" w:space="0" w:color="auto" w:frame="1"/>
          <w:lang w:val="pl-PL"/>
        </w:rPr>
        <w:t xml:space="preserve"> z org</w:t>
      </w:r>
      <w:r w:rsidRPr="00DC40BE">
        <w:rPr>
          <w:rStyle w:val="normaltextrun"/>
          <w:noProof/>
          <w:bdr w:val="none" w:sz="0" w:space="0" w:color="auto" w:frame="1"/>
          <w:lang w:val="pl-PL"/>
        </w:rPr>
        <w:t>anami państw członkowskich</w:t>
      </w:r>
      <w:r w:rsidRPr="00DC40BE">
        <w:rPr>
          <w:noProof/>
          <w:lang w:val="pl-PL"/>
        </w:rPr>
        <w:t xml:space="preserve">. Ponadto Komisja </w:t>
      </w:r>
      <w:r w:rsidRPr="00DC40BE">
        <w:rPr>
          <w:rStyle w:val="normaltextrun"/>
          <w:noProof/>
          <w:lang w:val="pl-PL"/>
        </w:rPr>
        <w:t>regularnie</w:t>
      </w:r>
      <w:r w:rsidRPr="00DC40BE">
        <w:rPr>
          <w:rStyle w:val="normaltextrun"/>
          <w:noProof/>
          <w:bdr w:val="none" w:sz="0" w:space="0" w:color="auto" w:frame="1"/>
          <w:lang w:val="pl-PL"/>
        </w:rPr>
        <w:t xml:space="preserve"> organizuje konsultacje</w:t>
      </w:r>
      <w:r w:rsidR="00DC40BE" w:rsidRPr="00DC40BE">
        <w:rPr>
          <w:rStyle w:val="normaltextrun"/>
          <w:noProof/>
          <w:bdr w:val="none" w:sz="0" w:space="0" w:color="auto" w:frame="1"/>
          <w:lang w:val="pl-PL"/>
        </w:rPr>
        <w:t xml:space="preserve"> z zai</w:t>
      </w:r>
      <w:r w:rsidRPr="00DC40BE">
        <w:rPr>
          <w:rStyle w:val="normaltextrun"/>
          <w:noProof/>
          <w:bdr w:val="none" w:sz="0" w:space="0" w:color="auto" w:frame="1"/>
          <w:lang w:val="pl-PL"/>
        </w:rPr>
        <w:t>nteresowanymi stronami</w:t>
      </w:r>
      <w:r w:rsidR="00DC40BE" w:rsidRPr="00DC40BE">
        <w:rPr>
          <w:rStyle w:val="normaltextrun"/>
          <w:noProof/>
          <w:bdr w:val="none" w:sz="0" w:space="0" w:color="auto" w:frame="1"/>
          <w:lang w:val="pl-PL"/>
        </w:rPr>
        <w:t xml:space="preserve"> i kie</w:t>
      </w:r>
      <w:r w:rsidRPr="00DC40BE">
        <w:rPr>
          <w:rStyle w:val="normaltextrun"/>
          <w:noProof/>
          <w:bdr w:val="none" w:sz="0" w:space="0" w:color="auto" w:frame="1"/>
          <w:lang w:val="pl-PL"/>
        </w:rPr>
        <w:t>ruje do nich ankiety</w:t>
      </w:r>
      <w:r w:rsidR="00DC40BE" w:rsidRPr="00DC40BE">
        <w:rPr>
          <w:rStyle w:val="normaltextrun"/>
          <w:noProof/>
          <w:bdr w:val="none" w:sz="0" w:space="0" w:color="auto" w:frame="1"/>
          <w:lang w:val="pl-PL"/>
        </w:rPr>
        <w:t xml:space="preserve"> w cel</w:t>
      </w:r>
      <w:r w:rsidRPr="00DC40BE">
        <w:rPr>
          <w:rStyle w:val="normaltextrun"/>
          <w:noProof/>
          <w:bdr w:val="none" w:sz="0" w:space="0" w:color="auto" w:frame="1"/>
          <w:lang w:val="pl-PL"/>
        </w:rPr>
        <w:t>u zebrania opinii</w:t>
      </w:r>
      <w:r w:rsidR="00DC40BE" w:rsidRPr="00DC40BE">
        <w:rPr>
          <w:rStyle w:val="normaltextrun"/>
          <w:noProof/>
          <w:bdr w:val="none" w:sz="0" w:space="0" w:color="auto" w:frame="1"/>
          <w:lang w:val="pl-PL"/>
        </w:rPr>
        <w:t xml:space="preserve"> i uwa</w:t>
      </w:r>
      <w:r w:rsidRPr="00DC40BE">
        <w:rPr>
          <w:rStyle w:val="normaltextrun"/>
          <w:noProof/>
          <w:bdr w:val="none" w:sz="0" w:space="0" w:color="auto" w:frame="1"/>
          <w:lang w:val="pl-PL"/>
        </w:rPr>
        <w:t>g</w:t>
      </w:r>
      <w:r w:rsidR="00DC40BE" w:rsidRPr="00DC40BE">
        <w:rPr>
          <w:rStyle w:val="normaltextrun"/>
          <w:noProof/>
          <w:bdr w:val="none" w:sz="0" w:space="0" w:color="auto" w:frame="1"/>
          <w:lang w:val="pl-PL"/>
        </w:rPr>
        <w:t xml:space="preserve"> z myś</w:t>
      </w:r>
      <w:r w:rsidRPr="00DC40BE">
        <w:rPr>
          <w:rStyle w:val="normaltextrun"/>
          <w:noProof/>
          <w:bdr w:val="none" w:sz="0" w:space="0" w:color="auto" w:frame="1"/>
          <w:lang w:val="pl-PL"/>
        </w:rPr>
        <w:t>lą</w:t>
      </w:r>
      <w:r w:rsidR="00DC40BE" w:rsidRPr="00DC40BE">
        <w:rPr>
          <w:rStyle w:val="normaltextrun"/>
          <w:noProof/>
          <w:bdr w:val="none" w:sz="0" w:space="0" w:color="auto" w:frame="1"/>
          <w:lang w:val="pl-PL"/>
        </w:rPr>
        <w:t xml:space="preserve"> o dal</w:t>
      </w:r>
      <w:r w:rsidRPr="00DC40BE">
        <w:rPr>
          <w:rStyle w:val="normaltextrun"/>
          <w:noProof/>
          <w:bdr w:val="none" w:sz="0" w:space="0" w:color="auto" w:frame="1"/>
          <w:lang w:val="pl-PL"/>
        </w:rPr>
        <w:t>szych praktycznych usprawnieniach we wdrażaniu EIO. Komisja wprowadzi dwa środki, aby jeszcze bardziej udoskonalić wdrożenie EIO na szczeblu krajowym</w:t>
      </w:r>
      <w:r w:rsidR="00DC40BE" w:rsidRPr="00DC40BE">
        <w:rPr>
          <w:rStyle w:val="normaltextrun"/>
          <w:noProof/>
          <w:bdr w:val="none" w:sz="0" w:space="0" w:color="auto" w:frame="1"/>
          <w:lang w:val="pl-PL"/>
        </w:rPr>
        <w:t xml:space="preserve"> i pop</w:t>
      </w:r>
      <w:r w:rsidRPr="00DC40BE">
        <w:rPr>
          <w:rStyle w:val="normaltextrun"/>
          <w:noProof/>
          <w:bdr w:val="none" w:sz="0" w:space="0" w:color="auto" w:frame="1"/>
          <w:lang w:val="pl-PL"/>
        </w:rPr>
        <w:t>rawić współpracę ze społeczeństwem obywatelskim.</w:t>
      </w:r>
    </w:p>
    <w:p w14:paraId="1A959851" w14:textId="196565E0" w:rsidR="005A4888" w:rsidRPr="00DC40BE" w:rsidRDefault="005A4888" w:rsidP="00E8781C">
      <w:pPr>
        <w:pStyle w:val="Akapitzlist"/>
        <w:numPr>
          <w:ilvl w:val="0"/>
          <w:numId w:val="25"/>
        </w:numPr>
        <w:spacing w:before="100" w:beforeAutospacing="1" w:after="100" w:afterAutospacing="1"/>
        <w:ind w:left="714" w:hanging="357"/>
        <w:jc w:val="both"/>
        <w:rPr>
          <w:rFonts w:ascii="Times New Roman" w:eastAsiaTheme="minorEastAsia" w:hAnsi="Times New Roman" w:cs="Times New Roman"/>
          <w:noProof/>
          <w:sz w:val="24"/>
          <w:lang w:val="pl-PL"/>
        </w:rPr>
      </w:pPr>
      <w:r w:rsidRPr="00DC40BE">
        <w:rPr>
          <w:rStyle w:val="normaltextrun"/>
          <w:rFonts w:ascii="Times New Roman" w:hAnsi="Times New Roman"/>
          <w:b/>
          <w:noProof/>
          <w:sz w:val="24"/>
          <w:bdr w:val="none" w:sz="0" w:space="0" w:color="auto" w:frame="1"/>
          <w:lang w:val="pl-PL"/>
        </w:rPr>
        <w:t>W kontekście grupy ekspertów ds. EIO</w:t>
      </w:r>
      <w:r w:rsidRPr="00DC40BE">
        <w:rPr>
          <w:rStyle w:val="normaltextrun"/>
          <w:rFonts w:ascii="Times New Roman" w:hAnsi="Times New Roman"/>
          <w:noProof/>
          <w:sz w:val="24"/>
          <w:bdr w:val="none" w:sz="0" w:space="0" w:color="auto" w:frame="1"/>
          <w:lang w:val="pl-PL"/>
        </w:rPr>
        <w:t xml:space="preserve"> Komisja będzie nadal </w:t>
      </w:r>
      <w:r w:rsidRPr="00DC40BE">
        <w:rPr>
          <w:rStyle w:val="normaltextrun"/>
          <w:rFonts w:ascii="Times New Roman" w:hAnsi="Times New Roman"/>
          <w:b/>
          <w:noProof/>
          <w:sz w:val="24"/>
          <w:bdr w:val="none" w:sz="0" w:space="0" w:color="auto" w:frame="1"/>
          <w:lang w:val="pl-PL"/>
        </w:rPr>
        <w:t>wspierać państwa członkowskie</w:t>
      </w:r>
      <w:r w:rsidR="00DC40BE" w:rsidRPr="00DC40BE">
        <w:rPr>
          <w:rStyle w:val="normaltextrun"/>
          <w:rFonts w:ascii="Times New Roman" w:hAnsi="Times New Roman"/>
          <w:b/>
          <w:noProof/>
          <w:sz w:val="24"/>
          <w:bdr w:val="none" w:sz="0" w:space="0" w:color="auto" w:frame="1"/>
          <w:lang w:val="pl-PL"/>
        </w:rPr>
        <w:t xml:space="preserve"> w rea</w:t>
      </w:r>
      <w:r w:rsidRPr="00DC40BE">
        <w:rPr>
          <w:rStyle w:val="normaltextrun"/>
          <w:rFonts w:ascii="Times New Roman" w:hAnsi="Times New Roman"/>
          <w:b/>
          <w:noProof/>
          <w:sz w:val="24"/>
          <w:bdr w:val="none" w:sz="0" w:space="0" w:color="auto" w:frame="1"/>
          <w:lang w:val="pl-PL"/>
        </w:rPr>
        <w:t>lizacji ich zobowiązań</w:t>
      </w:r>
      <w:r w:rsidR="00DC40BE" w:rsidRPr="00DC40BE">
        <w:rPr>
          <w:rStyle w:val="normaltextrun"/>
          <w:rFonts w:ascii="Times New Roman" w:hAnsi="Times New Roman"/>
          <w:b/>
          <w:noProof/>
          <w:sz w:val="24"/>
          <w:bdr w:val="none" w:sz="0" w:space="0" w:color="auto" w:frame="1"/>
          <w:lang w:val="pl-PL"/>
        </w:rPr>
        <w:t xml:space="preserve"> w ram</w:t>
      </w:r>
      <w:r w:rsidRPr="00DC40BE">
        <w:rPr>
          <w:rStyle w:val="normaltextrun"/>
          <w:rFonts w:ascii="Times New Roman" w:hAnsi="Times New Roman"/>
          <w:b/>
          <w:noProof/>
          <w:sz w:val="24"/>
          <w:bdr w:val="none" w:sz="0" w:space="0" w:color="auto" w:frame="1"/>
          <w:lang w:val="pl-PL"/>
        </w:rPr>
        <w:t>ach procedury EIO</w:t>
      </w:r>
      <w:r w:rsidRPr="00DC40BE">
        <w:rPr>
          <w:rFonts w:ascii="Times New Roman" w:hAnsi="Times New Roman"/>
          <w:noProof/>
          <w:sz w:val="24"/>
          <w:lang w:val="pl-PL"/>
        </w:rPr>
        <w:t>, koncentrując się na przykład na weryfikacji deklaracji poparcia, obniżeniu minimalnego wieku wymaganego do poparcia EIO, integracji krajowych systemów identyfikacji elektronicznej</w:t>
      </w:r>
      <w:r w:rsidR="00DC40BE" w:rsidRPr="00DC40BE">
        <w:rPr>
          <w:rFonts w:ascii="Times New Roman" w:hAnsi="Times New Roman"/>
          <w:noProof/>
          <w:sz w:val="24"/>
          <w:lang w:val="pl-PL"/>
        </w:rPr>
        <w:t xml:space="preserve"> z cen</w:t>
      </w:r>
      <w:r w:rsidRPr="00DC40BE">
        <w:rPr>
          <w:rFonts w:ascii="Times New Roman" w:hAnsi="Times New Roman"/>
          <w:noProof/>
          <w:sz w:val="24"/>
          <w:lang w:val="pl-PL"/>
        </w:rPr>
        <w:t>tralnym systemem zbierania deklaracji online, usprawnieniu usługi wymiany plików lub dostarczaniu informacji</w:t>
      </w:r>
      <w:r w:rsidR="00DC40BE" w:rsidRPr="00DC40BE">
        <w:rPr>
          <w:rFonts w:ascii="Times New Roman" w:hAnsi="Times New Roman"/>
          <w:noProof/>
          <w:sz w:val="24"/>
          <w:lang w:val="pl-PL"/>
        </w:rPr>
        <w:t xml:space="preserve"> i pom</w:t>
      </w:r>
      <w:r w:rsidRPr="00DC40BE">
        <w:rPr>
          <w:rFonts w:ascii="Times New Roman" w:hAnsi="Times New Roman"/>
          <w:noProof/>
          <w:sz w:val="24"/>
          <w:lang w:val="pl-PL"/>
        </w:rPr>
        <w:t>ocy organizatorom EIO.</w:t>
      </w:r>
    </w:p>
    <w:p w14:paraId="78012DEB" w14:textId="04E16F65" w:rsidR="005A4888" w:rsidRPr="00DC40BE" w:rsidRDefault="005A4888" w:rsidP="00E8781C">
      <w:pPr>
        <w:pStyle w:val="Akapitzlist"/>
        <w:numPr>
          <w:ilvl w:val="0"/>
          <w:numId w:val="25"/>
        </w:numPr>
        <w:spacing w:before="100" w:beforeAutospacing="1" w:after="100" w:afterAutospacing="1"/>
        <w:jc w:val="both"/>
        <w:rPr>
          <w:rStyle w:val="normaltextrun"/>
          <w:rFonts w:ascii="Times New Roman" w:hAnsi="Times New Roman"/>
          <w:noProof/>
          <w:sz w:val="24"/>
          <w:bdr w:val="none" w:sz="0" w:space="0" w:color="auto" w:frame="1"/>
          <w:lang w:val="pl-PL"/>
        </w:rPr>
      </w:pPr>
      <w:r w:rsidRPr="00DC40BE">
        <w:rPr>
          <w:rStyle w:val="normaltextrun"/>
          <w:rFonts w:ascii="Times New Roman" w:hAnsi="Times New Roman"/>
          <w:noProof/>
          <w:sz w:val="24"/>
          <w:bdr w:val="none" w:sz="0" w:space="0" w:color="auto" w:frame="1"/>
          <w:lang w:val="pl-PL"/>
        </w:rPr>
        <w:t>Komisja będzie</w:t>
      </w:r>
      <w:r w:rsidR="00DC40BE" w:rsidRPr="00DC40BE">
        <w:rPr>
          <w:rStyle w:val="normaltextrun"/>
          <w:rFonts w:ascii="Times New Roman" w:hAnsi="Times New Roman"/>
          <w:noProof/>
          <w:sz w:val="24"/>
          <w:bdr w:val="none" w:sz="0" w:space="0" w:color="auto" w:frame="1"/>
          <w:lang w:val="pl-PL"/>
        </w:rPr>
        <w:t xml:space="preserve"> </w:t>
      </w:r>
      <w:r w:rsidR="00DC40BE" w:rsidRPr="00DC40BE">
        <w:rPr>
          <w:rStyle w:val="normaltextrun"/>
          <w:rFonts w:ascii="Times New Roman" w:hAnsi="Times New Roman"/>
          <w:b/>
          <w:noProof/>
          <w:sz w:val="24"/>
          <w:bdr w:val="none" w:sz="0" w:space="0" w:color="auto" w:frame="1"/>
          <w:lang w:val="pl-PL"/>
        </w:rPr>
        <w:t>w</w:t>
      </w:r>
      <w:r w:rsidR="00DC40BE" w:rsidRPr="00DC40BE">
        <w:rPr>
          <w:rStyle w:val="normaltextrun"/>
          <w:rFonts w:ascii="Times New Roman" w:hAnsi="Times New Roman"/>
          <w:noProof/>
          <w:sz w:val="24"/>
          <w:bdr w:val="none" w:sz="0" w:space="0" w:color="auto" w:frame="1"/>
          <w:lang w:val="pl-PL"/>
        </w:rPr>
        <w:t> </w:t>
      </w:r>
      <w:r w:rsidR="00DC40BE" w:rsidRPr="00DC40BE">
        <w:rPr>
          <w:rStyle w:val="normaltextrun"/>
          <w:rFonts w:ascii="Times New Roman" w:hAnsi="Times New Roman"/>
          <w:b/>
          <w:noProof/>
          <w:sz w:val="24"/>
          <w:bdr w:val="none" w:sz="0" w:space="0" w:color="auto" w:frame="1"/>
          <w:lang w:val="pl-PL"/>
        </w:rPr>
        <w:t>jes</w:t>
      </w:r>
      <w:r w:rsidRPr="00DC40BE">
        <w:rPr>
          <w:rStyle w:val="normaltextrun"/>
          <w:rFonts w:ascii="Times New Roman" w:hAnsi="Times New Roman"/>
          <w:b/>
          <w:noProof/>
          <w:sz w:val="24"/>
          <w:bdr w:val="none" w:sz="0" w:space="0" w:color="auto" w:frame="1"/>
          <w:lang w:val="pl-PL"/>
        </w:rPr>
        <w:t>zcze większym stopniu angażować zainteresowane strony (w tym organizacje społeczeństwa obywatelskiego)</w:t>
      </w:r>
      <w:r w:rsidR="00DC40BE" w:rsidRPr="00DC40BE">
        <w:rPr>
          <w:rStyle w:val="normaltextrun"/>
          <w:rFonts w:ascii="Times New Roman" w:hAnsi="Times New Roman"/>
          <w:noProof/>
          <w:sz w:val="24"/>
          <w:lang w:val="pl-PL"/>
        </w:rPr>
        <w:t xml:space="preserve"> w syt</w:t>
      </w:r>
      <w:r w:rsidRPr="00DC40BE">
        <w:rPr>
          <w:rStyle w:val="normaltextrun"/>
          <w:rFonts w:ascii="Times New Roman" w:hAnsi="Times New Roman"/>
          <w:noProof/>
          <w:sz w:val="24"/>
          <w:lang w:val="pl-PL"/>
        </w:rPr>
        <w:t>uacjach,</w:t>
      </w:r>
      <w:r w:rsidR="00DC40BE" w:rsidRPr="00DC40BE">
        <w:rPr>
          <w:rStyle w:val="normaltextrun"/>
          <w:rFonts w:ascii="Times New Roman" w:hAnsi="Times New Roman"/>
          <w:noProof/>
          <w:sz w:val="24"/>
          <w:lang w:val="pl-PL"/>
        </w:rPr>
        <w:t xml:space="preserve"> w któ</w:t>
      </w:r>
      <w:r w:rsidRPr="00DC40BE">
        <w:rPr>
          <w:rStyle w:val="normaltextrun"/>
          <w:rFonts w:ascii="Times New Roman" w:hAnsi="Times New Roman"/>
          <w:noProof/>
          <w:sz w:val="24"/>
          <w:lang w:val="pl-PL"/>
        </w:rPr>
        <w:t>rych posiadana przez nie wiedza specjalistyczna okaże się przydatna</w:t>
      </w:r>
      <w:r w:rsidR="00DC40BE" w:rsidRPr="00DC40BE">
        <w:rPr>
          <w:rStyle w:val="normaltextrun"/>
          <w:rFonts w:ascii="Times New Roman" w:hAnsi="Times New Roman"/>
          <w:noProof/>
          <w:sz w:val="24"/>
          <w:lang w:val="pl-PL"/>
        </w:rPr>
        <w:t xml:space="preserve"> w odn</w:t>
      </w:r>
      <w:r w:rsidRPr="00DC40BE">
        <w:rPr>
          <w:rStyle w:val="normaltextrun"/>
          <w:rFonts w:ascii="Times New Roman" w:hAnsi="Times New Roman"/>
          <w:noProof/>
          <w:sz w:val="24"/>
          <w:lang w:val="pl-PL"/>
        </w:rPr>
        <w:t>iesieniu do konkretnych aspektów wdrażania rozporządzenia</w:t>
      </w:r>
      <w:r w:rsidR="00DC40BE" w:rsidRPr="00DC40BE">
        <w:rPr>
          <w:rStyle w:val="normaltextrun"/>
          <w:rFonts w:ascii="Times New Roman" w:hAnsi="Times New Roman"/>
          <w:noProof/>
          <w:sz w:val="24"/>
          <w:lang w:val="pl-PL"/>
        </w:rPr>
        <w:t xml:space="preserve"> w spr</w:t>
      </w:r>
      <w:r w:rsidRPr="00DC40BE">
        <w:rPr>
          <w:rStyle w:val="normaltextrun"/>
          <w:rFonts w:ascii="Times New Roman" w:hAnsi="Times New Roman"/>
          <w:noProof/>
          <w:sz w:val="24"/>
          <w:lang w:val="pl-PL"/>
        </w:rPr>
        <w:t xml:space="preserve">awie EIO, takich jak: ulepszenia centralnego </w:t>
      </w:r>
      <w:r w:rsidRPr="00DC40BE">
        <w:rPr>
          <w:rStyle w:val="normaltextrun"/>
          <w:rFonts w:ascii="Times New Roman" w:hAnsi="Times New Roman"/>
          <w:noProof/>
          <w:sz w:val="24"/>
          <w:lang w:val="pl-PL"/>
        </w:rPr>
        <w:lastRenderedPageBreak/>
        <w:t>systemu zbierania deklaracji online; określanie dalszych potrzeb organizatorów EIO</w:t>
      </w:r>
      <w:r w:rsidR="00DC40BE" w:rsidRPr="00DC40BE">
        <w:rPr>
          <w:rStyle w:val="normaltextrun"/>
          <w:rFonts w:ascii="Times New Roman" w:hAnsi="Times New Roman"/>
          <w:noProof/>
          <w:sz w:val="24"/>
          <w:lang w:val="pl-PL"/>
        </w:rPr>
        <w:t xml:space="preserve"> w zak</w:t>
      </w:r>
      <w:r w:rsidRPr="00DC40BE">
        <w:rPr>
          <w:rStyle w:val="normaltextrun"/>
          <w:rFonts w:ascii="Times New Roman" w:hAnsi="Times New Roman"/>
          <w:noProof/>
          <w:sz w:val="24"/>
          <w:lang w:val="pl-PL"/>
        </w:rPr>
        <w:t>resie szkoleń</w:t>
      </w:r>
      <w:r w:rsidR="00DC40BE" w:rsidRPr="00DC40BE">
        <w:rPr>
          <w:rStyle w:val="normaltextrun"/>
          <w:rFonts w:ascii="Times New Roman" w:hAnsi="Times New Roman"/>
          <w:noProof/>
          <w:sz w:val="24"/>
          <w:lang w:val="pl-PL"/>
        </w:rPr>
        <w:t xml:space="preserve"> i dor</w:t>
      </w:r>
      <w:r w:rsidRPr="00DC40BE">
        <w:rPr>
          <w:rStyle w:val="normaltextrun"/>
          <w:rFonts w:ascii="Times New Roman" w:hAnsi="Times New Roman"/>
          <w:noProof/>
          <w:sz w:val="24"/>
          <w:lang w:val="pl-PL"/>
        </w:rPr>
        <w:t>adztwa; oraz zwiększanie świadomości na temat EIO</w:t>
      </w:r>
      <w:r w:rsidR="00DC40BE" w:rsidRPr="00DC40BE">
        <w:rPr>
          <w:rStyle w:val="normaltextrun"/>
          <w:rFonts w:ascii="Times New Roman" w:hAnsi="Times New Roman"/>
          <w:noProof/>
          <w:sz w:val="24"/>
          <w:lang w:val="pl-PL"/>
        </w:rPr>
        <w:t xml:space="preserve"> i wid</w:t>
      </w:r>
      <w:r w:rsidRPr="00DC40BE">
        <w:rPr>
          <w:rStyle w:val="normaltextrun"/>
          <w:rFonts w:ascii="Times New Roman" w:hAnsi="Times New Roman"/>
          <w:noProof/>
          <w:sz w:val="24"/>
          <w:lang w:val="pl-PL"/>
        </w:rPr>
        <w:t>oczności tych inicjatyw (na przykład poprzez powiązanie strony internetowej EIO</w:t>
      </w:r>
      <w:r w:rsidR="00DC40BE" w:rsidRPr="00DC40BE">
        <w:rPr>
          <w:rStyle w:val="normaltextrun"/>
          <w:rFonts w:ascii="Times New Roman" w:hAnsi="Times New Roman"/>
          <w:noProof/>
          <w:sz w:val="24"/>
          <w:lang w:val="pl-PL"/>
        </w:rPr>
        <w:t xml:space="preserve"> z odp</w:t>
      </w:r>
      <w:r w:rsidRPr="00DC40BE">
        <w:rPr>
          <w:rStyle w:val="normaltextrun"/>
          <w:rFonts w:ascii="Times New Roman" w:hAnsi="Times New Roman"/>
          <w:noProof/>
          <w:sz w:val="24"/>
          <w:lang w:val="pl-PL"/>
        </w:rPr>
        <w:t>owiednimi platformami internetowymi poświęconymi zaangażowaniu obywateli na szczeblu krajowym).</w:t>
      </w:r>
    </w:p>
    <w:p w14:paraId="604B900C" w14:textId="5C780320" w:rsidR="005A4888" w:rsidRPr="00DC40BE" w:rsidRDefault="005A4888" w:rsidP="00E8781C">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b/>
          <w:noProof/>
          <w:lang w:val="pl-PL"/>
        </w:rPr>
      </w:pPr>
      <w:r w:rsidRPr="00DC40BE">
        <w:rPr>
          <w:b/>
          <w:noProof/>
          <w:lang w:val="pl-PL"/>
        </w:rPr>
        <w:t>Działanie nr</w:t>
      </w:r>
      <w:r w:rsidR="00DC40BE" w:rsidRPr="00DC40BE">
        <w:rPr>
          <w:b/>
          <w:noProof/>
          <w:lang w:val="pl-PL"/>
        </w:rPr>
        <w:t> </w:t>
      </w:r>
      <w:r w:rsidRPr="00DC40BE">
        <w:rPr>
          <w:b/>
          <w:noProof/>
          <w:lang w:val="pl-PL"/>
        </w:rPr>
        <w:t>5: bardziej widoczne działania następcze</w:t>
      </w:r>
      <w:r w:rsidR="00DC40BE" w:rsidRPr="00DC40BE">
        <w:rPr>
          <w:b/>
          <w:noProof/>
          <w:lang w:val="pl-PL"/>
        </w:rPr>
        <w:t xml:space="preserve"> w zwi</w:t>
      </w:r>
      <w:r w:rsidRPr="00DC40BE">
        <w:rPr>
          <w:b/>
          <w:noProof/>
          <w:lang w:val="pl-PL"/>
        </w:rPr>
        <w:t>ązku z EIO</w:t>
      </w:r>
    </w:p>
    <w:p w14:paraId="4DE209FB" w14:textId="33D1508D" w:rsidR="005A4888" w:rsidRPr="00DC40BE" w:rsidRDefault="00807C5B" w:rsidP="00E8781C">
      <w:pPr>
        <w:spacing w:before="100" w:beforeAutospacing="1" w:after="100" w:afterAutospacing="1" w:line="276" w:lineRule="auto"/>
        <w:rPr>
          <w:noProof/>
          <w:lang w:val="pl-PL"/>
        </w:rPr>
      </w:pPr>
      <w:r w:rsidRPr="00DC40BE">
        <w:rPr>
          <w:noProof/>
          <w:lang w:val="pl-PL"/>
        </w:rPr>
        <w:t>Zgodnie</w:t>
      </w:r>
      <w:r w:rsidR="00DC40BE" w:rsidRPr="00DC40BE">
        <w:rPr>
          <w:noProof/>
          <w:lang w:val="pl-PL"/>
        </w:rPr>
        <w:t xml:space="preserve"> z art</w:t>
      </w:r>
      <w:r w:rsidRPr="00DC40BE">
        <w:rPr>
          <w:noProof/>
          <w:lang w:val="pl-PL"/>
        </w:rPr>
        <w:t>.</w:t>
      </w:r>
      <w:r w:rsidR="00DC40BE" w:rsidRPr="00DC40BE">
        <w:rPr>
          <w:noProof/>
          <w:lang w:val="pl-PL"/>
        </w:rPr>
        <w:t> </w:t>
      </w:r>
      <w:r w:rsidRPr="00DC40BE">
        <w:rPr>
          <w:noProof/>
          <w:lang w:val="pl-PL"/>
        </w:rPr>
        <w:t>15 ust.</w:t>
      </w:r>
      <w:r w:rsidR="00DC40BE" w:rsidRPr="00DC40BE">
        <w:rPr>
          <w:noProof/>
          <w:lang w:val="pl-PL"/>
        </w:rPr>
        <w:t> </w:t>
      </w:r>
      <w:r w:rsidRPr="00DC40BE">
        <w:rPr>
          <w:noProof/>
          <w:lang w:val="pl-PL"/>
        </w:rPr>
        <w:t>1 rozporządzenia</w:t>
      </w:r>
      <w:r w:rsidR="00DC40BE" w:rsidRPr="00DC40BE">
        <w:rPr>
          <w:noProof/>
          <w:lang w:val="pl-PL"/>
        </w:rPr>
        <w:t xml:space="preserve"> w spr</w:t>
      </w:r>
      <w:r w:rsidRPr="00DC40BE">
        <w:rPr>
          <w:noProof/>
          <w:lang w:val="pl-PL"/>
        </w:rPr>
        <w:t>awie EIO Komisja przyjmuje organizatorów udanych EIO, aby umożliwić im szczegółowe wyjaśnienie ich celów. Zgodnie</w:t>
      </w:r>
      <w:r w:rsidR="00DC40BE" w:rsidRPr="00DC40BE">
        <w:rPr>
          <w:noProof/>
          <w:lang w:val="pl-PL"/>
        </w:rPr>
        <w:t xml:space="preserve"> z art</w:t>
      </w:r>
      <w:r w:rsidRPr="00DC40BE">
        <w:rPr>
          <w:noProof/>
          <w:lang w:val="pl-PL"/>
        </w:rPr>
        <w:t>.</w:t>
      </w:r>
      <w:r w:rsidR="00DC40BE" w:rsidRPr="00DC40BE">
        <w:rPr>
          <w:noProof/>
          <w:lang w:val="pl-PL"/>
        </w:rPr>
        <w:t> </w:t>
      </w:r>
      <w:r w:rsidRPr="00DC40BE">
        <w:rPr>
          <w:noProof/>
          <w:lang w:val="pl-PL"/>
        </w:rPr>
        <w:t>15 ust.</w:t>
      </w:r>
      <w:r w:rsidR="00DC40BE" w:rsidRPr="00DC40BE">
        <w:rPr>
          <w:noProof/>
          <w:lang w:val="pl-PL"/>
        </w:rPr>
        <w:t> </w:t>
      </w:r>
      <w:r w:rsidRPr="00DC40BE">
        <w:rPr>
          <w:noProof/>
          <w:lang w:val="pl-PL"/>
        </w:rPr>
        <w:t>2 Komisja szczegółowo uzasadnia swoje odpowiedzi</w:t>
      </w:r>
      <w:r w:rsidR="00DC40BE" w:rsidRPr="00DC40BE">
        <w:rPr>
          <w:noProof/>
          <w:lang w:val="pl-PL"/>
        </w:rPr>
        <w:t xml:space="preserve"> w for</w:t>
      </w:r>
      <w:r w:rsidRPr="00DC40BE">
        <w:rPr>
          <w:noProof/>
          <w:lang w:val="pl-PL"/>
        </w:rPr>
        <w:t>mie komunikatów Komisji</w:t>
      </w:r>
      <w:r w:rsidR="00DC40BE" w:rsidRPr="00DC40BE">
        <w:rPr>
          <w:noProof/>
          <w:lang w:val="pl-PL"/>
        </w:rPr>
        <w:t>. W prz</w:t>
      </w:r>
      <w:r w:rsidRPr="00DC40BE">
        <w:rPr>
          <w:noProof/>
          <w:lang w:val="pl-PL"/>
        </w:rPr>
        <w:t>ypadku trzech ostatnich udanych EIO członek Komisji odpowiedzialny za dany obszar polityki spotkał się</w:t>
      </w:r>
      <w:r w:rsidR="00DC40BE" w:rsidRPr="00DC40BE">
        <w:rPr>
          <w:noProof/>
          <w:lang w:val="pl-PL"/>
        </w:rPr>
        <w:t xml:space="preserve"> z org</w:t>
      </w:r>
      <w:r w:rsidRPr="00DC40BE">
        <w:rPr>
          <w:noProof/>
          <w:lang w:val="pl-PL"/>
        </w:rPr>
        <w:t xml:space="preserve">anizatorami udanych EIO również po opublikowaniu odpowiedzi Komisji. </w:t>
      </w:r>
    </w:p>
    <w:p w14:paraId="73A5B20E" w14:textId="57866429" w:rsidR="005A4888" w:rsidRPr="00DC40BE" w:rsidRDefault="005A4888" w:rsidP="00E8781C">
      <w:pPr>
        <w:pStyle w:val="Akapitzlist"/>
        <w:numPr>
          <w:ilvl w:val="0"/>
          <w:numId w:val="35"/>
        </w:numPr>
        <w:spacing w:before="100" w:beforeAutospacing="1" w:after="100" w:afterAutospacing="1"/>
        <w:jc w:val="both"/>
        <w:rPr>
          <w:rFonts w:ascii="Times New Roman" w:hAnsi="Times New Roman" w:cs="Times New Roman"/>
          <w:noProof/>
          <w:sz w:val="24"/>
          <w:lang w:val="pl-PL"/>
        </w:rPr>
      </w:pPr>
      <w:r w:rsidRPr="00DC40BE">
        <w:rPr>
          <w:rFonts w:ascii="Times New Roman" w:hAnsi="Times New Roman"/>
          <w:noProof/>
          <w:sz w:val="24"/>
          <w:lang w:val="pl-PL"/>
        </w:rPr>
        <w:t xml:space="preserve">Aby </w:t>
      </w:r>
      <w:r w:rsidRPr="00DC40BE">
        <w:rPr>
          <w:rFonts w:ascii="Times New Roman" w:hAnsi="Times New Roman"/>
          <w:b/>
          <w:noProof/>
          <w:sz w:val="24"/>
          <w:lang w:val="pl-PL"/>
        </w:rPr>
        <w:t>lepiej informować organizatorów EIO</w:t>
      </w:r>
      <w:r w:rsidR="00DC40BE" w:rsidRPr="00DC40BE">
        <w:rPr>
          <w:rFonts w:ascii="Times New Roman" w:hAnsi="Times New Roman"/>
          <w:b/>
          <w:noProof/>
          <w:sz w:val="24"/>
          <w:lang w:val="pl-PL"/>
        </w:rPr>
        <w:t xml:space="preserve"> i oby</w:t>
      </w:r>
      <w:r w:rsidRPr="00DC40BE">
        <w:rPr>
          <w:rFonts w:ascii="Times New Roman" w:hAnsi="Times New Roman"/>
          <w:b/>
          <w:noProof/>
          <w:sz w:val="24"/>
          <w:lang w:val="pl-PL"/>
        </w:rPr>
        <w:t>wateli</w:t>
      </w:r>
      <w:r w:rsidR="00DC40BE" w:rsidRPr="00DC40BE">
        <w:rPr>
          <w:rFonts w:ascii="Times New Roman" w:hAnsi="Times New Roman"/>
          <w:b/>
          <w:noProof/>
          <w:sz w:val="24"/>
          <w:lang w:val="pl-PL"/>
        </w:rPr>
        <w:t xml:space="preserve"> o dzi</w:t>
      </w:r>
      <w:r w:rsidRPr="00DC40BE">
        <w:rPr>
          <w:rFonts w:ascii="Times New Roman" w:hAnsi="Times New Roman"/>
          <w:b/>
          <w:noProof/>
          <w:sz w:val="24"/>
          <w:lang w:val="pl-PL"/>
        </w:rPr>
        <w:t>ałaniach następczych</w:t>
      </w:r>
      <w:r w:rsidRPr="00DC40BE">
        <w:rPr>
          <w:rFonts w:ascii="Times New Roman" w:hAnsi="Times New Roman"/>
          <w:noProof/>
          <w:sz w:val="24"/>
          <w:lang w:val="pl-PL"/>
        </w:rPr>
        <w:t>, jakie Komisja zamierza podjąć</w:t>
      </w:r>
      <w:r w:rsidR="00DC40BE" w:rsidRPr="00DC40BE">
        <w:rPr>
          <w:rFonts w:ascii="Times New Roman" w:hAnsi="Times New Roman"/>
          <w:noProof/>
          <w:sz w:val="24"/>
          <w:lang w:val="pl-PL"/>
        </w:rPr>
        <w:t xml:space="preserve"> w odp</w:t>
      </w:r>
      <w:r w:rsidRPr="00DC40BE">
        <w:rPr>
          <w:rFonts w:ascii="Times New Roman" w:hAnsi="Times New Roman"/>
          <w:noProof/>
          <w:sz w:val="24"/>
          <w:lang w:val="pl-PL"/>
        </w:rPr>
        <w:t>owiedzi na ważne EIO, Komisja uczyni takie spotkania swoją stałą praktyką.</w:t>
      </w:r>
    </w:p>
    <w:p w14:paraId="36ACB50E" w14:textId="041D7DC9" w:rsidR="005A4888" w:rsidRPr="00DC40BE" w:rsidRDefault="003244DA" w:rsidP="00E8781C">
      <w:pPr>
        <w:pStyle w:val="Akapitzlist"/>
        <w:numPr>
          <w:ilvl w:val="0"/>
          <w:numId w:val="26"/>
        </w:numPr>
        <w:spacing w:before="100" w:beforeAutospacing="1" w:after="100" w:afterAutospacing="1"/>
        <w:ind w:left="714" w:hanging="357"/>
        <w:jc w:val="both"/>
        <w:rPr>
          <w:rFonts w:ascii="Times New Roman" w:hAnsi="Times New Roman" w:cs="Times New Roman"/>
          <w:noProof/>
          <w:sz w:val="24"/>
          <w:lang w:val="pl-PL"/>
        </w:rPr>
      </w:pPr>
      <w:r w:rsidRPr="00DC40BE">
        <w:rPr>
          <w:rFonts w:ascii="Times New Roman" w:hAnsi="Times New Roman"/>
          <w:noProof/>
          <w:sz w:val="24"/>
          <w:lang w:val="pl-PL"/>
        </w:rPr>
        <w:t xml:space="preserve">Komisja dopilnuje, aby </w:t>
      </w:r>
      <w:r w:rsidRPr="00DC40BE">
        <w:rPr>
          <w:rFonts w:ascii="Times New Roman" w:hAnsi="Times New Roman"/>
          <w:b/>
          <w:noProof/>
          <w:sz w:val="24"/>
          <w:lang w:val="pl-PL"/>
        </w:rPr>
        <w:t xml:space="preserve">udane EIO </w:t>
      </w:r>
      <w:r w:rsidRPr="00DC40BE">
        <w:rPr>
          <w:rFonts w:ascii="Times New Roman" w:hAnsi="Times New Roman"/>
          <w:noProof/>
          <w:sz w:val="24"/>
          <w:lang w:val="pl-PL"/>
        </w:rPr>
        <w:t xml:space="preserve">systematycznie </w:t>
      </w:r>
      <w:r w:rsidRPr="00DC40BE">
        <w:rPr>
          <w:rFonts w:ascii="Times New Roman" w:hAnsi="Times New Roman"/>
          <w:b/>
          <w:noProof/>
          <w:sz w:val="24"/>
          <w:lang w:val="pl-PL"/>
        </w:rPr>
        <w:t>brano pod uwagę przy opracowywaniu wniosków dotyczących polityki</w:t>
      </w:r>
      <w:r w:rsidR="00DC40BE" w:rsidRPr="00DC40BE">
        <w:rPr>
          <w:rFonts w:ascii="Times New Roman" w:hAnsi="Times New Roman"/>
          <w:b/>
          <w:noProof/>
          <w:sz w:val="24"/>
          <w:lang w:val="pl-PL"/>
        </w:rPr>
        <w:t xml:space="preserve"> w odp</w:t>
      </w:r>
      <w:r w:rsidRPr="00DC40BE">
        <w:rPr>
          <w:rFonts w:ascii="Times New Roman" w:hAnsi="Times New Roman"/>
          <w:b/>
          <w:noProof/>
          <w:sz w:val="24"/>
          <w:lang w:val="pl-PL"/>
        </w:rPr>
        <w:t>owiedzi na te EIO</w:t>
      </w:r>
      <w:r w:rsidRPr="00DC40BE">
        <w:rPr>
          <w:rFonts w:ascii="Times New Roman" w:hAnsi="Times New Roman"/>
          <w:noProof/>
          <w:sz w:val="24"/>
          <w:lang w:val="pl-PL"/>
        </w:rPr>
        <w:t xml:space="preserve"> oraz aby stale włączano organizatorów tych inicjatyw do konsultacji związanych</w:t>
      </w:r>
      <w:r w:rsidR="00DC40BE" w:rsidRPr="00DC40BE">
        <w:rPr>
          <w:rFonts w:ascii="Times New Roman" w:hAnsi="Times New Roman"/>
          <w:noProof/>
          <w:sz w:val="24"/>
          <w:lang w:val="pl-PL"/>
        </w:rPr>
        <w:t xml:space="preserve"> z tak</w:t>
      </w:r>
      <w:r w:rsidRPr="00DC40BE">
        <w:rPr>
          <w:rFonts w:ascii="Times New Roman" w:hAnsi="Times New Roman"/>
          <w:noProof/>
          <w:sz w:val="24"/>
          <w:lang w:val="pl-PL"/>
        </w:rPr>
        <w:t xml:space="preserve">imi wnioskami. </w:t>
      </w:r>
    </w:p>
    <w:p w14:paraId="1AAA9834" w14:textId="1BB5555B" w:rsidR="005A4888" w:rsidRPr="00DC40BE" w:rsidRDefault="005A4888" w:rsidP="00E8781C">
      <w:pPr>
        <w:pStyle w:val="Akapitzlist"/>
        <w:numPr>
          <w:ilvl w:val="0"/>
          <w:numId w:val="26"/>
        </w:numPr>
        <w:spacing w:before="100" w:beforeAutospacing="1" w:after="100" w:afterAutospacing="1"/>
        <w:ind w:left="714" w:hanging="357"/>
        <w:jc w:val="both"/>
        <w:rPr>
          <w:rFonts w:ascii="Times New Roman" w:hAnsi="Times New Roman" w:cs="Times New Roman"/>
          <w:noProof/>
          <w:sz w:val="24"/>
          <w:lang w:val="pl-PL"/>
        </w:rPr>
      </w:pPr>
      <w:r w:rsidRPr="00DC40BE">
        <w:rPr>
          <w:rFonts w:ascii="Times New Roman" w:hAnsi="Times New Roman"/>
          <w:noProof/>
          <w:sz w:val="24"/>
          <w:lang w:val="pl-PL"/>
        </w:rPr>
        <w:t>Komisja zamierza</w:t>
      </w:r>
      <w:r w:rsidR="00DC40BE" w:rsidRPr="00DC40BE">
        <w:rPr>
          <w:rFonts w:ascii="Times New Roman" w:hAnsi="Times New Roman"/>
          <w:noProof/>
          <w:sz w:val="24"/>
          <w:lang w:val="pl-PL"/>
        </w:rPr>
        <w:t xml:space="preserve"> w wię</w:t>
      </w:r>
      <w:r w:rsidRPr="00DC40BE">
        <w:rPr>
          <w:rFonts w:ascii="Times New Roman" w:hAnsi="Times New Roman"/>
          <w:noProof/>
          <w:sz w:val="24"/>
          <w:lang w:val="pl-PL"/>
        </w:rPr>
        <w:t>kszym stopniu podkreślać</w:t>
      </w:r>
      <w:r w:rsidR="00DC40BE" w:rsidRPr="00DC40BE">
        <w:rPr>
          <w:rFonts w:ascii="Times New Roman" w:hAnsi="Times New Roman"/>
          <w:noProof/>
          <w:sz w:val="24"/>
          <w:lang w:val="pl-PL"/>
        </w:rPr>
        <w:t xml:space="preserve"> w swo</w:t>
      </w:r>
      <w:r w:rsidRPr="00DC40BE">
        <w:rPr>
          <w:rFonts w:ascii="Times New Roman" w:hAnsi="Times New Roman"/>
          <w:noProof/>
          <w:sz w:val="24"/>
          <w:lang w:val="pl-PL"/>
        </w:rPr>
        <w:t xml:space="preserve">ich </w:t>
      </w:r>
      <w:r w:rsidRPr="00DC40BE">
        <w:rPr>
          <w:rFonts w:ascii="Times New Roman" w:hAnsi="Times New Roman"/>
          <w:b/>
          <w:noProof/>
          <w:sz w:val="24"/>
          <w:lang w:val="pl-PL"/>
        </w:rPr>
        <w:t>kampaniach komunikacyjnych</w:t>
      </w:r>
      <w:r w:rsidRPr="00DC40BE">
        <w:rPr>
          <w:rFonts w:ascii="Times New Roman" w:hAnsi="Times New Roman"/>
          <w:noProof/>
          <w:sz w:val="24"/>
          <w:lang w:val="pl-PL"/>
        </w:rPr>
        <w:t xml:space="preserve"> </w:t>
      </w:r>
      <w:r w:rsidRPr="00DC40BE">
        <w:rPr>
          <w:rFonts w:ascii="Times New Roman" w:hAnsi="Times New Roman"/>
          <w:b/>
          <w:noProof/>
          <w:sz w:val="24"/>
          <w:lang w:val="pl-PL"/>
        </w:rPr>
        <w:t>udane EIO</w:t>
      </w:r>
      <w:r w:rsidR="00DC40BE" w:rsidRPr="00DC40BE">
        <w:rPr>
          <w:rFonts w:ascii="Times New Roman" w:hAnsi="Times New Roman"/>
          <w:noProof/>
          <w:sz w:val="24"/>
          <w:lang w:val="pl-PL"/>
        </w:rPr>
        <w:t xml:space="preserve"> i dzi</w:t>
      </w:r>
      <w:r w:rsidRPr="00DC40BE">
        <w:rPr>
          <w:rFonts w:ascii="Times New Roman" w:hAnsi="Times New Roman"/>
          <w:noProof/>
          <w:sz w:val="24"/>
          <w:lang w:val="pl-PL"/>
        </w:rPr>
        <w:t>ałania podjęte</w:t>
      </w:r>
      <w:r w:rsidR="00DC40BE" w:rsidRPr="00DC40BE">
        <w:rPr>
          <w:rFonts w:ascii="Times New Roman" w:hAnsi="Times New Roman"/>
          <w:noProof/>
          <w:sz w:val="24"/>
          <w:lang w:val="pl-PL"/>
        </w:rPr>
        <w:t xml:space="preserve"> w ich</w:t>
      </w:r>
      <w:r w:rsidRPr="00DC40BE">
        <w:rPr>
          <w:rFonts w:ascii="Times New Roman" w:hAnsi="Times New Roman"/>
          <w:noProof/>
          <w:sz w:val="24"/>
          <w:lang w:val="pl-PL"/>
        </w:rPr>
        <w:t xml:space="preserve"> następstwie, aby zwiększyć świadomość obywateli na temat wpływu EIO na proces kształtowania polityki UE. </w:t>
      </w:r>
    </w:p>
    <w:p w14:paraId="1D9DCC9F" w14:textId="551A4FEA" w:rsidR="005A4888" w:rsidRPr="00DC40BE" w:rsidRDefault="005A4888" w:rsidP="00E8781C">
      <w:pPr>
        <w:pStyle w:val="Nagwek1"/>
        <w:numPr>
          <w:ilvl w:val="0"/>
          <w:numId w:val="16"/>
        </w:numPr>
        <w:tabs>
          <w:tab w:val="clear" w:pos="7145"/>
          <w:tab w:val="num" w:pos="482"/>
        </w:tabs>
        <w:spacing w:before="100" w:beforeAutospacing="1" w:after="100" w:afterAutospacing="1" w:line="276" w:lineRule="auto"/>
        <w:ind w:left="482"/>
        <w:rPr>
          <w:noProof/>
          <w:lang w:val="pl-PL"/>
        </w:rPr>
      </w:pPr>
      <w:bookmarkStart w:id="53" w:name="_Toc1897830716"/>
      <w:bookmarkStart w:id="54" w:name="_Toc146296691"/>
      <w:r w:rsidRPr="00DC40BE">
        <w:rPr>
          <w:noProof/>
          <w:lang w:val="pl-PL"/>
        </w:rPr>
        <w:t>WNIOSKI</w:t>
      </w:r>
      <w:bookmarkEnd w:id="53"/>
      <w:bookmarkEnd w:id="54"/>
    </w:p>
    <w:p w14:paraId="49BFBF69" w14:textId="00DB95B2" w:rsidR="005A4888" w:rsidRPr="00DC40BE" w:rsidRDefault="005A4888" w:rsidP="00E8781C">
      <w:pPr>
        <w:spacing w:before="100" w:beforeAutospacing="1" w:after="100" w:afterAutospacing="1" w:line="276" w:lineRule="auto"/>
        <w:rPr>
          <w:noProof/>
          <w:lang w:val="pl-PL"/>
        </w:rPr>
      </w:pPr>
      <w:r w:rsidRPr="00DC40BE">
        <w:rPr>
          <w:noProof/>
          <w:lang w:val="pl-PL"/>
        </w:rPr>
        <w:t>Na podstawie niniejszego sprawozdania</w:t>
      </w:r>
      <w:r w:rsidR="00DC40BE" w:rsidRPr="00DC40BE">
        <w:rPr>
          <w:noProof/>
          <w:lang w:val="pl-PL"/>
        </w:rPr>
        <w:t xml:space="preserve"> z prz</w:t>
      </w:r>
      <w:r w:rsidRPr="00DC40BE">
        <w:rPr>
          <w:noProof/>
          <w:lang w:val="pl-PL"/>
        </w:rPr>
        <w:t>eglądu Komisja stwierdza, że zmienione rozporządzenie</w:t>
      </w:r>
      <w:r w:rsidR="00DC40BE" w:rsidRPr="00DC40BE">
        <w:rPr>
          <w:noProof/>
          <w:lang w:val="pl-PL"/>
        </w:rPr>
        <w:t xml:space="preserve"> w spr</w:t>
      </w:r>
      <w:r w:rsidRPr="00DC40BE">
        <w:rPr>
          <w:noProof/>
          <w:lang w:val="pl-PL"/>
        </w:rPr>
        <w:t>awie EIO zapewnia organizatorom</w:t>
      </w:r>
      <w:r w:rsidR="00DC40BE" w:rsidRPr="00DC40BE">
        <w:rPr>
          <w:noProof/>
          <w:lang w:val="pl-PL"/>
        </w:rPr>
        <w:t xml:space="preserve"> i zwo</w:t>
      </w:r>
      <w:r w:rsidRPr="00DC40BE">
        <w:rPr>
          <w:noProof/>
          <w:lang w:val="pl-PL"/>
        </w:rPr>
        <w:t>lennikom EIO ramy, które są bardziej dostępne, mniej uciążliwe</w:t>
      </w:r>
      <w:r w:rsidR="00DC40BE" w:rsidRPr="00DC40BE">
        <w:rPr>
          <w:noProof/>
          <w:lang w:val="pl-PL"/>
        </w:rPr>
        <w:t xml:space="preserve"> i bar</w:t>
      </w:r>
      <w:r w:rsidRPr="00DC40BE">
        <w:rPr>
          <w:noProof/>
          <w:lang w:val="pl-PL"/>
        </w:rPr>
        <w:t>dziej przyjazne dla użytkownika. Komisja pozostaje</w:t>
      </w:r>
      <w:r w:rsidR="00DC40BE" w:rsidRPr="00DC40BE">
        <w:rPr>
          <w:noProof/>
          <w:lang w:val="pl-PL"/>
        </w:rPr>
        <w:t xml:space="preserve"> w peł</w:t>
      </w:r>
      <w:r w:rsidRPr="00DC40BE">
        <w:rPr>
          <w:noProof/>
          <w:lang w:val="pl-PL"/>
        </w:rPr>
        <w:t>ni zaangażowana</w:t>
      </w:r>
      <w:r w:rsidR="00DC40BE" w:rsidRPr="00DC40BE">
        <w:rPr>
          <w:noProof/>
          <w:lang w:val="pl-PL"/>
        </w:rPr>
        <w:t xml:space="preserve"> w urz</w:t>
      </w:r>
      <w:r w:rsidRPr="00DC40BE">
        <w:rPr>
          <w:noProof/>
          <w:lang w:val="pl-PL"/>
        </w:rPr>
        <w:t>eczywistnienie pełnego potencjału EIO jako narzędzia pobudzającego debatę</w:t>
      </w:r>
      <w:r w:rsidR="00DC40BE" w:rsidRPr="00DC40BE">
        <w:rPr>
          <w:noProof/>
          <w:lang w:val="pl-PL"/>
        </w:rPr>
        <w:t xml:space="preserve"> i zwi</w:t>
      </w:r>
      <w:r w:rsidRPr="00DC40BE">
        <w:rPr>
          <w:noProof/>
          <w:lang w:val="pl-PL"/>
        </w:rPr>
        <w:t>ększającego uczestnictwo obywateli na szczeblu UE</w:t>
      </w:r>
      <w:r w:rsidR="00DC40BE" w:rsidRPr="00DC40BE">
        <w:rPr>
          <w:noProof/>
          <w:lang w:val="pl-PL"/>
        </w:rPr>
        <w:t>. W zwi</w:t>
      </w:r>
      <w:r w:rsidRPr="00DC40BE">
        <w:rPr>
          <w:noProof/>
          <w:lang w:val="pl-PL"/>
        </w:rPr>
        <w:t>ązku</w:t>
      </w:r>
      <w:r w:rsidR="00DC40BE" w:rsidRPr="00DC40BE">
        <w:rPr>
          <w:noProof/>
          <w:lang w:val="pl-PL"/>
        </w:rPr>
        <w:t xml:space="preserve"> z tym</w:t>
      </w:r>
      <w:r w:rsidRPr="00DC40BE">
        <w:rPr>
          <w:noProof/>
          <w:lang w:val="pl-PL"/>
        </w:rPr>
        <w:t xml:space="preserve"> Komisja podejmie szereg konkretnych działań</w:t>
      </w:r>
      <w:r w:rsidR="00DC40BE" w:rsidRPr="00DC40BE">
        <w:rPr>
          <w:noProof/>
          <w:lang w:val="pl-PL"/>
        </w:rPr>
        <w:t xml:space="preserve"> w cel</w:t>
      </w:r>
      <w:r w:rsidRPr="00DC40BE">
        <w:rPr>
          <w:noProof/>
          <w:lang w:val="pl-PL"/>
        </w:rPr>
        <w:t>u dalszej poprawy funkcjonowania EIO</w:t>
      </w:r>
      <w:r w:rsidR="00DC40BE" w:rsidRPr="00DC40BE">
        <w:rPr>
          <w:noProof/>
          <w:lang w:val="pl-PL"/>
        </w:rPr>
        <w:t xml:space="preserve"> i inf</w:t>
      </w:r>
      <w:r w:rsidRPr="00DC40BE">
        <w:rPr>
          <w:noProof/>
          <w:lang w:val="pl-PL"/>
        </w:rPr>
        <w:t>rastruktury wspierającej organizatorów,</w:t>
      </w:r>
      <w:r w:rsidR="00DC40BE" w:rsidRPr="00DC40BE">
        <w:rPr>
          <w:noProof/>
          <w:lang w:val="pl-PL"/>
        </w:rPr>
        <w:t xml:space="preserve"> a tak</w:t>
      </w:r>
      <w:r w:rsidRPr="00DC40BE">
        <w:rPr>
          <w:noProof/>
          <w:lang w:val="pl-PL"/>
        </w:rPr>
        <w:t>że</w:t>
      </w:r>
      <w:r w:rsidR="00DC40BE" w:rsidRPr="00DC40BE">
        <w:rPr>
          <w:noProof/>
          <w:lang w:val="pl-PL"/>
        </w:rPr>
        <w:t xml:space="preserve"> w cel</w:t>
      </w:r>
      <w:r w:rsidRPr="00DC40BE">
        <w:rPr>
          <w:noProof/>
          <w:lang w:val="pl-PL"/>
        </w:rPr>
        <w:t xml:space="preserve">u zaprezentowania wpływu EIO na politykę UE. </w:t>
      </w:r>
    </w:p>
    <w:p w14:paraId="5C1EFC34" w14:textId="28ED70BC" w:rsidR="005A4888" w:rsidRPr="00DC40BE" w:rsidRDefault="005A4888" w:rsidP="00E8781C">
      <w:pPr>
        <w:spacing w:before="100" w:beforeAutospacing="1" w:after="100" w:afterAutospacing="1" w:line="276" w:lineRule="auto"/>
        <w:rPr>
          <w:noProof/>
          <w:lang w:val="pl-PL"/>
        </w:rPr>
      </w:pPr>
      <w:r w:rsidRPr="00DC40BE">
        <w:rPr>
          <w:noProof/>
          <w:lang w:val="pl-PL"/>
        </w:rPr>
        <w:t>Komisja uznaje istotny wkład, jaki Parlament Europejski</w:t>
      </w:r>
      <w:r w:rsidR="00DC40BE" w:rsidRPr="00DC40BE">
        <w:rPr>
          <w:noProof/>
          <w:lang w:val="pl-PL"/>
        </w:rPr>
        <w:t xml:space="preserve"> i pań</w:t>
      </w:r>
      <w:r w:rsidRPr="00DC40BE">
        <w:rPr>
          <w:noProof/>
          <w:lang w:val="pl-PL"/>
        </w:rPr>
        <w:t>stwa członkowskie wnoszą</w:t>
      </w:r>
      <w:r w:rsidR="00DC40BE" w:rsidRPr="00DC40BE">
        <w:rPr>
          <w:noProof/>
          <w:lang w:val="pl-PL"/>
        </w:rPr>
        <w:t xml:space="preserve"> w sku</w:t>
      </w:r>
      <w:r w:rsidRPr="00DC40BE">
        <w:rPr>
          <w:noProof/>
          <w:lang w:val="pl-PL"/>
        </w:rPr>
        <w:t>teczne wdrożenie rozporządzenia</w:t>
      </w:r>
      <w:r w:rsidR="00DC40BE" w:rsidRPr="00DC40BE">
        <w:rPr>
          <w:noProof/>
          <w:lang w:val="pl-PL"/>
        </w:rPr>
        <w:t xml:space="preserve"> w spr</w:t>
      </w:r>
      <w:r w:rsidRPr="00DC40BE">
        <w:rPr>
          <w:noProof/>
          <w:lang w:val="pl-PL"/>
        </w:rPr>
        <w:t>awie EIO. Komisja</w:t>
      </w:r>
      <w:r w:rsidR="00DC40BE" w:rsidRPr="00DC40BE">
        <w:rPr>
          <w:noProof/>
          <w:lang w:val="pl-PL"/>
        </w:rPr>
        <w:t xml:space="preserve"> z zad</w:t>
      </w:r>
      <w:r w:rsidRPr="00DC40BE">
        <w:rPr>
          <w:noProof/>
          <w:lang w:val="pl-PL"/>
        </w:rPr>
        <w:t>owoleniem przyjmuje również wkład innych instytucji</w:t>
      </w:r>
      <w:r w:rsidR="00DC40BE" w:rsidRPr="00DC40BE">
        <w:rPr>
          <w:noProof/>
          <w:lang w:val="pl-PL"/>
        </w:rPr>
        <w:t xml:space="preserve"> i org</w:t>
      </w:r>
      <w:r w:rsidRPr="00DC40BE">
        <w:rPr>
          <w:noProof/>
          <w:lang w:val="pl-PL"/>
        </w:rPr>
        <w:t>anów UE,</w:t>
      </w:r>
      <w:r w:rsidR="00DC40BE" w:rsidRPr="00DC40BE">
        <w:rPr>
          <w:noProof/>
          <w:lang w:val="pl-PL"/>
        </w:rPr>
        <w:t xml:space="preserve"> a tak</w:t>
      </w:r>
      <w:r w:rsidRPr="00DC40BE">
        <w:rPr>
          <w:noProof/>
          <w:lang w:val="pl-PL"/>
        </w:rPr>
        <w:t>że innych zainteresowanych stron,</w:t>
      </w:r>
      <w:r w:rsidR="00DC40BE" w:rsidRPr="00DC40BE">
        <w:rPr>
          <w:noProof/>
          <w:lang w:val="pl-PL"/>
        </w:rPr>
        <w:t xml:space="preserve"> w zwi</w:t>
      </w:r>
      <w:r w:rsidRPr="00DC40BE">
        <w:rPr>
          <w:noProof/>
          <w:lang w:val="pl-PL"/>
        </w:rPr>
        <w:t>ększanie widoczności EIO na szczeblu unijnym, krajowym</w:t>
      </w:r>
      <w:r w:rsidR="00DC40BE" w:rsidRPr="00DC40BE">
        <w:rPr>
          <w:noProof/>
          <w:lang w:val="pl-PL"/>
        </w:rPr>
        <w:t xml:space="preserve"> i lok</w:t>
      </w:r>
      <w:r w:rsidRPr="00DC40BE">
        <w:rPr>
          <w:noProof/>
          <w:lang w:val="pl-PL"/>
        </w:rPr>
        <w:t>alnym oraz</w:t>
      </w:r>
      <w:r w:rsidR="00DC40BE" w:rsidRPr="00DC40BE">
        <w:rPr>
          <w:noProof/>
          <w:lang w:val="pl-PL"/>
        </w:rPr>
        <w:t xml:space="preserve"> w uśw</w:t>
      </w:r>
      <w:r w:rsidRPr="00DC40BE">
        <w:rPr>
          <w:noProof/>
          <w:lang w:val="pl-PL"/>
        </w:rPr>
        <w:t>iadamianie obywateli Unii</w:t>
      </w:r>
      <w:r w:rsidR="00DC40BE" w:rsidRPr="00DC40BE">
        <w:rPr>
          <w:noProof/>
          <w:lang w:val="pl-PL"/>
        </w:rPr>
        <w:t xml:space="preserve"> o tym</w:t>
      </w:r>
      <w:r w:rsidRPr="00DC40BE">
        <w:rPr>
          <w:noProof/>
          <w:lang w:val="pl-PL"/>
        </w:rPr>
        <w:t xml:space="preserve">, że mogą wykorzystywać EIO do kształtowania polityki UE. </w:t>
      </w:r>
    </w:p>
    <w:p w14:paraId="02841291" w14:textId="16378050" w:rsidR="002A6C29" w:rsidRPr="00DC40BE" w:rsidRDefault="005A4888" w:rsidP="00E8781C">
      <w:pPr>
        <w:spacing w:before="100" w:beforeAutospacing="1" w:after="100" w:afterAutospacing="1" w:line="276" w:lineRule="auto"/>
        <w:jc w:val="center"/>
        <w:rPr>
          <w:b/>
          <w:noProof/>
          <w:lang w:val="pl-PL"/>
        </w:rPr>
      </w:pPr>
      <w:r w:rsidRPr="00DC40BE">
        <w:rPr>
          <w:noProof/>
          <w:lang w:val="pl-PL"/>
        </w:rPr>
        <w:br w:type="page"/>
      </w:r>
      <w:r w:rsidRPr="00DC40BE">
        <w:rPr>
          <w:b/>
          <w:noProof/>
          <w:lang w:val="pl-PL"/>
        </w:rPr>
        <w:lastRenderedPageBreak/>
        <w:t xml:space="preserve">ZAŁĄCZNIK </w:t>
      </w:r>
    </w:p>
    <w:p w14:paraId="3DCFE008" w14:textId="3D92253B" w:rsidR="005A4888" w:rsidRPr="00DC40BE" w:rsidRDefault="008C350C" w:rsidP="00E8781C">
      <w:pPr>
        <w:spacing w:before="100" w:beforeAutospacing="1" w:after="100" w:afterAutospacing="1" w:line="276" w:lineRule="auto"/>
        <w:rPr>
          <w:noProof/>
          <w:lang w:val="pl-PL"/>
        </w:rPr>
      </w:pPr>
      <w:r w:rsidRPr="00DC40BE">
        <w:rPr>
          <w:b/>
          <w:noProof/>
          <w:lang w:val="pl-PL"/>
        </w:rPr>
        <w:t>Wykres 4: podział organizatorów według obywatelstwa</w:t>
      </w:r>
      <w:r w:rsidR="00DC40BE" w:rsidRPr="00DC40BE">
        <w:rPr>
          <w:b/>
          <w:noProof/>
          <w:lang w:val="pl-PL"/>
        </w:rPr>
        <w:t xml:space="preserve"> i mie</w:t>
      </w:r>
      <w:r w:rsidRPr="00DC40BE">
        <w:rPr>
          <w:b/>
          <w:noProof/>
          <w:lang w:val="pl-PL"/>
        </w:rPr>
        <w:t>jsca zamieszkania</w:t>
      </w:r>
    </w:p>
    <w:p w14:paraId="6AD2713D" w14:textId="1D5086B4" w:rsidR="005A4888" w:rsidRPr="00DC40BE" w:rsidRDefault="000D5F40" w:rsidP="00E8781C">
      <w:pPr>
        <w:spacing w:before="100" w:beforeAutospacing="1" w:after="100" w:afterAutospacing="1" w:line="276" w:lineRule="auto"/>
        <w:rPr>
          <w:noProof/>
          <w:lang w:val="pl-PL"/>
        </w:rPr>
      </w:pPr>
      <w:r w:rsidRPr="00DC40BE">
        <w:rPr>
          <w:noProof/>
          <w:lang w:val="pl-PL" w:eastAsia="pl-PL"/>
        </w:rPr>
        <w:drawing>
          <wp:inline distT="0" distB="0" distL="0" distR="0" wp14:anchorId="3417D3BF" wp14:editId="0DF96C95">
            <wp:extent cx="5760720" cy="7391400"/>
            <wp:effectExtent l="0" t="0" r="0" b="0"/>
            <wp:docPr id="6" name="Chart 6">
              <a:extLst xmlns:a="http://schemas.openxmlformats.org/drawingml/2006/main">
                <a:ext uri="{FF2B5EF4-FFF2-40B4-BE49-F238E27FC236}">
                  <a16:creationId xmlns:a16="http://schemas.microsoft.com/office/drawing/2014/main" id="{2A499577-085E-4F01-BD67-2953F093C1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264F254D" w14:textId="7E2FECD7" w:rsidR="005A4888" w:rsidRPr="00DC40BE" w:rsidRDefault="006D1621" w:rsidP="00E8781C">
      <w:pPr>
        <w:pStyle w:val="Legenda"/>
        <w:keepNext/>
        <w:spacing w:before="100" w:beforeAutospacing="1" w:after="100" w:afterAutospacing="1" w:line="276" w:lineRule="auto"/>
        <w:rPr>
          <w:b/>
          <w:i w:val="0"/>
          <w:noProof/>
          <w:sz w:val="24"/>
          <w:lang w:val="pl-PL"/>
        </w:rPr>
      </w:pPr>
      <w:r w:rsidRPr="00DC40BE">
        <w:rPr>
          <w:b/>
          <w:i w:val="0"/>
          <w:noProof/>
          <w:sz w:val="24"/>
          <w:lang w:val="pl-PL"/>
        </w:rPr>
        <w:lastRenderedPageBreak/>
        <w:t>Wykres 5: rozkład organizatorów według wieku</w:t>
      </w:r>
    </w:p>
    <w:p w14:paraId="4556C36E" w14:textId="3F4E844D" w:rsidR="005A4888" w:rsidRPr="00DC40BE" w:rsidRDefault="000D5F40" w:rsidP="00E8781C">
      <w:pPr>
        <w:spacing w:before="100" w:beforeAutospacing="1" w:after="100" w:afterAutospacing="1" w:line="276" w:lineRule="auto"/>
        <w:rPr>
          <w:noProof/>
          <w:lang w:val="pl-PL"/>
        </w:rPr>
      </w:pPr>
      <w:r w:rsidRPr="00DC40BE">
        <w:rPr>
          <w:noProof/>
          <w:lang w:val="pl-PL" w:eastAsia="pl-PL"/>
        </w:rPr>
        <w:drawing>
          <wp:inline distT="0" distB="0" distL="0" distR="0" wp14:anchorId="451D7A18" wp14:editId="6FC04CC8">
            <wp:extent cx="5086350" cy="2292350"/>
            <wp:effectExtent l="0" t="0" r="0" b="0"/>
            <wp:docPr id="7" name="Chart 7">
              <a:extLst xmlns:a="http://schemas.openxmlformats.org/drawingml/2006/main">
                <a:ext uri="{FF2B5EF4-FFF2-40B4-BE49-F238E27FC236}">
                  <a16:creationId xmlns:a16="http://schemas.microsoft.com/office/drawing/2014/main" id="{EA29C40A-7AD1-55EA-2F08-FD3F9EF343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sectPr w:rsidR="005A4888" w:rsidRPr="00DC40BE" w:rsidSect="00454B15">
      <w:headerReference w:type="even" r:id="rId53"/>
      <w:headerReference w:type="default" r:id="rId54"/>
      <w:footerReference w:type="even" r:id="rId55"/>
      <w:footerReference w:type="default" r:id="rId56"/>
      <w:headerReference w:type="first" r:id="rId57"/>
      <w:footerReference w:type="first" r:id="rId5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D801D" w14:textId="77777777" w:rsidR="00106880" w:rsidRPr="00DC40BE" w:rsidRDefault="00106880">
      <w:pPr>
        <w:spacing w:after="0"/>
        <w:rPr>
          <w:lang w:val="pl-PL"/>
        </w:rPr>
      </w:pPr>
      <w:r w:rsidRPr="00DC40BE">
        <w:rPr>
          <w:lang w:val="pl-PL"/>
        </w:rPr>
        <w:separator/>
      </w:r>
    </w:p>
  </w:endnote>
  <w:endnote w:type="continuationSeparator" w:id="0">
    <w:p w14:paraId="181671B1" w14:textId="77777777" w:rsidR="00106880" w:rsidRPr="00DC40BE" w:rsidRDefault="00106880">
      <w:pPr>
        <w:spacing w:after="0"/>
        <w:rPr>
          <w:lang w:val="pl-PL"/>
        </w:rPr>
      </w:pPr>
      <w:r w:rsidRPr="00DC40BE">
        <w:rPr>
          <w:lang w:val="pl-PL"/>
        </w:rPr>
        <w:continuationSeparator/>
      </w:r>
    </w:p>
  </w:endnote>
  <w:endnote w:type="continuationNotice" w:id="1">
    <w:p w14:paraId="14455978" w14:textId="77777777" w:rsidR="00106880" w:rsidRPr="00DC40BE" w:rsidRDefault="00106880">
      <w:pPr>
        <w:spacing w:after="0"/>
        <w:rPr>
          <w:lang w:val="pl-P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charset w:val="00"/>
    <w:family w:val="roman"/>
    <w:pitch w:val="variable"/>
    <w:sig w:usb0="E0002AE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05332" w14:textId="70FEBA22" w:rsidR="002706C0" w:rsidRPr="00615826" w:rsidRDefault="002706C0" w:rsidP="0061582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B0C8E" w14:textId="50B3A7BB" w:rsidR="002706C0" w:rsidRPr="00615826" w:rsidRDefault="00615826" w:rsidP="00615826">
    <w:pPr>
      <w:pStyle w:val="FooterCoverPage"/>
      <w:rPr>
        <w:rFonts w:ascii="Arial" w:hAnsi="Arial" w:cs="Arial"/>
        <w:b/>
        <w:sz w:val="48"/>
      </w:rPr>
    </w:pPr>
    <w:r w:rsidRPr="00615826">
      <w:rPr>
        <w:rFonts w:ascii="Arial" w:hAnsi="Arial" w:cs="Arial"/>
        <w:b/>
        <w:sz w:val="48"/>
      </w:rPr>
      <w:t>PL</w:t>
    </w:r>
    <w:r w:rsidRPr="00615826">
      <w:rPr>
        <w:rFonts w:ascii="Arial" w:hAnsi="Arial" w:cs="Arial"/>
        <w:b/>
        <w:sz w:val="48"/>
      </w:rPr>
      <w:tab/>
    </w:r>
    <w:r w:rsidRPr="00615826">
      <w:rPr>
        <w:rFonts w:ascii="Arial" w:hAnsi="Arial" w:cs="Arial"/>
        <w:b/>
        <w:sz w:val="48"/>
      </w:rPr>
      <w:tab/>
    </w:r>
    <w:r w:rsidRPr="00615826">
      <w:tab/>
    </w:r>
    <w:r w:rsidRPr="00615826">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6A6A6" w14:textId="77777777" w:rsidR="00615826" w:rsidRPr="00615826" w:rsidRDefault="00615826" w:rsidP="0061582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03E5F" w14:textId="77777777" w:rsidR="00643F96" w:rsidRPr="00FE13BD" w:rsidRDefault="00643F96" w:rsidP="00FE13BD">
    <w:pPr>
      <w:pStyle w:val="FooterCoverPage"/>
      <w:rPr>
        <w:rFonts w:ascii="Arial" w:hAnsi="Arial" w:cs="Arial"/>
        <w:b/>
        <w:sz w:val="48"/>
      </w:rPr>
    </w:pPr>
    <w:r>
      <w:rPr>
        <w:rFonts w:ascii="Arial" w:hAnsi="Arial"/>
        <w:b/>
        <w:sz w:val="48"/>
      </w:rPr>
      <w:t>PL</w:t>
    </w:r>
    <w:r>
      <w:tab/>
    </w:r>
    <w:r>
      <w:tab/>
    </w:r>
    <w:r>
      <w:tab/>
    </w:r>
    <w:r>
      <w:rPr>
        <w:rFonts w:ascii="Arial" w:hAnsi="Arial"/>
        <w:b/>
        <w:sz w:val="48"/>
      </w:rPr>
      <w:t>PL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394248"/>
      <w:docPartObj>
        <w:docPartGallery w:val="Page Numbers (Bottom of Page)"/>
        <w:docPartUnique/>
      </w:docPartObj>
    </w:sdtPr>
    <w:sdtEndPr>
      <w:rPr>
        <w:sz w:val="20"/>
      </w:rPr>
    </w:sdtEndPr>
    <w:sdtContent>
      <w:p w14:paraId="54FA99C2" w14:textId="3664B2FF" w:rsidR="00877DE6" w:rsidRPr="00454B15" w:rsidRDefault="00454B15" w:rsidP="00454B15">
        <w:pPr>
          <w:pStyle w:val="Stopka"/>
          <w:jc w:val="center"/>
          <w:rPr>
            <w:sz w:val="20"/>
          </w:rPr>
        </w:pPr>
        <w:r>
          <w:rPr>
            <w:sz w:val="20"/>
          </w:rPr>
          <w:fldChar w:fldCharType="begin"/>
        </w:r>
        <w:r>
          <w:rPr>
            <w:sz w:val="20"/>
          </w:rPr>
          <w:instrText xml:space="preserve"> PAGE   \* MERGEFORMAT </w:instrText>
        </w:r>
        <w:r>
          <w:rPr>
            <w:sz w:val="20"/>
          </w:rPr>
          <w:fldChar w:fldCharType="separate"/>
        </w:r>
        <w:r w:rsidR="00A3407B">
          <w:rPr>
            <w:noProof/>
            <w:sz w:val="20"/>
          </w:rPr>
          <w:t>19</w:t>
        </w:r>
        <w:r>
          <w:rPr>
            <w:sz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B1A20" w14:textId="05637268" w:rsidR="00454B15" w:rsidRDefault="00454B15">
    <w:pPr>
      <w:pStyle w:val="Stopka"/>
      <w:jc w:val="center"/>
    </w:pPr>
    <w:r>
      <w:fldChar w:fldCharType="begin"/>
    </w:r>
    <w:r>
      <w:instrText xml:space="preserve"> PAGE   \* MERGEFORMAT </w:instrText>
    </w:r>
    <w:r>
      <w:fldChar w:fldCharType="separate"/>
    </w:r>
    <w:r>
      <w:t>2</w:t>
    </w:r>
    <w:r>
      <w:fldChar w:fldCharType="end"/>
    </w:r>
  </w:p>
  <w:p w14:paraId="17297A0C" w14:textId="77777777" w:rsidR="00877DE6" w:rsidRPr="008109A4" w:rsidRDefault="00877DE6" w:rsidP="00877D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9FB7A" w14:textId="77777777" w:rsidR="00106880" w:rsidRPr="00DC40BE" w:rsidRDefault="00106880">
      <w:pPr>
        <w:spacing w:after="0"/>
        <w:rPr>
          <w:lang w:val="pl-PL"/>
        </w:rPr>
      </w:pPr>
      <w:r w:rsidRPr="00DC40BE">
        <w:rPr>
          <w:lang w:val="pl-PL"/>
        </w:rPr>
        <w:separator/>
      </w:r>
    </w:p>
  </w:footnote>
  <w:footnote w:type="continuationSeparator" w:id="0">
    <w:p w14:paraId="3CC5BCA8" w14:textId="77777777" w:rsidR="00106880" w:rsidRPr="00DC40BE" w:rsidRDefault="00106880">
      <w:pPr>
        <w:spacing w:after="0"/>
        <w:rPr>
          <w:lang w:val="pl-PL"/>
        </w:rPr>
      </w:pPr>
      <w:r w:rsidRPr="00DC40BE">
        <w:rPr>
          <w:lang w:val="pl-PL"/>
        </w:rPr>
        <w:continuationSeparator/>
      </w:r>
    </w:p>
  </w:footnote>
  <w:footnote w:type="continuationNotice" w:id="1">
    <w:p w14:paraId="12F21211" w14:textId="77777777" w:rsidR="00106880" w:rsidRPr="00DC40BE" w:rsidRDefault="00106880">
      <w:pPr>
        <w:spacing w:after="0"/>
        <w:rPr>
          <w:lang w:val="pl-PL"/>
        </w:rPr>
      </w:pPr>
    </w:p>
  </w:footnote>
  <w:footnote w:id="2">
    <w:p w14:paraId="7FF7B0B5" w14:textId="447B4CA4" w:rsidR="00232A54" w:rsidRPr="00DC40BE" w:rsidRDefault="00232A54" w:rsidP="00FC3377">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hyperlink r:id="rId1" w:history="1">
        <w:r w:rsidRPr="00DC40BE">
          <w:rPr>
            <w:rStyle w:val="Hipercze"/>
            <w:sz w:val="18"/>
            <w:lang w:val="pl-PL"/>
          </w:rPr>
          <w:t>Rozporządzenie Parlamentu Europejskiego</w:t>
        </w:r>
        <w:r w:rsidR="00DC40BE" w:rsidRPr="00DC40BE">
          <w:rPr>
            <w:rStyle w:val="Hipercze"/>
            <w:sz w:val="18"/>
            <w:lang w:val="pl-PL"/>
          </w:rPr>
          <w:t xml:space="preserve"> i Rad</w:t>
        </w:r>
        <w:r w:rsidRPr="00DC40BE">
          <w:rPr>
            <w:rStyle w:val="Hipercze"/>
            <w:sz w:val="18"/>
            <w:lang w:val="pl-PL"/>
          </w:rPr>
          <w:t>y (UE) 2019/788</w:t>
        </w:r>
      </w:hyperlink>
      <w:r w:rsidR="00DC40BE" w:rsidRPr="00DC40BE">
        <w:rPr>
          <w:sz w:val="18"/>
          <w:lang w:val="pl-PL"/>
        </w:rPr>
        <w:t xml:space="preserve"> z dni</w:t>
      </w:r>
      <w:r w:rsidRPr="00DC40BE">
        <w:rPr>
          <w:sz w:val="18"/>
          <w:lang w:val="pl-PL"/>
        </w:rPr>
        <w:t>a 17 kwietnia 2019</w:t>
      </w:r>
      <w:r w:rsidR="00DC40BE" w:rsidRPr="00DC40BE">
        <w:rPr>
          <w:sz w:val="18"/>
          <w:lang w:val="pl-PL"/>
        </w:rPr>
        <w:t> </w:t>
      </w:r>
      <w:r w:rsidRPr="00DC40BE">
        <w:rPr>
          <w:sz w:val="18"/>
          <w:lang w:val="pl-PL"/>
        </w:rPr>
        <w:t>r.</w:t>
      </w:r>
      <w:r w:rsidR="00DC40BE" w:rsidRPr="00DC40BE">
        <w:rPr>
          <w:sz w:val="18"/>
          <w:lang w:val="pl-PL"/>
        </w:rPr>
        <w:t xml:space="preserve"> w spr</w:t>
      </w:r>
      <w:r w:rsidRPr="00DC40BE">
        <w:rPr>
          <w:sz w:val="18"/>
          <w:lang w:val="pl-PL"/>
        </w:rPr>
        <w:t>awie europejskiej inicjatywy obywatelskiej (Dz.U. L 130</w:t>
      </w:r>
      <w:r w:rsidR="00DC40BE" w:rsidRPr="00DC40BE">
        <w:rPr>
          <w:sz w:val="18"/>
          <w:lang w:val="pl-PL"/>
        </w:rPr>
        <w:t xml:space="preserve"> z 1</w:t>
      </w:r>
      <w:r w:rsidRPr="00DC40BE">
        <w:rPr>
          <w:sz w:val="18"/>
          <w:lang w:val="pl-PL"/>
        </w:rPr>
        <w:t>7.5.2019, s. 55).</w:t>
      </w:r>
    </w:p>
  </w:footnote>
  <w:footnote w:id="3">
    <w:p w14:paraId="1761B774" w14:textId="255B9E9D" w:rsidR="00232BF6" w:rsidRPr="00DC40BE" w:rsidRDefault="00232BF6" w:rsidP="00FC3377">
      <w:pPr>
        <w:pStyle w:val="Tekstprzypisudolnego"/>
        <w:ind w:left="375" w:hanging="375"/>
        <w:rPr>
          <w:sz w:val="18"/>
          <w:lang w:val="pl-PL"/>
        </w:rPr>
      </w:pPr>
      <w:r w:rsidRPr="00DC40BE">
        <w:rPr>
          <w:sz w:val="18"/>
          <w:lang w:val="pl-PL"/>
        </w:rPr>
        <w:t>(</w:t>
      </w:r>
      <w:r w:rsidRPr="00DC40BE">
        <w:rPr>
          <w:rStyle w:val="Odwoanieprzypisudolnego"/>
          <w:sz w:val="18"/>
          <w:lang w:val="pl-PL"/>
        </w:rPr>
        <w:footnoteRef/>
      </w:r>
      <w:r w:rsidRPr="00DC40BE">
        <w:rPr>
          <w:sz w:val="18"/>
          <w:lang w:val="pl-PL"/>
        </w:rPr>
        <w:t xml:space="preserve">) </w:t>
      </w:r>
      <w:r w:rsidRPr="00DC40BE">
        <w:rPr>
          <w:lang w:val="pl-PL"/>
        </w:rPr>
        <w:tab/>
      </w:r>
      <w:hyperlink r:id="rId2" w:history="1">
        <w:r w:rsidRPr="00DC40BE">
          <w:rPr>
            <w:rStyle w:val="Hipercze"/>
            <w:sz w:val="18"/>
            <w:lang w:val="pl-PL"/>
          </w:rPr>
          <w:t>Rozporządzenie Parlamentu Europejskiego</w:t>
        </w:r>
        <w:r w:rsidR="00DC40BE" w:rsidRPr="00DC40BE">
          <w:rPr>
            <w:rStyle w:val="Hipercze"/>
            <w:sz w:val="18"/>
            <w:lang w:val="pl-PL"/>
          </w:rPr>
          <w:t xml:space="preserve"> i Rad</w:t>
        </w:r>
        <w:r w:rsidRPr="00DC40BE">
          <w:rPr>
            <w:rStyle w:val="Hipercze"/>
            <w:sz w:val="18"/>
            <w:lang w:val="pl-PL"/>
          </w:rPr>
          <w:t>y (UE) nr</w:t>
        </w:r>
        <w:r w:rsidR="00DC40BE" w:rsidRPr="00DC40BE">
          <w:rPr>
            <w:rStyle w:val="Hipercze"/>
            <w:sz w:val="18"/>
            <w:lang w:val="pl-PL"/>
          </w:rPr>
          <w:t> </w:t>
        </w:r>
        <w:r w:rsidRPr="00DC40BE">
          <w:rPr>
            <w:rStyle w:val="Hipercze"/>
            <w:sz w:val="18"/>
            <w:lang w:val="pl-PL"/>
          </w:rPr>
          <w:t>211/2011</w:t>
        </w:r>
      </w:hyperlink>
      <w:r w:rsidR="00DC40BE" w:rsidRPr="00DC40BE">
        <w:rPr>
          <w:sz w:val="18"/>
          <w:lang w:val="pl-PL"/>
        </w:rPr>
        <w:t xml:space="preserve"> z dni</w:t>
      </w:r>
      <w:r w:rsidRPr="00DC40BE">
        <w:rPr>
          <w:sz w:val="18"/>
          <w:lang w:val="pl-PL"/>
        </w:rPr>
        <w:t>a 16 lutego 2011</w:t>
      </w:r>
      <w:r w:rsidR="00DC40BE" w:rsidRPr="00DC40BE">
        <w:rPr>
          <w:sz w:val="18"/>
          <w:lang w:val="pl-PL"/>
        </w:rPr>
        <w:t> </w:t>
      </w:r>
      <w:r w:rsidRPr="00DC40BE">
        <w:rPr>
          <w:sz w:val="18"/>
          <w:lang w:val="pl-PL"/>
        </w:rPr>
        <w:t>r.</w:t>
      </w:r>
      <w:r w:rsidR="00DC40BE" w:rsidRPr="00DC40BE">
        <w:rPr>
          <w:sz w:val="18"/>
          <w:lang w:val="pl-PL"/>
        </w:rPr>
        <w:t xml:space="preserve"> w spr</w:t>
      </w:r>
      <w:r w:rsidRPr="00DC40BE">
        <w:rPr>
          <w:sz w:val="18"/>
          <w:lang w:val="pl-PL"/>
        </w:rPr>
        <w:t>awie inicjatywy obywatelskiej (Dz.U. L 65</w:t>
      </w:r>
      <w:r w:rsidR="00DC40BE" w:rsidRPr="00DC40BE">
        <w:rPr>
          <w:sz w:val="18"/>
          <w:lang w:val="pl-PL"/>
        </w:rPr>
        <w:t xml:space="preserve"> z 1</w:t>
      </w:r>
      <w:r w:rsidRPr="00DC40BE">
        <w:rPr>
          <w:sz w:val="18"/>
          <w:lang w:val="pl-PL"/>
        </w:rPr>
        <w:t>1.3.2011, s. 1).</w:t>
      </w:r>
    </w:p>
  </w:footnote>
  <w:footnote w:id="4">
    <w:p w14:paraId="403670A5" w14:textId="0402CBA3" w:rsidR="006F24E2" w:rsidRPr="00DC40BE" w:rsidRDefault="004D6D69" w:rsidP="00FC3377">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 xml:space="preserve">) </w:t>
      </w:r>
      <w:r w:rsidRPr="00DC40BE">
        <w:rPr>
          <w:lang w:val="pl-PL"/>
        </w:rPr>
        <w:tab/>
      </w:r>
      <w:r w:rsidRPr="00DC40BE">
        <w:rPr>
          <w:sz w:val="18"/>
          <w:lang w:val="pl-PL"/>
        </w:rPr>
        <w:t>Motyw 5 rozporządzenia (UE) 2019/788.</w:t>
      </w:r>
    </w:p>
  </w:footnote>
  <w:footnote w:id="5">
    <w:p w14:paraId="296658F9" w14:textId="0DA83723" w:rsidR="005A4888" w:rsidRPr="00DC40BE" w:rsidRDefault="004D6D69" w:rsidP="00FC3377">
      <w:pPr>
        <w:pStyle w:val="Tekstprzypisudolnego"/>
        <w:ind w:left="360" w:hanging="360"/>
        <w:rPr>
          <w:sz w:val="18"/>
          <w:lang w:val="pl-PL"/>
        </w:rPr>
      </w:pPr>
      <w:r w:rsidRPr="00DC40BE">
        <w:rPr>
          <w:sz w:val="18"/>
          <w:lang w:val="pl-PL"/>
        </w:rPr>
        <w:t>(</w:t>
      </w:r>
      <w:r w:rsidRPr="00DC40BE">
        <w:rPr>
          <w:rStyle w:val="Odwoanieprzypisudolnego"/>
          <w:sz w:val="18"/>
          <w:lang w:val="pl-PL"/>
        </w:rPr>
        <w:footnoteRef/>
      </w:r>
      <w:r w:rsidRPr="00DC40BE">
        <w:rPr>
          <w:sz w:val="18"/>
          <w:lang w:val="pl-PL"/>
        </w:rPr>
        <w:t xml:space="preserve">) </w:t>
      </w:r>
      <w:r w:rsidRPr="00DC40BE">
        <w:rPr>
          <w:lang w:val="pl-PL"/>
        </w:rPr>
        <w:tab/>
      </w:r>
      <w:hyperlink r:id="rId3" w:history="1">
        <w:r w:rsidRPr="00DC40BE">
          <w:rPr>
            <w:rStyle w:val="Hipercze"/>
            <w:sz w:val="18"/>
            <w:lang w:val="pl-PL"/>
          </w:rPr>
          <w:t>https://www.europarl.europa.eu/doceo/document/TA-9-2023-0230_PL.html</w:t>
        </w:r>
      </w:hyperlink>
      <w:r w:rsidRPr="00DC40BE">
        <w:rPr>
          <w:sz w:val="18"/>
          <w:lang w:val="pl-PL"/>
        </w:rPr>
        <w:t xml:space="preserve"> </w:t>
      </w:r>
    </w:p>
  </w:footnote>
  <w:footnote w:id="6">
    <w:p w14:paraId="67BAAC1A" w14:textId="6A8D5C9B" w:rsidR="006D1621" w:rsidRPr="00DC40BE" w:rsidRDefault="006D1621" w:rsidP="00FC3377">
      <w:pPr>
        <w:pStyle w:val="Tekstprzypisudolnego"/>
        <w:rPr>
          <w:lang w:val="pl-PL"/>
        </w:rPr>
      </w:pPr>
      <w:r w:rsidRPr="00DC40BE">
        <w:rPr>
          <w:lang w:val="pl-PL"/>
        </w:rPr>
        <w:t>(</w:t>
      </w:r>
      <w:r w:rsidRPr="00DC40BE">
        <w:rPr>
          <w:rStyle w:val="Odwoanieprzypisudolnego"/>
          <w:lang w:val="pl-PL"/>
        </w:rPr>
        <w:footnoteRef/>
      </w:r>
      <w:r w:rsidRPr="00DC40BE">
        <w:rPr>
          <w:lang w:val="pl-PL"/>
        </w:rPr>
        <w:t>)</w:t>
      </w:r>
      <w:r w:rsidRPr="00DC40BE">
        <w:rPr>
          <w:lang w:val="pl-PL"/>
        </w:rPr>
        <w:tab/>
      </w:r>
      <w:hyperlink r:id="rId4" w:history="1">
        <w:r w:rsidRPr="00DC40BE">
          <w:rPr>
            <w:rStyle w:val="Hipercze"/>
            <w:sz w:val="18"/>
            <w:lang w:val="pl-PL"/>
          </w:rPr>
          <w:t>https://oeil.secure.europarl.europa.eu/oeil/spdoc.do?i=60031&amp;j=0&amp;l=en</w:t>
        </w:r>
      </w:hyperlink>
      <w:r w:rsidRPr="00DC40BE">
        <w:rPr>
          <w:sz w:val="18"/>
          <w:lang w:val="pl-PL"/>
        </w:rPr>
        <w:t xml:space="preserve"> </w:t>
      </w:r>
    </w:p>
  </w:footnote>
  <w:footnote w:id="7">
    <w:p w14:paraId="56701F5F" w14:textId="17BA2BA0" w:rsidR="005A4888" w:rsidRPr="00DC40BE" w:rsidRDefault="004D6D69" w:rsidP="00FC3377">
      <w:pPr>
        <w:pStyle w:val="Tekstprzypisudolnego"/>
        <w:ind w:left="360" w:hanging="360"/>
        <w:rPr>
          <w:sz w:val="18"/>
          <w:lang w:val="pl-PL"/>
        </w:rPr>
      </w:pPr>
      <w:r w:rsidRPr="00DC40BE">
        <w:rPr>
          <w:sz w:val="18"/>
          <w:lang w:val="pl-PL"/>
        </w:rPr>
        <w:t>(</w:t>
      </w:r>
      <w:r w:rsidRPr="00DC40BE">
        <w:rPr>
          <w:rStyle w:val="Odwoanieprzypisudolnego"/>
          <w:sz w:val="18"/>
          <w:lang w:val="pl-PL"/>
        </w:rPr>
        <w:footnoteRef/>
      </w:r>
      <w:r w:rsidRPr="00DC40BE">
        <w:rPr>
          <w:sz w:val="18"/>
          <w:lang w:val="pl-PL"/>
        </w:rPr>
        <w:t xml:space="preserve">) </w:t>
      </w:r>
      <w:r w:rsidRPr="00DC40BE">
        <w:rPr>
          <w:lang w:val="pl-PL"/>
        </w:rPr>
        <w:tab/>
      </w:r>
      <w:r w:rsidRPr="00DC40BE">
        <w:rPr>
          <w:sz w:val="18"/>
          <w:lang w:val="pl-PL"/>
        </w:rPr>
        <w:t xml:space="preserve">Sprawozdania dotyczące poszczególnych działań konsultacyjnych są publikowane na stronie internetowej przeglądu funkcjonowania EIO: </w:t>
      </w:r>
      <w:hyperlink r:id="rId5" w:history="1">
        <w:r w:rsidRPr="00DC40BE">
          <w:rPr>
            <w:rStyle w:val="Hipercze"/>
            <w:sz w:val="18"/>
            <w:lang w:val="pl-PL"/>
          </w:rPr>
          <w:t>https://citizens-initiative.europa.eu/2023-eci-review_pl</w:t>
        </w:r>
      </w:hyperlink>
      <w:r w:rsidRPr="00DC40BE">
        <w:rPr>
          <w:sz w:val="18"/>
          <w:lang w:val="pl-PL"/>
        </w:rPr>
        <w:t xml:space="preserve">. </w:t>
      </w:r>
    </w:p>
  </w:footnote>
  <w:footnote w:id="8">
    <w:p w14:paraId="5896936A" w14:textId="202211C6" w:rsidR="002C05DB" w:rsidRPr="00DC40BE" w:rsidRDefault="002C05DB" w:rsidP="00FC3377">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r w:rsidRPr="00DC40BE">
        <w:rPr>
          <w:sz w:val="18"/>
          <w:lang w:val="pl-PL"/>
        </w:rPr>
        <w:t xml:space="preserve">Ankieta internetowa uzupełniona dodatkowymi rozmowami doprowadziła do uzyskania 34 odpowiedzi od przedstawicieli EIO. </w:t>
      </w:r>
    </w:p>
  </w:footnote>
  <w:footnote w:id="9">
    <w:p w14:paraId="26707454" w14:textId="7DBDECE0" w:rsidR="005A4888" w:rsidRPr="00DC40BE" w:rsidRDefault="004D6D69" w:rsidP="00FC3377">
      <w:pPr>
        <w:pStyle w:val="Tekstprzypisudolnego"/>
        <w:ind w:left="360" w:hanging="360"/>
        <w:rPr>
          <w:sz w:val="18"/>
          <w:lang w:val="pl-PL"/>
        </w:rPr>
      </w:pPr>
      <w:r w:rsidRPr="00DC40BE">
        <w:rPr>
          <w:sz w:val="18"/>
          <w:lang w:val="pl-PL"/>
        </w:rPr>
        <w:t>(</w:t>
      </w:r>
      <w:r w:rsidRPr="00DC40BE">
        <w:rPr>
          <w:rStyle w:val="Odwoanieprzypisudolnego"/>
          <w:sz w:val="18"/>
          <w:lang w:val="pl-PL"/>
        </w:rPr>
        <w:footnoteRef/>
      </w:r>
      <w:r w:rsidRPr="00DC40BE">
        <w:rPr>
          <w:sz w:val="18"/>
          <w:lang w:val="pl-PL"/>
        </w:rPr>
        <w:t xml:space="preserve">) </w:t>
      </w:r>
      <w:r w:rsidRPr="00DC40BE">
        <w:rPr>
          <w:lang w:val="pl-PL"/>
        </w:rPr>
        <w:tab/>
      </w:r>
      <w:r w:rsidRPr="00DC40BE">
        <w:rPr>
          <w:sz w:val="18"/>
          <w:lang w:val="pl-PL"/>
        </w:rPr>
        <w:t>25 państw członkowskich przekazało odpowiedzi na pytania zawarte</w:t>
      </w:r>
      <w:r w:rsidR="00DC40BE" w:rsidRPr="00DC40BE">
        <w:rPr>
          <w:sz w:val="18"/>
          <w:lang w:val="pl-PL"/>
        </w:rPr>
        <w:t xml:space="preserve"> w ank</w:t>
      </w:r>
      <w:r w:rsidRPr="00DC40BE">
        <w:rPr>
          <w:sz w:val="18"/>
          <w:lang w:val="pl-PL"/>
        </w:rPr>
        <w:t>iecie.</w:t>
      </w:r>
    </w:p>
  </w:footnote>
  <w:footnote w:id="10">
    <w:p w14:paraId="0B81F1AC" w14:textId="22CC708C" w:rsidR="002C05DB" w:rsidRPr="00DC40BE" w:rsidRDefault="002C05DB" w:rsidP="00FC3377">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r w:rsidRPr="00DC40BE">
        <w:rPr>
          <w:sz w:val="18"/>
          <w:lang w:val="pl-PL"/>
        </w:rPr>
        <w:t>Otrzymano 7 271 odpowiedzi.</w:t>
      </w:r>
    </w:p>
  </w:footnote>
  <w:footnote w:id="11">
    <w:p w14:paraId="49374902" w14:textId="03DAEA83" w:rsidR="0029092A" w:rsidRPr="00DC40BE" w:rsidRDefault="0029092A" w:rsidP="00FC3377">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r w:rsidRPr="00DC40BE">
        <w:rPr>
          <w:sz w:val="18"/>
          <w:lang w:val="pl-PL"/>
        </w:rPr>
        <w:t xml:space="preserve">Otrzymano </w:t>
      </w:r>
      <w:r w:rsidRPr="00DC40BE">
        <w:rPr>
          <w:rStyle w:val="Pogrubienie"/>
          <w:b w:val="0"/>
          <w:sz w:val="18"/>
          <w:lang w:val="pl-PL"/>
        </w:rPr>
        <w:t>60 157 odpowiedzi.</w:t>
      </w:r>
      <w:r w:rsidRPr="00DC40BE">
        <w:rPr>
          <w:rStyle w:val="Pogrubienie"/>
          <w:sz w:val="18"/>
          <w:lang w:val="pl-PL"/>
        </w:rPr>
        <w:t xml:space="preserve"> </w:t>
      </w:r>
      <w:r w:rsidRPr="00DC40BE">
        <w:rPr>
          <w:sz w:val="18"/>
          <w:lang w:val="pl-PL"/>
        </w:rPr>
        <w:t>Ankieta wyjściowe to ankieta, która zostaje wyświetlona osobom odwiedzającym stronę internetową</w:t>
      </w:r>
      <w:r w:rsidR="00DC40BE" w:rsidRPr="00DC40BE">
        <w:rPr>
          <w:sz w:val="18"/>
          <w:lang w:val="pl-PL"/>
        </w:rPr>
        <w:t xml:space="preserve"> w chw</w:t>
      </w:r>
      <w:r w:rsidRPr="00DC40BE">
        <w:rPr>
          <w:sz w:val="18"/>
          <w:lang w:val="pl-PL"/>
        </w:rPr>
        <w:t xml:space="preserve">ili opuszczania przez nie tej strony. </w:t>
      </w:r>
    </w:p>
  </w:footnote>
  <w:footnote w:id="12">
    <w:p w14:paraId="432B74CF" w14:textId="29897349" w:rsidR="005A4888" w:rsidRPr="00DC40BE" w:rsidRDefault="004D6D69" w:rsidP="00FC3377">
      <w:pPr>
        <w:pStyle w:val="Tekstprzypisudolnego"/>
        <w:ind w:left="360" w:hanging="360"/>
        <w:rPr>
          <w:b/>
          <w:color w:val="515560"/>
          <w:sz w:val="18"/>
          <w:lang w:val="pl-PL"/>
        </w:rPr>
      </w:pPr>
      <w:r w:rsidRPr="00DC40BE">
        <w:rPr>
          <w:sz w:val="18"/>
          <w:lang w:val="pl-PL"/>
        </w:rPr>
        <w:t>(</w:t>
      </w:r>
      <w:r w:rsidRPr="00DC40BE">
        <w:rPr>
          <w:rStyle w:val="Odwoanieprzypisudolnego"/>
          <w:sz w:val="18"/>
          <w:lang w:val="pl-PL"/>
        </w:rPr>
        <w:footnoteRef/>
      </w:r>
      <w:r w:rsidRPr="00DC40BE">
        <w:rPr>
          <w:sz w:val="18"/>
          <w:lang w:val="pl-PL"/>
        </w:rPr>
        <w:t xml:space="preserve">) </w:t>
      </w:r>
      <w:r w:rsidRPr="00DC40BE">
        <w:rPr>
          <w:lang w:val="pl-PL"/>
        </w:rPr>
        <w:tab/>
      </w:r>
      <w:hyperlink r:id="rId6" w:history="1">
        <w:r w:rsidRPr="00DC40BE">
          <w:rPr>
            <w:rStyle w:val="Hipercze"/>
            <w:sz w:val="18"/>
            <w:lang w:val="pl-PL"/>
          </w:rPr>
          <w:t>Rozporządzenie Parlamentu Europejskiego</w:t>
        </w:r>
        <w:r w:rsidR="00DC40BE" w:rsidRPr="00DC40BE">
          <w:rPr>
            <w:rStyle w:val="Hipercze"/>
            <w:sz w:val="18"/>
            <w:lang w:val="pl-PL"/>
          </w:rPr>
          <w:t xml:space="preserve"> i Rad</w:t>
        </w:r>
        <w:r w:rsidRPr="00DC40BE">
          <w:rPr>
            <w:rStyle w:val="Hipercze"/>
            <w:sz w:val="18"/>
            <w:lang w:val="pl-PL"/>
          </w:rPr>
          <w:t>y (UE) 2020/1042</w:t>
        </w:r>
      </w:hyperlink>
      <w:r w:rsidR="00DC40BE" w:rsidRPr="00DC40BE">
        <w:rPr>
          <w:sz w:val="18"/>
          <w:lang w:val="pl-PL"/>
        </w:rPr>
        <w:t xml:space="preserve"> z dni</w:t>
      </w:r>
      <w:r w:rsidRPr="00DC40BE">
        <w:rPr>
          <w:sz w:val="18"/>
          <w:lang w:val="pl-PL"/>
        </w:rPr>
        <w:t>a 15 lipca 2020</w:t>
      </w:r>
      <w:r w:rsidR="00DC40BE" w:rsidRPr="00DC40BE">
        <w:rPr>
          <w:sz w:val="18"/>
          <w:lang w:val="pl-PL"/>
        </w:rPr>
        <w:t> </w:t>
      </w:r>
      <w:r w:rsidRPr="00DC40BE">
        <w:rPr>
          <w:sz w:val="18"/>
          <w:lang w:val="pl-PL"/>
        </w:rPr>
        <w:t>r. ustanawiające środki tymczasowe dotyczące terminów mających zastosowanie do etapów zbierania, weryfikacji</w:t>
      </w:r>
      <w:r w:rsidR="00DC40BE" w:rsidRPr="00DC40BE">
        <w:rPr>
          <w:sz w:val="18"/>
          <w:lang w:val="pl-PL"/>
        </w:rPr>
        <w:t xml:space="preserve"> i bad</w:t>
      </w:r>
      <w:r w:rsidRPr="00DC40BE">
        <w:rPr>
          <w:sz w:val="18"/>
          <w:lang w:val="pl-PL"/>
        </w:rPr>
        <w:t>ania przewidzianych</w:t>
      </w:r>
      <w:r w:rsidR="00DC40BE" w:rsidRPr="00DC40BE">
        <w:rPr>
          <w:sz w:val="18"/>
          <w:lang w:val="pl-PL"/>
        </w:rPr>
        <w:t xml:space="preserve"> w roz</w:t>
      </w:r>
      <w:r w:rsidRPr="00DC40BE">
        <w:rPr>
          <w:sz w:val="18"/>
          <w:lang w:val="pl-PL"/>
        </w:rPr>
        <w:t>porządzeniu (UE) 2019/788</w:t>
      </w:r>
      <w:r w:rsidR="00DC40BE" w:rsidRPr="00DC40BE">
        <w:rPr>
          <w:sz w:val="18"/>
          <w:lang w:val="pl-PL"/>
        </w:rPr>
        <w:t xml:space="preserve"> w spr</w:t>
      </w:r>
      <w:r w:rsidRPr="00DC40BE">
        <w:rPr>
          <w:sz w:val="18"/>
          <w:lang w:val="pl-PL"/>
        </w:rPr>
        <w:t>awie europejskiej inicjatywy obywatelskiej</w:t>
      </w:r>
      <w:r w:rsidR="00DC40BE" w:rsidRPr="00DC40BE">
        <w:rPr>
          <w:sz w:val="18"/>
          <w:lang w:val="pl-PL"/>
        </w:rPr>
        <w:t xml:space="preserve"> w zwi</w:t>
      </w:r>
      <w:r w:rsidRPr="00DC40BE">
        <w:rPr>
          <w:sz w:val="18"/>
          <w:lang w:val="pl-PL"/>
        </w:rPr>
        <w:t>ązku</w:t>
      </w:r>
      <w:r w:rsidR="00DC40BE" w:rsidRPr="00DC40BE">
        <w:rPr>
          <w:sz w:val="18"/>
          <w:lang w:val="pl-PL"/>
        </w:rPr>
        <w:t xml:space="preserve"> z wys</w:t>
      </w:r>
      <w:r w:rsidRPr="00DC40BE">
        <w:rPr>
          <w:sz w:val="18"/>
          <w:lang w:val="pl-PL"/>
        </w:rPr>
        <w:t xml:space="preserve">tąpieniem epidemii COVID-19 </w:t>
      </w:r>
      <w:r w:rsidRPr="00DC40BE">
        <w:rPr>
          <w:rStyle w:val="Hipercze"/>
          <w:sz w:val="18"/>
          <w:u w:val="none"/>
          <w:lang w:val="pl-PL"/>
        </w:rPr>
        <w:t>(</w:t>
      </w:r>
      <w:r w:rsidRPr="00DC40BE">
        <w:rPr>
          <w:rStyle w:val="Uwydatnienie"/>
          <w:i w:val="0"/>
          <w:sz w:val="18"/>
          <w:shd w:val="clear" w:color="auto" w:fill="FFFFFF"/>
          <w:lang w:val="pl-PL"/>
        </w:rPr>
        <w:t xml:space="preserve">Dz.U. </w:t>
      </w:r>
      <w:r w:rsidRPr="00DC40BE">
        <w:rPr>
          <w:rStyle w:val="Uwydatnienie"/>
          <w:i w:val="0"/>
          <w:color w:val="333333"/>
          <w:sz w:val="18"/>
          <w:shd w:val="clear" w:color="auto" w:fill="FFFFFF"/>
          <w:lang w:val="pl-PL"/>
        </w:rPr>
        <w:t>L 231</w:t>
      </w:r>
      <w:r w:rsidR="00DC40BE" w:rsidRPr="00DC40BE">
        <w:rPr>
          <w:rStyle w:val="Uwydatnienie"/>
          <w:i w:val="0"/>
          <w:color w:val="333333"/>
          <w:sz w:val="18"/>
          <w:shd w:val="clear" w:color="auto" w:fill="FFFFFF"/>
          <w:lang w:val="pl-PL"/>
        </w:rPr>
        <w:t xml:space="preserve"> z 1</w:t>
      </w:r>
      <w:r w:rsidRPr="00DC40BE">
        <w:rPr>
          <w:rStyle w:val="Uwydatnienie"/>
          <w:i w:val="0"/>
          <w:color w:val="333333"/>
          <w:sz w:val="18"/>
          <w:shd w:val="clear" w:color="auto" w:fill="FFFFFF"/>
          <w:lang w:val="pl-PL"/>
        </w:rPr>
        <w:t>7.7.2020, s. 7).</w:t>
      </w:r>
    </w:p>
  </w:footnote>
  <w:footnote w:id="13">
    <w:p w14:paraId="2AC81A9F" w14:textId="1A982C77" w:rsidR="008238AB" w:rsidRPr="00DC40BE" w:rsidRDefault="008238AB">
      <w:pPr>
        <w:pStyle w:val="Tekstprzypisudolnego"/>
        <w:rPr>
          <w:lang w:val="pl-PL"/>
        </w:rPr>
      </w:pPr>
      <w:r w:rsidRPr="00DC40BE">
        <w:rPr>
          <w:lang w:val="pl-PL"/>
        </w:rPr>
        <w:t>(</w:t>
      </w:r>
      <w:r w:rsidRPr="00DC40BE">
        <w:rPr>
          <w:rStyle w:val="Odwoanieprzypisudolnego"/>
          <w:lang w:val="pl-PL"/>
        </w:rPr>
        <w:footnoteRef/>
      </w:r>
      <w:r w:rsidRPr="00DC40BE">
        <w:rPr>
          <w:lang w:val="pl-PL"/>
        </w:rPr>
        <w:t>)</w:t>
      </w:r>
      <w:r w:rsidRPr="00DC40BE">
        <w:rPr>
          <w:lang w:val="pl-PL"/>
        </w:rPr>
        <w:tab/>
      </w:r>
      <w:r w:rsidRPr="00DC40BE">
        <w:rPr>
          <w:sz w:val="18"/>
          <w:lang w:val="pl-PL"/>
        </w:rPr>
        <w:t>Trzy wnioski są obecnie przedmiotem oceny prawnej.</w:t>
      </w:r>
    </w:p>
  </w:footnote>
  <w:footnote w:id="14">
    <w:p w14:paraId="4BBD5DBC" w14:textId="73AE7D1A" w:rsidR="000A6032" w:rsidRPr="00DC40BE" w:rsidRDefault="000A6032" w:rsidP="00FC3377">
      <w:pPr>
        <w:pStyle w:val="Tekstprzypisudolnego"/>
        <w:ind w:left="0" w:firstLine="0"/>
        <w:rPr>
          <w:sz w:val="18"/>
          <w:lang w:val="pl-PL"/>
        </w:rPr>
      </w:pPr>
      <w:r w:rsidRPr="00DC40BE">
        <w:rPr>
          <w:sz w:val="18"/>
          <w:lang w:val="pl-PL"/>
        </w:rPr>
        <w:t>(</w:t>
      </w:r>
      <w:r w:rsidRPr="00DC40BE">
        <w:rPr>
          <w:rStyle w:val="Odwoanieprzypisudolnego"/>
          <w:sz w:val="18"/>
          <w:lang w:val="pl-PL"/>
        </w:rPr>
        <w:footnoteRef/>
      </w:r>
      <w:r w:rsidRPr="00DC40BE">
        <w:rPr>
          <w:sz w:val="18"/>
          <w:lang w:val="pl-PL"/>
        </w:rPr>
        <w:t>) „Inicjatywa Eve na rzecz ustanowienia prawa do decydowania”.</w:t>
      </w:r>
    </w:p>
  </w:footnote>
  <w:footnote w:id="15">
    <w:p w14:paraId="021703FD" w14:textId="42C8BC44" w:rsidR="00716FB7" w:rsidRPr="00DC40BE" w:rsidRDefault="00716FB7" w:rsidP="00FC3377">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r w:rsidRPr="00DC40BE">
        <w:rPr>
          <w:sz w:val="18"/>
          <w:lang w:val="pl-PL"/>
        </w:rPr>
        <w:t>EIO „Stop ekstremizmowi” (zweryfikowana przed 2020</w:t>
      </w:r>
      <w:r w:rsidR="00DC40BE" w:rsidRPr="00DC40BE">
        <w:rPr>
          <w:sz w:val="18"/>
          <w:lang w:val="pl-PL"/>
        </w:rPr>
        <w:t> </w:t>
      </w:r>
      <w:r w:rsidRPr="00DC40BE">
        <w:rPr>
          <w:sz w:val="18"/>
          <w:lang w:val="pl-PL"/>
        </w:rPr>
        <w:t>r.) i EIO „Polityka spójności”.</w:t>
      </w:r>
    </w:p>
  </w:footnote>
  <w:footnote w:id="16">
    <w:p w14:paraId="14041D99" w14:textId="33945150" w:rsidR="00D2083D" w:rsidRPr="00DC40BE" w:rsidRDefault="00D2083D">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r w:rsidRPr="00DC40BE">
        <w:rPr>
          <w:sz w:val="18"/>
          <w:lang w:val="pl-PL"/>
        </w:rPr>
        <w:t>Odpowiedź na EIO „Europa wolna od futer” zostanie przyjęta do</w:t>
      </w:r>
      <w:r w:rsidR="00DC40BE" w:rsidRPr="00DC40BE">
        <w:rPr>
          <w:sz w:val="18"/>
          <w:lang w:val="pl-PL"/>
        </w:rPr>
        <w:t> </w:t>
      </w:r>
      <w:r w:rsidRPr="00DC40BE">
        <w:rPr>
          <w:sz w:val="18"/>
          <w:lang w:val="pl-PL"/>
        </w:rPr>
        <w:t>14 grudnia 2023</w:t>
      </w:r>
      <w:r w:rsidR="00DC40BE" w:rsidRPr="00DC40BE">
        <w:rPr>
          <w:sz w:val="18"/>
          <w:lang w:val="pl-PL"/>
        </w:rPr>
        <w:t> </w:t>
      </w:r>
      <w:r w:rsidRPr="00DC40BE">
        <w:rPr>
          <w:sz w:val="18"/>
          <w:lang w:val="pl-PL"/>
        </w:rPr>
        <w:t>r.</w:t>
      </w:r>
    </w:p>
  </w:footnote>
  <w:footnote w:id="17">
    <w:p w14:paraId="7F11E413" w14:textId="34EC8069" w:rsidR="00A665C5" w:rsidRPr="00DC40BE" w:rsidRDefault="00C04DA2" w:rsidP="00FC3377">
      <w:pPr>
        <w:pStyle w:val="Tekstprzypisudolnego"/>
        <w:ind w:left="375" w:hanging="375"/>
        <w:rPr>
          <w:sz w:val="18"/>
          <w:lang w:val="pl-PL"/>
        </w:rPr>
      </w:pPr>
      <w:r w:rsidRPr="00DC40BE">
        <w:rPr>
          <w:sz w:val="18"/>
          <w:lang w:val="pl-PL"/>
        </w:rPr>
        <w:t>(</w:t>
      </w:r>
      <w:r w:rsidRPr="00DC40BE">
        <w:rPr>
          <w:rStyle w:val="Odwoanieprzypisudolnego"/>
          <w:sz w:val="18"/>
          <w:lang w:val="pl-PL"/>
        </w:rPr>
        <w:footnoteRef/>
      </w:r>
      <w:r w:rsidRPr="00DC40BE">
        <w:rPr>
          <w:sz w:val="18"/>
          <w:lang w:val="pl-PL"/>
        </w:rPr>
        <w:t xml:space="preserve">) </w:t>
      </w:r>
      <w:r w:rsidRPr="00DC40BE">
        <w:rPr>
          <w:lang w:val="pl-PL"/>
        </w:rPr>
        <w:tab/>
      </w:r>
      <w:hyperlink r:id="rId7" w:history="1">
        <w:r w:rsidRPr="00DC40BE">
          <w:rPr>
            <w:rStyle w:val="Hipercze"/>
            <w:sz w:val="18"/>
            <w:lang w:val="pl-PL"/>
          </w:rPr>
          <w:t>Dyrektywa Parlamentu Europejskiego</w:t>
        </w:r>
        <w:r w:rsidR="00DC40BE" w:rsidRPr="00DC40BE">
          <w:rPr>
            <w:rStyle w:val="Hipercze"/>
            <w:sz w:val="18"/>
            <w:lang w:val="pl-PL"/>
          </w:rPr>
          <w:t xml:space="preserve"> i Rad</w:t>
        </w:r>
        <w:r w:rsidRPr="00DC40BE">
          <w:rPr>
            <w:rStyle w:val="Hipercze"/>
            <w:sz w:val="18"/>
            <w:lang w:val="pl-PL"/>
          </w:rPr>
          <w:t>y (UE) 2020/2184</w:t>
        </w:r>
      </w:hyperlink>
      <w:r w:rsidR="00DC40BE" w:rsidRPr="00DC40BE">
        <w:rPr>
          <w:sz w:val="18"/>
          <w:lang w:val="pl-PL"/>
        </w:rPr>
        <w:t xml:space="preserve"> z dni</w:t>
      </w:r>
      <w:r w:rsidRPr="00DC40BE">
        <w:rPr>
          <w:sz w:val="18"/>
          <w:lang w:val="pl-PL"/>
        </w:rPr>
        <w:t>a 16 grudnia 2020</w:t>
      </w:r>
      <w:r w:rsidR="00DC40BE" w:rsidRPr="00DC40BE">
        <w:rPr>
          <w:sz w:val="18"/>
          <w:lang w:val="pl-PL"/>
        </w:rPr>
        <w:t> </w:t>
      </w:r>
      <w:r w:rsidRPr="00DC40BE">
        <w:rPr>
          <w:sz w:val="18"/>
          <w:lang w:val="pl-PL"/>
        </w:rPr>
        <w:t>r.</w:t>
      </w:r>
      <w:r w:rsidR="00DC40BE" w:rsidRPr="00DC40BE">
        <w:rPr>
          <w:sz w:val="18"/>
          <w:lang w:val="pl-PL"/>
        </w:rPr>
        <w:t xml:space="preserve"> w spr</w:t>
      </w:r>
      <w:r w:rsidRPr="00DC40BE">
        <w:rPr>
          <w:sz w:val="18"/>
          <w:lang w:val="pl-PL"/>
        </w:rPr>
        <w:t>awie jakości wody przeznaczonej do spożycia przez ludzi (wersja przekształcona) (</w:t>
      </w:r>
      <w:r w:rsidRPr="00DC40BE">
        <w:rPr>
          <w:lang w:val="pl-PL"/>
        </w:rPr>
        <w:t>Dz.U. L 435</w:t>
      </w:r>
      <w:r w:rsidR="00DC40BE" w:rsidRPr="00DC40BE">
        <w:rPr>
          <w:lang w:val="pl-PL"/>
        </w:rPr>
        <w:t xml:space="preserve"> z 2</w:t>
      </w:r>
      <w:r w:rsidRPr="00DC40BE">
        <w:rPr>
          <w:lang w:val="pl-PL"/>
        </w:rPr>
        <w:t>3.12.2020, s. 1</w:t>
      </w:r>
      <w:r w:rsidRPr="00DC40BE">
        <w:rPr>
          <w:sz w:val="18"/>
          <w:lang w:val="pl-PL"/>
        </w:rPr>
        <w:t>).</w:t>
      </w:r>
    </w:p>
  </w:footnote>
  <w:footnote w:id="18">
    <w:p w14:paraId="506F5403" w14:textId="42818C26" w:rsidR="005A4888" w:rsidRPr="00DC40BE" w:rsidRDefault="004D6D69" w:rsidP="00FC3377">
      <w:pPr>
        <w:pStyle w:val="Tekstprzypisudolnego"/>
        <w:ind w:left="360" w:hanging="360"/>
        <w:rPr>
          <w:color w:val="FF0000"/>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hyperlink r:id="rId8" w:history="1">
        <w:r w:rsidRPr="00DC40BE">
          <w:rPr>
            <w:rStyle w:val="Hipercze"/>
            <w:sz w:val="18"/>
            <w:lang w:val="pl-PL"/>
          </w:rPr>
          <w:t>Rozporządzenie Parlamentu Europejskiego</w:t>
        </w:r>
        <w:r w:rsidR="00DC40BE" w:rsidRPr="00DC40BE">
          <w:rPr>
            <w:rStyle w:val="Hipercze"/>
            <w:sz w:val="18"/>
            <w:lang w:val="pl-PL"/>
          </w:rPr>
          <w:t xml:space="preserve"> i Rad</w:t>
        </w:r>
        <w:r w:rsidRPr="00DC40BE">
          <w:rPr>
            <w:rStyle w:val="Hipercze"/>
            <w:sz w:val="18"/>
            <w:lang w:val="pl-PL"/>
          </w:rPr>
          <w:t>y (UE) 2019/1381</w:t>
        </w:r>
      </w:hyperlink>
      <w:r w:rsidR="00DC40BE" w:rsidRPr="00DC40BE">
        <w:rPr>
          <w:sz w:val="18"/>
          <w:lang w:val="pl-PL"/>
        </w:rPr>
        <w:t xml:space="preserve"> z dni</w:t>
      </w:r>
      <w:r w:rsidRPr="00DC40BE">
        <w:rPr>
          <w:sz w:val="18"/>
          <w:lang w:val="pl-PL"/>
        </w:rPr>
        <w:t>a 20 czerwca 2019</w:t>
      </w:r>
      <w:r w:rsidR="00DC40BE" w:rsidRPr="00DC40BE">
        <w:rPr>
          <w:sz w:val="18"/>
          <w:lang w:val="pl-PL"/>
        </w:rPr>
        <w:t> </w:t>
      </w:r>
      <w:r w:rsidRPr="00DC40BE">
        <w:rPr>
          <w:sz w:val="18"/>
          <w:lang w:val="pl-PL"/>
        </w:rPr>
        <w:t>r.</w:t>
      </w:r>
      <w:r w:rsidR="00DC40BE" w:rsidRPr="00DC40BE">
        <w:rPr>
          <w:sz w:val="18"/>
          <w:lang w:val="pl-PL"/>
        </w:rPr>
        <w:t xml:space="preserve"> w spr</w:t>
      </w:r>
      <w:r w:rsidRPr="00DC40BE">
        <w:rPr>
          <w:sz w:val="18"/>
          <w:lang w:val="pl-PL"/>
        </w:rPr>
        <w:t>awie przejrzystości</w:t>
      </w:r>
      <w:r w:rsidR="00DC40BE" w:rsidRPr="00DC40BE">
        <w:rPr>
          <w:sz w:val="18"/>
          <w:lang w:val="pl-PL"/>
        </w:rPr>
        <w:t xml:space="preserve"> i zró</w:t>
      </w:r>
      <w:r w:rsidRPr="00DC40BE">
        <w:rPr>
          <w:sz w:val="18"/>
          <w:lang w:val="pl-PL"/>
        </w:rPr>
        <w:t>wnoważonego charakteru unijnej oceny ryzyka</w:t>
      </w:r>
      <w:r w:rsidR="00DC40BE" w:rsidRPr="00DC40BE">
        <w:rPr>
          <w:sz w:val="18"/>
          <w:lang w:val="pl-PL"/>
        </w:rPr>
        <w:t xml:space="preserve"> w łań</w:t>
      </w:r>
      <w:r w:rsidRPr="00DC40BE">
        <w:rPr>
          <w:sz w:val="18"/>
          <w:lang w:val="pl-PL"/>
        </w:rPr>
        <w:t>cuchu żywnościowym (Dz.U. L 231</w:t>
      </w:r>
      <w:r w:rsidR="00DC40BE" w:rsidRPr="00DC40BE">
        <w:rPr>
          <w:sz w:val="18"/>
          <w:lang w:val="pl-PL"/>
        </w:rPr>
        <w:t xml:space="preserve"> z 6</w:t>
      </w:r>
      <w:r w:rsidRPr="00DC40BE">
        <w:rPr>
          <w:sz w:val="18"/>
          <w:lang w:val="pl-PL"/>
        </w:rPr>
        <w:t xml:space="preserve">.9.2019, s. 1). </w:t>
      </w:r>
    </w:p>
  </w:footnote>
  <w:footnote w:id="19">
    <w:p w14:paraId="59F6DBA4" w14:textId="6D3E4C93" w:rsidR="005A4888" w:rsidRPr="00DC40BE" w:rsidRDefault="004D6D69" w:rsidP="00FC3377">
      <w:pPr>
        <w:pStyle w:val="Tekstprzypisudolnego"/>
        <w:ind w:left="360" w:hanging="360"/>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r w:rsidRPr="00DC40BE">
        <w:rPr>
          <w:sz w:val="18"/>
          <w:lang w:val="pl-PL"/>
        </w:rPr>
        <w:t>Usługa wymiany plików ułatwia bezpieczne przekazywanie deklaracji poparcia organom krajowym.</w:t>
      </w:r>
    </w:p>
  </w:footnote>
  <w:footnote w:id="20">
    <w:p w14:paraId="51A9C0A6" w14:textId="0A0C8497" w:rsidR="007D4E0C" w:rsidRPr="00DC40BE" w:rsidRDefault="007D4E0C" w:rsidP="00FC3377">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hyperlink r:id="rId9" w:history="1">
        <w:r w:rsidRPr="00DC40BE">
          <w:rPr>
            <w:rStyle w:val="Hipercze"/>
            <w:sz w:val="18"/>
            <w:lang w:val="pl-PL"/>
          </w:rPr>
          <w:t>https://citizens-initiative.europa.eu/_pl</w:t>
        </w:r>
      </w:hyperlink>
    </w:p>
  </w:footnote>
  <w:footnote w:id="21">
    <w:p w14:paraId="6E5519A3" w14:textId="5475332C" w:rsidR="005A4888" w:rsidRPr="00DC40BE" w:rsidRDefault="004D6D69" w:rsidP="00FC3377">
      <w:pPr>
        <w:pStyle w:val="Tekstprzypisudolnego"/>
        <w:ind w:left="360" w:hanging="360"/>
        <w:rPr>
          <w:sz w:val="18"/>
          <w:lang w:val="pl-PL"/>
        </w:rPr>
      </w:pPr>
      <w:r w:rsidRPr="00DC40BE">
        <w:rPr>
          <w:sz w:val="18"/>
          <w:lang w:val="pl-PL"/>
        </w:rPr>
        <w:t>(</w:t>
      </w:r>
      <w:r w:rsidRPr="00DC40BE">
        <w:rPr>
          <w:rStyle w:val="Odwoanieprzypisudolnego"/>
          <w:sz w:val="18"/>
          <w:lang w:val="pl-PL"/>
        </w:rPr>
        <w:footnoteRef/>
      </w:r>
      <w:r w:rsidRPr="00DC40BE">
        <w:rPr>
          <w:sz w:val="18"/>
          <w:lang w:val="pl-PL"/>
        </w:rPr>
        <w:t xml:space="preserve">) </w:t>
      </w:r>
      <w:r w:rsidRPr="00DC40BE">
        <w:rPr>
          <w:lang w:val="pl-PL"/>
        </w:rPr>
        <w:tab/>
      </w:r>
      <w:r w:rsidRPr="00DC40BE">
        <w:rPr>
          <w:sz w:val="18"/>
          <w:lang w:val="pl-PL"/>
        </w:rPr>
        <w:t>W praktyce EIO korzystały</w:t>
      </w:r>
      <w:r w:rsidR="00DC40BE" w:rsidRPr="00DC40BE">
        <w:rPr>
          <w:sz w:val="18"/>
          <w:lang w:val="pl-PL"/>
        </w:rPr>
        <w:t xml:space="preserve"> z jed</w:t>
      </w:r>
      <w:r w:rsidRPr="00DC40BE">
        <w:rPr>
          <w:sz w:val="18"/>
          <w:lang w:val="pl-PL"/>
        </w:rPr>
        <w:t>nego takiego systemu – oprogramowania OpenECI</w:t>
      </w:r>
      <w:r w:rsidRPr="00DC40BE">
        <w:rPr>
          <w:b/>
          <w:sz w:val="18"/>
          <w:lang w:val="pl-PL"/>
        </w:rPr>
        <w:t xml:space="preserve"> </w:t>
      </w:r>
      <w:r w:rsidRPr="00DC40BE">
        <w:rPr>
          <w:sz w:val="18"/>
          <w:lang w:val="pl-PL"/>
        </w:rPr>
        <w:t>– oferowanego przez organizacje społeczeństwa obywatelskiego. Okres zbierania deklaracji przez ostatnią EIO korzystającą</w:t>
      </w:r>
      <w:r w:rsidR="00DC40BE" w:rsidRPr="00DC40BE">
        <w:rPr>
          <w:sz w:val="18"/>
          <w:lang w:val="pl-PL"/>
        </w:rPr>
        <w:t xml:space="preserve"> z teg</w:t>
      </w:r>
      <w:r w:rsidRPr="00DC40BE">
        <w:rPr>
          <w:sz w:val="18"/>
          <w:lang w:val="pl-PL"/>
        </w:rPr>
        <w:t>o systemu zakończył się</w:t>
      </w:r>
      <w:r w:rsidR="00DC40BE" w:rsidRPr="00DC40BE">
        <w:rPr>
          <w:sz w:val="18"/>
          <w:lang w:val="pl-PL"/>
        </w:rPr>
        <w:t> </w:t>
      </w:r>
      <w:r w:rsidRPr="00DC40BE">
        <w:rPr>
          <w:sz w:val="18"/>
          <w:lang w:val="pl-PL"/>
        </w:rPr>
        <w:t>19 lipca 2023</w:t>
      </w:r>
      <w:r w:rsidR="00DC40BE" w:rsidRPr="00DC40BE">
        <w:rPr>
          <w:sz w:val="18"/>
          <w:lang w:val="pl-PL"/>
        </w:rPr>
        <w:t> </w:t>
      </w:r>
      <w:r w:rsidRPr="00DC40BE">
        <w:rPr>
          <w:sz w:val="18"/>
          <w:lang w:val="pl-PL"/>
        </w:rPr>
        <w:t>r.</w:t>
      </w:r>
    </w:p>
  </w:footnote>
  <w:footnote w:id="22">
    <w:p w14:paraId="51C5741B" w14:textId="08865534" w:rsidR="005A4888" w:rsidRPr="00DC40BE" w:rsidRDefault="004D6D69" w:rsidP="00FC3377">
      <w:pPr>
        <w:pStyle w:val="Tekstprzypisudolnego"/>
        <w:ind w:left="360" w:hanging="360"/>
        <w:rPr>
          <w:sz w:val="18"/>
          <w:lang w:val="pl-PL"/>
        </w:rPr>
      </w:pPr>
      <w:r w:rsidRPr="00DC40BE">
        <w:rPr>
          <w:sz w:val="18"/>
          <w:lang w:val="pl-PL"/>
        </w:rPr>
        <w:t>(</w:t>
      </w:r>
      <w:r w:rsidRPr="00DC40BE">
        <w:rPr>
          <w:rStyle w:val="Odwoanieprzypisudolnego"/>
          <w:sz w:val="18"/>
          <w:lang w:val="pl-PL"/>
        </w:rPr>
        <w:footnoteRef/>
      </w:r>
      <w:r w:rsidRPr="00DC40BE">
        <w:rPr>
          <w:sz w:val="18"/>
          <w:lang w:val="pl-PL"/>
        </w:rPr>
        <w:t>) 12 spośród 16 respondentów, którzy wzięli udział</w:t>
      </w:r>
      <w:r w:rsidR="00DC40BE" w:rsidRPr="00DC40BE">
        <w:rPr>
          <w:sz w:val="18"/>
          <w:lang w:val="pl-PL"/>
        </w:rPr>
        <w:t xml:space="preserve"> w ank</w:t>
      </w:r>
      <w:r w:rsidRPr="00DC40BE">
        <w:rPr>
          <w:sz w:val="18"/>
          <w:lang w:val="pl-PL"/>
        </w:rPr>
        <w:t>iecie.</w:t>
      </w:r>
    </w:p>
  </w:footnote>
  <w:footnote w:id="23">
    <w:p w14:paraId="53937AE8" w14:textId="0DF18C8E" w:rsidR="003154A0" w:rsidRPr="00DC40BE" w:rsidRDefault="003154A0" w:rsidP="00FC3377">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r w:rsidRPr="00DC40BE">
        <w:rPr>
          <w:sz w:val="18"/>
          <w:lang w:val="pl-PL"/>
        </w:rPr>
        <w:t>Informacje na temat wszystkich państw członkowskich przedstawiono na wykresie 4</w:t>
      </w:r>
      <w:r w:rsidR="00DC40BE" w:rsidRPr="00DC40BE">
        <w:rPr>
          <w:sz w:val="18"/>
          <w:lang w:val="pl-PL"/>
        </w:rPr>
        <w:t xml:space="preserve"> w zał</w:t>
      </w:r>
      <w:r w:rsidRPr="00DC40BE">
        <w:rPr>
          <w:sz w:val="18"/>
          <w:lang w:val="pl-PL"/>
        </w:rPr>
        <w:t>ączniku.</w:t>
      </w:r>
    </w:p>
  </w:footnote>
  <w:footnote w:id="24">
    <w:p w14:paraId="56DB6DF1" w14:textId="6C52B58A" w:rsidR="00DB4CB1" w:rsidRPr="00DC40BE" w:rsidRDefault="00DB4CB1" w:rsidP="00FC3377">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r w:rsidRPr="00DC40BE">
        <w:rPr>
          <w:sz w:val="18"/>
          <w:lang w:val="pl-PL"/>
        </w:rPr>
        <w:t>Art. 6 ust.</w:t>
      </w:r>
      <w:r w:rsidR="00DC40BE" w:rsidRPr="00DC40BE">
        <w:rPr>
          <w:sz w:val="18"/>
          <w:lang w:val="pl-PL"/>
        </w:rPr>
        <w:t> </w:t>
      </w:r>
      <w:r w:rsidRPr="00DC40BE">
        <w:rPr>
          <w:sz w:val="18"/>
          <w:lang w:val="pl-PL"/>
        </w:rPr>
        <w:t>4 rozporządzenia</w:t>
      </w:r>
      <w:r w:rsidR="00DC40BE" w:rsidRPr="00DC40BE">
        <w:rPr>
          <w:sz w:val="18"/>
          <w:lang w:val="pl-PL"/>
        </w:rPr>
        <w:t xml:space="preserve"> w spr</w:t>
      </w:r>
      <w:r w:rsidRPr="00DC40BE">
        <w:rPr>
          <w:sz w:val="18"/>
          <w:lang w:val="pl-PL"/>
        </w:rPr>
        <w:t>awie EIO stanowi, że</w:t>
      </w:r>
      <w:r w:rsidR="00DC40BE" w:rsidRPr="00DC40BE">
        <w:rPr>
          <w:sz w:val="18"/>
          <w:lang w:val="pl-PL"/>
        </w:rPr>
        <w:t xml:space="preserve"> w prz</w:t>
      </w:r>
      <w:r w:rsidRPr="00DC40BE">
        <w:rPr>
          <w:sz w:val="18"/>
          <w:lang w:val="pl-PL"/>
        </w:rPr>
        <w:t>ypadku spełnienia wszystkich warunków rejestracji EIO</w:t>
      </w:r>
      <w:r w:rsidR="00DC40BE" w:rsidRPr="00DC40BE">
        <w:rPr>
          <w:sz w:val="18"/>
          <w:lang w:val="pl-PL"/>
        </w:rPr>
        <w:t xml:space="preserve"> z wyj</w:t>
      </w:r>
      <w:r w:rsidRPr="00DC40BE">
        <w:rPr>
          <w:sz w:val="18"/>
          <w:lang w:val="pl-PL"/>
        </w:rPr>
        <w:t>ątkiem warunku, zgodnie</w:t>
      </w:r>
      <w:r w:rsidR="00DC40BE" w:rsidRPr="00DC40BE">
        <w:rPr>
          <w:sz w:val="18"/>
          <w:lang w:val="pl-PL"/>
        </w:rPr>
        <w:t xml:space="preserve"> z któ</w:t>
      </w:r>
      <w:r w:rsidRPr="00DC40BE">
        <w:rPr>
          <w:sz w:val="18"/>
          <w:lang w:val="pl-PL"/>
        </w:rPr>
        <w:t>rym „żadna</w:t>
      </w:r>
      <w:r w:rsidR="00DC40BE" w:rsidRPr="00DC40BE">
        <w:rPr>
          <w:sz w:val="18"/>
          <w:lang w:val="pl-PL"/>
        </w:rPr>
        <w:t xml:space="preserve"> z czę</w:t>
      </w:r>
      <w:r w:rsidRPr="00DC40BE">
        <w:rPr>
          <w:sz w:val="18"/>
          <w:lang w:val="pl-PL"/>
        </w:rPr>
        <w:t>ści inicjatywy nie wykracza</w:t>
      </w:r>
      <w:r w:rsidR="00DC40BE" w:rsidRPr="00DC40BE">
        <w:rPr>
          <w:sz w:val="18"/>
          <w:lang w:val="pl-PL"/>
        </w:rPr>
        <w:t xml:space="preserve"> w spo</w:t>
      </w:r>
      <w:r w:rsidRPr="00DC40BE">
        <w:rPr>
          <w:sz w:val="18"/>
          <w:lang w:val="pl-PL"/>
        </w:rPr>
        <w:t>sób oczywisty poza uprawnienia Komisji</w:t>
      </w:r>
      <w:r w:rsidR="00DC40BE" w:rsidRPr="00DC40BE">
        <w:rPr>
          <w:sz w:val="18"/>
          <w:lang w:val="pl-PL"/>
        </w:rPr>
        <w:t xml:space="preserve"> w zak</w:t>
      </w:r>
      <w:r w:rsidRPr="00DC40BE">
        <w:rPr>
          <w:sz w:val="18"/>
          <w:lang w:val="pl-PL"/>
        </w:rPr>
        <w:t>resie przedkładania wniosku dotyczącego aktu prawnego Unii</w:t>
      </w:r>
      <w:r w:rsidR="00DC40BE" w:rsidRPr="00DC40BE">
        <w:rPr>
          <w:sz w:val="18"/>
          <w:lang w:val="pl-PL"/>
        </w:rPr>
        <w:t xml:space="preserve"> w cel</w:t>
      </w:r>
      <w:r w:rsidRPr="00DC40BE">
        <w:rPr>
          <w:sz w:val="18"/>
          <w:lang w:val="pl-PL"/>
        </w:rPr>
        <w:t>u wprowadzenia</w:t>
      </w:r>
      <w:r w:rsidR="00DC40BE" w:rsidRPr="00DC40BE">
        <w:rPr>
          <w:sz w:val="18"/>
          <w:lang w:val="pl-PL"/>
        </w:rPr>
        <w:t xml:space="preserve"> w życ</w:t>
      </w:r>
      <w:r w:rsidRPr="00DC40BE">
        <w:rPr>
          <w:sz w:val="18"/>
          <w:lang w:val="pl-PL"/>
        </w:rPr>
        <w:t>ie Traktatów” (art.</w:t>
      </w:r>
      <w:r w:rsidR="00DC40BE" w:rsidRPr="00DC40BE">
        <w:rPr>
          <w:sz w:val="18"/>
          <w:lang w:val="pl-PL"/>
        </w:rPr>
        <w:t> </w:t>
      </w:r>
      <w:r w:rsidRPr="00DC40BE">
        <w:rPr>
          <w:sz w:val="18"/>
          <w:lang w:val="pl-PL"/>
        </w:rPr>
        <w:t>6 ust.</w:t>
      </w:r>
      <w:r w:rsidR="00DC40BE" w:rsidRPr="00DC40BE">
        <w:rPr>
          <w:sz w:val="18"/>
          <w:lang w:val="pl-PL"/>
        </w:rPr>
        <w:t> </w:t>
      </w:r>
      <w:r w:rsidRPr="00DC40BE">
        <w:rPr>
          <w:sz w:val="18"/>
          <w:lang w:val="pl-PL"/>
        </w:rPr>
        <w:t>3 akapit pierwszy lic. c)), Komisja musi poinformować organizatorów</w:t>
      </w:r>
      <w:r w:rsidR="00DC40BE" w:rsidRPr="00DC40BE">
        <w:rPr>
          <w:sz w:val="18"/>
          <w:lang w:val="pl-PL"/>
        </w:rPr>
        <w:t xml:space="preserve"> o wyn</w:t>
      </w:r>
      <w:r w:rsidRPr="00DC40BE">
        <w:rPr>
          <w:sz w:val="18"/>
          <w:lang w:val="pl-PL"/>
        </w:rPr>
        <w:t>iku przeprowadzonej przez siebie oceny</w:t>
      </w:r>
      <w:r w:rsidR="00DC40BE" w:rsidRPr="00DC40BE">
        <w:rPr>
          <w:sz w:val="18"/>
          <w:lang w:val="pl-PL"/>
        </w:rPr>
        <w:t xml:space="preserve"> w tym</w:t>
      </w:r>
      <w:r w:rsidRPr="00DC40BE">
        <w:rPr>
          <w:sz w:val="18"/>
          <w:lang w:val="pl-PL"/>
        </w:rPr>
        <w:t xml:space="preserve"> zakresie. Organizatorzy mogą wprowadzić zmiany</w:t>
      </w:r>
      <w:r w:rsidR="00DC40BE" w:rsidRPr="00DC40BE">
        <w:rPr>
          <w:sz w:val="18"/>
          <w:lang w:val="pl-PL"/>
        </w:rPr>
        <w:t xml:space="preserve"> w swo</w:t>
      </w:r>
      <w:r w:rsidRPr="00DC40BE">
        <w:rPr>
          <w:sz w:val="18"/>
          <w:lang w:val="pl-PL"/>
        </w:rPr>
        <w:t>jej inicjatywie</w:t>
      </w:r>
      <w:r w:rsidR="00DC40BE" w:rsidRPr="00DC40BE">
        <w:rPr>
          <w:sz w:val="18"/>
          <w:lang w:val="pl-PL"/>
        </w:rPr>
        <w:t xml:space="preserve"> w cel</w:t>
      </w:r>
      <w:r w:rsidRPr="00DC40BE">
        <w:rPr>
          <w:sz w:val="18"/>
          <w:lang w:val="pl-PL"/>
        </w:rPr>
        <w:t>u uwzględnienia wyników oceny przeprowadzonej przez Komisję, zachować inicjatywę</w:t>
      </w:r>
      <w:r w:rsidR="00DC40BE" w:rsidRPr="00DC40BE">
        <w:rPr>
          <w:sz w:val="18"/>
          <w:lang w:val="pl-PL"/>
        </w:rPr>
        <w:t xml:space="preserve"> w nie</w:t>
      </w:r>
      <w:r w:rsidRPr="00DC40BE">
        <w:rPr>
          <w:sz w:val="18"/>
          <w:lang w:val="pl-PL"/>
        </w:rPr>
        <w:t>zmienionej formie albo ją wycofać. Organizatorzy muszą poinformować Komisję</w:t>
      </w:r>
      <w:r w:rsidR="00DC40BE" w:rsidRPr="00DC40BE">
        <w:rPr>
          <w:sz w:val="18"/>
          <w:lang w:val="pl-PL"/>
        </w:rPr>
        <w:t xml:space="preserve"> o swo</w:t>
      </w:r>
      <w:r w:rsidRPr="00DC40BE">
        <w:rPr>
          <w:sz w:val="18"/>
          <w:lang w:val="pl-PL"/>
        </w:rPr>
        <w:t>im wyborze i,</w:t>
      </w:r>
      <w:r w:rsidR="00DC40BE" w:rsidRPr="00DC40BE">
        <w:rPr>
          <w:sz w:val="18"/>
          <w:lang w:val="pl-PL"/>
        </w:rPr>
        <w:t xml:space="preserve"> w sto</w:t>
      </w:r>
      <w:r w:rsidRPr="00DC40BE">
        <w:rPr>
          <w:sz w:val="18"/>
          <w:lang w:val="pl-PL"/>
        </w:rPr>
        <w:t>sownych przypadkach, przedłożyć zmiany</w:t>
      </w:r>
      <w:r w:rsidR="00DC40BE" w:rsidRPr="00DC40BE">
        <w:rPr>
          <w:sz w:val="18"/>
          <w:lang w:val="pl-PL"/>
        </w:rPr>
        <w:t xml:space="preserve"> w pie</w:t>
      </w:r>
      <w:r w:rsidRPr="00DC40BE">
        <w:rPr>
          <w:sz w:val="18"/>
          <w:lang w:val="pl-PL"/>
        </w:rPr>
        <w:t>rwotnej inicjatywie.</w:t>
      </w:r>
    </w:p>
  </w:footnote>
  <w:footnote w:id="25">
    <w:p w14:paraId="072D3D48" w14:textId="54C15C35" w:rsidR="003301DF" w:rsidRPr="00DC40BE" w:rsidRDefault="003301DF" w:rsidP="00FC3377">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r w:rsidRPr="00DC40BE">
        <w:rPr>
          <w:sz w:val="18"/>
          <w:lang w:val="pl-PL"/>
        </w:rPr>
        <w:t>10 spośród 12 odpowiedzi było związane</w:t>
      </w:r>
      <w:r w:rsidR="00DC40BE" w:rsidRPr="00DC40BE">
        <w:rPr>
          <w:sz w:val="18"/>
          <w:lang w:val="pl-PL"/>
        </w:rPr>
        <w:t xml:space="preserve"> z ini</w:t>
      </w:r>
      <w:r w:rsidRPr="00DC40BE">
        <w:rPr>
          <w:sz w:val="18"/>
          <w:lang w:val="pl-PL"/>
        </w:rPr>
        <w:t>cjatywami zarejestrowanymi po</w:t>
      </w:r>
      <w:r w:rsidR="00DC40BE" w:rsidRPr="00DC40BE">
        <w:rPr>
          <w:sz w:val="18"/>
          <w:lang w:val="pl-PL"/>
        </w:rPr>
        <w:t> </w:t>
      </w:r>
      <w:r w:rsidRPr="00DC40BE">
        <w:rPr>
          <w:sz w:val="18"/>
          <w:lang w:val="pl-PL"/>
        </w:rPr>
        <w:t>1 stycznia 2020</w:t>
      </w:r>
      <w:r w:rsidR="00DC40BE" w:rsidRPr="00DC40BE">
        <w:rPr>
          <w:sz w:val="18"/>
          <w:lang w:val="pl-PL"/>
        </w:rPr>
        <w:t> </w:t>
      </w:r>
      <w:r w:rsidRPr="00DC40BE">
        <w:rPr>
          <w:sz w:val="18"/>
          <w:lang w:val="pl-PL"/>
        </w:rPr>
        <w:t>r.</w:t>
      </w:r>
    </w:p>
  </w:footnote>
  <w:footnote w:id="26">
    <w:p w14:paraId="0C0A173A" w14:textId="42852408" w:rsidR="003301DF" w:rsidRPr="00DC40BE" w:rsidRDefault="003301DF" w:rsidP="00FC3377">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r w:rsidRPr="00DC40BE">
        <w:rPr>
          <w:sz w:val="18"/>
          <w:lang w:val="pl-PL"/>
        </w:rPr>
        <w:t>10 spośród 12 odpowiedzi było związane</w:t>
      </w:r>
      <w:r w:rsidR="00DC40BE" w:rsidRPr="00DC40BE">
        <w:rPr>
          <w:sz w:val="18"/>
          <w:lang w:val="pl-PL"/>
        </w:rPr>
        <w:t xml:space="preserve"> z ini</w:t>
      </w:r>
      <w:r w:rsidRPr="00DC40BE">
        <w:rPr>
          <w:sz w:val="18"/>
          <w:lang w:val="pl-PL"/>
        </w:rPr>
        <w:t>cjatywami zarejestrowanymi po</w:t>
      </w:r>
      <w:r w:rsidR="00DC40BE" w:rsidRPr="00DC40BE">
        <w:rPr>
          <w:sz w:val="18"/>
          <w:lang w:val="pl-PL"/>
        </w:rPr>
        <w:t> </w:t>
      </w:r>
      <w:r w:rsidRPr="00DC40BE">
        <w:rPr>
          <w:sz w:val="18"/>
          <w:lang w:val="pl-PL"/>
        </w:rPr>
        <w:t>1 stycznia 2020</w:t>
      </w:r>
      <w:r w:rsidR="00DC40BE" w:rsidRPr="00DC40BE">
        <w:rPr>
          <w:sz w:val="18"/>
          <w:lang w:val="pl-PL"/>
        </w:rPr>
        <w:t> </w:t>
      </w:r>
      <w:r w:rsidRPr="00DC40BE">
        <w:rPr>
          <w:sz w:val="18"/>
          <w:lang w:val="pl-PL"/>
        </w:rPr>
        <w:t>r.</w:t>
      </w:r>
    </w:p>
  </w:footnote>
  <w:footnote w:id="27">
    <w:p w14:paraId="1F040D3F" w14:textId="4A61ECD7" w:rsidR="005A4888" w:rsidRPr="00DC40BE" w:rsidRDefault="004D6D69" w:rsidP="00FC3377">
      <w:pPr>
        <w:pStyle w:val="Tekstprzypisudolnego"/>
        <w:ind w:left="360" w:hanging="360"/>
        <w:rPr>
          <w:sz w:val="18"/>
          <w:lang w:val="pl-PL"/>
        </w:rPr>
      </w:pPr>
      <w:r w:rsidRPr="00DC40BE">
        <w:rPr>
          <w:sz w:val="18"/>
          <w:lang w:val="pl-PL"/>
        </w:rPr>
        <w:t>(</w:t>
      </w:r>
      <w:r w:rsidRPr="00DC40BE">
        <w:rPr>
          <w:rStyle w:val="Odwoanieprzypisudolnego"/>
          <w:sz w:val="18"/>
          <w:lang w:val="pl-PL"/>
        </w:rPr>
        <w:footnoteRef/>
      </w:r>
      <w:r w:rsidRPr="00DC40BE">
        <w:rPr>
          <w:sz w:val="18"/>
          <w:lang w:val="pl-PL"/>
        </w:rPr>
        <w:t xml:space="preserve">) </w:t>
      </w:r>
      <w:r w:rsidRPr="00DC40BE">
        <w:rPr>
          <w:lang w:val="pl-PL"/>
        </w:rPr>
        <w:tab/>
      </w:r>
      <w:r w:rsidRPr="00DC40BE">
        <w:rPr>
          <w:sz w:val="18"/>
          <w:lang w:val="pl-PL"/>
        </w:rPr>
        <w:t>Forum europejskiej inicjatywy obywatelskiej może wspierać organizatorów na etapie rejestracji poprzez udzielanie im porad prawnych,</w:t>
      </w:r>
      <w:r w:rsidR="00DC40BE" w:rsidRPr="00DC40BE">
        <w:rPr>
          <w:sz w:val="18"/>
          <w:lang w:val="pl-PL"/>
        </w:rPr>
        <w:t xml:space="preserve"> w szc</w:t>
      </w:r>
      <w:r w:rsidRPr="00DC40BE">
        <w:rPr>
          <w:sz w:val="18"/>
          <w:lang w:val="pl-PL"/>
        </w:rPr>
        <w:t>zególności</w:t>
      </w:r>
      <w:r w:rsidR="00DC40BE" w:rsidRPr="00DC40BE">
        <w:rPr>
          <w:sz w:val="18"/>
          <w:lang w:val="pl-PL"/>
        </w:rPr>
        <w:t xml:space="preserve"> w kwe</w:t>
      </w:r>
      <w:r w:rsidRPr="00DC40BE">
        <w:rPr>
          <w:sz w:val="18"/>
          <w:lang w:val="pl-PL"/>
        </w:rPr>
        <w:t>stiach dotyczących uprawnień Komisji</w:t>
      </w:r>
      <w:r w:rsidR="00DC40BE" w:rsidRPr="00DC40BE">
        <w:rPr>
          <w:sz w:val="18"/>
          <w:lang w:val="pl-PL"/>
        </w:rPr>
        <w:t xml:space="preserve"> w zak</w:t>
      </w:r>
      <w:r w:rsidRPr="00DC40BE">
        <w:rPr>
          <w:sz w:val="18"/>
          <w:lang w:val="pl-PL"/>
        </w:rPr>
        <w:t>resie przyjmowania aktów prawnych. Jeżeli chodzi</w:t>
      </w:r>
      <w:r w:rsidR="00DC40BE" w:rsidRPr="00DC40BE">
        <w:rPr>
          <w:sz w:val="18"/>
          <w:lang w:val="pl-PL"/>
        </w:rPr>
        <w:t xml:space="preserve"> o jed</w:t>
      </w:r>
      <w:r w:rsidRPr="00DC40BE">
        <w:rPr>
          <w:sz w:val="18"/>
          <w:lang w:val="pl-PL"/>
        </w:rPr>
        <w:t>yną EIO, której odmówiono rejestracji, jej organizatorzy nie korzystali</w:t>
      </w:r>
      <w:r w:rsidR="00DC40BE" w:rsidRPr="00DC40BE">
        <w:rPr>
          <w:sz w:val="18"/>
          <w:lang w:val="pl-PL"/>
        </w:rPr>
        <w:t xml:space="preserve"> z usł</w:t>
      </w:r>
      <w:r w:rsidRPr="00DC40BE">
        <w:rPr>
          <w:sz w:val="18"/>
          <w:lang w:val="pl-PL"/>
        </w:rPr>
        <w:t>ug forum europejskiej inicjatywy obywatelskiej, mimo że byli do tego zachęcani.</w:t>
      </w:r>
    </w:p>
  </w:footnote>
  <w:footnote w:id="28">
    <w:p w14:paraId="797CF0C4" w14:textId="2738A7F8" w:rsidR="005A4888" w:rsidRPr="00DC40BE" w:rsidRDefault="004D6D69" w:rsidP="00FC3377">
      <w:pPr>
        <w:pStyle w:val="Tekstprzypisudolnego"/>
        <w:ind w:left="360" w:hanging="360"/>
        <w:rPr>
          <w:b/>
          <w:sz w:val="18"/>
          <w:lang w:val="pl-PL"/>
        </w:rPr>
      </w:pPr>
      <w:r w:rsidRPr="00DC40BE">
        <w:rPr>
          <w:sz w:val="18"/>
          <w:lang w:val="pl-PL"/>
        </w:rPr>
        <w:t>(</w:t>
      </w:r>
      <w:r w:rsidRPr="00DC40BE">
        <w:rPr>
          <w:rStyle w:val="Odwoanieprzypisudolnego"/>
          <w:sz w:val="18"/>
          <w:lang w:val="pl-PL"/>
        </w:rPr>
        <w:footnoteRef/>
      </w:r>
      <w:r w:rsidRPr="00DC40BE">
        <w:rPr>
          <w:sz w:val="18"/>
          <w:lang w:val="pl-PL"/>
        </w:rPr>
        <w:t xml:space="preserve">) </w:t>
      </w:r>
      <w:r w:rsidRPr="00DC40BE">
        <w:rPr>
          <w:lang w:val="pl-PL"/>
        </w:rPr>
        <w:tab/>
      </w:r>
      <w:r w:rsidRPr="00DC40BE">
        <w:rPr>
          <w:sz w:val="18"/>
          <w:lang w:val="pl-PL"/>
        </w:rPr>
        <w:t xml:space="preserve">EIO </w:t>
      </w:r>
      <w:r w:rsidRPr="00DC40BE">
        <w:rPr>
          <w:rStyle w:val="Pogrubienie"/>
          <w:sz w:val="18"/>
          <w:lang w:val="pl-PL"/>
        </w:rPr>
        <w:t>„</w:t>
      </w:r>
      <w:r w:rsidRPr="00DC40BE">
        <w:rPr>
          <w:rStyle w:val="Pogrubienie"/>
          <w:b w:val="0"/>
          <w:sz w:val="18"/>
          <w:lang w:val="pl-PL"/>
        </w:rPr>
        <w:t xml:space="preserve">Świat bez </w:t>
      </w:r>
      <w:r w:rsidRPr="00DC40BE">
        <w:rPr>
          <w:sz w:val="18"/>
          <w:lang w:val="pl-PL"/>
        </w:rPr>
        <w:t>rzeźni”</w:t>
      </w:r>
      <w:r w:rsidRPr="00DC40BE">
        <w:rPr>
          <w:rStyle w:val="Pogrubienie"/>
          <w:b w:val="0"/>
          <w:sz w:val="18"/>
          <w:lang w:val="pl-PL"/>
        </w:rPr>
        <w:t xml:space="preserve"> zebrała ponad 850 000 deklaracji poparcia. Cztery inne EIO („Wprowadzenie bezwarunkowych dochodów podstawowych</w:t>
      </w:r>
      <w:r w:rsidR="00DC40BE" w:rsidRPr="00DC40BE">
        <w:rPr>
          <w:rStyle w:val="Pogrubienie"/>
          <w:b w:val="0"/>
          <w:sz w:val="18"/>
          <w:lang w:val="pl-PL"/>
        </w:rPr>
        <w:t xml:space="preserve"> w cał</w:t>
      </w:r>
      <w:r w:rsidRPr="00DC40BE">
        <w:rPr>
          <w:rStyle w:val="Pogrubienie"/>
          <w:b w:val="0"/>
          <w:sz w:val="18"/>
          <w:lang w:val="pl-PL"/>
        </w:rPr>
        <w:t>ej UE”, „Zakaz reklamy paliw kopalnych oraz powiązanego sponsoringu”, „Zapewnienie zgodności wspólnej polityki handlowej</w:t>
      </w:r>
      <w:r w:rsidR="00DC40BE" w:rsidRPr="00DC40BE">
        <w:rPr>
          <w:rStyle w:val="Pogrubienie"/>
          <w:b w:val="0"/>
          <w:sz w:val="18"/>
          <w:lang w:val="pl-PL"/>
        </w:rPr>
        <w:t xml:space="preserve"> z tra</w:t>
      </w:r>
      <w:r w:rsidRPr="00DC40BE">
        <w:rPr>
          <w:rStyle w:val="Pogrubienie"/>
          <w:b w:val="0"/>
          <w:sz w:val="18"/>
          <w:lang w:val="pl-PL"/>
        </w:rPr>
        <w:t>ktatami UE oraz</w:t>
      </w:r>
      <w:r w:rsidR="00DC40BE" w:rsidRPr="00DC40BE">
        <w:rPr>
          <w:rStyle w:val="Pogrubienie"/>
          <w:b w:val="0"/>
          <w:sz w:val="18"/>
          <w:lang w:val="pl-PL"/>
        </w:rPr>
        <w:t xml:space="preserve"> z pra</w:t>
      </w:r>
      <w:r w:rsidRPr="00DC40BE">
        <w:rPr>
          <w:rStyle w:val="Pogrubienie"/>
          <w:b w:val="0"/>
          <w:sz w:val="18"/>
          <w:lang w:val="pl-PL"/>
        </w:rPr>
        <w:t>wem międzynarodowym” oraz „Prawo do terapii”) zebrały od</w:t>
      </w:r>
      <w:r w:rsidR="00DC40BE" w:rsidRPr="00DC40BE">
        <w:rPr>
          <w:rStyle w:val="Pogrubienie"/>
          <w:b w:val="0"/>
          <w:sz w:val="18"/>
          <w:lang w:val="pl-PL"/>
        </w:rPr>
        <w:t> </w:t>
      </w:r>
      <w:r w:rsidRPr="00DC40BE">
        <w:rPr>
          <w:rStyle w:val="Pogrubienie"/>
          <w:b w:val="0"/>
          <w:sz w:val="18"/>
          <w:lang w:val="pl-PL"/>
        </w:rPr>
        <w:t>250 000 do</w:t>
      </w:r>
      <w:r w:rsidR="00DC40BE" w:rsidRPr="00DC40BE">
        <w:rPr>
          <w:rStyle w:val="Pogrubienie"/>
          <w:b w:val="0"/>
          <w:sz w:val="18"/>
          <w:lang w:val="pl-PL"/>
        </w:rPr>
        <w:t> </w:t>
      </w:r>
      <w:r w:rsidRPr="00DC40BE">
        <w:rPr>
          <w:rStyle w:val="Pogrubienie"/>
          <w:b w:val="0"/>
          <w:sz w:val="18"/>
          <w:lang w:val="pl-PL"/>
        </w:rPr>
        <w:t>300 000 deklaracji poparcia.</w:t>
      </w:r>
    </w:p>
  </w:footnote>
  <w:footnote w:id="29">
    <w:p w14:paraId="01CC68E5" w14:textId="6F25A2A7" w:rsidR="00E5643B" w:rsidRPr="00DC40BE" w:rsidRDefault="00E5643B">
      <w:pPr>
        <w:pStyle w:val="Tekstprzypisudolnego"/>
        <w:rPr>
          <w:lang w:val="pl-PL"/>
        </w:rPr>
      </w:pPr>
      <w:r w:rsidRPr="00DC40BE">
        <w:rPr>
          <w:lang w:val="pl-PL"/>
        </w:rPr>
        <w:t>(</w:t>
      </w:r>
      <w:r w:rsidRPr="00DC40BE">
        <w:rPr>
          <w:rStyle w:val="Odwoanieprzypisudolnego"/>
          <w:lang w:val="pl-PL"/>
        </w:rPr>
        <w:footnoteRef/>
      </w:r>
      <w:r w:rsidRPr="00DC40BE">
        <w:rPr>
          <w:lang w:val="pl-PL"/>
        </w:rPr>
        <w:t>)</w:t>
      </w:r>
      <w:r w:rsidRPr="00DC40BE">
        <w:rPr>
          <w:lang w:val="pl-PL"/>
        </w:rPr>
        <w:tab/>
      </w:r>
      <w:r w:rsidRPr="00DC40BE">
        <w:rPr>
          <w:sz w:val="18"/>
          <w:lang w:val="pl-PL"/>
        </w:rPr>
        <w:t>Na podstawie informacji przekazanych przez organizatorów EIO lub podanych do wiadomości publicznej; nie wszystkie EIO zarejestrowane na podstawie pierwszego rozporządzenia</w:t>
      </w:r>
      <w:r w:rsidR="00DC40BE" w:rsidRPr="00DC40BE">
        <w:rPr>
          <w:sz w:val="18"/>
          <w:lang w:val="pl-PL"/>
        </w:rPr>
        <w:t xml:space="preserve"> w spr</w:t>
      </w:r>
      <w:r w:rsidRPr="00DC40BE">
        <w:rPr>
          <w:sz w:val="18"/>
          <w:lang w:val="pl-PL"/>
        </w:rPr>
        <w:t>awie EIO przekazały informacje na temat liczby zebranych deklaracji poparcia, ponieważ nie ustanowiono żadnego wymogu prawnego</w:t>
      </w:r>
      <w:r w:rsidR="00DC40BE" w:rsidRPr="00DC40BE">
        <w:rPr>
          <w:sz w:val="18"/>
          <w:lang w:val="pl-PL"/>
        </w:rPr>
        <w:t xml:space="preserve"> w tym</w:t>
      </w:r>
      <w:r w:rsidRPr="00DC40BE">
        <w:rPr>
          <w:sz w:val="18"/>
          <w:lang w:val="pl-PL"/>
        </w:rPr>
        <w:t xml:space="preserve"> zakresie.</w:t>
      </w:r>
    </w:p>
  </w:footnote>
  <w:footnote w:id="30">
    <w:p w14:paraId="577CD41C" w14:textId="64883EF0" w:rsidR="004C51DA" w:rsidRPr="00DC40BE" w:rsidRDefault="004C51DA" w:rsidP="004C51DA">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r w:rsidRPr="00DC40BE">
        <w:rPr>
          <w:sz w:val="18"/>
          <w:lang w:val="pl-PL"/>
        </w:rPr>
        <w:t>W przypadku EIO „Wiem, co jem!”</w:t>
      </w:r>
      <w:r w:rsidR="00DC40BE" w:rsidRPr="00DC40BE">
        <w:rPr>
          <w:sz w:val="18"/>
          <w:lang w:val="pl-PL"/>
        </w:rPr>
        <w:t xml:space="preserve"> w nas</w:t>
      </w:r>
      <w:r w:rsidRPr="00DC40BE">
        <w:rPr>
          <w:sz w:val="18"/>
          <w:lang w:val="pl-PL"/>
        </w:rPr>
        <w:t>tępstwie przeprowadzonej przez państwo członkowskie weryfikacji deklaracji poparcia stwierdzono, że stosowne progi nie zostały osiągnięte.</w:t>
      </w:r>
    </w:p>
  </w:footnote>
  <w:footnote w:id="31">
    <w:p w14:paraId="6C771D38" w14:textId="74ED3C43" w:rsidR="006B0503" w:rsidRPr="00DC40BE" w:rsidRDefault="0008609A" w:rsidP="00FC3377">
      <w:pPr>
        <w:pStyle w:val="Tekstprzypisudolnego"/>
        <w:ind w:left="0" w:firstLine="0"/>
        <w:rPr>
          <w:sz w:val="18"/>
          <w:lang w:val="pl-PL"/>
        </w:rPr>
      </w:pPr>
      <w:r w:rsidRPr="00DC40BE">
        <w:rPr>
          <w:sz w:val="18"/>
          <w:lang w:val="pl-PL"/>
        </w:rPr>
        <w:t>(</w:t>
      </w:r>
      <w:r w:rsidRPr="00DC40BE">
        <w:rPr>
          <w:rStyle w:val="Odwoanieprzypisudolnego"/>
          <w:sz w:val="18"/>
          <w:lang w:val="pl-PL"/>
        </w:rPr>
        <w:footnoteRef/>
      </w:r>
      <w:r w:rsidRPr="00DC40BE">
        <w:rPr>
          <w:sz w:val="18"/>
          <w:lang w:val="pl-PL"/>
        </w:rPr>
        <w:t>) Zgodnie</w:t>
      </w:r>
      <w:r w:rsidR="00DC40BE" w:rsidRPr="00DC40BE">
        <w:rPr>
          <w:sz w:val="18"/>
          <w:lang w:val="pl-PL"/>
        </w:rPr>
        <w:t xml:space="preserve"> z art</w:t>
      </w:r>
      <w:r w:rsidRPr="00DC40BE">
        <w:rPr>
          <w:sz w:val="18"/>
          <w:lang w:val="pl-PL"/>
        </w:rPr>
        <w:t>.</w:t>
      </w:r>
      <w:r w:rsidR="00DC40BE" w:rsidRPr="00DC40BE">
        <w:rPr>
          <w:sz w:val="18"/>
          <w:lang w:val="pl-PL"/>
        </w:rPr>
        <w:t> </w:t>
      </w:r>
      <w:r w:rsidRPr="00DC40BE">
        <w:rPr>
          <w:sz w:val="18"/>
          <w:lang w:val="pl-PL"/>
        </w:rPr>
        <w:t>8 ust.</w:t>
      </w:r>
      <w:r w:rsidR="00DC40BE" w:rsidRPr="00DC40BE">
        <w:rPr>
          <w:sz w:val="18"/>
          <w:lang w:val="pl-PL"/>
        </w:rPr>
        <w:t> </w:t>
      </w:r>
      <w:r w:rsidRPr="00DC40BE">
        <w:rPr>
          <w:sz w:val="18"/>
          <w:lang w:val="pl-PL"/>
        </w:rPr>
        <w:t>1 rozporządzenia</w:t>
      </w:r>
      <w:r w:rsidR="00DC40BE" w:rsidRPr="00DC40BE">
        <w:rPr>
          <w:sz w:val="18"/>
          <w:lang w:val="pl-PL"/>
        </w:rPr>
        <w:t xml:space="preserve"> w spr</w:t>
      </w:r>
      <w:r w:rsidRPr="00DC40BE">
        <w:rPr>
          <w:sz w:val="18"/>
          <w:lang w:val="pl-PL"/>
        </w:rPr>
        <w:t>awie EIO organizatorzy mogą wybrać datę rozpoczęcia okresu zbierania deklaracji. Data ta nie może przypadać później niż sześć miesięcy od daty rejestracji EIO.</w:t>
      </w:r>
    </w:p>
  </w:footnote>
  <w:footnote w:id="32">
    <w:p w14:paraId="492D88F6" w14:textId="2FB6F2A6" w:rsidR="005A4888" w:rsidRPr="00DC40BE" w:rsidRDefault="004D6D69" w:rsidP="00FC3377">
      <w:pPr>
        <w:pStyle w:val="Tekstprzypisudolnego"/>
        <w:ind w:left="360" w:hanging="360"/>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r w:rsidRPr="00DC40BE">
        <w:rPr>
          <w:sz w:val="18"/>
          <w:lang w:val="pl-PL"/>
        </w:rPr>
        <w:t xml:space="preserve"> EIO „Polityka spójności”, „Nie dla obcinania płetw rekinom” i „Za kosmetykami bez okrucieństwa wobec zwierząt”.</w:t>
      </w:r>
    </w:p>
  </w:footnote>
  <w:footnote w:id="33">
    <w:p w14:paraId="72EC25A6" w14:textId="5ADE64E6" w:rsidR="005A4888" w:rsidRPr="00DC40BE" w:rsidRDefault="004D6D69" w:rsidP="00FC3377">
      <w:pPr>
        <w:pStyle w:val="Tekstprzypisudolnego"/>
        <w:ind w:left="360" w:hanging="360"/>
        <w:rPr>
          <w:sz w:val="18"/>
          <w:lang w:val="pl-PL"/>
        </w:rPr>
      </w:pPr>
      <w:r w:rsidRPr="00DC40BE">
        <w:rPr>
          <w:sz w:val="18"/>
          <w:lang w:val="pl-PL"/>
        </w:rPr>
        <w:t>(</w:t>
      </w:r>
      <w:r w:rsidRPr="00DC40BE">
        <w:rPr>
          <w:rStyle w:val="Odwoanieprzypisudolnego"/>
          <w:sz w:val="18"/>
          <w:lang w:val="pl-PL"/>
        </w:rPr>
        <w:footnoteRef/>
      </w:r>
      <w:r w:rsidRPr="00DC40BE">
        <w:rPr>
          <w:sz w:val="18"/>
          <w:lang w:val="pl-PL"/>
        </w:rPr>
        <w:t xml:space="preserve">) </w:t>
      </w:r>
      <w:r w:rsidRPr="00DC40BE">
        <w:rPr>
          <w:lang w:val="pl-PL"/>
        </w:rPr>
        <w:tab/>
      </w:r>
      <w:r w:rsidRPr="00DC40BE">
        <w:rPr>
          <w:sz w:val="18"/>
          <w:lang w:val="pl-PL"/>
        </w:rPr>
        <w:t>EIO „Ratujmy pszczoły</w:t>
      </w:r>
      <w:r w:rsidR="00DC40BE" w:rsidRPr="00DC40BE">
        <w:rPr>
          <w:sz w:val="18"/>
          <w:lang w:val="pl-PL"/>
        </w:rPr>
        <w:t xml:space="preserve"> i rol</w:t>
      </w:r>
      <w:r w:rsidRPr="00DC40BE">
        <w:rPr>
          <w:sz w:val="18"/>
          <w:lang w:val="pl-PL"/>
        </w:rPr>
        <w:t>ników!” i „Europa wolna od futer”.</w:t>
      </w:r>
    </w:p>
  </w:footnote>
  <w:footnote w:id="34">
    <w:p w14:paraId="686D3ACD" w14:textId="106CD67B" w:rsidR="005A4888" w:rsidRPr="00DC40BE" w:rsidRDefault="004D6D69" w:rsidP="00FC3377">
      <w:pPr>
        <w:pStyle w:val="Tekstprzypisudolnego"/>
        <w:ind w:left="360" w:hanging="360"/>
        <w:rPr>
          <w:sz w:val="18"/>
          <w:lang w:val="pl-PL"/>
        </w:rPr>
      </w:pPr>
      <w:r w:rsidRPr="00DC40BE">
        <w:rPr>
          <w:sz w:val="18"/>
          <w:lang w:val="pl-PL"/>
        </w:rPr>
        <w:t>(</w:t>
      </w:r>
      <w:r w:rsidRPr="00DC40BE">
        <w:rPr>
          <w:rStyle w:val="Odwoanieprzypisudolnego"/>
          <w:sz w:val="18"/>
          <w:lang w:val="pl-PL"/>
        </w:rPr>
        <w:footnoteRef/>
      </w:r>
      <w:r w:rsidRPr="00DC40BE">
        <w:rPr>
          <w:sz w:val="18"/>
          <w:lang w:val="pl-PL"/>
        </w:rPr>
        <w:t xml:space="preserve">) </w:t>
      </w:r>
      <w:r w:rsidRPr="00DC40BE">
        <w:rPr>
          <w:lang w:val="pl-PL"/>
        </w:rPr>
        <w:tab/>
      </w:r>
      <w:r w:rsidRPr="00DC40BE">
        <w:rPr>
          <w:sz w:val="18"/>
          <w:lang w:val="pl-PL"/>
        </w:rPr>
        <w:t>Czterech spośród sześciu respondentów, którzy korzystali</w:t>
      </w:r>
      <w:r w:rsidR="00DC40BE" w:rsidRPr="00DC40BE">
        <w:rPr>
          <w:sz w:val="18"/>
          <w:lang w:val="pl-PL"/>
        </w:rPr>
        <w:t xml:space="preserve"> z cen</w:t>
      </w:r>
      <w:r w:rsidRPr="00DC40BE">
        <w:rPr>
          <w:sz w:val="18"/>
          <w:lang w:val="pl-PL"/>
        </w:rPr>
        <w:t>tralnego systemu zbierania deklaracji online</w:t>
      </w:r>
      <w:r w:rsidR="00DC40BE" w:rsidRPr="00DC40BE">
        <w:rPr>
          <w:sz w:val="18"/>
          <w:lang w:val="pl-PL"/>
        </w:rPr>
        <w:t xml:space="preserve"> i czt</w:t>
      </w:r>
      <w:r w:rsidRPr="00DC40BE">
        <w:rPr>
          <w:sz w:val="18"/>
          <w:lang w:val="pl-PL"/>
        </w:rPr>
        <w:t>erech spośród siedmiu respondentów, którzy korzystali</w:t>
      </w:r>
      <w:r w:rsidR="00DC40BE" w:rsidRPr="00DC40BE">
        <w:rPr>
          <w:sz w:val="18"/>
          <w:lang w:val="pl-PL"/>
        </w:rPr>
        <w:t xml:space="preserve"> z ind</w:t>
      </w:r>
      <w:r w:rsidRPr="00DC40BE">
        <w:rPr>
          <w:sz w:val="18"/>
          <w:lang w:val="pl-PL"/>
        </w:rPr>
        <w:t>ywidualnego systemu zbierania deklaracji online</w:t>
      </w:r>
      <w:r w:rsidRPr="00DC40BE">
        <w:rPr>
          <w:rStyle w:val="cf01"/>
          <w:rFonts w:ascii="Times New Roman" w:hAnsi="Times New Roman"/>
          <w:lang w:val="pl-PL"/>
        </w:rPr>
        <w:t>.</w:t>
      </w:r>
    </w:p>
  </w:footnote>
  <w:footnote w:id="35">
    <w:p w14:paraId="4175C116" w14:textId="01B5FCA9" w:rsidR="005A4888" w:rsidRPr="00DC40BE" w:rsidRDefault="004D6D69" w:rsidP="00FC3377">
      <w:pPr>
        <w:pStyle w:val="Tekstprzypisudolnego"/>
        <w:ind w:left="360" w:hanging="360"/>
        <w:rPr>
          <w:sz w:val="18"/>
          <w:lang w:val="pl-PL"/>
        </w:rPr>
      </w:pPr>
      <w:r w:rsidRPr="00DC40BE">
        <w:rPr>
          <w:sz w:val="18"/>
          <w:lang w:val="pl-PL"/>
        </w:rPr>
        <w:t>(</w:t>
      </w:r>
      <w:r w:rsidRPr="00DC40BE">
        <w:rPr>
          <w:rStyle w:val="Odwoanieprzypisudolnego"/>
          <w:sz w:val="18"/>
          <w:lang w:val="pl-PL"/>
        </w:rPr>
        <w:footnoteRef/>
      </w:r>
      <w:r w:rsidRPr="00DC40BE">
        <w:rPr>
          <w:sz w:val="18"/>
          <w:lang w:val="pl-PL"/>
        </w:rPr>
        <w:t xml:space="preserve">) </w:t>
      </w:r>
      <w:r w:rsidRPr="00DC40BE">
        <w:rPr>
          <w:lang w:val="pl-PL"/>
        </w:rPr>
        <w:tab/>
      </w:r>
      <w:r w:rsidRPr="00DC40BE">
        <w:rPr>
          <w:sz w:val="18"/>
          <w:lang w:val="pl-PL"/>
        </w:rPr>
        <w:t>Dwóch spośród sześciu respondentów, którzy korzystali</w:t>
      </w:r>
      <w:r w:rsidR="00DC40BE" w:rsidRPr="00DC40BE">
        <w:rPr>
          <w:sz w:val="18"/>
          <w:lang w:val="pl-PL"/>
        </w:rPr>
        <w:t xml:space="preserve"> z cen</w:t>
      </w:r>
      <w:r w:rsidRPr="00DC40BE">
        <w:rPr>
          <w:sz w:val="18"/>
          <w:lang w:val="pl-PL"/>
        </w:rPr>
        <w:t>tralnego systemu zbierania deklaracji online</w:t>
      </w:r>
      <w:r w:rsidR="00DC40BE" w:rsidRPr="00DC40BE">
        <w:rPr>
          <w:sz w:val="18"/>
          <w:lang w:val="pl-PL"/>
        </w:rPr>
        <w:t xml:space="preserve"> i trz</w:t>
      </w:r>
      <w:r w:rsidRPr="00DC40BE">
        <w:rPr>
          <w:sz w:val="18"/>
          <w:lang w:val="pl-PL"/>
        </w:rPr>
        <w:t>ech spośród siedmiu respondentów, którzy korzystali</w:t>
      </w:r>
      <w:r w:rsidR="00DC40BE" w:rsidRPr="00DC40BE">
        <w:rPr>
          <w:sz w:val="18"/>
          <w:lang w:val="pl-PL"/>
        </w:rPr>
        <w:t xml:space="preserve"> z ind</w:t>
      </w:r>
      <w:r w:rsidRPr="00DC40BE">
        <w:rPr>
          <w:sz w:val="18"/>
          <w:lang w:val="pl-PL"/>
        </w:rPr>
        <w:t xml:space="preserve">ywidualnego systemu zbierania deklaracji online. </w:t>
      </w:r>
    </w:p>
  </w:footnote>
  <w:footnote w:id="36">
    <w:p w14:paraId="5D7D3112" w14:textId="644B113F" w:rsidR="005A4888" w:rsidRPr="00DC40BE" w:rsidRDefault="004D6D69" w:rsidP="00FC3377">
      <w:pPr>
        <w:pStyle w:val="Tekstprzypisudolnego"/>
        <w:ind w:left="360" w:hanging="360"/>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r w:rsidRPr="00DC40BE">
        <w:rPr>
          <w:sz w:val="18"/>
          <w:lang w:val="pl-PL"/>
        </w:rPr>
        <w:t>Zgodnie</w:t>
      </w:r>
      <w:r w:rsidR="00DC40BE" w:rsidRPr="00DC40BE">
        <w:rPr>
          <w:sz w:val="18"/>
          <w:lang w:val="pl-PL"/>
        </w:rPr>
        <w:t xml:space="preserve"> z por</w:t>
      </w:r>
      <w:r w:rsidRPr="00DC40BE">
        <w:rPr>
          <w:sz w:val="18"/>
          <w:lang w:val="pl-PL"/>
        </w:rPr>
        <w:t>ozumieniem</w:t>
      </w:r>
      <w:r w:rsidR="00DC40BE" w:rsidRPr="00DC40BE">
        <w:rPr>
          <w:sz w:val="18"/>
          <w:lang w:val="pl-PL"/>
        </w:rPr>
        <w:t xml:space="preserve"> o wsp</w:t>
      </w:r>
      <w:r w:rsidRPr="00DC40BE">
        <w:rPr>
          <w:sz w:val="18"/>
          <w:lang w:val="pl-PL"/>
        </w:rPr>
        <w:t>óładministrowaniu Komisja jest odpowiedzialna za dane osobowe gromadzone online za pośrednictwem centralnego systemu zbierania deklaracji online, natomiast organizatorzy EIO odpowiadają wyłącznie za ochronę danych osobowych gromadzonych</w:t>
      </w:r>
      <w:r w:rsidR="00DC40BE" w:rsidRPr="00DC40BE">
        <w:rPr>
          <w:sz w:val="18"/>
          <w:lang w:val="pl-PL"/>
        </w:rPr>
        <w:t xml:space="preserve"> w for</w:t>
      </w:r>
      <w:r w:rsidRPr="00DC40BE">
        <w:rPr>
          <w:sz w:val="18"/>
          <w:lang w:val="pl-PL"/>
        </w:rPr>
        <w:t>mie papierowej.</w:t>
      </w:r>
    </w:p>
  </w:footnote>
  <w:footnote w:id="37">
    <w:p w14:paraId="73F6C6A0" w14:textId="1BC968BF" w:rsidR="006D1621" w:rsidRPr="00DC40BE" w:rsidRDefault="006D1621" w:rsidP="00FC3377">
      <w:pPr>
        <w:pStyle w:val="Tekstprzypisudolnego"/>
        <w:rPr>
          <w:lang w:val="pl-PL"/>
        </w:rPr>
      </w:pPr>
      <w:r w:rsidRPr="00DC40BE">
        <w:rPr>
          <w:lang w:val="pl-PL"/>
        </w:rPr>
        <w:t>(</w:t>
      </w:r>
      <w:r w:rsidRPr="00DC40BE">
        <w:rPr>
          <w:rStyle w:val="Odwoanieprzypisudolnego"/>
          <w:lang w:val="pl-PL"/>
        </w:rPr>
        <w:footnoteRef/>
      </w:r>
      <w:r w:rsidRPr="00DC40BE">
        <w:rPr>
          <w:lang w:val="pl-PL"/>
        </w:rPr>
        <w:t>)</w:t>
      </w:r>
      <w:r w:rsidRPr="00DC40BE">
        <w:rPr>
          <w:lang w:val="pl-PL"/>
        </w:rPr>
        <w:tab/>
      </w:r>
      <w:r w:rsidRPr="00DC40BE">
        <w:rPr>
          <w:sz w:val="18"/>
          <w:lang w:val="pl-PL"/>
        </w:rPr>
        <w:t>Z narzędzia tego skorzystały dwie EIO zarejestrowane na podstawie pierwszego rozporządzenia</w:t>
      </w:r>
      <w:r w:rsidR="00DC40BE" w:rsidRPr="00DC40BE">
        <w:rPr>
          <w:sz w:val="18"/>
          <w:lang w:val="pl-PL"/>
        </w:rPr>
        <w:t xml:space="preserve"> w spr</w:t>
      </w:r>
      <w:r w:rsidRPr="00DC40BE">
        <w:rPr>
          <w:sz w:val="18"/>
          <w:lang w:val="pl-PL"/>
        </w:rPr>
        <w:t>awie EIO: „Ratujmy pszczoły</w:t>
      </w:r>
      <w:r w:rsidR="00DC40BE" w:rsidRPr="00DC40BE">
        <w:rPr>
          <w:sz w:val="18"/>
          <w:lang w:val="pl-PL"/>
        </w:rPr>
        <w:t xml:space="preserve"> i rol</w:t>
      </w:r>
      <w:r w:rsidRPr="00DC40BE">
        <w:rPr>
          <w:sz w:val="18"/>
          <w:lang w:val="pl-PL"/>
        </w:rPr>
        <w:t>ników” oraz „Koniec Epoki Klatkowej”.</w:t>
      </w:r>
    </w:p>
  </w:footnote>
  <w:footnote w:id="38">
    <w:p w14:paraId="6B0DE2E8" w14:textId="01A115FB" w:rsidR="004955B2" w:rsidRPr="00DC40BE" w:rsidRDefault="004955B2">
      <w:pPr>
        <w:pStyle w:val="Tekstprzypisudolnego"/>
        <w:rPr>
          <w:lang w:val="pl-PL"/>
        </w:rPr>
      </w:pPr>
      <w:r w:rsidRPr="00DC40BE">
        <w:rPr>
          <w:lang w:val="pl-PL"/>
        </w:rPr>
        <w:t>(</w:t>
      </w:r>
      <w:r w:rsidRPr="00DC40BE">
        <w:rPr>
          <w:rStyle w:val="Odwoanieprzypisudolnego"/>
          <w:lang w:val="pl-PL"/>
        </w:rPr>
        <w:footnoteRef/>
      </w:r>
      <w:r w:rsidRPr="00DC40BE">
        <w:rPr>
          <w:lang w:val="pl-PL"/>
        </w:rPr>
        <w:t>)</w:t>
      </w:r>
      <w:r w:rsidRPr="00DC40BE">
        <w:rPr>
          <w:lang w:val="pl-PL"/>
        </w:rPr>
        <w:tab/>
        <w:t>Dz.U. L 006</w:t>
      </w:r>
      <w:r w:rsidR="00DC40BE" w:rsidRPr="00DC40BE">
        <w:rPr>
          <w:lang w:val="pl-PL"/>
        </w:rPr>
        <w:t xml:space="preserve"> z 1</w:t>
      </w:r>
      <w:r w:rsidRPr="00DC40BE">
        <w:rPr>
          <w:lang w:val="pl-PL"/>
        </w:rPr>
        <w:t>1.1.12017, s. 40.</w:t>
      </w:r>
    </w:p>
  </w:footnote>
  <w:footnote w:id="39">
    <w:p w14:paraId="63BBE220" w14:textId="392D011A" w:rsidR="00346958" w:rsidRPr="00DC40BE" w:rsidRDefault="00346958" w:rsidP="004955B2">
      <w:pPr>
        <w:pStyle w:val="Tekstprzypisudolnego"/>
        <w:rPr>
          <w:lang w:val="pl-PL"/>
        </w:rPr>
      </w:pPr>
      <w:r w:rsidRPr="00DC40BE">
        <w:rPr>
          <w:lang w:val="pl-PL"/>
        </w:rPr>
        <w:t>(</w:t>
      </w:r>
      <w:r w:rsidRPr="00DC40BE">
        <w:rPr>
          <w:rStyle w:val="Odwoanieprzypisudolnego"/>
          <w:lang w:val="pl-PL"/>
        </w:rPr>
        <w:footnoteRef/>
      </w:r>
      <w:r w:rsidRPr="00DC40BE">
        <w:rPr>
          <w:lang w:val="pl-PL"/>
        </w:rPr>
        <w:t>)</w:t>
      </w:r>
      <w:r w:rsidRPr="00DC40BE">
        <w:rPr>
          <w:lang w:val="pl-PL"/>
        </w:rPr>
        <w:tab/>
        <w:t>Rozporządzenie Parlamentu Europejskiego</w:t>
      </w:r>
      <w:r w:rsidR="00DC40BE" w:rsidRPr="00DC40BE">
        <w:rPr>
          <w:lang w:val="pl-PL"/>
        </w:rPr>
        <w:t xml:space="preserve"> i Rad</w:t>
      </w:r>
      <w:r w:rsidRPr="00DC40BE">
        <w:rPr>
          <w:lang w:val="pl-PL"/>
        </w:rPr>
        <w:t>y (UE) 2018/1725</w:t>
      </w:r>
      <w:r w:rsidR="00DC40BE" w:rsidRPr="00DC40BE">
        <w:rPr>
          <w:lang w:val="pl-PL"/>
        </w:rPr>
        <w:t xml:space="preserve"> z dni</w:t>
      </w:r>
      <w:r w:rsidRPr="00DC40BE">
        <w:rPr>
          <w:lang w:val="pl-PL"/>
        </w:rPr>
        <w:t>a 23 października 2018</w:t>
      </w:r>
      <w:r w:rsidR="00DC40BE" w:rsidRPr="00DC40BE">
        <w:rPr>
          <w:lang w:val="pl-PL"/>
        </w:rPr>
        <w:t> </w:t>
      </w:r>
      <w:r w:rsidRPr="00DC40BE">
        <w:rPr>
          <w:lang w:val="pl-PL"/>
        </w:rPr>
        <w:t>r.</w:t>
      </w:r>
      <w:r w:rsidR="00DC40BE" w:rsidRPr="00DC40BE">
        <w:rPr>
          <w:lang w:val="pl-PL"/>
        </w:rPr>
        <w:t xml:space="preserve"> w spr</w:t>
      </w:r>
      <w:r w:rsidRPr="00DC40BE">
        <w:rPr>
          <w:lang w:val="pl-PL"/>
        </w:rPr>
        <w:t>awie ochrony osób fizycznych</w:t>
      </w:r>
      <w:r w:rsidR="00DC40BE" w:rsidRPr="00DC40BE">
        <w:rPr>
          <w:lang w:val="pl-PL"/>
        </w:rPr>
        <w:t xml:space="preserve"> w zwi</w:t>
      </w:r>
      <w:r w:rsidRPr="00DC40BE">
        <w:rPr>
          <w:lang w:val="pl-PL"/>
        </w:rPr>
        <w:t>ązku</w:t>
      </w:r>
      <w:r w:rsidR="00DC40BE" w:rsidRPr="00DC40BE">
        <w:rPr>
          <w:lang w:val="pl-PL"/>
        </w:rPr>
        <w:t xml:space="preserve"> z prz</w:t>
      </w:r>
      <w:r w:rsidRPr="00DC40BE">
        <w:rPr>
          <w:lang w:val="pl-PL"/>
        </w:rPr>
        <w:t>etwarzaniem danych osobowych przez instytucje, organy</w:t>
      </w:r>
      <w:r w:rsidR="00DC40BE" w:rsidRPr="00DC40BE">
        <w:rPr>
          <w:lang w:val="pl-PL"/>
        </w:rPr>
        <w:t xml:space="preserve"> i jed</w:t>
      </w:r>
      <w:r w:rsidRPr="00DC40BE">
        <w:rPr>
          <w:lang w:val="pl-PL"/>
        </w:rPr>
        <w:t>nostki organizacyjne Unii</w:t>
      </w:r>
      <w:r w:rsidR="00DC40BE" w:rsidRPr="00DC40BE">
        <w:rPr>
          <w:lang w:val="pl-PL"/>
        </w:rPr>
        <w:t xml:space="preserve"> i swo</w:t>
      </w:r>
      <w:r w:rsidRPr="00DC40BE">
        <w:rPr>
          <w:lang w:val="pl-PL"/>
        </w:rPr>
        <w:t>bodnego przepływu takich danych oraz uchylenia rozporządzenia (WE) nr</w:t>
      </w:r>
      <w:r w:rsidR="00DC40BE" w:rsidRPr="00DC40BE">
        <w:rPr>
          <w:lang w:val="pl-PL"/>
        </w:rPr>
        <w:t> </w:t>
      </w:r>
      <w:r w:rsidRPr="00DC40BE">
        <w:rPr>
          <w:lang w:val="pl-PL"/>
        </w:rPr>
        <w:t>45/2001</w:t>
      </w:r>
      <w:r w:rsidR="00DC40BE" w:rsidRPr="00DC40BE">
        <w:rPr>
          <w:lang w:val="pl-PL"/>
        </w:rPr>
        <w:t xml:space="preserve"> i dec</w:t>
      </w:r>
      <w:r w:rsidRPr="00DC40BE">
        <w:rPr>
          <w:lang w:val="pl-PL"/>
        </w:rPr>
        <w:t>yzji nr</w:t>
      </w:r>
      <w:r w:rsidR="00DC40BE" w:rsidRPr="00DC40BE">
        <w:rPr>
          <w:lang w:val="pl-PL"/>
        </w:rPr>
        <w:t> </w:t>
      </w:r>
      <w:r w:rsidRPr="00DC40BE">
        <w:rPr>
          <w:lang w:val="pl-PL"/>
        </w:rPr>
        <w:t>1247/2002/WE</w:t>
      </w:r>
      <w:r w:rsidRPr="00DC40BE">
        <w:rPr>
          <w:b/>
          <w:lang w:val="pl-PL"/>
        </w:rPr>
        <w:t xml:space="preserve"> </w:t>
      </w:r>
      <w:r w:rsidRPr="00DC40BE">
        <w:rPr>
          <w:lang w:val="pl-PL"/>
        </w:rPr>
        <w:t>(Dz.U. L 295</w:t>
      </w:r>
      <w:r w:rsidR="00DC40BE" w:rsidRPr="00DC40BE">
        <w:rPr>
          <w:lang w:val="pl-PL"/>
        </w:rPr>
        <w:t xml:space="preserve"> z 2</w:t>
      </w:r>
      <w:r w:rsidRPr="00DC40BE">
        <w:rPr>
          <w:lang w:val="pl-PL"/>
        </w:rPr>
        <w:t>1.11.2018, s. 39).</w:t>
      </w:r>
    </w:p>
  </w:footnote>
  <w:footnote w:id="40">
    <w:p w14:paraId="26403F07" w14:textId="29AF631E" w:rsidR="005A4888" w:rsidRPr="00DC40BE" w:rsidRDefault="004D6D69" w:rsidP="00FC3377">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 xml:space="preserve">) </w:t>
      </w:r>
      <w:r w:rsidRPr="00DC40BE">
        <w:rPr>
          <w:lang w:val="pl-PL"/>
        </w:rPr>
        <w:tab/>
      </w:r>
      <w:hyperlink r:id="rId10" w:history="1">
        <w:r w:rsidRPr="00DC40BE">
          <w:rPr>
            <w:rStyle w:val="Hipercze"/>
            <w:sz w:val="18"/>
            <w:lang w:val="pl-PL"/>
          </w:rPr>
          <w:t>Rozporządzenie Parlamentu Europejskiego</w:t>
        </w:r>
        <w:r w:rsidR="00DC40BE" w:rsidRPr="00DC40BE">
          <w:rPr>
            <w:rStyle w:val="Hipercze"/>
            <w:sz w:val="18"/>
            <w:lang w:val="pl-PL"/>
          </w:rPr>
          <w:t xml:space="preserve"> i Rad</w:t>
        </w:r>
        <w:r w:rsidRPr="00DC40BE">
          <w:rPr>
            <w:rStyle w:val="Hipercze"/>
            <w:sz w:val="18"/>
            <w:lang w:val="pl-PL"/>
          </w:rPr>
          <w:t>y (UE) nr</w:t>
        </w:r>
        <w:r w:rsidR="00DC40BE" w:rsidRPr="00DC40BE">
          <w:rPr>
            <w:rStyle w:val="Hipercze"/>
            <w:sz w:val="18"/>
            <w:lang w:val="pl-PL"/>
          </w:rPr>
          <w:t> </w:t>
        </w:r>
        <w:r w:rsidRPr="00DC40BE">
          <w:rPr>
            <w:rStyle w:val="Hipercze"/>
            <w:sz w:val="18"/>
            <w:lang w:val="pl-PL"/>
          </w:rPr>
          <w:t>910/2014</w:t>
        </w:r>
      </w:hyperlink>
      <w:r w:rsidR="00DC40BE" w:rsidRPr="00DC40BE">
        <w:rPr>
          <w:sz w:val="18"/>
          <w:lang w:val="pl-PL"/>
        </w:rPr>
        <w:t xml:space="preserve"> z dni</w:t>
      </w:r>
      <w:r w:rsidRPr="00DC40BE">
        <w:rPr>
          <w:sz w:val="18"/>
          <w:lang w:val="pl-PL"/>
        </w:rPr>
        <w:t>a 23 lipca 2014</w:t>
      </w:r>
      <w:r w:rsidR="00DC40BE" w:rsidRPr="00DC40BE">
        <w:rPr>
          <w:sz w:val="18"/>
          <w:lang w:val="pl-PL"/>
        </w:rPr>
        <w:t> </w:t>
      </w:r>
      <w:r w:rsidRPr="00DC40BE">
        <w:rPr>
          <w:sz w:val="18"/>
          <w:lang w:val="pl-PL"/>
        </w:rPr>
        <w:t>r.</w:t>
      </w:r>
      <w:r w:rsidR="00DC40BE" w:rsidRPr="00DC40BE">
        <w:rPr>
          <w:sz w:val="18"/>
          <w:lang w:val="pl-PL"/>
        </w:rPr>
        <w:t xml:space="preserve"> w spr</w:t>
      </w:r>
      <w:r w:rsidRPr="00DC40BE">
        <w:rPr>
          <w:sz w:val="18"/>
          <w:lang w:val="pl-PL"/>
        </w:rPr>
        <w:t>awie identyfikacji elektronicznej</w:t>
      </w:r>
      <w:r w:rsidR="00DC40BE" w:rsidRPr="00DC40BE">
        <w:rPr>
          <w:sz w:val="18"/>
          <w:lang w:val="pl-PL"/>
        </w:rPr>
        <w:t xml:space="preserve"> i usł</w:t>
      </w:r>
      <w:r w:rsidRPr="00DC40BE">
        <w:rPr>
          <w:sz w:val="18"/>
          <w:lang w:val="pl-PL"/>
        </w:rPr>
        <w:t>ug zaufania</w:t>
      </w:r>
      <w:r w:rsidR="00DC40BE" w:rsidRPr="00DC40BE">
        <w:rPr>
          <w:sz w:val="18"/>
          <w:lang w:val="pl-PL"/>
        </w:rPr>
        <w:t xml:space="preserve"> w odn</w:t>
      </w:r>
      <w:r w:rsidRPr="00DC40BE">
        <w:rPr>
          <w:sz w:val="18"/>
          <w:lang w:val="pl-PL"/>
        </w:rPr>
        <w:t>iesieniu do transakcji elektronicznych na rynku wewnętrznym oraz uchylające dyrektywę 1999/93/WE (</w:t>
      </w:r>
      <w:r w:rsidRPr="00DC40BE">
        <w:rPr>
          <w:rStyle w:val="Uwydatnienie"/>
          <w:i w:val="0"/>
          <w:color w:val="333333"/>
          <w:sz w:val="18"/>
          <w:shd w:val="clear" w:color="auto" w:fill="FFFFFF"/>
          <w:lang w:val="pl-PL"/>
        </w:rPr>
        <w:t>Dz.U. L 257</w:t>
      </w:r>
      <w:r w:rsidR="00DC40BE" w:rsidRPr="00DC40BE">
        <w:rPr>
          <w:rStyle w:val="Uwydatnienie"/>
          <w:i w:val="0"/>
          <w:color w:val="333333"/>
          <w:sz w:val="18"/>
          <w:shd w:val="clear" w:color="auto" w:fill="FFFFFF"/>
          <w:lang w:val="pl-PL"/>
        </w:rPr>
        <w:t xml:space="preserve"> z 2</w:t>
      </w:r>
      <w:r w:rsidRPr="00DC40BE">
        <w:rPr>
          <w:rStyle w:val="Uwydatnienie"/>
          <w:i w:val="0"/>
          <w:color w:val="333333"/>
          <w:sz w:val="18"/>
          <w:shd w:val="clear" w:color="auto" w:fill="FFFFFF"/>
          <w:lang w:val="pl-PL"/>
        </w:rPr>
        <w:t>8.8.2014, s. 73).</w:t>
      </w:r>
    </w:p>
  </w:footnote>
  <w:footnote w:id="41">
    <w:p w14:paraId="09BEB1B5" w14:textId="460295F2" w:rsidR="005A4888" w:rsidRPr="00DC40BE" w:rsidRDefault="004D6D69" w:rsidP="00FC3377">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hyperlink r:id="rId11" w:history="1">
        <w:r w:rsidRPr="00DC40BE">
          <w:rPr>
            <w:rStyle w:val="Hipercze"/>
            <w:sz w:val="18"/>
            <w:lang w:val="pl-PL"/>
          </w:rPr>
          <w:t>Wniosek dotyczący rozporządzenia Parlamentu Europejskiego</w:t>
        </w:r>
        <w:r w:rsidR="00DC40BE" w:rsidRPr="00DC40BE">
          <w:rPr>
            <w:rStyle w:val="Hipercze"/>
            <w:sz w:val="18"/>
            <w:lang w:val="pl-PL"/>
          </w:rPr>
          <w:t xml:space="preserve"> i Rad</w:t>
        </w:r>
        <w:r w:rsidRPr="00DC40BE">
          <w:rPr>
            <w:rStyle w:val="Hipercze"/>
            <w:sz w:val="18"/>
            <w:lang w:val="pl-PL"/>
          </w:rPr>
          <w:t>y zmieniającego rozporządzenie (UE) nr</w:t>
        </w:r>
        <w:r w:rsidR="00DC40BE" w:rsidRPr="00DC40BE">
          <w:rPr>
            <w:rStyle w:val="Hipercze"/>
            <w:sz w:val="18"/>
            <w:lang w:val="pl-PL"/>
          </w:rPr>
          <w:t> </w:t>
        </w:r>
        <w:r w:rsidRPr="00DC40BE">
          <w:rPr>
            <w:rStyle w:val="Hipercze"/>
            <w:sz w:val="18"/>
            <w:lang w:val="pl-PL"/>
          </w:rPr>
          <w:t>910/2014</w:t>
        </w:r>
        <w:r w:rsidR="00DC40BE" w:rsidRPr="00DC40BE">
          <w:rPr>
            <w:rStyle w:val="Hipercze"/>
            <w:sz w:val="18"/>
            <w:lang w:val="pl-PL"/>
          </w:rPr>
          <w:t xml:space="preserve"> w odn</w:t>
        </w:r>
        <w:r w:rsidRPr="00DC40BE">
          <w:rPr>
            <w:rStyle w:val="Hipercze"/>
            <w:sz w:val="18"/>
            <w:lang w:val="pl-PL"/>
          </w:rPr>
          <w:t>iesieniu do ustanowienia europejskich ram tożsamości cyfrowej</w:t>
        </w:r>
      </w:hyperlink>
      <w:r w:rsidRPr="00DC40BE">
        <w:rPr>
          <w:sz w:val="18"/>
          <w:lang w:val="pl-PL"/>
        </w:rPr>
        <w:t>, COM(2021) 281 final.</w:t>
      </w:r>
    </w:p>
  </w:footnote>
  <w:footnote w:id="42">
    <w:p w14:paraId="4D7D1263" w14:textId="22C927B1" w:rsidR="00F069E4" w:rsidRPr="00DC40BE" w:rsidRDefault="00F069E4" w:rsidP="00FC3377">
      <w:pPr>
        <w:spacing w:after="120"/>
        <w:ind w:left="357" w:hanging="357"/>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hyperlink r:id="rId12" w:history="1">
        <w:r w:rsidRPr="00DC40BE">
          <w:rPr>
            <w:rStyle w:val="Hipercze"/>
            <w:sz w:val="18"/>
            <w:lang w:val="pl-PL"/>
          </w:rPr>
          <w:t>BSI – Erteilte Bescheinigungen über die Übereinstimmung individueller Online-Sammelsysteme mit der Verordnung (EU) 2019/788 (bund.de)</w:t>
        </w:r>
      </w:hyperlink>
      <w:r w:rsidRPr="00DC40BE">
        <w:rPr>
          <w:lang w:val="pl-PL"/>
        </w:rPr>
        <w:t>.</w:t>
      </w:r>
    </w:p>
  </w:footnote>
  <w:footnote w:id="43">
    <w:p w14:paraId="62814F5E" w14:textId="785F20D3" w:rsidR="005A4888" w:rsidRPr="00DC40BE" w:rsidRDefault="004D6D69" w:rsidP="00FC3377">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r w:rsidRPr="00DC40BE">
        <w:rPr>
          <w:sz w:val="18"/>
          <w:lang w:val="pl-PL"/>
        </w:rPr>
        <w:t>Rezolucja Parlamentu Europejskiego</w:t>
      </w:r>
      <w:r w:rsidR="00DC40BE" w:rsidRPr="00DC40BE">
        <w:rPr>
          <w:sz w:val="18"/>
          <w:lang w:val="pl-PL"/>
        </w:rPr>
        <w:t xml:space="preserve"> z dni</w:t>
      </w:r>
      <w:r w:rsidRPr="00DC40BE">
        <w:rPr>
          <w:sz w:val="18"/>
          <w:lang w:val="pl-PL"/>
        </w:rPr>
        <w:t>a 13 czerwca 2023</w:t>
      </w:r>
      <w:r w:rsidR="00DC40BE" w:rsidRPr="00DC40BE">
        <w:rPr>
          <w:sz w:val="18"/>
          <w:lang w:val="pl-PL"/>
        </w:rPr>
        <w:t> </w:t>
      </w:r>
      <w:r w:rsidRPr="00DC40BE">
        <w:rPr>
          <w:sz w:val="18"/>
          <w:lang w:val="pl-PL"/>
        </w:rPr>
        <w:t>r.</w:t>
      </w:r>
      <w:r w:rsidR="00DC40BE" w:rsidRPr="00DC40BE">
        <w:rPr>
          <w:sz w:val="18"/>
          <w:lang w:val="pl-PL"/>
        </w:rPr>
        <w:t xml:space="preserve"> w spr</w:t>
      </w:r>
      <w:r w:rsidRPr="00DC40BE">
        <w:rPr>
          <w:sz w:val="18"/>
          <w:lang w:val="pl-PL"/>
        </w:rPr>
        <w:t xml:space="preserve">awie wdrożenia rozporządzeń dotyczących europejskiej inicjatywy obywatelskiej (2022/2206/INI)), </w:t>
      </w:r>
      <w:hyperlink r:id="rId13" w:history="1">
        <w:r w:rsidRPr="00DC40BE">
          <w:rPr>
            <w:rStyle w:val="Hipercze"/>
            <w:sz w:val="18"/>
            <w:lang w:val="pl-PL"/>
          </w:rPr>
          <w:t>https://www.europarl.europa.eu/doceo/document/TA-9-2023-0230_PL.html</w:t>
        </w:r>
      </w:hyperlink>
      <w:r w:rsidRPr="00DC40BE">
        <w:rPr>
          <w:lang w:val="pl-PL"/>
        </w:rPr>
        <w:t>.</w:t>
      </w:r>
    </w:p>
  </w:footnote>
  <w:footnote w:id="44">
    <w:p w14:paraId="15CEBA85" w14:textId="3657628F" w:rsidR="005A4888" w:rsidRPr="00DC40BE" w:rsidRDefault="004D6D69" w:rsidP="00FC3377">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 xml:space="preserve">) </w:t>
      </w:r>
      <w:r w:rsidRPr="00DC40BE">
        <w:rPr>
          <w:lang w:val="pl-PL"/>
        </w:rPr>
        <w:tab/>
      </w:r>
      <w:r w:rsidRPr="00DC40BE">
        <w:rPr>
          <w:sz w:val="18"/>
          <w:lang w:val="pl-PL"/>
        </w:rPr>
        <w:t>Zob. również sekcja 3.4.4 powyżej.</w:t>
      </w:r>
    </w:p>
  </w:footnote>
  <w:footnote w:id="45">
    <w:p w14:paraId="36D62CF9" w14:textId="48078297" w:rsidR="005A4888" w:rsidRPr="00DC40BE" w:rsidRDefault="004D6D69" w:rsidP="00FC3377">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 xml:space="preserve">) </w:t>
      </w:r>
      <w:r w:rsidRPr="00DC40BE">
        <w:rPr>
          <w:lang w:val="pl-PL"/>
        </w:rPr>
        <w:tab/>
      </w:r>
      <w:r w:rsidRPr="00DC40BE">
        <w:rPr>
          <w:sz w:val="18"/>
          <w:lang w:val="pl-PL"/>
        </w:rPr>
        <w:t>Procedura certyfikacji przewidziana</w:t>
      </w:r>
      <w:r w:rsidR="00DC40BE" w:rsidRPr="00DC40BE">
        <w:rPr>
          <w:sz w:val="18"/>
          <w:lang w:val="pl-PL"/>
        </w:rPr>
        <w:t xml:space="preserve"> w art</w:t>
      </w:r>
      <w:r w:rsidRPr="00DC40BE">
        <w:rPr>
          <w:sz w:val="18"/>
          <w:lang w:val="pl-PL"/>
        </w:rPr>
        <w:t>.</w:t>
      </w:r>
      <w:r w:rsidR="00DC40BE" w:rsidRPr="00DC40BE">
        <w:rPr>
          <w:sz w:val="18"/>
          <w:lang w:val="pl-PL"/>
        </w:rPr>
        <w:t> </w:t>
      </w:r>
      <w:r w:rsidRPr="00DC40BE">
        <w:rPr>
          <w:sz w:val="18"/>
          <w:lang w:val="pl-PL"/>
        </w:rPr>
        <w:t>11 rozporządzenia</w:t>
      </w:r>
      <w:r w:rsidR="00DC40BE" w:rsidRPr="00DC40BE">
        <w:rPr>
          <w:sz w:val="18"/>
          <w:lang w:val="pl-PL"/>
        </w:rPr>
        <w:t xml:space="preserve"> w spr</w:t>
      </w:r>
      <w:r w:rsidRPr="00DC40BE">
        <w:rPr>
          <w:sz w:val="18"/>
          <w:lang w:val="pl-PL"/>
        </w:rPr>
        <w:t xml:space="preserve">awie EIO służy zagwarantowaniu zgodności indywidualnych systemów zbierania deklaracji online ze specyfikacjami technicznymi ustanowionymi w </w:t>
      </w:r>
      <w:hyperlink r:id="rId14" w:history="1">
        <w:r w:rsidRPr="00DC40BE">
          <w:rPr>
            <w:rStyle w:val="Hipercze"/>
            <w:sz w:val="18"/>
            <w:lang w:val="pl-PL"/>
          </w:rPr>
          <w:t>rozporządzeniu wykonawczym Komisji (UE) 2019/1799</w:t>
        </w:r>
      </w:hyperlink>
      <w:r w:rsidR="00DC40BE" w:rsidRPr="00DC40BE">
        <w:rPr>
          <w:sz w:val="18"/>
          <w:lang w:val="pl-PL"/>
        </w:rPr>
        <w:t xml:space="preserve"> z dni</w:t>
      </w:r>
      <w:r w:rsidRPr="00DC40BE">
        <w:rPr>
          <w:sz w:val="18"/>
          <w:lang w:val="pl-PL"/>
        </w:rPr>
        <w:t>a 22 października 2019</w:t>
      </w:r>
      <w:r w:rsidR="00DC40BE" w:rsidRPr="00DC40BE">
        <w:rPr>
          <w:sz w:val="18"/>
          <w:lang w:val="pl-PL"/>
        </w:rPr>
        <w:t> </w:t>
      </w:r>
      <w:r w:rsidRPr="00DC40BE">
        <w:rPr>
          <w:sz w:val="18"/>
          <w:lang w:val="pl-PL"/>
        </w:rPr>
        <w:t>r. (Dz.U. L 274</w:t>
      </w:r>
      <w:r w:rsidR="00DC40BE" w:rsidRPr="00DC40BE">
        <w:rPr>
          <w:sz w:val="18"/>
          <w:lang w:val="pl-PL"/>
        </w:rPr>
        <w:t xml:space="preserve"> z 2</w:t>
      </w:r>
      <w:r w:rsidRPr="00DC40BE">
        <w:rPr>
          <w:sz w:val="18"/>
          <w:lang w:val="pl-PL"/>
        </w:rPr>
        <w:t>8.10.2019, s. 3).</w:t>
      </w:r>
    </w:p>
  </w:footnote>
  <w:footnote w:id="46">
    <w:p w14:paraId="51883030" w14:textId="66522532" w:rsidR="005A4888" w:rsidRPr="00DC40BE" w:rsidRDefault="004D6D69" w:rsidP="00FC3377">
      <w:pPr>
        <w:pStyle w:val="Tekstprzypisudolnego"/>
        <w:ind w:left="360" w:hanging="360"/>
        <w:rPr>
          <w:sz w:val="18"/>
          <w:lang w:val="pl-PL"/>
        </w:rPr>
      </w:pPr>
      <w:r w:rsidRPr="00DC40BE">
        <w:rPr>
          <w:sz w:val="18"/>
          <w:lang w:val="pl-PL"/>
        </w:rPr>
        <w:t>(</w:t>
      </w:r>
      <w:r w:rsidRPr="00DC40BE">
        <w:rPr>
          <w:rStyle w:val="Odwoanieprzypisudolnego"/>
          <w:sz w:val="18"/>
          <w:lang w:val="pl-PL"/>
        </w:rPr>
        <w:footnoteRef/>
      </w:r>
      <w:r w:rsidRPr="00DC40BE">
        <w:rPr>
          <w:sz w:val="18"/>
          <w:lang w:val="pl-PL"/>
        </w:rPr>
        <w:t xml:space="preserve">) </w:t>
      </w:r>
      <w:r w:rsidRPr="00DC40BE">
        <w:rPr>
          <w:lang w:val="pl-PL"/>
        </w:rPr>
        <w:tab/>
      </w:r>
      <w:hyperlink r:id="rId15" w:history="1">
        <w:r w:rsidRPr="00DC40BE">
          <w:rPr>
            <w:rStyle w:val="Hipercze"/>
            <w:sz w:val="18"/>
            <w:lang w:val="pl-PL"/>
          </w:rPr>
          <w:t>https://citizens-initiative.europa.eu/sites/default/files/2023-11/Study%20on%20Technical%20Solutions%20for%20Organisers%20of%20European%20Citizens%20Initiatives.pdf</w:t>
        </w:r>
      </w:hyperlink>
      <w:r w:rsidRPr="00DC40BE">
        <w:rPr>
          <w:sz w:val="18"/>
          <w:lang w:val="pl-PL"/>
        </w:rPr>
        <w:t xml:space="preserve"> </w:t>
      </w:r>
    </w:p>
  </w:footnote>
  <w:footnote w:id="47">
    <w:p w14:paraId="673171C4" w14:textId="53935F20" w:rsidR="00203875" w:rsidRPr="00DC40BE" w:rsidRDefault="00203875" w:rsidP="00FC3377">
      <w:pPr>
        <w:pStyle w:val="Tekstprzypisudolnego"/>
        <w:ind w:left="375" w:hanging="375"/>
        <w:rPr>
          <w:sz w:val="18"/>
          <w:lang w:val="pl-PL"/>
        </w:rPr>
      </w:pPr>
      <w:r w:rsidRPr="00DC40BE">
        <w:rPr>
          <w:sz w:val="18"/>
          <w:lang w:val="pl-PL"/>
        </w:rPr>
        <w:t>(</w:t>
      </w:r>
      <w:r w:rsidRPr="00DC40BE">
        <w:rPr>
          <w:rStyle w:val="Odwoanieprzypisudolnego"/>
          <w:sz w:val="18"/>
          <w:lang w:val="pl-PL"/>
        </w:rPr>
        <w:footnoteRef/>
      </w:r>
      <w:r w:rsidRPr="00DC40BE">
        <w:rPr>
          <w:sz w:val="18"/>
          <w:lang w:val="pl-PL"/>
        </w:rPr>
        <w:t xml:space="preserve">) </w:t>
      </w:r>
      <w:r w:rsidRPr="00DC40BE">
        <w:rPr>
          <w:lang w:val="pl-PL"/>
        </w:rPr>
        <w:tab/>
      </w:r>
      <w:hyperlink r:id="rId16" w:history="1">
        <w:r w:rsidRPr="00DC40BE">
          <w:rPr>
            <w:rStyle w:val="Hipercze"/>
            <w:sz w:val="18"/>
            <w:lang w:val="pl-PL"/>
          </w:rPr>
          <w:t>Rozporządzenie wykonawcze Komisji (UE) 2019/1799</w:t>
        </w:r>
      </w:hyperlink>
      <w:r w:rsidR="00DC40BE" w:rsidRPr="00DC40BE">
        <w:rPr>
          <w:sz w:val="18"/>
          <w:lang w:val="pl-PL"/>
        </w:rPr>
        <w:t xml:space="preserve"> z dni</w:t>
      </w:r>
      <w:r w:rsidRPr="00DC40BE">
        <w:rPr>
          <w:sz w:val="18"/>
          <w:lang w:val="pl-PL"/>
        </w:rPr>
        <w:t>a 22 października 2019</w:t>
      </w:r>
      <w:r w:rsidR="00DC40BE" w:rsidRPr="00DC40BE">
        <w:rPr>
          <w:sz w:val="18"/>
          <w:lang w:val="pl-PL"/>
        </w:rPr>
        <w:t> </w:t>
      </w:r>
      <w:r w:rsidRPr="00DC40BE">
        <w:rPr>
          <w:sz w:val="18"/>
          <w:lang w:val="pl-PL"/>
        </w:rPr>
        <w:t>r. ustanawiające specyfikacje techniczne</w:t>
      </w:r>
      <w:r w:rsidR="00DC40BE" w:rsidRPr="00DC40BE">
        <w:rPr>
          <w:sz w:val="18"/>
          <w:lang w:val="pl-PL"/>
        </w:rPr>
        <w:t xml:space="preserve"> w odn</w:t>
      </w:r>
      <w:r w:rsidRPr="00DC40BE">
        <w:rPr>
          <w:sz w:val="18"/>
          <w:lang w:val="pl-PL"/>
        </w:rPr>
        <w:t>iesieniu do indywidualnych systemów zbierania deklaracji online zgodnie</w:t>
      </w:r>
      <w:r w:rsidR="00DC40BE" w:rsidRPr="00DC40BE">
        <w:rPr>
          <w:sz w:val="18"/>
          <w:lang w:val="pl-PL"/>
        </w:rPr>
        <w:t xml:space="preserve"> z roz</w:t>
      </w:r>
      <w:r w:rsidRPr="00DC40BE">
        <w:rPr>
          <w:sz w:val="18"/>
          <w:lang w:val="pl-PL"/>
        </w:rPr>
        <w:t>porządzeniem Parlamentu Europejskiego</w:t>
      </w:r>
      <w:r w:rsidR="00DC40BE" w:rsidRPr="00DC40BE">
        <w:rPr>
          <w:sz w:val="18"/>
          <w:lang w:val="pl-PL"/>
        </w:rPr>
        <w:t xml:space="preserve"> i Rad</w:t>
      </w:r>
      <w:r w:rsidRPr="00DC40BE">
        <w:rPr>
          <w:sz w:val="18"/>
          <w:lang w:val="pl-PL"/>
        </w:rPr>
        <w:t>y (UE) 2019/788</w:t>
      </w:r>
      <w:r w:rsidR="00DC40BE" w:rsidRPr="00DC40BE">
        <w:rPr>
          <w:sz w:val="18"/>
          <w:lang w:val="pl-PL"/>
        </w:rPr>
        <w:t xml:space="preserve"> w spr</w:t>
      </w:r>
      <w:r w:rsidRPr="00DC40BE">
        <w:rPr>
          <w:sz w:val="18"/>
          <w:lang w:val="pl-PL"/>
        </w:rPr>
        <w:t>awie europejskiej inicjatywy obywatelskiej (</w:t>
      </w:r>
      <w:r w:rsidRPr="00DC40BE">
        <w:rPr>
          <w:lang w:val="pl-PL"/>
        </w:rPr>
        <w:t>Dz.U. L 274</w:t>
      </w:r>
      <w:r w:rsidR="00DC40BE" w:rsidRPr="00DC40BE">
        <w:rPr>
          <w:lang w:val="pl-PL"/>
        </w:rPr>
        <w:t xml:space="preserve"> z 2</w:t>
      </w:r>
      <w:r w:rsidRPr="00DC40BE">
        <w:rPr>
          <w:lang w:val="pl-PL"/>
        </w:rPr>
        <w:t>8.10.2019, s. 3</w:t>
      </w:r>
      <w:r w:rsidRPr="00DC40BE">
        <w:rPr>
          <w:sz w:val="18"/>
          <w:lang w:val="pl-PL"/>
        </w:rPr>
        <w:t>).</w:t>
      </w:r>
    </w:p>
  </w:footnote>
  <w:footnote w:id="48">
    <w:p w14:paraId="70AD7235" w14:textId="4C08E647" w:rsidR="005A4888" w:rsidRPr="00DC40BE" w:rsidRDefault="004D6D69" w:rsidP="00FC3377">
      <w:pPr>
        <w:pStyle w:val="Tekstprzypisudolnego"/>
        <w:ind w:left="360" w:hanging="360"/>
        <w:rPr>
          <w:sz w:val="18"/>
          <w:lang w:val="pl-PL"/>
        </w:rPr>
      </w:pPr>
      <w:r w:rsidRPr="00DC40BE">
        <w:rPr>
          <w:sz w:val="18"/>
          <w:lang w:val="pl-PL"/>
        </w:rPr>
        <w:t>(</w:t>
      </w:r>
      <w:r w:rsidRPr="00DC40BE">
        <w:rPr>
          <w:rStyle w:val="Odwoanieprzypisudolnego"/>
          <w:sz w:val="18"/>
          <w:lang w:val="pl-PL"/>
        </w:rPr>
        <w:footnoteRef/>
      </w:r>
      <w:r w:rsidRPr="00DC40BE">
        <w:rPr>
          <w:sz w:val="18"/>
          <w:lang w:val="pl-PL"/>
        </w:rPr>
        <w:t xml:space="preserve">) </w:t>
      </w:r>
      <w:r w:rsidRPr="00DC40BE">
        <w:rPr>
          <w:lang w:val="pl-PL"/>
        </w:rPr>
        <w:tab/>
      </w:r>
      <w:r w:rsidRPr="00DC40BE">
        <w:rPr>
          <w:sz w:val="18"/>
          <w:lang w:val="pl-PL"/>
        </w:rPr>
        <w:t>Wysokość kosztów wdrożenia</w:t>
      </w:r>
      <w:r w:rsidR="00DC40BE" w:rsidRPr="00DC40BE">
        <w:rPr>
          <w:sz w:val="18"/>
          <w:lang w:val="pl-PL"/>
        </w:rPr>
        <w:t xml:space="preserve"> i utr</w:t>
      </w:r>
      <w:r w:rsidRPr="00DC40BE">
        <w:rPr>
          <w:sz w:val="18"/>
          <w:lang w:val="pl-PL"/>
        </w:rPr>
        <w:t>zymania ponoszonych przez organizatorów EIO różni się</w:t>
      </w:r>
      <w:r w:rsidR="00DC40BE" w:rsidRPr="00DC40BE">
        <w:rPr>
          <w:sz w:val="18"/>
          <w:lang w:val="pl-PL"/>
        </w:rPr>
        <w:t xml:space="preserve"> w zal</w:t>
      </w:r>
      <w:r w:rsidRPr="00DC40BE">
        <w:rPr>
          <w:sz w:val="18"/>
          <w:lang w:val="pl-PL"/>
        </w:rPr>
        <w:t>eżności od charakteru możliwego do wbudowania rozwiązania przedstawionego</w:t>
      </w:r>
      <w:r w:rsidR="00DC40BE" w:rsidRPr="00DC40BE">
        <w:rPr>
          <w:sz w:val="18"/>
          <w:lang w:val="pl-PL"/>
        </w:rPr>
        <w:t xml:space="preserve"> w spr</w:t>
      </w:r>
      <w:r w:rsidRPr="00DC40BE">
        <w:rPr>
          <w:sz w:val="18"/>
          <w:lang w:val="pl-PL"/>
        </w:rPr>
        <w:t>awozdaniu sporządzonym przez zewnętrznych ekspertów</w:t>
      </w:r>
      <w:r w:rsidR="00DC40BE" w:rsidRPr="00DC40BE">
        <w:rPr>
          <w:sz w:val="18"/>
          <w:lang w:val="pl-PL"/>
        </w:rPr>
        <w:t>. W prz</w:t>
      </w:r>
      <w:r w:rsidRPr="00DC40BE">
        <w:rPr>
          <w:sz w:val="18"/>
          <w:lang w:val="pl-PL"/>
        </w:rPr>
        <w:t>ypadku konieczności skorzystania</w:t>
      </w:r>
      <w:r w:rsidR="00DC40BE" w:rsidRPr="00DC40BE">
        <w:rPr>
          <w:sz w:val="18"/>
          <w:lang w:val="pl-PL"/>
        </w:rPr>
        <w:t xml:space="preserve"> z zew</w:t>
      </w:r>
      <w:r w:rsidRPr="00DC40BE">
        <w:rPr>
          <w:sz w:val="18"/>
          <w:lang w:val="pl-PL"/>
        </w:rPr>
        <w:t>nętrznej wiedzy eksperckiej przez organizatorów EIO koszt najprostszego rozwiązania wynosiłby średnio 9 650 EUR</w:t>
      </w:r>
      <w:r w:rsidR="00DC40BE" w:rsidRPr="00DC40BE">
        <w:rPr>
          <w:sz w:val="18"/>
          <w:lang w:val="pl-PL"/>
        </w:rPr>
        <w:t xml:space="preserve"> z tyt</w:t>
      </w:r>
      <w:r w:rsidRPr="00DC40BE">
        <w:rPr>
          <w:sz w:val="18"/>
          <w:lang w:val="pl-PL"/>
        </w:rPr>
        <w:t>ułu jednorazowego wdrożenia</w:t>
      </w:r>
      <w:r w:rsidR="00DC40BE" w:rsidRPr="00DC40BE">
        <w:rPr>
          <w:sz w:val="18"/>
          <w:lang w:val="pl-PL"/>
        </w:rPr>
        <w:t xml:space="preserve"> i kol</w:t>
      </w:r>
      <w:r w:rsidRPr="00DC40BE">
        <w:rPr>
          <w:sz w:val="18"/>
          <w:lang w:val="pl-PL"/>
        </w:rPr>
        <w:t>ejne 6 500 EUR</w:t>
      </w:r>
      <w:r w:rsidR="00DC40BE" w:rsidRPr="00DC40BE">
        <w:rPr>
          <w:sz w:val="18"/>
          <w:lang w:val="pl-PL"/>
        </w:rPr>
        <w:t xml:space="preserve"> w pos</w:t>
      </w:r>
      <w:r w:rsidRPr="00DC40BE">
        <w:rPr>
          <w:sz w:val="18"/>
          <w:lang w:val="pl-PL"/>
        </w:rPr>
        <w:t>taci kosztów utrzymania ponoszonych każdego roku. Koszty te obliczono przy założeniu wbudowania systemu</w:t>
      </w:r>
      <w:r w:rsidR="00DC40BE" w:rsidRPr="00DC40BE">
        <w:rPr>
          <w:sz w:val="18"/>
          <w:lang w:val="pl-PL"/>
        </w:rPr>
        <w:t xml:space="preserve"> w trz</w:t>
      </w:r>
      <w:r w:rsidRPr="00DC40BE">
        <w:rPr>
          <w:sz w:val="18"/>
          <w:lang w:val="pl-PL"/>
        </w:rPr>
        <w:t>y strony internetowe (zgodnie</w:t>
      </w:r>
      <w:r w:rsidR="00DC40BE" w:rsidRPr="00DC40BE">
        <w:rPr>
          <w:sz w:val="18"/>
          <w:lang w:val="pl-PL"/>
        </w:rPr>
        <w:t xml:space="preserve"> z zal</w:t>
      </w:r>
      <w:r w:rsidRPr="00DC40BE">
        <w:rPr>
          <w:sz w:val="18"/>
          <w:lang w:val="pl-PL"/>
        </w:rPr>
        <w:t>eceniami przedstawionymi</w:t>
      </w:r>
      <w:r w:rsidR="00DC40BE" w:rsidRPr="00DC40BE">
        <w:rPr>
          <w:sz w:val="18"/>
          <w:lang w:val="pl-PL"/>
        </w:rPr>
        <w:t xml:space="preserve"> w bad</w:t>
      </w:r>
      <w:r w:rsidRPr="00DC40BE">
        <w:rPr>
          <w:sz w:val="18"/>
          <w:lang w:val="pl-PL"/>
        </w:rPr>
        <w:t>aniu zewnętrznym jest to maksymalna liczba stron internetowych, biorąc pod uwagę poważne ryzyko dla bezpieczeństwa</w:t>
      </w:r>
      <w:r w:rsidR="00DC40BE" w:rsidRPr="00DC40BE">
        <w:rPr>
          <w:sz w:val="18"/>
          <w:lang w:val="pl-PL"/>
        </w:rPr>
        <w:t xml:space="preserve"> i och</w:t>
      </w:r>
      <w:r w:rsidRPr="00DC40BE">
        <w:rPr>
          <w:sz w:val="18"/>
          <w:lang w:val="pl-PL"/>
        </w:rPr>
        <w:t>rony danych,</w:t>
      </w:r>
      <w:r w:rsidR="00DC40BE" w:rsidRPr="00DC40BE">
        <w:rPr>
          <w:sz w:val="18"/>
          <w:lang w:val="pl-PL"/>
        </w:rPr>
        <w:t xml:space="preserve"> z jak</w:t>
      </w:r>
      <w:r w:rsidRPr="00DC40BE">
        <w:rPr>
          <w:sz w:val="18"/>
          <w:lang w:val="pl-PL"/>
        </w:rPr>
        <w:t>im wiąże się korzystanie</w:t>
      </w:r>
      <w:r w:rsidR="00DC40BE" w:rsidRPr="00DC40BE">
        <w:rPr>
          <w:sz w:val="18"/>
          <w:lang w:val="pl-PL"/>
        </w:rPr>
        <w:t xml:space="preserve"> z teg</w:t>
      </w:r>
      <w:r w:rsidRPr="00DC40BE">
        <w:rPr>
          <w:sz w:val="18"/>
          <w:lang w:val="pl-PL"/>
        </w:rPr>
        <w:t>o rozwiązania). Oczekuje się, że koszty utrzymania będą zwiększały się liniowo</w:t>
      </w:r>
      <w:r w:rsidR="00DC40BE" w:rsidRPr="00DC40BE">
        <w:rPr>
          <w:sz w:val="18"/>
          <w:lang w:val="pl-PL"/>
        </w:rPr>
        <w:t xml:space="preserve"> w prz</w:t>
      </w:r>
      <w:r w:rsidRPr="00DC40BE">
        <w:rPr>
          <w:sz w:val="18"/>
          <w:lang w:val="pl-PL"/>
        </w:rPr>
        <w:t>ypadku wbudowania rozwiązania</w:t>
      </w:r>
      <w:r w:rsidR="00DC40BE" w:rsidRPr="00DC40BE">
        <w:rPr>
          <w:sz w:val="18"/>
          <w:lang w:val="pl-PL"/>
        </w:rPr>
        <w:t xml:space="preserve"> w wię</w:t>
      </w:r>
      <w:r w:rsidRPr="00DC40BE">
        <w:rPr>
          <w:sz w:val="18"/>
          <w:lang w:val="pl-PL"/>
        </w:rPr>
        <w:t>cej niż trzy strony internetowe. Przedstawione dane liczbowe nie uwzględniają kosztów rozwoju ani kosztów utrzymania, które mają zostać pokryte przez Komisję, jak również kosztów certyfikacji</w:t>
      </w:r>
      <w:r w:rsidR="00DC40BE" w:rsidRPr="00DC40BE">
        <w:rPr>
          <w:sz w:val="18"/>
          <w:lang w:val="pl-PL"/>
        </w:rPr>
        <w:t xml:space="preserve"> i kon</w:t>
      </w:r>
      <w:r w:rsidRPr="00DC40BE">
        <w:rPr>
          <w:sz w:val="18"/>
          <w:lang w:val="pl-PL"/>
        </w:rPr>
        <w:t>troli ponoszonych przez państwa członkowskie przez cały okres zbierania deklaracji.</w:t>
      </w:r>
    </w:p>
  </w:footnote>
  <w:footnote w:id="49">
    <w:p w14:paraId="4903541D" w14:textId="6E619062" w:rsidR="005A4888" w:rsidRPr="00DC40BE" w:rsidRDefault="004D6D69" w:rsidP="00FC3377">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 xml:space="preserve">) </w:t>
      </w:r>
      <w:r w:rsidRPr="00DC40BE">
        <w:rPr>
          <w:lang w:val="pl-PL"/>
        </w:rPr>
        <w:tab/>
      </w:r>
      <w:r w:rsidRPr="00DC40BE">
        <w:rPr>
          <w:sz w:val="18"/>
          <w:lang w:val="pl-PL"/>
        </w:rPr>
        <w:t>W badaniu zewnętrznym oszacowano, że początkowy, jednorazowy koszt certyfikacji każdego możliwego do wbudowania rozwiązania przed rozpoczęciem zbierania deklaracji poparcia wynosi 10 000 EUR</w:t>
      </w:r>
      <w:r w:rsidR="00DC40BE" w:rsidRPr="00DC40BE">
        <w:rPr>
          <w:sz w:val="18"/>
          <w:lang w:val="pl-PL"/>
        </w:rPr>
        <w:t>. W bad</w:t>
      </w:r>
      <w:r w:rsidRPr="00DC40BE">
        <w:rPr>
          <w:sz w:val="18"/>
          <w:lang w:val="pl-PL"/>
        </w:rPr>
        <w:t>aniu zalecono również, aby</w:t>
      </w:r>
      <w:r w:rsidR="00DC40BE" w:rsidRPr="00DC40BE">
        <w:rPr>
          <w:sz w:val="18"/>
          <w:lang w:val="pl-PL"/>
        </w:rPr>
        <w:t xml:space="preserve"> w ram</w:t>
      </w:r>
      <w:r w:rsidRPr="00DC40BE">
        <w:rPr>
          <w:sz w:val="18"/>
          <w:lang w:val="pl-PL"/>
        </w:rPr>
        <w:t>ach dwunastomiesięcznego procesu zbierania deklaracji krajowe instytucje certyfikujące poddawały strony internetowe organizatorów</w:t>
      </w:r>
      <w:r w:rsidR="00DC40BE" w:rsidRPr="00DC40BE">
        <w:rPr>
          <w:sz w:val="18"/>
          <w:lang w:val="pl-PL"/>
        </w:rPr>
        <w:t xml:space="preserve"> i moż</w:t>
      </w:r>
      <w:r w:rsidRPr="00DC40BE">
        <w:rPr>
          <w:sz w:val="18"/>
          <w:lang w:val="pl-PL"/>
        </w:rPr>
        <w:t>liwe do wbudowania rozwiązania kontroli</w:t>
      </w:r>
      <w:r w:rsidR="00DC40BE" w:rsidRPr="00DC40BE">
        <w:rPr>
          <w:sz w:val="18"/>
          <w:lang w:val="pl-PL"/>
        </w:rPr>
        <w:t xml:space="preserve"> w ods</w:t>
      </w:r>
      <w:r w:rsidRPr="00DC40BE">
        <w:rPr>
          <w:sz w:val="18"/>
          <w:lang w:val="pl-PL"/>
        </w:rPr>
        <w:t>tępach czteromiesięcznych. Koszty szacuje się na</w:t>
      </w:r>
      <w:r w:rsidR="00DC40BE" w:rsidRPr="00DC40BE">
        <w:rPr>
          <w:sz w:val="18"/>
          <w:lang w:val="pl-PL"/>
        </w:rPr>
        <w:t> </w:t>
      </w:r>
      <w:r w:rsidRPr="00DC40BE">
        <w:rPr>
          <w:sz w:val="18"/>
          <w:lang w:val="pl-PL"/>
        </w:rPr>
        <w:t>3 250 EUR za jednorazową kontrolę jednej strony internetowej (przy założeniu, że jest ona przeprowadzana przez przedsiębiorstwo prywatne)</w:t>
      </w:r>
      <w:r w:rsidR="00DC40BE" w:rsidRPr="00DC40BE">
        <w:rPr>
          <w:sz w:val="18"/>
          <w:lang w:val="pl-PL"/>
        </w:rPr>
        <w:t>. W prz</w:t>
      </w:r>
      <w:r w:rsidRPr="00DC40BE">
        <w:rPr>
          <w:sz w:val="18"/>
          <w:lang w:val="pl-PL"/>
        </w:rPr>
        <w:t>ypadku rozwiązania bardziej złożonego pod względem technicznym zaleca się przeprowadzenie standardowej kontroli kodu, której koszt będzie opiewał na dodatkowe 6 500 EUR za jednorazową kontrolę jednej strony internetowej.</w:t>
      </w:r>
    </w:p>
  </w:footnote>
  <w:footnote w:id="50">
    <w:p w14:paraId="1FBEB5ED" w14:textId="6157F9DD" w:rsidR="005A4888" w:rsidRPr="00DC40BE" w:rsidRDefault="004D6D69" w:rsidP="00FC3377">
      <w:pPr>
        <w:pStyle w:val="Tekstprzypisudolnego"/>
        <w:ind w:left="360" w:hanging="360"/>
        <w:rPr>
          <w:sz w:val="18"/>
          <w:lang w:val="pl-PL"/>
        </w:rPr>
      </w:pPr>
      <w:r w:rsidRPr="00DC40BE">
        <w:rPr>
          <w:sz w:val="18"/>
          <w:lang w:val="pl-PL"/>
        </w:rPr>
        <w:t>(</w:t>
      </w:r>
      <w:r w:rsidRPr="00DC40BE">
        <w:rPr>
          <w:rStyle w:val="Odwoanieprzypisudolnego"/>
          <w:sz w:val="18"/>
          <w:lang w:val="pl-PL"/>
        </w:rPr>
        <w:footnoteRef/>
      </w:r>
      <w:r w:rsidRPr="00DC40BE">
        <w:rPr>
          <w:sz w:val="18"/>
          <w:lang w:val="pl-PL"/>
        </w:rPr>
        <w:t>) * = zarejestrowane na podstawie pierwszego rozporządzenia</w:t>
      </w:r>
      <w:r w:rsidR="00DC40BE" w:rsidRPr="00DC40BE">
        <w:rPr>
          <w:sz w:val="18"/>
          <w:lang w:val="pl-PL"/>
        </w:rPr>
        <w:t xml:space="preserve"> w spr</w:t>
      </w:r>
      <w:r w:rsidRPr="00DC40BE">
        <w:rPr>
          <w:sz w:val="18"/>
          <w:lang w:val="pl-PL"/>
        </w:rPr>
        <w:t>awie EIO.</w:t>
      </w:r>
    </w:p>
  </w:footnote>
  <w:footnote w:id="51">
    <w:p w14:paraId="690A44C7" w14:textId="67AEE288" w:rsidR="0008609A" w:rsidRPr="00DC40BE" w:rsidRDefault="0008609A" w:rsidP="00FC3377">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r w:rsidRPr="00DC40BE">
        <w:rPr>
          <w:sz w:val="18"/>
          <w:lang w:val="pl-PL"/>
        </w:rPr>
        <w:t>Art. 12 ust.</w:t>
      </w:r>
      <w:r w:rsidR="00DC40BE" w:rsidRPr="00DC40BE">
        <w:rPr>
          <w:sz w:val="18"/>
          <w:lang w:val="pl-PL"/>
        </w:rPr>
        <w:t> </w:t>
      </w:r>
      <w:r w:rsidRPr="00DC40BE">
        <w:rPr>
          <w:sz w:val="18"/>
          <w:lang w:val="pl-PL"/>
        </w:rPr>
        <w:t>2 rozporządzenia</w:t>
      </w:r>
      <w:r w:rsidR="00DC40BE" w:rsidRPr="00DC40BE">
        <w:rPr>
          <w:sz w:val="18"/>
          <w:lang w:val="pl-PL"/>
        </w:rPr>
        <w:t xml:space="preserve"> w spr</w:t>
      </w:r>
      <w:r w:rsidRPr="00DC40BE">
        <w:rPr>
          <w:sz w:val="18"/>
          <w:lang w:val="pl-PL"/>
        </w:rPr>
        <w:t>awie EIO.</w:t>
      </w:r>
    </w:p>
  </w:footnote>
  <w:footnote w:id="52">
    <w:p w14:paraId="53D02637" w14:textId="0DBA4148" w:rsidR="006D1621" w:rsidRPr="00DC40BE" w:rsidRDefault="006D1621" w:rsidP="00FC3377">
      <w:pPr>
        <w:pStyle w:val="Tekstprzypisudolnego"/>
        <w:rPr>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r w:rsidRPr="00DC40BE">
        <w:rPr>
          <w:sz w:val="18"/>
          <w:lang w:val="pl-PL"/>
        </w:rPr>
        <w:t>Organizatorzy EIO bezskutecznie zaskarżyli jedną</w:t>
      </w:r>
      <w:r w:rsidR="00DC40BE" w:rsidRPr="00DC40BE">
        <w:rPr>
          <w:sz w:val="18"/>
          <w:lang w:val="pl-PL"/>
        </w:rPr>
        <w:t xml:space="preserve"> z dec</w:t>
      </w:r>
      <w:r w:rsidRPr="00DC40BE">
        <w:rPr>
          <w:sz w:val="18"/>
          <w:lang w:val="pl-PL"/>
        </w:rPr>
        <w:t>yzji wydanych przez organ krajowy do sądu krajowego.</w:t>
      </w:r>
    </w:p>
  </w:footnote>
  <w:footnote w:id="53">
    <w:p w14:paraId="5C9EB2C1" w14:textId="0B294C05" w:rsidR="00213F9E" w:rsidRPr="00DC40BE" w:rsidRDefault="00213F9E" w:rsidP="00FC3377">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hyperlink r:id="rId17" w:history="1">
        <w:r w:rsidRPr="00DC40BE">
          <w:rPr>
            <w:rStyle w:val="Hipercze"/>
            <w:sz w:val="18"/>
            <w:lang w:val="pl-PL"/>
          </w:rPr>
          <w:t>https://citizens-initiative.europa.eu/how-it-works/implementation-national-level_pl</w:t>
        </w:r>
      </w:hyperlink>
      <w:r w:rsidRPr="00DC40BE">
        <w:rPr>
          <w:sz w:val="18"/>
          <w:lang w:val="pl-PL"/>
        </w:rPr>
        <w:t xml:space="preserve"> </w:t>
      </w:r>
    </w:p>
  </w:footnote>
  <w:footnote w:id="54">
    <w:p w14:paraId="72561352" w14:textId="342A1818" w:rsidR="005A4888" w:rsidRPr="00DC40BE" w:rsidRDefault="004D6D69" w:rsidP="00FC3377">
      <w:pPr>
        <w:pStyle w:val="Tekstprzypisudolnego"/>
        <w:ind w:left="360" w:hanging="360"/>
        <w:rPr>
          <w:sz w:val="18"/>
          <w:lang w:val="pl-PL"/>
        </w:rPr>
      </w:pPr>
      <w:r w:rsidRPr="00DC40BE">
        <w:rPr>
          <w:sz w:val="18"/>
          <w:lang w:val="pl-PL"/>
        </w:rPr>
        <w:t>(</w:t>
      </w:r>
      <w:r w:rsidRPr="00DC40BE">
        <w:rPr>
          <w:rStyle w:val="Odwoanieprzypisudolnego"/>
          <w:sz w:val="18"/>
          <w:lang w:val="pl-PL"/>
        </w:rPr>
        <w:footnoteRef/>
      </w:r>
      <w:r w:rsidRPr="00DC40BE">
        <w:rPr>
          <w:sz w:val="18"/>
          <w:lang w:val="pl-PL"/>
        </w:rPr>
        <w:t xml:space="preserve">) </w:t>
      </w:r>
      <w:r w:rsidRPr="00DC40BE">
        <w:rPr>
          <w:lang w:val="pl-PL"/>
        </w:rPr>
        <w:tab/>
      </w:r>
      <w:r w:rsidRPr="00DC40BE">
        <w:rPr>
          <w:sz w:val="18"/>
          <w:lang w:val="pl-PL"/>
        </w:rPr>
        <w:t>Odpowiednie organy nie przekazały danych dotyczących Niderlandów</w:t>
      </w:r>
      <w:r w:rsidR="00DC40BE" w:rsidRPr="00DC40BE">
        <w:rPr>
          <w:sz w:val="18"/>
          <w:lang w:val="pl-PL"/>
        </w:rPr>
        <w:t xml:space="preserve"> i Mal</w:t>
      </w:r>
      <w:r w:rsidRPr="00DC40BE">
        <w:rPr>
          <w:sz w:val="18"/>
          <w:lang w:val="pl-PL"/>
        </w:rPr>
        <w:t>ty.</w:t>
      </w:r>
    </w:p>
  </w:footnote>
  <w:footnote w:id="55">
    <w:p w14:paraId="6B3022E7" w14:textId="5C8584A0" w:rsidR="005A4888" w:rsidRPr="00DC40BE" w:rsidRDefault="005E4A59" w:rsidP="00FC3377">
      <w:pPr>
        <w:pStyle w:val="Tekstprzypisudolnego"/>
        <w:ind w:left="360" w:hanging="360"/>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r w:rsidRPr="00DC40BE">
        <w:rPr>
          <w:sz w:val="18"/>
          <w:lang w:val="pl-PL"/>
        </w:rPr>
        <w:t>Organy portugalskie wybrały opcję „inne rejestry”</w:t>
      </w:r>
      <w:r w:rsidR="00DC40BE" w:rsidRPr="00DC40BE">
        <w:rPr>
          <w:sz w:val="18"/>
          <w:lang w:val="pl-PL"/>
        </w:rPr>
        <w:t xml:space="preserve"> i wsk</w:t>
      </w:r>
      <w:r w:rsidRPr="00DC40BE">
        <w:rPr>
          <w:sz w:val="18"/>
          <w:lang w:val="pl-PL"/>
        </w:rPr>
        <w:t>azały „bazę danych służącą do identyfikacji cywilnej”, którą na potrzeby niniejszego sprawozdania uznano za rejestr ludności.</w:t>
      </w:r>
    </w:p>
  </w:footnote>
  <w:footnote w:id="56">
    <w:p w14:paraId="6F860FFE" w14:textId="284B0FA7" w:rsidR="0009255E" w:rsidRPr="00DC40BE" w:rsidRDefault="0009255E" w:rsidP="00B015EE">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r w:rsidRPr="00DC40BE">
        <w:rPr>
          <w:sz w:val="18"/>
          <w:lang w:val="pl-PL"/>
        </w:rPr>
        <w:t>Trzy zarejestrowane na podstawie pierwszego rozporządzenia</w:t>
      </w:r>
      <w:r w:rsidR="00DC40BE" w:rsidRPr="00DC40BE">
        <w:rPr>
          <w:sz w:val="18"/>
          <w:lang w:val="pl-PL"/>
        </w:rPr>
        <w:t xml:space="preserve"> w spr</w:t>
      </w:r>
      <w:r w:rsidRPr="00DC40BE">
        <w:rPr>
          <w:sz w:val="18"/>
          <w:lang w:val="pl-PL"/>
        </w:rPr>
        <w:t>awie EIO</w:t>
      </w:r>
      <w:r w:rsidR="00DC40BE" w:rsidRPr="00DC40BE">
        <w:rPr>
          <w:sz w:val="18"/>
          <w:lang w:val="pl-PL"/>
        </w:rPr>
        <w:t xml:space="preserve"> i trz</w:t>
      </w:r>
      <w:r w:rsidRPr="00DC40BE">
        <w:rPr>
          <w:sz w:val="18"/>
          <w:lang w:val="pl-PL"/>
        </w:rPr>
        <w:t>y na podstawie drugiego rozporządzenia</w:t>
      </w:r>
      <w:r w:rsidR="00DC40BE" w:rsidRPr="00DC40BE">
        <w:rPr>
          <w:sz w:val="18"/>
          <w:lang w:val="pl-PL"/>
        </w:rPr>
        <w:t xml:space="preserve"> w spr</w:t>
      </w:r>
      <w:r w:rsidRPr="00DC40BE">
        <w:rPr>
          <w:sz w:val="18"/>
          <w:lang w:val="pl-PL"/>
        </w:rPr>
        <w:t>awie EIO.</w:t>
      </w:r>
    </w:p>
  </w:footnote>
  <w:footnote w:id="57">
    <w:p w14:paraId="77A9870A" w14:textId="0A70284E" w:rsidR="0008609A" w:rsidRPr="00DC40BE" w:rsidRDefault="0008609A">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r w:rsidRPr="00DC40BE">
        <w:rPr>
          <w:sz w:val="18"/>
          <w:lang w:val="pl-PL"/>
        </w:rPr>
        <w:t>Art. 13 rozporządzenia</w:t>
      </w:r>
      <w:r w:rsidR="00DC40BE" w:rsidRPr="00DC40BE">
        <w:rPr>
          <w:sz w:val="18"/>
          <w:lang w:val="pl-PL"/>
        </w:rPr>
        <w:t xml:space="preserve"> w spr</w:t>
      </w:r>
      <w:r w:rsidRPr="00DC40BE">
        <w:rPr>
          <w:sz w:val="18"/>
          <w:lang w:val="pl-PL"/>
        </w:rPr>
        <w:t>awie EIO.</w:t>
      </w:r>
    </w:p>
  </w:footnote>
  <w:footnote w:id="58">
    <w:p w14:paraId="252F0B55" w14:textId="7BEDF178" w:rsidR="005F648E" w:rsidRPr="00DC40BE" w:rsidRDefault="005F648E" w:rsidP="009E0A7E">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r w:rsidRPr="00DC40BE">
        <w:rPr>
          <w:sz w:val="18"/>
          <w:lang w:val="pl-PL"/>
        </w:rPr>
        <w:t>Pierwsze sprawozdanie dotyczące stosowania rozporządzenia (UE) nr</w:t>
      </w:r>
      <w:r w:rsidR="00DC40BE" w:rsidRPr="00DC40BE">
        <w:rPr>
          <w:sz w:val="18"/>
          <w:lang w:val="pl-PL"/>
        </w:rPr>
        <w:t> </w:t>
      </w:r>
      <w:r w:rsidRPr="00DC40BE">
        <w:rPr>
          <w:sz w:val="18"/>
          <w:lang w:val="pl-PL"/>
        </w:rPr>
        <w:t>211/2011</w:t>
      </w:r>
      <w:r w:rsidR="00DC40BE" w:rsidRPr="00DC40BE">
        <w:rPr>
          <w:sz w:val="18"/>
          <w:lang w:val="pl-PL"/>
        </w:rPr>
        <w:t xml:space="preserve"> w spr</w:t>
      </w:r>
      <w:r w:rsidRPr="00DC40BE">
        <w:rPr>
          <w:sz w:val="18"/>
          <w:lang w:val="pl-PL"/>
        </w:rPr>
        <w:t xml:space="preserve">awie inicjatywy obywatelskiej, COM(2015) 145 final: </w:t>
      </w:r>
      <w:hyperlink r:id="rId18" w:history="1">
        <w:r w:rsidRPr="00DC40BE">
          <w:rPr>
            <w:rStyle w:val="Hipercze"/>
            <w:sz w:val="18"/>
            <w:lang w:val="pl-PL"/>
          </w:rPr>
          <w:t>https://eur-lex.europa.eu/legal-content/PL/TXT/PDF/?uri=CELEX:52015DC0145&amp;qid=1703838667292</w:t>
        </w:r>
      </w:hyperlink>
      <w:r w:rsidRPr="00DC40BE">
        <w:rPr>
          <w:rStyle w:val="Hipercze"/>
          <w:sz w:val="18"/>
          <w:lang w:val="pl-PL"/>
        </w:rPr>
        <w:t xml:space="preserve">; </w:t>
      </w:r>
      <w:r w:rsidRPr="00DC40BE">
        <w:rPr>
          <w:sz w:val="18"/>
          <w:lang w:val="pl-PL"/>
        </w:rPr>
        <w:t>drugie sprawozdanie dotyczące stosowania rozporządzenia (UE) nr</w:t>
      </w:r>
      <w:r w:rsidR="00DC40BE" w:rsidRPr="00DC40BE">
        <w:rPr>
          <w:sz w:val="18"/>
          <w:lang w:val="pl-PL"/>
        </w:rPr>
        <w:t> </w:t>
      </w:r>
      <w:r w:rsidRPr="00DC40BE">
        <w:rPr>
          <w:sz w:val="18"/>
          <w:lang w:val="pl-PL"/>
        </w:rPr>
        <w:t>211/2011</w:t>
      </w:r>
      <w:r w:rsidR="00DC40BE" w:rsidRPr="00DC40BE">
        <w:rPr>
          <w:sz w:val="18"/>
          <w:lang w:val="pl-PL"/>
        </w:rPr>
        <w:t xml:space="preserve"> w spr</w:t>
      </w:r>
      <w:r w:rsidRPr="00DC40BE">
        <w:rPr>
          <w:sz w:val="18"/>
          <w:lang w:val="pl-PL"/>
        </w:rPr>
        <w:t xml:space="preserve">awie inicjatywy obywatelskiej, COM(2018) 157 final: </w:t>
      </w:r>
      <w:hyperlink r:id="rId19" w:history="1">
        <w:r w:rsidRPr="00DC40BE">
          <w:rPr>
            <w:rStyle w:val="Hipercze"/>
            <w:sz w:val="18"/>
            <w:lang w:val="pl-PL"/>
          </w:rPr>
          <w:t>https://eur-lex.europa.eu/legal-content/PL/TXT/PDF/?uri=CELEX:52018DC0157</w:t>
        </w:r>
      </w:hyperlink>
      <w:r w:rsidRPr="00DC40BE">
        <w:rPr>
          <w:sz w:val="18"/>
          <w:lang w:val="pl-PL"/>
        </w:rPr>
        <w:t xml:space="preserve">  </w:t>
      </w:r>
    </w:p>
  </w:footnote>
  <w:footnote w:id="59">
    <w:p w14:paraId="7B0DFAE9" w14:textId="6785FEF7" w:rsidR="003F3306" w:rsidRPr="00DC40BE" w:rsidRDefault="003F3306" w:rsidP="00B015EE">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hyperlink r:id="rId20" w:history="1">
        <w:r w:rsidRPr="00DC40BE">
          <w:rPr>
            <w:rStyle w:val="Hipercze"/>
            <w:sz w:val="18"/>
            <w:lang w:val="pl-PL"/>
          </w:rPr>
          <w:t>https://citizens-initiative.europa.eu/initiatives/details/2017/000004_pl</w:t>
        </w:r>
      </w:hyperlink>
      <w:r w:rsidRPr="00DC40BE">
        <w:rPr>
          <w:sz w:val="18"/>
          <w:lang w:val="pl-PL"/>
        </w:rPr>
        <w:t xml:space="preserve"> </w:t>
      </w:r>
    </w:p>
  </w:footnote>
  <w:footnote w:id="60">
    <w:p w14:paraId="5DA0EAFF" w14:textId="1F11E4FD" w:rsidR="00FC52DE" w:rsidRPr="00DC40BE" w:rsidRDefault="00FC52DE" w:rsidP="00B015EE">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hyperlink r:id="rId21" w:history="1">
        <w:r w:rsidRPr="00DC40BE">
          <w:rPr>
            <w:rStyle w:val="Hipercze"/>
            <w:sz w:val="18"/>
            <w:lang w:val="pl-PL"/>
          </w:rPr>
          <w:t>https://www.europarl.europa.eu/doceo/document/TA-9-2020-0370_PL.html</w:t>
        </w:r>
      </w:hyperlink>
      <w:r w:rsidRPr="00DC40BE">
        <w:rPr>
          <w:sz w:val="18"/>
          <w:lang w:val="pl-PL"/>
        </w:rPr>
        <w:t xml:space="preserve"> </w:t>
      </w:r>
    </w:p>
  </w:footnote>
  <w:footnote w:id="61">
    <w:p w14:paraId="6EA9CE93" w14:textId="6118DF59" w:rsidR="00FC52DE" w:rsidRPr="00DC40BE" w:rsidRDefault="00FC52DE" w:rsidP="00B015EE">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r w:rsidRPr="00DC40BE">
        <w:rPr>
          <w:sz w:val="18"/>
          <w:lang w:val="pl-PL"/>
        </w:rPr>
        <w:t>Komunikat Komisji</w:t>
      </w:r>
      <w:r w:rsidR="00DC40BE" w:rsidRPr="00DC40BE">
        <w:rPr>
          <w:sz w:val="18"/>
          <w:lang w:val="pl-PL"/>
        </w:rPr>
        <w:t xml:space="preserve"> w spr</w:t>
      </w:r>
      <w:r w:rsidRPr="00DC40BE">
        <w:rPr>
          <w:sz w:val="18"/>
          <w:lang w:val="pl-PL"/>
        </w:rPr>
        <w:t>awie europejskiej inicjatywy obywatelskiej „Minority SafePack – milion podpisów za różnorodnością</w:t>
      </w:r>
      <w:r w:rsidR="00DC40BE" w:rsidRPr="00DC40BE">
        <w:rPr>
          <w:sz w:val="18"/>
          <w:lang w:val="pl-PL"/>
        </w:rPr>
        <w:t xml:space="preserve"> w Eur</w:t>
      </w:r>
      <w:r w:rsidRPr="00DC40BE">
        <w:rPr>
          <w:sz w:val="18"/>
          <w:lang w:val="pl-PL"/>
        </w:rPr>
        <w:t xml:space="preserve">opie”, C(2021) 171 final: </w:t>
      </w:r>
      <w:hyperlink r:id="rId22" w:history="1">
        <w:r w:rsidRPr="00DC40BE">
          <w:rPr>
            <w:rStyle w:val="Hipercze"/>
            <w:sz w:val="18"/>
            <w:lang w:val="pl-PL"/>
          </w:rPr>
          <w:t>https://ec.europa.eu/transparency/documents-register/api/files/C(2021)171_0/de00000000036104?rendition=false</w:t>
        </w:r>
      </w:hyperlink>
      <w:r w:rsidRPr="00DC40BE">
        <w:rPr>
          <w:sz w:val="18"/>
          <w:lang w:val="pl-PL"/>
        </w:rPr>
        <w:t xml:space="preserve"> </w:t>
      </w:r>
    </w:p>
  </w:footnote>
  <w:footnote w:id="62">
    <w:p w14:paraId="7EE010F2" w14:textId="5BFF736B" w:rsidR="00540218" w:rsidRPr="00DC40BE" w:rsidRDefault="004D6D69" w:rsidP="005B532B">
      <w:pPr>
        <w:pStyle w:val="Tekstprzypisudolnego"/>
        <w:ind w:left="360" w:hanging="360"/>
        <w:rPr>
          <w:sz w:val="18"/>
          <w:lang w:val="pl-PL"/>
        </w:rPr>
      </w:pPr>
      <w:r w:rsidRPr="00DC40BE">
        <w:rPr>
          <w:sz w:val="18"/>
          <w:lang w:val="pl-PL"/>
        </w:rPr>
        <w:t>(</w:t>
      </w:r>
      <w:r w:rsidRPr="00DC40BE">
        <w:rPr>
          <w:rStyle w:val="Odwoanieprzypisudolnego"/>
          <w:sz w:val="18"/>
          <w:lang w:val="pl-PL"/>
        </w:rPr>
        <w:footnoteRef/>
      </w:r>
      <w:r w:rsidRPr="00DC40BE">
        <w:rPr>
          <w:sz w:val="18"/>
          <w:lang w:val="pl-PL"/>
        </w:rPr>
        <w:t xml:space="preserve">) </w:t>
      </w:r>
      <w:r w:rsidRPr="00DC40BE">
        <w:rPr>
          <w:lang w:val="pl-PL"/>
        </w:rPr>
        <w:tab/>
      </w:r>
      <w:r w:rsidRPr="00DC40BE">
        <w:rPr>
          <w:sz w:val="18"/>
          <w:lang w:val="pl-PL"/>
        </w:rPr>
        <w:t>Aktualne informacje na temat podejmowanych działań następczych są regularnie publikowane na stronie internetowej inicjatywy</w:t>
      </w:r>
      <w:r w:rsidR="00DC40BE" w:rsidRPr="00DC40BE">
        <w:rPr>
          <w:sz w:val="18"/>
          <w:lang w:val="pl-PL"/>
        </w:rPr>
        <w:t xml:space="preserve"> w rej</w:t>
      </w:r>
      <w:r w:rsidRPr="00DC40BE">
        <w:rPr>
          <w:sz w:val="18"/>
          <w:lang w:val="pl-PL"/>
        </w:rPr>
        <w:t xml:space="preserve">estrze EIO: </w:t>
      </w:r>
      <w:hyperlink r:id="rId23" w:history="1">
        <w:r w:rsidRPr="00DC40BE">
          <w:rPr>
            <w:rStyle w:val="Hipercze"/>
            <w:sz w:val="18"/>
            <w:lang w:val="pl-PL"/>
          </w:rPr>
          <w:t>https://europa.eu/citizens-initiative/initiatives/details/2017/000004/minority-safepack-one-million-signatures-diversity-europe_pl</w:t>
        </w:r>
      </w:hyperlink>
    </w:p>
  </w:footnote>
  <w:footnote w:id="63">
    <w:p w14:paraId="54618AA0" w14:textId="1C28AA9E" w:rsidR="004A2636" w:rsidRPr="00DC40BE" w:rsidRDefault="009F6312" w:rsidP="005B532B">
      <w:pPr>
        <w:pStyle w:val="Tekstprzypisudolnego"/>
        <w:ind w:left="375" w:hanging="375"/>
        <w:rPr>
          <w:sz w:val="18"/>
          <w:lang w:val="pl-PL"/>
        </w:rPr>
      </w:pPr>
      <w:r w:rsidRPr="00DC40BE">
        <w:rPr>
          <w:sz w:val="18"/>
          <w:lang w:val="pl-PL"/>
        </w:rPr>
        <w:t>(</w:t>
      </w:r>
      <w:r w:rsidRPr="00DC40BE">
        <w:rPr>
          <w:rStyle w:val="Odwoanieprzypisudolnego"/>
          <w:sz w:val="18"/>
          <w:lang w:val="pl-PL"/>
        </w:rPr>
        <w:footnoteRef/>
      </w:r>
      <w:r w:rsidRPr="00DC40BE">
        <w:rPr>
          <w:sz w:val="18"/>
          <w:lang w:val="pl-PL"/>
        </w:rPr>
        <w:t xml:space="preserve">) </w:t>
      </w:r>
      <w:r w:rsidRPr="00DC40BE">
        <w:rPr>
          <w:lang w:val="pl-PL"/>
        </w:rPr>
        <w:tab/>
      </w:r>
      <w:r w:rsidRPr="00DC40BE">
        <w:rPr>
          <w:sz w:val="18"/>
          <w:lang w:val="pl-PL"/>
        </w:rPr>
        <w:t>Wyrok Sądu</w:t>
      </w:r>
      <w:r w:rsidR="00DC40BE" w:rsidRPr="00DC40BE">
        <w:rPr>
          <w:sz w:val="18"/>
          <w:lang w:val="pl-PL"/>
        </w:rPr>
        <w:t xml:space="preserve"> z dni</w:t>
      </w:r>
      <w:r w:rsidRPr="00DC40BE">
        <w:rPr>
          <w:sz w:val="18"/>
          <w:lang w:val="pl-PL"/>
        </w:rPr>
        <w:t>a 9 listopada 2022</w:t>
      </w:r>
      <w:r w:rsidR="00DC40BE" w:rsidRPr="00DC40BE">
        <w:rPr>
          <w:sz w:val="18"/>
          <w:lang w:val="pl-PL"/>
        </w:rPr>
        <w:t> </w:t>
      </w:r>
      <w:r w:rsidRPr="00DC40BE">
        <w:rPr>
          <w:sz w:val="18"/>
          <w:lang w:val="pl-PL"/>
        </w:rPr>
        <w:t xml:space="preserve">r., Citizens’ Committee of the European Citizens’ Initiative „Minority SafePack – one million signatures for diversity in Europe”/Komisja Europejska, T-158/21, EU:T:2022:696: </w:t>
      </w:r>
      <w:hyperlink r:id="rId24" w:history="1">
        <w:r w:rsidRPr="00DC40BE">
          <w:rPr>
            <w:rStyle w:val="Hipercze"/>
            <w:sz w:val="18"/>
            <w:lang w:val="pl-PL"/>
          </w:rPr>
          <w:t>https://eur-lex.europa.eu/legal-content/pl/TXT/?uri=CELEX:62021TJ0158</w:t>
        </w:r>
      </w:hyperlink>
    </w:p>
  </w:footnote>
  <w:footnote w:id="64">
    <w:p w14:paraId="645CA51D" w14:textId="1217068D" w:rsidR="003F3306" w:rsidRPr="00DC40BE" w:rsidRDefault="003F3306" w:rsidP="005B532B">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hyperlink r:id="rId25" w:history="1">
        <w:r w:rsidRPr="00DC40BE">
          <w:rPr>
            <w:rStyle w:val="Hipercze"/>
            <w:sz w:val="18"/>
            <w:lang w:val="pl-PL"/>
          </w:rPr>
          <w:t>https://citizens-initiative.europa.eu/initiatives/details/2018/000004_pl</w:t>
        </w:r>
      </w:hyperlink>
      <w:r w:rsidRPr="00DC40BE">
        <w:rPr>
          <w:sz w:val="18"/>
          <w:lang w:val="pl-PL"/>
        </w:rPr>
        <w:t xml:space="preserve"> </w:t>
      </w:r>
    </w:p>
  </w:footnote>
  <w:footnote w:id="65">
    <w:p w14:paraId="47D8B0EF" w14:textId="46E0B3FD" w:rsidR="00F72E18" w:rsidRPr="00DC40BE" w:rsidRDefault="00F72E18" w:rsidP="005B532B">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r w:rsidRPr="00DC40BE">
        <w:rPr>
          <w:sz w:val="18"/>
          <w:lang w:val="pl-PL"/>
        </w:rPr>
        <w:t>Rezolucja Parlamentu Europejskiego</w:t>
      </w:r>
      <w:r w:rsidR="00DC40BE" w:rsidRPr="00DC40BE">
        <w:rPr>
          <w:sz w:val="18"/>
          <w:lang w:val="pl-PL"/>
        </w:rPr>
        <w:t xml:space="preserve"> z dni</w:t>
      </w:r>
      <w:r w:rsidRPr="00DC40BE">
        <w:rPr>
          <w:sz w:val="18"/>
          <w:lang w:val="pl-PL"/>
        </w:rPr>
        <w:t>a 10 czerwca 2021</w:t>
      </w:r>
      <w:r w:rsidR="00DC40BE" w:rsidRPr="00DC40BE">
        <w:rPr>
          <w:sz w:val="18"/>
          <w:lang w:val="pl-PL"/>
        </w:rPr>
        <w:t> </w:t>
      </w:r>
      <w:r w:rsidRPr="00DC40BE">
        <w:rPr>
          <w:sz w:val="18"/>
          <w:lang w:val="pl-PL"/>
        </w:rPr>
        <w:t>r.</w:t>
      </w:r>
      <w:r w:rsidR="00DC40BE" w:rsidRPr="00DC40BE">
        <w:rPr>
          <w:sz w:val="18"/>
          <w:lang w:val="pl-PL"/>
        </w:rPr>
        <w:t xml:space="preserve"> w spr</w:t>
      </w:r>
      <w:r w:rsidRPr="00DC40BE">
        <w:rPr>
          <w:sz w:val="18"/>
          <w:lang w:val="pl-PL"/>
        </w:rPr>
        <w:t>awie europejskiej inicjatywy obywatelskiej „Skończmy</w:t>
      </w:r>
      <w:r w:rsidR="00DC40BE" w:rsidRPr="00DC40BE">
        <w:rPr>
          <w:sz w:val="18"/>
          <w:lang w:val="pl-PL"/>
        </w:rPr>
        <w:t xml:space="preserve"> z cho</w:t>
      </w:r>
      <w:r w:rsidRPr="00DC40BE">
        <w:rPr>
          <w:sz w:val="18"/>
          <w:lang w:val="pl-PL"/>
        </w:rPr>
        <w:t>wem klatkowym” (</w:t>
      </w:r>
      <w:hyperlink r:id="rId26" w:history="1">
        <w:r w:rsidRPr="00DC40BE">
          <w:rPr>
            <w:rStyle w:val="Hipercze"/>
            <w:sz w:val="18"/>
            <w:lang w:val="pl-PL"/>
          </w:rPr>
          <w:t>2021/2633(RSP</w:t>
        </w:r>
      </w:hyperlink>
      <w:r w:rsidRPr="00DC40BE">
        <w:rPr>
          <w:sz w:val="18"/>
          <w:lang w:val="pl-PL"/>
        </w:rPr>
        <w:t xml:space="preserve">): </w:t>
      </w:r>
      <w:hyperlink r:id="rId27" w:history="1">
        <w:r w:rsidRPr="00DC40BE">
          <w:rPr>
            <w:rStyle w:val="Hipercze"/>
            <w:sz w:val="18"/>
            <w:lang w:val="pl-PL"/>
          </w:rPr>
          <w:t>https://www.europarl.europa.eu/doceo/document/TA-9-2021-0295_PL.html</w:t>
        </w:r>
      </w:hyperlink>
      <w:r w:rsidRPr="00DC40BE">
        <w:rPr>
          <w:sz w:val="18"/>
          <w:lang w:val="pl-PL"/>
        </w:rPr>
        <w:t xml:space="preserve"> </w:t>
      </w:r>
    </w:p>
  </w:footnote>
  <w:footnote w:id="66">
    <w:p w14:paraId="12EA0345" w14:textId="2075F1D3" w:rsidR="00F72E18" w:rsidRPr="00DC40BE" w:rsidRDefault="00F72E18" w:rsidP="005B532B">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r w:rsidRPr="00DC40BE">
        <w:rPr>
          <w:color w:val="404040"/>
          <w:sz w:val="18"/>
          <w:shd w:val="clear" w:color="auto" w:fill="FAFAFA"/>
          <w:lang w:val="pl-PL"/>
        </w:rPr>
        <w:t>Komunikat Komisji</w:t>
      </w:r>
      <w:r w:rsidR="00DC40BE" w:rsidRPr="00DC40BE">
        <w:rPr>
          <w:color w:val="404040"/>
          <w:sz w:val="18"/>
          <w:shd w:val="clear" w:color="auto" w:fill="FAFAFA"/>
          <w:lang w:val="pl-PL"/>
        </w:rPr>
        <w:t xml:space="preserve"> w spr</w:t>
      </w:r>
      <w:r w:rsidRPr="00DC40BE">
        <w:rPr>
          <w:color w:val="404040"/>
          <w:sz w:val="18"/>
          <w:shd w:val="clear" w:color="auto" w:fill="FAFAFA"/>
          <w:lang w:val="pl-PL"/>
        </w:rPr>
        <w:t xml:space="preserve">awie europejskiej inicjatywy obywatelskiej (EIO) „End the Cage Age” („Koniec epoki klatkowej”), C(2021) 4747 final: </w:t>
      </w:r>
      <w:hyperlink r:id="rId28" w:history="1">
        <w:r w:rsidRPr="00DC40BE">
          <w:rPr>
            <w:rStyle w:val="Hipercze"/>
            <w:sz w:val="18"/>
            <w:shd w:val="clear" w:color="auto" w:fill="FAFAFA"/>
            <w:lang w:val="pl-PL"/>
          </w:rPr>
          <w:t>https://ec.europa.eu/transparency/documents-register/api/files/C(2021)4747_0/090166e5df30600f?rendition=false</w:t>
        </w:r>
      </w:hyperlink>
      <w:r w:rsidRPr="00DC40BE">
        <w:rPr>
          <w:color w:val="404040"/>
          <w:sz w:val="18"/>
          <w:shd w:val="clear" w:color="auto" w:fill="FAFAFA"/>
          <w:lang w:val="pl-PL"/>
        </w:rPr>
        <w:t xml:space="preserve"> </w:t>
      </w:r>
    </w:p>
  </w:footnote>
  <w:footnote w:id="67">
    <w:p w14:paraId="4A21BF72" w14:textId="220DFDF0" w:rsidR="00F72E18" w:rsidRPr="00DC40BE" w:rsidRDefault="00F72E18" w:rsidP="005B532B">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hyperlink r:id="rId29" w:history="1">
        <w:r w:rsidRPr="00DC40BE">
          <w:rPr>
            <w:rStyle w:val="Hipercze"/>
            <w:sz w:val="18"/>
            <w:lang w:val="pl-PL"/>
          </w:rPr>
          <w:t>https://citizens-initiative.europa.eu/initiatives/details/2019/000016_pl</w:t>
        </w:r>
      </w:hyperlink>
      <w:r w:rsidRPr="00DC40BE">
        <w:rPr>
          <w:sz w:val="18"/>
          <w:lang w:val="pl-PL"/>
        </w:rPr>
        <w:t xml:space="preserve"> </w:t>
      </w:r>
    </w:p>
  </w:footnote>
  <w:footnote w:id="68">
    <w:p w14:paraId="05D5660D" w14:textId="3039C605" w:rsidR="00D53E48" w:rsidRPr="00DC40BE" w:rsidRDefault="00D53E48">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hyperlink r:id="rId30" w:history="1">
        <w:r w:rsidRPr="00DC40BE">
          <w:rPr>
            <w:sz w:val="18"/>
            <w:lang w:val="pl-PL"/>
          </w:rPr>
          <w:t>https://www.eesc.europa.eu/pl/our-work/opinions-information-reports/opinions/european-citizens-initiative-save-bees-and-farmers</w:t>
        </w:r>
      </w:hyperlink>
      <w:r w:rsidRPr="00DC40BE">
        <w:rPr>
          <w:sz w:val="18"/>
          <w:lang w:val="pl-PL"/>
        </w:rPr>
        <w:t xml:space="preserve">  </w:t>
      </w:r>
    </w:p>
  </w:footnote>
  <w:footnote w:id="69">
    <w:p w14:paraId="7CE1F095" w14:textId="30286671" w:rsidR="00F72E18" w:rsidRPr="00DC40BE" w:rsidRDefault="00F72E18" w:rsidP="00B37731">
      <w:pPr>
        <w:pStyle w:val="Tekstprzypisudolnego"/>
        <w:rPr>
          <w:sz w:val="18"/>
          <w:lang w:val="pl-PL"/>
        </w:rPr>
      </w:pPr>
      <w:r w:rsidRPr="00DC40BE">
        <w:rPr>
          <w:sz w:val="18"/>
          <w:vertAlign w:val="superscript"/>
          <w:lang w:val="pl-PL"/>
        </w:rPr>
        <w:t>(</w:t>
      </w:r>
      <w:r w:rsidRPr="00DC40BE">
        <w:rPr>
          <w:sz w:val="18"/>
          <w:vertAlign w:val="superscript"/>
          <w:lang w:val="pl-PL"/>
        </w:rPr>
        <w:footnoteRef/>
      </w:r>
      <w:r w:rsidRPr="00DC40BE">
        <w:rPr>
          <w:sz w:val="18"/>
          <w:vertAlign w:val="superscript"/>
          <w:lang w:val="pl-PL"/>
        </w:rPr>
        <w:t>)</w:t>
      </w:r>
      <w:r w:rsidRPr="00DC40BE">
        <w:rPr>
          <w:sz w:val="18"/>
          <w:lang w:val="pl-PL"/>
        </w:rPr>
        <w:t xml:space="preserve"> Komunikat Komisji</w:t>
      </w:r>
      <w:r w:rsidR="00DC40BE" w:rsidRPr="00DC40BE">
        <w:rPr>
          <w:sz w:val="18"/>
          <w:lang w:val="pl-PL"/>
        </w:rPr>
        <w:t xml:space="preserve"> w spr</w:t>
      </w:r>
      <w:r w:rsidRPr="00DC40BE">
        <w:rPr>
          <w:sz w:val="18"/>
          <w:lang w:val="pl-PL"/>
        </w:rPr>
        <w:t>awie europejskiej inicjatywy obywatelskiej (EIO) „Ratujmy pszczoły</w:t>
      </w:r>
      <w:r w:rsidR="00DC40BE" w:rsidRPr="00DC40BE">
        <w:rPr>
          <w:sz w:val="18"/>
          <w:lang w:val="pl-PL"/>
        </w:rPr>
        <w:t xml:space="preserve"> i rol</w:t>
      </w:r>
      <w:r w:rsidRPr="00DC40BE">
        <w:rPr>
          <w:sz w:val="18"/>
          <w:lang w:val="pl-PL"/>
        </w:rPr>
        <w:t xml:space="preserve">ników! W kierunku przyjaznego dla pszczół rolnictwa służącego zdrowemu środowisku”, C(2023) 2320 final: </w:t>
      </w:r>
      <w:hyperlink r:id="rId31" w:history="1">
        <w:r w:rsidRPr="00DC40BE">
          <w:rPr>
            <w:rStyle w:val="Hipercze"/>
            <w:sz w:val="18"/>
            <w:lang w:val="pl-PL"/>
          </w:rPr>
          <w:t>https://ec.europa.eu/transparency/documents-register/detail?ref=C(2023)2320&amp;lang=pl</w:t>
        </w:r>
      </w:hyperlink>
      <w:r w:rsidRPr="00DC40BE">
        <w:rPr>
          <w:sz w:val="18"/>
          <w:lang w:val="pl-PL"/>
        </w:rPr>
        <w:t xml:space="preserve"> </w:t>
      </w:r>
    </w:p>
  </w:footnote>
  <w:footnote w:id="70">
    <w:p w14:paraId="4AA90A2D" w14:textId="009DD487" w:rsidR="00F72E18" w:rsidRPr="00DC40BE" w:rsidRDefault="00F72E18" w:rsidP="00B015EE">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hyperlink r:id="rId32" w:history="1">
        <w:r w:rsidRPr="00DC40BE">
          <w:rPr>
            <w:rStyle w:val="Hipercze"/>
            <w:sz w:val="18"/>
            <w:lang w:val="pl-PL"/>
          </w:rPr>
          <w:t>https://citizens-initiative.europa.eu/initiatives/details/2020/000001_pl</w:t>
        </w:r>
      </w:hyperlink>
      <w:r w:rsidRPr="00DC40BE">
        <w:rPr>
          <w:sz w:val="18"/>
          <w:lang w:val="pl-PL"/>
        </w:rPr>
        <w:t xml:space="preserve"> </w:t>
      </w:r>
    </w:p>
  </w:footnote>
  <w:footnote w:id="71">
    <w:p w14:paraId="5B98948B" w14:textId="3C6CFB94" w:rsidR="00F72E18" w:rsidRPr="00DC40BE" w:rsidRDefault="00F72E18" w:rsidP="00B015EE">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r w:rsidRPr="00DC40BE">
        <w:rPr>
          <w:sz w:val="18"/>
          <w:lang w:val="pl-PL"/>
        </w:rPr>
        <w:t>Komunikat Komisji</w:t>
      </w:r>
      <w:r w:rsidR="00DC40BE" w:rsidRPr="00DC40BE">
        <w:rPr>
          <w:sz w:val="18"/>
          <w:lang w:val="pl-PL"/>
        </w:rPr>
        <w:t xml:space="preserve"> w spr</w:t>
      </w:r>
      <w:r w:rsidRPr="00DC40BE">
        <w:rPr>
          <w:sz w:val="18"/>
          <w:lang w:val="pl-PL"/>
        </w:rPr>
        <w:t>awie europejskiej inicjatywy obywatelskiej (EIO) „Nie dla obcinania płetw rekinom</w:t>
      </w:r>
      <w:r w:rsidR="00DC40BE" w:rsidRPr="00DC40BE">
        <w:rPr>
          <w:sz w:val="18"/>
          <w:lang w:val="pl-PL"/>
        </w:rPr>
        <w:t xml:space="preserve"> i han</w:t>
      </w:r>
      <w:r w:rsidRPr="00DC40BE">
        <w:rPr>
          <w:sz w:val="18"/>
          <w:lang w:val="pl-PL"/>
        </w:rPr>
        <w:t xml:space="preserve">dlu nimi”: C(2023) 4489 final: </w:t>
      </w:r>
      <w:hyperlink r:id="rId33" w:history="1">
        <w:r w:rsidRPr="00DC40BE">
          <w:rPr>
            <w:rStyle w:val="Hipercze"/>
            <w:sz w:val="18"/>
            <w:lang w:val="pl-PL"/>
          </w:rPr>
          <w:t>https://citizens-initiative.europa.eu/sites/default/files/2023-07/C_2023_4489_1_EN.pdf</w:t>
        </w:r>
      </w:hyperlink>
      <w:r w:rsidRPr="00DC40BE">
        <w:rPr>
          <w:sz w:val="18"/>
          <w:lang w:val="pl-PL"/>
        </w:rPr>
        <w:t xml:space="preserve"> </w:t>
      </w:r>
    </w:p>
  </w:footnote>
  <w:footnote w:id="72">
    <w:p w14:paraId="0C429398" w14:textId="2CE25B71" w:rsidR="00F72E18" w:rsidRPr="00DC40BE" w:rsidRDefault="00F72E18" w:rsidP="00B015EE">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hyperlink r:id="rId34" w:history="1">
        <w:r w:rsidRPr="00DC40BE">
          <w:rPr>
            <w:rStyle w:val="Hipercze"/>
            <w:sz w:val="18"/>
            <w:lang w:val="pl-PL"/>
          </w:rPr>
          <w:t>https://citizens-initiative.europa.eu/initiatives/details/2021/000006_pl</w:t>
        </w:r>
      </w:hyperlink>
      <w:r w:rsidRPr="00DC40BE">
        <w:rPr>
          <w:sz w:val="18"/>
          <w:lang w:val="pl-PL"/>
        </w:rPr>
        <w:t xml:space="preserve"> </w:t>
      </w:r>
    </w:p>
  </w:footnote>
  <w:footnote w:id="73">
    <w:p w14:paraId="6EBB5C83" w14:textId="7CB01896" w:rsidR="00F72E18" w:rsidRPr="00DC40BE" w:rsidRDefault="00F72E18" w:rsidP="00B015EE">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r w:rsidRPr="00DC40BE">
        <w:rPr>
          <w:sz w:val="18"/>
          <w:lang w:val="pl-PL"/>
        </w:rPr>
        <w:t>Komunikat Komisji</w:t>
      </w:r>
      <w:r w:rsidR="00DC40BE" w:rsidRPr="00DC40BE">
        <w:rPr>
          <w:sz w:val="18"/>
          <w:lang w:val="pl-PL"/>
        </w:rPr>
        <w:t xml:space="preserve"> w spr</w:t>
      </w:r>
      <w:r w:rsidRPr="00DC40BE">
        <w:rPr>
          <w:sz w:val="18"/>
          <w:lang w:val="pl-PL"/>
        </w:rPr>
        <w:t>awie europejskiej inicjatywy obywatelskiej (EIO) „Za kosmetykami bez okrucieństwa wobec zwierząt</w:t>
      </w:r>
      <w:r w:rsidR="00DC40BE" w:rsidRPr="00DC40BE">
        <w:rPr>
          <w:sz w:val="18"/>
          <w:lang w:val="pl-PL"/>
        </w:rPr>
        <w:t xml:space="preserve"> i Eur</w:t>
      </w:r>
      <w:r w:rsidRPr="00DC40BE">
        <w:rPr>
          <w:sz w:val="18"/>
          <w:lang w:val="pl-PL"/>
        </w:rPr>
        <w:t xml:space="preserve">opą bez testów na zwierzętach”, C(2023) 5041 final: </w:t>
      </w:r>
      <w:hyperlink r:id="rId35" w:history="1">
        <w:r w:rsidRPr="00DC40BE">
          <w:rPr>
            <w:rStyle w:val="Hipercze"/>
            <w:sz w:val="18"/>
            <w:lang w:val="pl-PL"/>
          </w:rPr>
          <w:t>https://citizens-initiative.europa.eu/sites/default/files/2023-07/C_2023_5041_EN.pdf</w:t>
        </w:r>
      </w:hyperlink>
      <w:r w:rsidRPr="00DC40BE">
        <w:rPr>
          <w:sz w:val="18"/>
          <w:lang w:val="pl-PL"/>
        </w:rPr>
        <w:t xml:space="preserve"> </w:t>
      </w:r>
    </w:p>
  </w:footnote>
  <w:footnote w:id="74">
    <w:p w14:paraId="4B0B2F47" w14:textId="60F1A53B" w:rsidR="003F3306" w:rsidRPr="00DC40BE" w:rsidRDefault="003F3306" w:rsidP="00B015EE">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hyperlink r:id="rId36" w:history="1">
        <w:r w:rsidRPr="00DC40BE">
          <w:rPr>
            <w:rStyle w:val="Hipercze"/>
            <w:sz w:val="18"/>
            <w:lang w:val="pl-PL"/>
          </w:rPr>
          <w:t>https://citizens-initiative.europa.eu/initiatives/details/2022/000002_pl</w:t>
        </w:r>
      </w:hyperlink>
      <w:r w:rsidRPr="00DC40BE">
        <w:rPr>
          <w:sz w:val="18"/>
          <w:lang w:val="pl-PL"/>
        </w:rPr>
        <w:t xml:space="preserve"> </w:t>
      </w:r>
    </w:p>
  </w:footnote>
  <w:footnote w:id="75">
    <w:p w14:paraId="584B82E2" w14:textId="77F72C14" w:rsidR="004D44BF" w:rsidRPr="00DC40BE" w:rsidRDefault="004D44BF" w:rsidP="00B015EE">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r w:rsidRPr="00DC40BE">
        <w:rPr>
          <w:sz w:val="18"/>
          <w:lang w:val="pl-PL"/>
        </w:rPr>
        <w:t xml:space="preserve"> EIO „Za kosmetykami bez okrucieństwa wobec zwierząt”; oraz „Europa wolna od futer”.</w:t>
      </w:r>
    </w:p>
  </w:footnote>
  <w:footnote w:id="76">
    <w:p w14:paraId="30FE2CED" w14:textId="7AB5FE31" w:rsidR="004D44BF" w:rsidRPr="00DC40BE" w:rsidRDefault="004D44BF" w:rsidP="00B015EE">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r w:rsidRPr="00DC40BE">
        <w:rPr>
          <w:sz w:val="18"/>
          <w:lang w:val="pl-PL"/>
        </w:rPr>
        <w:t>EIO „Minority SafePack”, „Stop ekstremizmowi”, „Koniec epoki klatkowej”, „Ratujmy pszczoły</w:t>
      </w:r>
      <w:r w:rsidR="00DC40BE" w:rsidRPr="00DC40BE">
        <w:rPr>
          <w:sz w:val="18"/>
          <w:lang w:val="pl-PL"/>
        </w:rPr>
        <w:t xml:space="preserve"> i rol</w:t>
      </w:r>
      <w:r w:rsidRPr="00DC40BE">
        <w:rPr>
          <w:sz w:val="18"/>
          <w:lang w:val="pl-PL"/>
        </w:rPr>
        <w:t>ników”, „Zakaz reklamy paliw kopalnych oraz powiązanego sponsoringu”, „Świat bez rzeźni”, „Good Clothes, Fair Pay” i „Chrońmy dziedzictwo obszarów wiejskich, bezpieczeństwo żywnościowe</w:t>
      </w:r>
      <w:r w:rsidR="00DC40BE" w:rsidRPr="00DC40BE">
        <w:rPr>
          <w:sz w:val="18"/>
          <w:lang w:val="pl-PL"/>
        </w:rPr>
        <w:t xml:space="preserve"> i dos</w:t>
      </w:r>
      <w:r w:rsidRPr="00DC40BE">
        <w:rPr>
          <w:sz w:val="18"/>
          <w:lang w:val="pl-PL"/>
        </w:rPr>
        <w:t>tawy żywności w UE”.</w:t>
      </w:r>
    </w:p>
  </w:footnote>
  <w:footnote w:id="77">
    <w:p w14:paraId="02A54326" w14:textId="65EA1806" w:rsidR="002E3B7C" w:rsidRPr="00DC40BE" w:rsidRDefault="002E3B7C" w:rsidP="00B015EE">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r w:rsidRPr="00DC40BE">
        <w:rPr>
          <w:sz w:val="18"/>
          <w:lang w:val="pl-PL"/>
        </w:rPr>
        <w:t xml:space="preserve">Polityka prywatności: </w:t>
      </w:r>
      <w:hyperlink r:id="rId37" w:history="1">
        <w:r w:rsidRPr="00DC40BE">
          <w:rPr>
            <w:rStyle w:val="Hipercze"/>
            <w:sz w:val="18"/>
            <w:lang w:val="pl-PL"/>
          </w:rPr>
          <w:t>https://citizens-initiative.europa.eu/how-it-works/privacy-policy_pl</w:t>
        </w:r>
      </w:hyperlink>
      <w:r w:rsidRPr="00DC40BE">
        <w:rPr>
          <w:sz w:val="18"/>
          <w:lang w:val="pl-PL"/>
        </w:rPr>
        <w:t xml:space="preserve"> </w:t>
      </w:r>
    </w:p>
  </w:footnote>
  <w:footnote w:id="78">
    <w:p w14:paraId="34EFC77F" w14:textId="60E0394D" w:rsidR="00AB0201" w:rsidRPr="00DC40BE" w:rsidRDefault="00AB0201" w:rsidP="00B015EE">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r w:rsidRPr="00DC40BE">
        <w:rPr>
          <w:sz w:val="18"/>
          <w:lang w:val="pl-PL"/>
        </w:rPr>
        <w:t xml:space="preserve">Często zadawane pytania: </w:t>
      </w:r>
      <w:hyperlink r:id="rId38" w:anchor="Ochrona danych" w:history="1">
        <w:r w:rsidRPr="00DC40BE">
          <w:rPr>
            <w:rStyle w:val="Hipercze"/>
            <w:sz w:val="18"/>
            <w:lang w:val="pl-PL"/>
          </w:rPr>
          <w:t>https://citizens-initiative.europa.eu/how-it-works/faq_en#Data-protection</w:t>
        </w:r>
      </w:hyperlink>
      <w:r w:rsidRPr="00DC40BE">
        <w:rPr>
          <w:sz w:val="18"/>
          <w:lang w:val="pl-PL"/>
        </w:rPr>
        <w:t xml:space="preserve"> </w:t>
      </w:r>
    </w:p>
  </w:footnote>
  <w:footnote w:id="79">
    <w:p w14:paraId="732D0D88" w14:textId="2160A1A4" w:rsidR="003C4709" w:rsidRPr="00DC40BE" w:rsidRDefault="003C4709" w:rsidP="00B015EE">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r w:rsidRPr="00DC40BE">
        <w:rPr>
          <w:sz w:val="18"/>
          <w:lang w:val="pl-PL"/>
        </w:rPr>
        <w:t xml:space="preserve">Ochrona danych: </w:t>
      </w:r>
      <w:hyperlink r:id="rId39" w:history="1">
        <w:r w:rsidRPr="00DC40BE">
          <w:rPr>
            <w:rStyle w:val="Hipercze"/>
            <w:sz w:val="18"/>
            <w:lang w:val="pl-PL"/>
          </w:rPr>
          <w:t>https://citizens-initiative.europa.eu/how-it-works/data-protection_pl</w:t>
        </w:r>
      </w:hyperlink>
    </w:p>
  </w:footnote>
  <w:footnote w:id="80">
    <w:p w14:paraId="44A08683" w14:textId="77777777" w:rsidR="001530D3" w:rsidRPr="00DC40BE" w:rsidRDefault="001530D3" w:rsidP="001530D3">
      <w:pPr>
        <w:pStyle w:val="Tekstprzypisudolnego"/>
        <w:rPr>
          <w:lang w:val="pl-PL"/>
        </w:rPr>
      </w:pPr>
      <w:r w:rsidRPr="00DC40BE">
        <w:rPr>
          <w:lang w:val="pl-PL"/>
        </w:rPr>
        <w:t>(</w:t>
      </w:r>
      <w:r w:rsidRPr="00DC40BE">
        <w:rPr>
          <w:rStyle w:val="Odwoanieprzypisudolnego"/>
          <w:lang w:val="pl-PL"/>
        </w:rPr>
        <w:footnoteRef/>
      </w:r>
      <w:r w:rsidRPr="00DC40BE">
        <w:rPr>
          <w:lang w:val="pl-PL"/>
        </w:rPr>
        <w:t>)</w:t>
      </w:r>
      <w:r w:rsidRPr="00DC40BE">
        <w:rPr>
          <w:lang w:val="pl-PL"/>
        </w:rPr>
        <w:tab/>
      </w:r>
      <w:hyperlink r:id="rId40" w:history="1">
        <w:r w:rsidRPr="00DC40BE">
          <w:rPr>
            <w:rStyle w:val="Hipercze"/>
            <w:lang w:val="pl-PL"/>
          </w:rPr>
          <w:t>https://citizens-initiative.europa.eu/_pl</w:t>
        </w:r>
      </w:hyperlink>
    </w:p>
  </w:footnote>
  <w:footnote w:id="81">
    <w:p w14:paraId="5D553AA9" w14:textId="77777777" w:rsidR="001530D3" w:rsidRPr="00DC40BE" w:rsidRDefault="001530D3" w:rsidP="001530D3">
      <w:pPr>
        <w:pStyle w:val="Tekstprzypisudolnego"/>
        <w:rPr>
          <w:lang w:val="pl-PL"/>
        </w:rPr>
      </w:pPr>
      <w:r w:rsidRPr="00DC40BE">
        <w:rPr>
          <w:lang w:val="pl-PL"/>
        </w:rPr>
        <w:t>(</w:t>
      </w:r>
      <w:r w:rsidRPr="00DC40BE">
        <w:rPr>
          <w:rStyle w:val="Odwoanieprzypisudolnego"/>
          <w:lang w:val="pl-PL"/>
        </w:rPr>
        <w:footnoteRef/>
      </w:r>
      <w:r w:rsidRPr="00DC40BE">
        <w:rPr>
          <w:lang w:val="pl-PL"/>
        </w:rPr>
        <w:t>)</w:t>
      </w:r>
      <w:r w:rsidRPr="00DC40BE">
        <w:rPr>
          <w:lang w:val="pl-PL"/>
        </w:rPr>
        <w:tab/>
      </w:r>
      <w:hyperlink r:id="rId41" w:history="1">
        <w:r w:rsidRPr="00DC40BE">
          <w:rPr>
            <w:rStyle w:val="Hipercze"/>
            <w:lang w:val="pl-PL"/>
          </w:rPr>
          <w:t>https://ec.europa.eu/newsroom/ecif/newsletter-archives/view/service/1501</w:t>
        </w:r>
      </w:hyperlink>
      <w:r w:rsidRPr="00DC40BE">
        <w:rPr>
          <w:lang w:val="pl-PL"/>
        </w:rPr>
        <w:t xml:space="preserve"> </w:t>
      </w:r>
    </w:p>
  </w:footnote>
  <w:footnote w:id="82">
    <w:p w14:paraId="29B854E4" w14:textId="77777777" w:rsidR="001530D3" w:rsidRPr="00DC40BE" w:rsidRDefault="001530D3" w:rsidP="001530D3">
      <w:pPr>
        <w:pStyle w:val="Tekstprzypisudolnego"/>
        <w:rPr>
          <w:lang w:val="pl-PL"/>
        </w:rPr>
      </w:pPr>
      <w:r w:rsidRPr="00DC40BE">
        <w:rPr>
          <w:lang w:val="pl-PL"/>
        </w:rPr>
        <w:t>(</w:t>
      </w:r>
      <w:r w:rsidRPr="00DC40BE">
        <w:rPr>
          <w:rStyle w:val="Odwoanieprzypisudolnego"/>
          <w:lang w:val="pl-PL"/>
        </w:rPr>
        <w:footnoteRef/>
      </w:r>
      <w:r w:rsidRPr="00DC40BE">
        <w:rPr>
          <w:lang w:val="pl-PL"/>
        </w:rPr>
        <w:t>)</w:t>
      </w:r>
      <w:r w:rsidRPr="00DC40BE">
        <w:rPr>
          <w:lang w:val="pl-PL"/>
        </w:rPr>
        <w:tab/>
      </w:r>
      <w:hyperlink r:id="rId42" w:history="1">
        <w:r w:rsidRPr="00DC40BE">
          <w:rPr>
            <w:rStyle w:val="Hipercze"/>
            <w:lang w:val="pl-PL"/>
          </w:rPr>
          <w:t>https://citizens-initiative.europa.eu/news/citizencentral-podcast_pl</w:t>
        </w:r>
      </w:hyperlink>
      <w:r w:rsidRPr="00DC40BE">
        <w:rPr>
          <w:lang w:val="pl-PL"/>
        </w:rPr>
        <w:t xml:space="preserve"> </w:t>
      </w:r>
    </w:p>
  </w:footnote>
  <w:footnote w:id="83">
    <w:p w14:paraId="1F9D6D19" w14:textId="77777777" w:rsidR="001530D3" w:rsidRPr="00DC40BE" w:rsidRDefault="001530D3" w:rsidP="001530D3">
      <w:pPr>
        <w:pStyle w:val="Tekstprzypisudolnego"/>
        <w:rPr>
          <w:lang w:val="pl-PL"/>
        </w:rPr>
      </w:pPr>
      <w:r w:rsidRPr="00DC40BE">
        <w:rPr>
          <w:lang w:val="pl-PL"/>
        </w:rPr>
        <w:t>(</w:t>
      </w:r>
      <w:r w:rsidRPr="00DC40BE">
        <w:rPr>
          <w:rStyle w:val="Odwoanieprzypisudolnego"/>
          <w:lang w:val="pl-PL"/>
        </w:rPr>
        <w:footnoteRef/>
      </w:r>
      <w:r w:rsidRPr="00DC40BE">
        <w:rPr>
          <w:lang w:val="pl-PL"/>
        </w:rPr>
        <w:t>)</w:t>
      </w:r>
      <w:r w:rsidRPr="00DC40BE">
        <w:rPr>
          <w:lang w:val="pl-PL"/>
        </w:rPr>
        <w:tab/>
      </w:r>
      <w:hyperlink r:id="rId43" w:history="1">
        <w:r w:rsidRPr="00DC40BE">
          <w:rPr>
            <w:rStyle w:val="Hipercze"/>
            <w:lang w:val="pl-PL"/>
          </w:rPr>
          <w:t>https://citizens-initiative.europa.eu/schools/eci-educational-toolkit_pl</w:t>
        </w:r>
      </w:hyperlink>
      <w:r w:rsidRPr="00DC40BE">
        <w:rPr>
          <w:lang w:val="pl-PL"/>
        </w:rPr>
        <w:t xml:space="preserve"> </w:t>
      </w:r>
    </w:p>
  </w:footnote>
  <w:footnote w:id="84">
    <w:p w14:paraId="756F0962" w14:textId="77777777" w:rsidR="001530D3" w:rsidRPr="00DC40BE" w:rsidRDefault="001530D3" w:rsidP="001530D3">
      <w:pPr>
        <w:pStyle w:val="Tekstprzypisudolnego"/>
        <w:rPr>
          <w:lang w:val="pl-PL"/>
        </w:rPr>
      </w:pPr>
      <w:r w:rsidRPr="00DC40BE">
        <w:rPr>
          <w:lang w:val="pl-PL"/>
        </w:rPr>
        <w:t>(</w:t>
      </w:r>
      <w:r w:rsidRPr="00DC40BE">
        <w:rPr>
          <w:rStyle w:val="Odwoanieprzypisudolnego"/>
          <w:lang w:val="pl-PL"/>
        </w:rPr>
        <w:footnoteRef/>
      </w:r>
      <w:r w:rsidRPr="00DC40BE">
        <w:rPr>
          <w:lang w:val="pl-PL"/>
        </w:rPr>
        <w:t>)</w:t>
      </w:r>
      <w:r w:rsidRPr="00DC40BE">
        <w:rPr>
          <w:lang w:val="pl-PL"/>
        </w:rPr>
        <w:tab/>
      </w:r>
      <w:hyperlink r:id="rId44" w:history="1">
        <w:r w:rsidRPr="00DC40BE">
          <w:rPr>
            <w:rStyle w:val="Hipercze"/>
            <w:lang w:val="pl-PL"/>
          </w:rPr>
          <w:t>https://citizens-initiative.europa.eu/schools/video-competition_pl</w:t>
        </w:r>
      </w:hyperlink>
      <w:r w:rsidRPr="00DC40BE">
        <w:rPr>
          <w:lang w:val="pl-PL"/>
        </w:rPr>
        <w:t xml:space="preserve"> </w:t>
      </w:r>
    </w:p>
  </w:footnote>
  <w:footnote w:id="85">
    <w:p w14:paraId="3FC7E25F" w14:textId="77777777" w:rsidR="001530D3" w:rsidRPr="00DC40BE" w:rsidRDefault="001530D3" w:rsidP="001530D3">
      <w:pPr>
        <w:pStyle w:val="Tekstprzypisudolnego"/>
        <w:rPr>
          <w:lang w:val="pl-PL"/>
        </w:rPr>
      </w:pPr>
      <w:r w:rsidRPr="00DC40BE">
        <w:rPr>
          <w:lang w:val="pl-PL"/>
        </w:rPr>
        <w:t>(</w:t>
      </w:r>
      <w:r w:rsidRPr="00DC40BE">
        <w:rPr>
          <w:rStyle w:val="Odwoanieprzypisudolnego"/>
          <w:lang w:val="pl-PL"/>
        </w:rPr>
        <w:footnoteRef/>
      </w:r>
      <w:r w:rsidRPr="00DC40BE">
        <w:rPr>
          <w:lang w:val="pl-PL"/>
        </w:rPr>
        <w:t>)</w:t>
      </w:r>
      <w:r w:rsidRPr="00DC40BE">
        <w:rPr>
          <w:lang w:val="pl-PL"/>
        </w:rPr>
        <w:tab/>
      </w:r>
      <w:hyperlink r:id="rId45" w:history="1">
        <w:r w:rsidRPr="00DC40BE">
          <w:rPr>
            <w:rStyle w:val="Hipercze"/>
            <w:lang w:val="pl-PL"/>
          </w:rPr>
          <w:t>https://citizens-initiative.europa.eu/contact-points-national-level_pl</w:t>
        </w:r>
      </w:hyperlink>
      <w:r w:rsidRPr="00DC40BE">
        <w:rPr>
          <w:lang w:val="pl-PL"/>
        </w:rPr>
        <w:t xml:space="preserve"> </w:t>
      </w:r>
    </w:p>
  </w:footnote>
  <w:footnote w:id="86">
    <w:p w14:paraId="72443465" w14:textId="77777777" w:rsidR="001530D3" w:rsidRPr="00DC40BE" w:rsidRDefault="001530D3" w:rsidP="001530D3">
      <w:pPr>
        <w:pStyle w:val="Tekstprzypisudolnego"/>
        <w:rPr>
          <w:lang w:val="pl-PL"/>
        </w:rPr>
      </w:pPr>
      <w:r w:rsidRPr="00DC40BE">
        <w:rPr>
          <w:lang w:val="pl-PL"/>
        </w:rPr>
        <w:t>(</w:t>
      </w:r>
      <w:r w:rsidRPr="00DC40BE">
        <w:rPr>
          <w:rStyle w:val="Odwoanieprzypisudolnego"/>
          <w:lang w:val="pl-PL"/>
        </w:rPr>
        <w:footnoteRef/>
      </w:r>
      <w:r w:rsidRPr="00DC40BE">
        <w:rPr>
          <w:lang w:val="pl-PL"/>
        </w:rPr>
        <w:t>)</w:t>
      </w:r>
      <w:r w:rsidRPr="00DC40BE">
        <w:rPr>
          <w:lang w:val="pl-PL"/>
        </w:rPr>
        <w:tab/>
      </w:r>
      <w:hyperlink r:id="rId46" w:history="1">
        <w:r w:rsidRPr="00DC40BE">
          <w:rPr>
            <w:rStyle w:val="Hipercze"/>
            <w:lang w:val="pl-PL"/>
          </w:rPr>
          <w:t>https://citizens-initiative.europa.eu/spread-word/eci-ambassadors_pl</w:t>
        </w:r>
      </w:hyperlink>
      <w:r w:rsidRPr="00DC40BE">
        <w:rPr>
          <w:lang w:val="pl-PL"/>
        </w:rPr>
        <w:t xml:space="preserve"> </w:t>
      </w:r>
    </w:p>
  </w:footnote>
  <w:footnote w:id="87">
    <w:p w14:paraId="3D9AF762" w14:textId="77777777" w:rsidR="001530D3" w:rsidRPr="00DC40BE" w:rsidRDefault="001530D3" w:rsidP="001530D3">
      <w:pPr>
        <w:pStyle w:val="Tekstprzypisudolnego"/>
        <w:rPr>
          <w:lang w:val="pl-PL"/>
        </w:rPr>
      </w:pPr>
      <w:r w:rsidRPr="00DC40BE">
        <w:rPr>
          <w:lang w:val="pl-PL"/>
        </w:rPr>
        <w:t>(</w:t>
      </w:r>
      <w:r w:rsidRPr="00DC40BE">
        <w:rPr>
          <w:rStyle w:val="Odwoanieprzypisudolnego"/>
          <w:lang w:val="pl-PL"/>
        </w:rPr>
        <w:footnoteRef/>
      </w:r>
      <w:r w:rsidRPr="00DC40BE">
        <w:rPr>
          <w:lang w:val="pl-PL"/>
        </w:rPr>
        <w:t>)</w:t>
      </w:r>
      <w:r w:rsidRPr="00DC40BE">
        <w:rPr>
          <w:lang w:val="pl-PL"/>
        </w:rPr>
        <w:tab/>
      </w:r>
      <w:hyperlink r:id="rId47" w:history="1">
        <w:r w:rsidRPr="00DC40BE">
          <w:rPr>
            <w:rStyle w:val="Hipercze"/>
            <w:lang w:val="pl-PL"/>
          </w:rPr>
          <w:t>https://european-union.europa.eu/contact-eu/meet-us_pl</w:t>
        </w:r>
      </w:hyperlink>
      <w:r w:rsidRPr="00DC40BE">
        <w:rPr>
          <w:lang w:val="pl-PL"/>
        </w:rPr>
        <w:t xml:space="preserve"> </w:t>
      </w:r>
    </w:p>
  </w:footnote>
  <w:footnote w:id="88">
    <w:p w14:paraId="2673B8F0" w14:textId="4BBE594E" w:rsidR="00961394" w:rsidRPr="00DC40BE" w:rsidRDefault="00961394" w:rsidP="00B015EE">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hyperlink r:id="rId48" w:history="1">
        <w:r w:rsidRPr="00DC40BE">
          <w:rPr>
            <w:rStyle w:val="Hipercze"/>
            <w:sz w:val="18"/>
            <w:lang w:val="pl-PL"/>
          </w:rPr>
          <w:t>https://europeday.europa.eu/european-commission-2023_pl</w:t>
        </w:r>
      </w:hyperlink>
      <w:r w:rsidRPr="00DC40BE">
        <w:rPr>
          <w:sz w:val="18"/>
          <w:lang w:val="pl-PL"/>
        </w:rPr>
        <w:t xml:space="preserve"> </w:t>
      </w:r>
    </w:p>
  </w:footnote>
  <w:footnote w:id="89">
    <w:p w14:paraId="5B05F244" w14:textId="2D577ACF" w:rsidR="00961394" w:rsidRPr="00DC40BE" w:rsidRDefault="00961394" w:rsidP="00B015EE">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hyperlink r:id="rId49" w:history="1">
        <w:r w:rsidRPr="00DC40BE">
          <w:rPr>
            <w:rStyle w:val="Hipercze"/>
            <w:sz w:val="18"/>
            <w:lang w:val="pl-PL"/>
          </w:rPr>
          <w:t>https://www.eesc.europa.eu/pl/agenda/our-events/events/eci-day-2023</w:t>
        </w:r>
      </w:hyperlink>
      <w:r w:rsidRPr="00DC40BE">
        <w:rPr>
          <w:sz w:val="18"/>
          <w:lang w:val="pl-PL"/>
        </w:rPr>
        <w:t xml:space="preserve"> </w:t>
      </w:r>
    </w:p>
  </w:footnote>
  <w:footnote w:id="90">
    <w:p w14:paraId="7896ADB5" w14:textId="5A9ED19A" w:rsidR="00961394" w:rsidRPr="00DC40BE" w:rsidRDefault="00961394" w:rsidP="00B015EE">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hyperlink r:id="rId50" w:history="1">
        <w:r w:rsidRPr="00DC40BE">
          <w:rPr>
            <w:rStyle w:val="Hipercze"/>
            <w:sz w:val="18"/>
            <w:lang w:val="pl-PL"/>
          </w:rPr>
          <w:t>https://regions-and-cities.europa.eu/</w:t>
        </w:r>
      </w:hyperlink>
      <w:r w:rsidRPr="00DC40BE">
        <w:rPr>
          <w:sz w:val="18"/>
          <w:lang w:val="pl-PL"/>
        </w:rPr>
        <w:t xml:space="preserve"> </w:t>
      </w:r>
    </w:p>
  </w:footnote>
  <w:footnote w:id="91">
    <w:p w14:paraId="0EB6E812" w14:textId="483A95D1" w:rsidR="00961394" w:rsidRPr="00DC40BE" w:rsidRDefault="00961394" w:rsidP="00B015EE">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hyperlink r:id="rId51" w:history="1">
        <w:r w:rsidRPr="00DC40BE">
          <w:rPr>
            <w:rStyle w:val="Hipercze"/>
            <w:sz w:val="18"/>
            <w:lang w:val="pl-PL"/>
          </w:rPr>
          <w:t>https://european-youth-event.europarl.europa.eu/pl/</w:t>
        </w:r>
      </w:hyperlink>
      <w:r w:rsidRPr="00DC40BE">
        <w:rPr>
          <w:sz w:val="18"/>
          <w:lang w:val="pl-PL"/>
        </w:rPr>
        <w:t xml:space="preserve"> </w:t>
      </w:r>
    </w:p>
  </w:footnote>
  <w:footnote w:id="92">
    <w:p w14:paraId="633DC297" w14:textId="78DDF753" w:rsidR="00026472" w:rsidRPr="00DC40BE" w:rsidRDefault="00026472" w:rsidP="00B015EE">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hyperlink r:id="rId52" w:history="1">
        <w:r w:rsidRPr="00DC40BE">
          <w:rPr>
            <w:rStyle w:val="Hipercze"/>
            <w:sz w:val="18"/>
            <w:lang w:val="pl-PL"/>
          </w:rPr>
          <w:t>https://citizens-initiative.europa.eu/_pl</w:t>
        </w:r>
      </w:hyperlink>
      <w:r w:rsidRPr="00DC40BE">
        <w:rPr>
          <w:sz w:val="18"/>
          <w:lang w:val="pl-PL"/>
        </w:rPr>
        <w:t xml:space="preserve"> </w:t>
      </w:r>
    </w:p>
  </w:footnote>
  <w:footnote w:id="93">
    <w:p w14:paraId="495DA688" w14:textId="2C0E9ABE" w:rsidR="00A12291" w:rsidRPr="00DC40BE" w:rsidRDefault="00A12291" w:rsidP="00FC3377">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r w:rsidRPr="00DC40BE">
        <w:rPr>
          <w:sz w:val="18"/>
          <w:lang w:val="pl-PL"/>
        </w:rPr>
        <w:t>Na podstawie wywiadów</w:t>
      </w:r>
      <w:r w:rsidR="00DC40BE" w:rsidRPr="00DC40BE">
        <w:rPr>
          <w:sz w:val="18"/>
          <w:lang w:val="pl-PL"/>
        </w:rPr>
        <w:t xml:space="preserve"> z rep</w:t>
      </w:r>
      <w:r w:rsidRPr="00DC40BE">
        <w:rPr>
          <w:sz w:val="18"/>
          <w:lang w:val="pl-PL"/>
        </w:rPr>
        <w:t>rezentatywną próbą obywateli</w:t>
      </w:r>
      <w:r w:rsidR="00DC40BE" w:rsidRPr="00DC40BE">
        <w:rPr>
          <w:sz w:val="18"/>
          <w:lang w:val="pl-PL"/>
        </w:rPr>
        <w:t xml:space="preserve"> w wie</w:t>
      </w:r>
      <w:r w:rsidRPr="00DC40BE">
        <w:rPr>
          <w:sz w:val="18"/>
          <w:lang w:val="pl-PL"/>
        </w:rPr>
        <w:t>ku 15 lat</w:t>
      </w:r>
      <w:r w:rsidR="00DC40BE" w:rsidRPr="00DC40BE">
        <w:rPr>
          <w:sz w:val="18"/>
          <w:lang w:val="pl-PL"/>
        </w:rPr>
        <w:t xml:space="preserve"> i sta</w:t>
      </w:r>
      <w:r w:rsidRPr="00DC40BE">
        <w:rPr>
          <w:sz w:val="18"/>
          <w:lang w:val="pl-PL"/>
        </w:rPr>
        <w:t>rszych</w:t>
      </w:r>
      <w:r w:rsidR="00DC40BE" w:rsidRPr="00DC40BE">
        <w:rPr>
          <w:sz w:val="18"/>
          <w:lang w:val="pl-PL"/>
        </w:rPr>
        <w:t xml:space="preserve"> w każ</w:t>
      </w:r>
      <w:r w:rsidRPr="00DC40BE">
        <w:rPr>
          <w:sz w:val="18"/>
          <w:lang w:val="pl-PL"/>
        </w:rPr>
        <w:t>dym</w:t>
      </w:r>
      <w:r w:rsidR="00DC40BE" w:rsidRPr="00DC40BE">
        <w:rPr>
          <w:sz w:val="18"/>
          <w:lang w:val="pl-PL"/>
        </w:rPr>
        <w:t xml:space="preserve"> z 2</w:t>
      </w:r>
      <w:r w:rsidRPr="00DC40BE">
        <w:rPr>
          <w:sz w:val="18"/>
          <w:lang w:val="pl-PL"/>
        </w:rPr>
        <w:t xml:space="preserve">7 państw członkowskich Unii Europejskiej. </w:t>
      </w:r>
    </w:p>
  </w:footnote>
  <w:footnote w:id="94">
    <w:p w14:paraId="5FFD0433" w14:textId="4A651664" w:rsidR="005A4888" w:rsidRPr="00DC40BE" w:rsidRDefault="004D6D69" w:rsidP="00FC3377">
      <w:pPr>
        <w:spacing w:after="120"/>
        <w:ind w:left="360" w:hanging="360"/>
        <w:rPr>
          <w:rFonts w:eastAsiaTheme="minorEastAsia"/>
          <w:b/>
          <w:color w:val="404040" w:themeColor="text1" w:themeTint="BF"/>
          <w:sz w:val="18"/>
          <w:lang w:val="pl-PL"/>
        </w:rPr>
      </w:pPr>
      <w:r w:rsidRPr="00DC40BE">
        <w:rPr>
          <w:sz w:val="18"/>
          <w:lang w:val="pl-PL"/>
        </w:rPr>
        <w:t>(</w:t>
      </w:r>
      <w:r w:rsidRPr="00DC40BE">
        <w:rPr>
          <w:rStyle w:val="Odwoanieprzypisudolnego"/>
          <w:rFonts w:eastAsiaTheme="minorEastAsia"/>
          <w:sz w:val="18"/>
          <w:lang w:val="pl-PL"/>
        </w:rPr>
        <w:footnoteRef/>
      </w:r>
      <w:r w:rsidRPr="00DC40BE">
        <w:rPr>
          <w:sz w:val="18"/>
          <w:lang w:val="pl-PL"/>
        </w:rPr>
        <w:t>)</w:t>
      </w:r>
      <w:r w:rsidRPr="00DC40BE">
        <w:rPr>
          <w:lang w:val="pl-PL"/>
        </w:rPr>
        <w:tab/>
      </w:r>
      <w:r w:rsidRPr="00DC40BE">
        <w:rPr>
          <w:color w:val="404040" w:themeColor="text1" w:themeTint="BF"/>
          <w:sz w:val="18"/>
          <w:lang w:val="pl-PL"/>
        </w:rPr>
        <w:t xml:space="preserve">Badanie Eurobarometr Flash 528 </w:t>
      </w:r>
      <w:r w:rsidRPr="00DC40BE">
        <w:rPr>
          <w:sz w:val="18"/>
          <w:lang w:val="pl-PL"/>
        </w:rPr>
        <w:t>„Obywatelstwo</w:t>
      </w:r>
      <w:r w:rsidR="00DC40BE" w:rsidRPr="00DC40BE">
        <w:rPr>
          <w:sz w:val="18"/>
          <w:lang w:val="pl-PL"/>
        </w:rPr>
        <w:t xml:space="preserve"> i dem</w:t>
      </w:r>
      <w:r w:rsidRPr="00DC40BE">
        <w:rPr>
          <w:sz w:val="18"/>
          <w:lang w:val="pl-PL"/>
        </w:rPr>
        <w:t>okracja” (</w:t>
      </w:r>
      <w:r w:rsidRPr="00DC40BE">
        <w:rPr>
          <w:color w:val="404040" w:themeColor="text1" w:themeTint="BF"/>
          <w:sz w:val="18"/>
          <w:lang w:val="pl-PL"/>
        </w:rPr>
        <w:t>2023)</w:t>
      </w:r>
      <w:r w:rsidRPr="00DC40BE">
        <w:rPr>
          <w:lang w:val="pl-PL"/>
        </w:rPr>
        <w:t>.</w:t>
      </w:r>
    </w:p>
  </w:footnote>
  <w:footnote w:id="95">
    <w:p w14:paraId="089710CA" w14:textId="724B601A" w:rsidR="005A4888" w:rsidRPr="00DC40BE" w:rsidRDefault="004D6D69" w:rsidP="00FC3377">
      <w:pPr>
        <w:pStyle w:val="Tekstprzypisudolnego"/>
        <w:ind w:left="360" w:hanging="360"/>
        <w:rPr>
          <w:sz w:val="18"/>
          <w:lang w:val="pl-PL"/>
        </w:rPr>
      </w:pPr>
      <w:r w:rsidRPr="00DC40BE">
        <w:rPr>
          <w:sz w:val="18"/>
          <w:lang w:val="pl-PL"/>
        </w:rPr>
        <w:t>(</w:t>
      </w:r>
      <w:r w:rsidRPr="00DC40BE">
        <w:rPr>
          <w:rStyle w:val="Odwoanieprzypisudolnego"/>
          <w:sz w:val="18"/>
          <w:lang w:val="pl-PL"/>
        </w:rPr>
        <w:footnoteRef/>
      </w:r>
      <w:r w:rsidRPr="00DC40BE">
        <w:rPr>
          <w:sz w:val="18"/>
          <w:lang w:val="pl-PL"/>
        </w:rPr>
        <w:t xml:space="preserve">) </w:t>
      </w:r>
      <w:r w:rsidRPr="00DC40BE">
        <w:rPr>
          <w:lang w:val="pl-PL"/>
        </w:rPr>
        <w:tab/>
      </w:r>
      <w:hyperlink r:id="rId53" w:history="1">
        <w:r w:rsidRPr="00DC40BE">
          <w:rPr>
            <w:rStyle w:val="Hipercze"/>
            <w:sz w:val="18"/>
            <w:lang w:val="pl-PL"/>
          </w:rPr>
          <w:t>https://europa.eu/citizens-initiative/contact-points-national-level_pl</w:t>
        </w:r>
      </w:hyperlink>
    </w:p>
  </w:footnote>
  <w:footnote w:id="96">
    <w:p w14:paraId="07ED5702" w14:textId="068CD7A6" w:rsidR="00D53E48" w:rsidRPr="00DC40BE" w:rsidRDefault="00D53E48">
      <w:pPr>
        <w:pStyle w:val="Tekstprzypisudolnego"/>
        <w:rPr>
          <w:lang w:val="pl-PL"/>
        </w:rPr>
      </w:pPr>
      <w:r w:rsidRPr="00DC40BE">
        <w:rPr>
          <w:lang w:val="pl-PL"/>
        </w:rPr>
        <w:t>(</w:t>
      </w:r>
      <w:r w:rsidRPr="00DC40BE">
        <w:rPr>
          <w:rStyle w:val="Odwoanieprzypisudolnego"/>
          <w:lang w:val="pl-PL"/>
        </w:rPr>
        <w:footnoteRef/>
      </w:r>
      <w:r w:rsidRPr="00DC40BE">
        <w:rPr>
          <w:lang w:val="pl-PL"/>
        </w:rPr>
        <w:t>)</w:t>
      </w:r>
      <w:r w:rsidRPr="00DC40BE">
        <w:rPr>
          <w:lang w:val="pl-PL"/>
        </w:rPr>
        <w:tab/>
      </w:r>
      <w:hyperlink r:id="rId54" w:history="1">
        <w:r w:rsidRPr="00DC40BE">
          <w:rPr>
            <w:rStyle w:val="Hipercze"/>
            <w:sz w:val="18"/>
            <w:lang w:val="pl-PL"/>
          </w:rPr>
          <w:t>https://citizens-initiative-forum.europa.eu/_pl</w:t>
        </w:r>
      </w:hyperlink>
    </w:p>
  </w:footnote>
  <w:footnote w:id="97">
    <w:p w14:paraId="5BFAF1F4" w14:textId="4761D3CC" w:rsidR="00984D09" w:rsidRPr="00DC40BE" w:rsidRDefault="00984D09" w:rsidP="00B015EE">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hyperlink r:id="rId55" w:history="1">
        <w:r w:rsidRPr="00DC40BE">
          <w:rPr>
            <w:rStyle w:val="Hipercze"/>
            <w:sz w:val="18"/>
            <w:shd w:val="clear" w:color="auto" w:fill="FFFFFF"/>
            <w:lang w:val="pl-PL"/>
          </w:rPr>
          <w:t>Rozporządzenie Parlamentu Europejskiego</w:t>
        </w:r>
        <w:r w:rsidR="00DC40BE" w:rsidRPr="00DC40BE">
          <w:rPr>
            <w:rStyle w:val="Hipercze"/>
            <w:sz w:val="18"/>
            <w:shd w:val="clear" w:color="auto" w:fill="FFFFFF"/>
            <w:lang w:val="pl-PL"/>
          </w:rPr>
          <w:t xml:space="preserve"> i Rad</w:t>
        </w:r>
        <w:r w:rsidRPr="00DC40BE">
          <w:rPr>
            <w:rStyle w:val="Hipercze"/>
            <w:sz w:val="18"/>
            <w:shd w:val="clear" w:color="auto" w:fill="FFFFFF"/>
            <w:lang w:val="pl-PL"/>
          </w:rPr>
          <w:t>y (UE) 2020/1042</w:t>
        </w:r>
      </w:hyperlink>
      <w:r w:rsidR="00DC40BE" w:rsidRPr="00DC40BE">
        <w:rPr>
          <w:color w:val="333333"/>
          <w:sz w:val="18"/>
          <w:shd w:val="clear" w:color="auto" w:fill="FFFFFF"/>
          <w:lang w:val="pl-PL"/>
        </w:rPr>
        <w:t xml:space="preserve"> z dni</w:t>
      </w:r>
      <w:r w:rsidRPr="00DC40BE">
        <w:rPr>
          <w:color w:val="333333"/>
          <w:sz w:val="18"/>
          <w:shd w:val="clear" w:color="auto" w:fill="FFFFFF"/>
          <w:lang w:val="pl-PL"/>
        </w:rPr>
        <w:t>a 15 lipca 2020</w:t>
      </w:r>
      <w:r w:rsidR="00DC40BE" w:rsidRPr="00DC40BE">
        <w:rPr>
          <w:color w:val="333333"/>
          <w:sz w:val="18"/>
          <w:shd w:val="clear" w:color="auto" w:fill="FFFFFF"/>
          <w:lang w:val="pl-PL"/>
        </w:rPr>
        <w:t> </w:t>
      </w:r>
      <w:r w:rsidRPr="00DC40BE">
        <w:rPr>
          <w:color w:val="333333"/>
          <w:sz w:val="18"/>
          <w:shd w:val="clear" w:color="auto" w:fill="FFFFFF"/>
          <w:lang w:val="pl-PL"/>
        </w:rPr>
        <w:t>r. ustanawiające środki tymczasowe dotyczące terminów mających zastosowanie do etapów zbierania, weryfikacji</w:t>
      </w:r>
      <w:r w:rsidR="00DC40BE" w:rsidRPr="00DC40BE">
        <w:rPr>
          <w:color w:val="333333"/>
          <w:sz w:val="18"/>
          <w:shd w:val="clear" w:color="auto" w:fill="FFFFFF"/>
          <w:lang w:val="pl-PL"/>
        </w:rPr>
        <w:t xml:space="preserve"> i bad</w:t>
      </w:r>
      <w:r w:rsidRPr="00DC40BE">
        <w:rPr>
          <w:color w:val="333333"/>
          <w:sz w:val="18"/>
          <w:shd w:val="clear" w:color="auto" w:fill="FFFFFF"/>
          <w:lang w:val="pl-PL"/>
        </w:rPr>
        <w:t>ania przewidzianych</w:t>
      </w:r>
      <w:r w:rsidR="00DC40BE" w:rsidRPr="00DC40BE">
        <w:rPr>
          <w:color w:val="333333"/>
          <w:sz w:val="18"/>
          <w:shd w:val="clear" w:color="auto" w:fill="FFFFFF"/>
          <w:lang w:val="pl-PL"/>
        </w:rPr>
        <w:t xml:space="preserve"> w roz</w:t>
      </w:r>
      <w:r w:rsidRPr="00DC40BE">
        <w:rPr>
          <w:color w:val="333333"/>
          <w:sz w:val="18"/>
          <w:shd w:val="clear" w:color="auto" w:fill="FFFFFF"/>
          <w:lang w:val="pl-PL"/>
        </w:rPr>
        <w:t>porządzeniu (UE) 2019/788</w:t>
      </w:r>
      <w:r w:rsidR="00DC40BE" w:rsidRPr="00DC40BE">
        <w:rPr>
          <w:color w:val="333333"/>
          <w:sz w:val="18"/>
          <w:shd w:val="clear" w:color="auto" w:fill="FFFFFF"/>
          <w:lang w:val="pl-PL"/>
        </w:rPr>
        <w:t xml:space="preserve"> w spr</w:t>
      </w:r>
      <w:r w:rsidRPr="00DC40BE">
        <w:rPr>
          <w:color w:val="333333"/>
          <w:sz w:val="18"/>
          <w:shd w:val="clear" w:color="auto" w:fill="FFFFFF"/>
          <w:lang w:val="pl-PL"/>
        </w:rPr>
        <w:t>awie europejskiej inicjatywy obywatelskiej</w:t>
      </w:r>
      <w:r w:rsidR="00DC40BE" w:rsidRPr="00DC40BE">
        <w:rPr>
          <w:color w:val="333333"/>
          <w:sz w:val="18"/>
          <w:shd w:val="clear" w:color="auto" w:fill="FFFFFF"/>
          <w:lang w:val="pl-PL"/>
        </w:rPr>
        <w:t xml:space="preserve"> w zwi</w:t>
      </w:r>
      <w:r w:rsidRPr="00DC40BE">
        <w:rPr>
          <w:color w:val="333333"/>
          <w:sz w:val="18"/>
          <w:shd w:val="clear" w:color="auto" w:fill="FFFFFF"/>
          <w:lang w:val="pl-PL"/>
        </w:rPr>
        <w:t>ązku</w:t>
      </w:r>
      <w:r w:rsidR="00DC40BE" w:rsidRPr="00DC40BE">
        <w:rPr>
          <w:color w:val="333333"/>
          <w:sz w:val="18"/>
          <w:shd w:val="clear" w:color="auto" w:fill="FFFFFF"/>
          <w:lang w:val="pl-PL"/>
        </w:rPr>
        <w:t xml:space="preserve"> z wys</w:t>
      </w:r>
      <w:r w:rsidRPr="00DC40BE">
        <w:rPr>
          <w:color w:val="333333"/>
          <w:sz w:val="18"/>
          <w:shd w:val="clear" w:color="auto" w:fill="FFFFFF"/>
          <w:lang w:val="pl-PL"/>
        </w:rPr>
        <w:t>tąpieniem epidemii COVID-19 (</w:t>
      </w:r>
      <w:r w:rsidRPr="00DC40BE">
        <w:rPr>
          <w:rStyle w:val="Uwydatnienie"/>
          <w:i w:val="0"/>
          <w:color w:val="333333"/>
          <w:sz w:val="18"/>
          <w:shd w:val="clear" w:color="auto" w:fill="FFFFFF"/>
          <w:lang w:val="pl-PL"/>
        </w:rPr>
        <w:t>Dz.U. L 231</w:t>
      </w:r>
      <w:r w:rsidR="00DC40BE" w:rsidRPr="00DC40BE">
        <w:rPr>
          <w:rStyle w:val="Uwydatnienie"/>
          <w:i w:val="0"/>
          <w:color w:val="333333"/>
          <w:sz w:val="18"/>
          <w:shd w:val="clear" w:color="auto" w:fill="FFFFFF"/>
          <w:lang w:val="pl-PL"/>
        </w:rPr>
        <w:t xml:space="preserve"> z 1</w:t>
      </w:r>
      <w:r w:rsidRPr="00DC40BE">
        <w:rPr>
          <w:rStyle w:val="Uwydatnienie"/>
          <w:i w:val="0"/>
          <w:color w:val="333333"/>
          <w:sz w:val="18"/>
          <w:shd w:val="clear" w:color="auto" w:fill="FFFFFF"/>
          <w:lang w:val="pl-PL"/>
        </w:rPr>
        <w:t>7.7.2020, s. 7).</w:t>
      </w:r>
    </w:p>
  </w:footnote>
  <w:footnote w:id="98">
    <w:p w14:paraId="266BDD51" w14:textId="2092E3A6" w:rsidR="005A4888" w:rsidRPr="00DC40BE" w:rsidRDefault="004D6D69" w:rsidP="00FC3377">
      <w:pPr>
        <w:pStyle w:val="Tekstprzypisudolnego"/>
        <w:ind w:left="360" w:hanging="360"/>
        <w:rPr>
          <w:sz w:val="18"/>
          <w:lang w:val="pl-PL"/>
        </w:rPr>
      </w:pPr>
      <w:r w:rsidRPr="00DC40BE">
        <w:rPr>
          <w:sz w:val="18"/>
          <w:lang w:val="pl-PL"/>
        </w:rPr>
        <w:t>(</w:t>
      </w:r>
      <w:r w:rsidRPr="00DC40BE">
        <w:rPr>
          <w:rStyle w:val="Odwoanieprzypisudolnego"/>
          <w:sz w:val="18"/>
          <w:lang w:val="pl-PL"/>
        </w:rPr>
        <w:footnoteRef/>
      </w:r>
      <w:r w:rsidRPr="00DC40BE">
        <w:rPr>
          <w:sz w:val="18"/>
          <w:lang w:val="pl-PL"/>
        </w:rPr>
        <w:t xml:space="preserve">) </w:t>
      </w:r>
      <w:r w:rsidRPr="00DC40BE">
        <w:rPr>
          <w:lang w:val="pl-PL"/>
        </w:rPr>
        <w:tab/>
      </w:r>
      <w:hyperlink r:id="rId56" w:history="1">
        <w:r w:rsidRPr="00DC40BE">
          <w:rPr>
            <w:rStyle w:val="Hipercze"/>
            <w:sz w:val="18"/>
            <w:lang w:val="pl-PL"/>
          </w:rPr>
          <w:t>Decyzja wykonawcza Komisji (UE) 2020/2200</w:t>
        </w:r>
      </w:hyperlink>
      <w:r w:rsidRPr="00DC40BE">
        <w:rPr>
          <w:sz w:val="18"/>
          <w:lang w:val="pl-PL"/>
        </w:rPr>
        <w:t>z dnia 17 grudnia 2020</w:t>
      </w:r>
      <w:r w:rsidR="00DC40BE" w:rsidRPr="00DC40BE">
        <w:rPr>
          <w:sz w:val="18"/>
          <w:lang w:val="pl-PL"/>
        </w:rPr>
        <w:t> </w:t>
      </w:r>
      <w:r w:rsidRPr="00DC40BE">
        <w:rPr>
          <w:sz w:val="18"/>
          <w:lang w:val="pl-PL"/>
        </w:rPr>
        <w:t xml:space="preserve">r., C/2020/9226; </w:t>
      </w:r>
      <w:hyperlink r:id="rId57" w:history="1">
        <w:r w:rsidRPr="00DC40BE">
          <w:rPr>
            <w:rStyle w:val="Hipercze"/>
            <w:sz w:val="18"/>
            <w:lang w:val="pl-PL"/>
          </w:rPr>
          <w:t>decyzja wykonawcza Komisji (UE) 2021/360</w:t>
        </w:r>
      </w:hyperlink>
      <w:r w:rsidR="00DC40BE" w:rsidRPr="00DC40BE">
        <w:rPr>
          <w:sz w:val="18"/>
          <w:lang w:val="pl-PL"/>
        </w:rPr>
        <w:t xml:space="preserve"> z dni</w:t>
      </w:r>
      <w:r w:rsidRPr="00DC40BE">
        <w:rPr>
          <w:sz w:val="18"/>
          <w:lang w:val="pl-PL"/>
        </w:rPr>
        <w:t>a 19 lutego 2021</w:t>
      </w:r>
      <w:r w:rsidR="00DC40BE" w:rsidRPr="00DC40BE">
        <w:rPr>
          <w:sz w:val="18"/>
          <w:lang w:val="pl-PL"/>
        </w:rPr>
        <w:t> </w:t>
      </w:r>
      <w:r w:rsidRPr="00DC40BE">
        <w:rPr>
          <w:sz w:val="18"/>
          <w:lang w:val="pl-PL"/>
        </w:rPr>
        <w:t xml:space="preserve">r., C/2021/1121; </w:t>
      </w:r>
      <w:hyperlink r:id="rId58" w:history="1">
        <w:r w:rsidRPr="00DC40BE">
          <w:rPr>
            <w:rStyle w:val="Hipercze"/>
            <w:sz w:val="18"/>
            <w:lang w:val="pl-PL"/>
          </w:rPr>
          <w:t>decyzja wykonawcza Komisji (UE) 2021/944</w:t>
        </w:r>
      </w:hyperlink>
      <w:r w:rsidR="00DC40BE" w:rsidRPr="00DC40BE">
        <w:rPr>
          <w:sz w:val="18"/>
          <w:lang w:val="pl-PL"/>
        </w:rPr>
        <w:t xml:space="preserve"> z dni</w:t>
      </w:r>
      <w:r w:rsidRPr="00DC40BE">
        <w:rPr>
          <w:sz w:val="18"/>
          <w:lang w:val="pl-PL"/>
        </w:rPr>
        <w:t>a 3 czerwca 2021</w:t>
      </w:r>
      <w:r w:rsidR="00DC40BE" w:rsidRPr="00DC40BE">
        <w:rPr>
          <w:sz w:val="18"/>
          <w:lang w:val="pl-PL"/>
        </w:rPr>
        <w:t> </w:t>
      </w:r>
      <w:r w:rsidRPr="00DC40BE">
        <w:rPr>
          <w:sz w:val="18"/>
          <w:lang w:val="pl-PL"/>
        </w:rPr>
        <w:t>r., C/2021/3879</w:t>
      </w:r>
      <w:r w:rsidR="00DC40BE" w:rsidRPr="00DC40BE">
        <w:rPr>
          <w:sz w:val="18"/>
          <w:lang w:val="pl-PL"/>
        </w:rPr>
        <w:t>. W każ</w:t>
      </w:r>
      <w:r w:rsidRPr="00DC40BE">
        <w:rPr>
          <w:sz w:val="18"/>
          <w:lang w:val="pl-PL"/>
        </w:rPr>
        <w:t>dej</w:t>
      </w:r>
      <w:r w:rsidR="00DC40BE" w:rsidRPr="00DC40BE">
        <w:rPr>
          <w:sz w:val="18"/>
          <w:lang w:val="pl-PL"/>
        </w:rPr>
        <w:t xml:space="preserve"> z tyc</w:t>
      </w:r>
      <w:r w:rsidRPr="00DC40BE">
        <w:rPr>
          <w:sz w:val="18"/>
          <w:lang w:val="pl-PL"/>
        </w:rPr>
        <w:t>h trzech decyzji wykonawczych przewidziano przedłużenie terminów zbierania deklaracji poparcia dla niektórych EIO na podstawie rozporządzenia (UE) 2020/1042.</w:t>
      </w:r>
    </w:p>
  </w:footnote>
  <w:footnote w:id="99">
    <w:p w14:paraId="22169E64" w14:textId="05893362" w:rsidR="0009255E" w:rsidRPr="00DC40BE" w:rsidRDefault="0009255E" w:rsidP="00FC3377">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r w:rsidRPr="00DC40BE">
        <w:rPr>
          <w:sz w:val="18"/>
          <w:lang w:val="pl-PL"/>
        </w:rPr>
        <w:t>„Polityka spójności”, „Ratujmy pszczoły</w:t>
      </w:r>
      <w:r w:rsidR="00DC40BE" w:rsidRPr="00DC40BE">
        <w:rPr>
          <w:sz w:val="18"/>
          <w:lang w:val="pl-PL"/>
        </w:rPr>
        <w:t xml:space="preserve"> i rol</w:t>
      </w:r>
      <w:r w:rsidRPr="00DC40BE">
        <w:rPr>
          <w:sz w:val="18"/>
          <w:lang w:val="pl-PL"/>
        </w:rPr>
        <w:t>ników” oraz „Nie dla obcinania płetw rekinom</w:t>
      </w:r>
      <w:r w:rsidR="00DC40BE" w:rsidRPr="00DC40BE">
        <w:rPr>
          <w:sz w:val="18"/>
          <w:lang w:val="pl-PL"/>
        </w:rPr>
        <w:t xml:space="preserve"> i han</w:t>
      </w:r>
      <w:r w:rsidRPr="00DC40BE">
        <w:rPr>
          <w:sz w:val="18"/>
          <w:lang w:val="pl-PL"/>
        </w:rPr>
        <w:t>dlu nimi”.</w:t>
      </w:r>
    </w:p>
  </w:footnote>
  <w:footnote w:id="100">
    <w:p w14:paraId="13162E4A" w14:textId="78232551" w:rsidR="005A4888" w:rsidRPr="00DC40BE" w:rsidRDefault="004D6D69" w:rsidP="00FC3377">
      <w:pPr>
        <w:pStyle w:val="Tekstprzypisudolnego"/>
        <w:ind w:left="360" w:hanging="360"/>
        <w:rPr>
          <w:sz w:val="18"/>
          <w:lang w:val="pl-PL"/>
        </w:rPr>
      </w:pPr>
      <w:r w:rsidRPr="00DC40BE">
        <w:rPr>
          <w:sz w:val="18"/>
          <w:lang w:val="pl-PL"/>
        </w:rPr>
        <w:t>(</w:t>
      </w:r>
      <w:r w:rsidRPr="00DC40BE">
        <w:rPr>
          <w:rStyle w:val="Odwoanieprzypisudolnego"/>
          <w:sz w:val="18"/>
          <w:lang w:val="pl-PL"/>
        </w:rPr>
        <w:footnoteRef/>
      </w:r>
      <w:r w:rsidRPr="00DC40BE">
        <w:rPr>
          <w:sz w:val="18"/>
          <w:lang w:val="pl-PL"/>
        </w:rPr>
        <w:t xml:space="preserve">) </w:t>
      </w:r>
      <w:r w:rsidRPr="00DC40BE">
        <w:rPr>
          <w:lang w:val="pl-PL"/>
        </w:rPr>
        <w:tab/>
      </w:r>
      <w:r w:rsidRPr="00DC40BE">
        <w:rPr>
          <w:sz w:val="18"/>
          <w:lang w:val="pl-PL"/>
        </w:rPr>
        <w:t>Zalecenie grupy ad hoc ds. europejskiej inicjatywy obywatelskiej „Funkcjonowanie europejskiej inicjatywy obywatelskiej</w:t>
      </w:r>
      <w:r w:rsidR="00DC40BE" w:rsidRPr="00DC40BE">
        <w:rPr>
          <w:sz w:val="18"/>
          <w:lang w:val="pl-PL"/>
        </w:rPr>
        <w:t xml:space="preserve"> w lat</w:t>
      </w:r>
      <w:r w:rsidRPr="00DC40BE">
        <w:rPr>
          <w:sz w:val="18"/>
          <w:lang w:val="pl-PL"/>
        </w:rPr>
        <w:t xml:space="preserve">ach 2020–2022”: </w:t>
      </w:r>
      <w:hyperlink r:id="rId59" w:history="1">
        <w:r w:rsidRPr="00DC40BE">
          <w:rPr>
            <w:rStyle w:val="Hipercze"/>
            <w:sz w:val="18"/>
            <w:lang w:val="pl-PL"/>
          </w:rPr>
          <w:t>https://www.eesc.europa.eu/sites/default/files/files/ahg_eci_recommendation_on_eci_functionning_2020-2022_3_2.pdf</w:t>
        </w:r>
      </w:hyperlink>
      <w:r w:rsidRPr="00DC40BE">
        <w:rPr>
          <w:sz w:val="18"/>
          <w:lang w:val="pl-PL"/>
        </w:rPr>
        <w:t xml:space="preserve"> </w:t>
      </w:r>
      <w:r w:rsidRPr="00DC40BE">
        <w:rPr>
          <w:sz w:val="18"/>
          <w:highlight w:val="yellow"/>
          <w:lang w:val="pl-PL"/>
        </w:rPr>
        <w:t xml:space="preserve">  </w:t>
      </w:r>
    </w:p>
  </w:footnote>
  <w:footnote w:id="101">
    <w:p w14:paraId="47E16749" w14:textId="6D2528E5" w:rsidR="0052772C" w:rsidRPr="00DC40BE" w:rsidRDefault="0052772C" w:rsidP="00B015EE">
      <w:pPr>
        <w:pStyle w:val="Tekstprzypisudolnego"/>
        <w:rPr>
          <w:sz w:val="18"/>
          <w:lang w:val="pl-PL"/>
        </w:rPr>
      </w:pPr>
      <w:r w:rsidRPr="00DC40BE">
        <w:rPr>
          <w:sz w:val="18"/>
          <w:lang w:val="pl-PL"/>
        </w:rPr>
        <w:t>(</w:t>
      </w:r>
      <w:r w:rsidRPr="00DC40BE">
        <w:rPr>
          <w:rStyle w:val="Odwoanieprzypisudolnego"/>
          <w:sz w:val="18"/>
          <w:lang w:val="pl-PL"/>
        </w:rPr>
        <w:footnoteRef/>
      </w:r>
      <w:r w:rsidRPr="00DC40BE">
        <w:rPr>
          <w:sz w:val="18"/>
          <w:lang w:val="pl-PL"/>
        </w:rPr>
        <w:t>)</w:t>
      </w:r>
      <w:r w:rsidRPr="00DC40BE">
        <w:rPr>
          <w:lang w:val="pl-PL"/>
        </w:rPr>
        <w:tab/>
      </w:r>
      <w:hyperlink r:id="rId60" w:history="1">
        <w:r w:rsidRPr="00DC40BE">
          <w:rPr>
            <w:rStyle w:val="Hipercze"/>
            <w:sz w:val="18"/>
            <w:lang w:val="pl-PL"/>
          </w:rPr>
          <w:t>https://commission.europa.eu/funding-tenders/find-funding/eu-funding-programmes/citizens-equality-rights-and-values-programme_pl</w:t>
        </w:r>
      </w:hyperlink>
      <w:r w:rsidRPr="00DC40BE">
        <w:rPr>
          <w:sz w:val="18"/>
          <w:lang w:val="pl-P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79FB2" w14:textId="77777777" w:rsidR="00615826" w:rsidRPr="00615826" w:rsidRDefault="00615826" w:rsidP="0061582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DC355" w14:textId="77777777" w:rsidR="00615826" w:rsidRPr="00615826" w:rsidRDefault="00615826" w:rsidP="0061582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2CDD0" w14:textId="77777777" w:rsidR="00615826" w:rsidRPr="00615826" w:rsidRDefault="00615826" w:rsidP="0061582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F75FD" w14:textId="77777777" w:rsidR="00643F96" w:rsidRDefault="00643F96">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7957A" w14:textId="77777777" w:rsidR="00643F96" w:rsidRDefault="00643F96">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13265" w14:textId="77777777" w:rsidR="00643F96" w:rsidRDefault="00643F9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7CA133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EA9B28"/>
    <w:multiLevelType w:val="hybridMultilevel"/>
    <w:tmpl w:val="8EC6CA16"/>
    <w:lvl w:ilvl="0" w:tplc="0968171E">
      <w:start w:val="1"/>
      <w:numFmt w:val="bullet"/>
      <w:lvlText w:val=""/>
      <w:lvlJc w:val="left"/>
      <w:pPr>
        <w:ind w:left="360" w:hanging="360"/>
      </w:pPr>
      <w:rPr>
        <w:rFonts w:ascii="Symbol" w:hAnsi="Symbol" w:hint="default"/>
      </w:rPr>
    </w:lvl>
    <w:lvl w:ilvl="1" w:tplc="2F843BFC">
      <w:start w:val="1"/>
      <w:numFmt w:val="bullet"/>
      <w:lvlText w:val="o"/>
      <w:lvlJc w:val="left"/>
      <w:pPr>
        <w:ind w:left="1080" w:hanging="360"/>
      </w:pPr>
      <w:rPr>
        <w:rFonts w:ascii="Courier New" w:hAnsi="Courier New" w:hint="default"/>
      </w:rPr>
    </w:lvl>
    <w:lvl w:ilvl="2" w:tplc="97367336">
      <w:start w:val="1"/>
      <w:numFmt w:val="bullet"/>
      <w:lvlText w:val=""/>
      <w:lvlJc w:val="left"/>
      <w:pPr>
        <w:ind w:left="1800" w:hanging="360"/>
      </w:pPr>
      <w:rPr>
        <w:rFonts w:ascii="Wingdings" w:hAnsi="Wingdings" w:hint="default"/>
      </w:rPr>
    </w:lvl>
    <w:lvl w:ilvl="3" w:tplc="7E9492AA">
      <w:start w:val="1"/>
      <w:numFmt w:val="bullet"/>
      <w:lvlText w:val=""/>
      <w:lvlJc w:val="left"/>
      <w:pPr>
        <w:ind w:left="2520" w:hanging="360"/>
      </w:pPr>
      <w:rPr>
        <w:rFonts w:ascii="Symbol" w:hAnsi="Symbol" w:hint="default"/>
      </w:rPr>
    </w:lvl>
    <w:lvl w:ilvl="4" w:tplc="119CE182">
      <w:start w:val="1"/>
      <w:numFmt w:val="bullet"/>
      <w:lvlText w:val="o"/>
      <w:lvlJc w:val="left"/>
      <w:pPr>
        <w:ind w:left="3240" w:hanging="360"/>
      </w:pPr>
      <w:rPr>
        <w:rFonts w:ascii="Courier New" w:hAnsi="Courier New" w:hint="default"/>
      </w:rPr>
    </w:lvl>
    <w:lvl w:ilvl="5" w:tplc="DCC28090">
      <w:start w:val="1"/>
      <w:numFmt w:val="bullet"/>
      <w:lvlText w:val=""/>
      <w:lvlJc w:val="left"/>
      <w:pPr>
        <w:ind w:left="3960" w:hanging="360"/>
      </w:pPr>
      <w:rPr>
        <w:rFonts w:ascii="Wingdings" w:hAnsi="Wingdings" w:hint="default"/>
      </w:rPr>
    </w:lvl>
    <w:lvl w:ilvl="6" w:tplc="7750C072">
      <w:start w:val="1"/>
      <w:numFmt w:val="bullet"/>
      <w:lvlText w:val=""/>
      <w:lvlJc w:val="left"/>
      <w:pPr>
        <w:ind w:left="4680" w:hanging="360"/>
      </w:pPr>
      <w:rPr>
        <w:rFonts w:ascii="Symbol" w:hAnsi="Symbol" w:hint="default"/>
      </w:rPr>
    </w:lvl>
    <w:lvl w:ilvl="7" w:tplc="7C0AE9EC">
      <w:start w:val="1"/>
      <w:numFmt w:val="bullet"/>
      <w:lvlText w:val="o"/>
      <w:lvlJc w:val="left"/>
      <w:pPr>
        <w:ind w:left="5400" w:hanging="360"/>
      </w:pPr>
      <w:rPr>
        <w:rFonts w:ascii="Courier New" w:hAnsi="Courier New" w:hint="default"/>
      </w:rPr>
    </w:lvl>
    <w:lvl w:ilvl="8" w:tplc="819480A8">
      <w:start w:val="1"/>
      <w:numFmt w:val="bullet"/>
      <w:lvlText w:val=""/>
      <w:lvlJc w:val="left"/>
      <w:pPr>
        <w:ind w:left="6120" w:hanging="360"/>
      </w:pPr>
      <w:rPr>
        <w:rFonts w:ascii="Wingdings" w:hAnsi="Wingdings" w:hint="default"/>
      </w:rPr>
    </w:lvl>
  </w:abstractNum>
  <w:abstractNum w:abstractNumId="2" w15:restartNumberingAfterBreak="0">
    <w:nsid w:val="09C90D28"/>
    <w:multiLevelType w:val="hybridMultilevel"/>
    <w:tmpl w:val="9F2ABD5A"/>
    <w:lvl w:ilvl="0" w:tplc="89364AB0">
      <w:start w:val="1"/>
      <w:numFmt w:val="bullet"/>
      <w:lvlText w:val="-"/>
      <w:lvlJc w:val="left"/>
      <w:pPr>
        <w:ind w:left="36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2900F7"/>
    <w:multiLevelType w:val="multilevel"/>
    <w:tmpl w:val="9BD832BC"/>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0B3F28C8"/>
    <w:multiLevelType w:val="hybridMultilevel"/>
    <w:tmpl w:val="FFFFFFFF"/>
    <w:lvl w:ilvl="0" w:tplc="D264F824">
      <w:start w:val="1"/>
      <w:numFmt w:val="bullet"/>
      <w:lvlText w:val="·"/>
      <w:lvlJc w:val="left"/>
      <w:pPr>
        <w:ind w:left="720" w:hanging="360"/>
      </w:pPr>
      <w:rPr>
        <w:rFonts w:ascii="Symbol" w:hAnsi="Symbol" w:hint="default"/>
      </w:rPr>
    </w:lvl>
    <w:lvl w:ilvl="1" w:tplc="FFD2A7EA">
      <w:start w:val="1"/>
      <w:numFmt w:val="bullet"/>
      <w:lvlText w:val="o"/>
      <w:lvlJc w:val="left"/>
      <w:pPr>
        <w:ind w:left="1440" w:hanging="360"/>
      </w:pPr>
      <w:rPr>
        <w:rFonts w:ascii="Courier New" w:hAnsi="Courier New" w:hint="default"/>
      </w:rPr>
    </w:lvl>
    <w:lvl w:ilvl="2" w:tplc="4A88D78C">
      <w:start w:val="1"/>
      <w:numFmt w:val="bullet"/>
      <w:lvlText w:val=""/>
      <w:lvlJc w:val="left"/>
      <w:pPr>
        <w:ind w:left="2160" w:hanging="360"/>
      </w:pPr>
      <w:rPr>
        <w:rFonts w:ascii="Wingdings" w:hAnsi="Wingdings" w:hint="default"/>
      </w:rPr>
    </w:lvl>
    <w:lvl w:ilvl="3" w:tplc="A6AA4246">
      <w:start w:val="1"/>
      <w:numFmt w:val="bullet"/>
      <w:lvlText w:val=""/>
      <w:lvlJc w:val="left"/>
      <w:pPr>
        <w:ind w:left="2880" w:hanging="360"/>
      </w:pPr>
      <w:rPr>
        <w:rFonts w:ascii="Symbol" w:hAnsi="Symbol" w:hint="default"/>
      </w:rPr>
    </w:lvl>
    <w:lvl w:ilvl="4" w:tplc="D54E8E8E">
      <w:start w:val="1"/>
      <w:numFmt w:val="bullet"/>
      <w:lvlText w:val="o"/>
      <w:lvlJc w:val="left"/>
      <w:pPr>
        <w:ind w:left="3600" w:hanging="360"/>
      </w:pPr>
      <w:rPr>
        <w:rFonts w:ascii="Courier New" w:hAnsi="Courier New" w:hint="default"/>
      </w:rPr>
    </w:lvl>
    <w:lvl w:ilvl="5" w:tplc="7AEE837E">
      <w:start w:val="1"/>
      <w:numFmt w:val="bullet"/>
      <w:lvlText w:val=""/>
      <w:lvlJc w:val="left"/>
      <w:pPr>
        <w:ind w:left="4320" w:hanging="360"/>
      </w:pPr>
      <w:rPr>
        <w:rFonts w:ascii="Wingdings" w:hAnsi="Wingdings" w:hint="default"/>
      </w:rPr>
    </w:lvl>
    <w:lvl w:ilvl="6" w:tplc="F3140216">
      <w:start w:val="1"/>
      <w:numFmt w:val="bullet"/>
      <w:lvlText w:val=""/>
      <w:lvlJc w:val="left"/>
      <w:pPr>
        <w:ind w:left="5040" w:hanging="360"/>
      </w:pPr>
      <w:rPr>
        <w:rFonts w:ascii="Symbol" w:hAnsi="Symbol" w:hint="default"/>
      </w:rPr>
    </w:lvl>
    <w:lvl w:ilvl="7" w:tplc="6592F1E2">
      <w:start w:val="1"/>
      <w:numFmt w:val="bullet"/>
      <w:lvlText w:val="o"/>
      <w:lvlJc w:val="left"/>
      <w:pPr>
        <w:ind w:left="5760" w:hanging="360"/>
      </w:pPr>
      <w:rPr>
        <w:rFonts w:ascii="Courier New" w:hAnsi="Courier New" w:hint="default"/>
      </w:rPr>
    </w:lvl>
    <w:lvl w:ilvl="8" w:tplc="30406938">
      <w:start w:val="1"/>
      <w:numFmt w:val="bullet"/>
      <w:lvlText w:val=""/>
      <w:lvlJc w:val="left"/>
      <w:pPr>
        <w:ind w:left="6480" w:hanging="360"/>
      </w:pPr>
      <w:rPr>
        <w:rFonts w:ascii="Wingdings" w:hAnsi="Wingdings" w:hint="default"/>
      </w:rPr>
    </w:lvl>
  </w:abstractNum>
  <w:abstractNum w:abstractNumId="5" w15:restartNumberingAfterBreak="0">
    <w:nsid w:val="0C48079E"/>
    <w:multiLevelType w:val="hybridMultilevel"/>
    <w:tmpl w:val="A5C4BBC2"/>
    <w:lvl w:ilvl="0" w:tplc="96A82180">
      <w:start w:val="1"/>
      <w:numFmt w:val="lowerLetter"/>
      <w:lvlText w:val="%1."/>
      <w:lvlJc w:val="left"/>
      <w:pPr>
        <w:ind w:left="720" w:hanging="360"/>
      </w:pPr>
    </w:lvl>
    <w:lvl w:ilvl="1" w:tplc="8BF0D740">
      <w:start w:val="1"/>
      <w:numFmt w:val="lowerLetter"/>
      <w:lvlText w:val="%2."/>
      <w:lvlJc w:val="left"/>
      <w:pPr>
        <w:ind w:left="1440" w:hanging="360"/>
      </w:pPr>
    </w:lvl>
    <w:lvl w:ilvl="2" w:tplc="335CC410">
      <w:start w:val="1"/>
      <w:numFmt w:val="lowerRoman"/>
      <w:lvlText w:val="%3."/>
      <w:lvlJc w:val="right"/>
      <w:pPr>
        <w:ind w:left="2160" w:hanging="180"/>
      </w:pPr>
    </w:lvl>
    <w:lvl w:ilvl="3" w:tplc="2BCC9798">
      <w:start w:val="1"/>
      <w:numFmt w:val="decimal"/>
      <w:lvlText w:val="%4."/>
      <w:lvlJc w:val="left"/>
      <w:pPr>
        <w:ind w:left="2880" w:hanging="360"/>
      </w:pPr>
    </w:lvl>
    <w:lvl w:ilvl="4" w:tplc="48FAFA7A">
      <w:start w:val="1"/>
      <w:numFmt w:val="lowerLetter"/>
      <w:lvlText w:val="%5."/>
      <w:lvlJc w:val="left"/>
      <w:pPr>
        <w:ind w:left="3600" w:hanging="360"/>
      </w:pPr>
    </w:lvl>
    <w:lvl w:ilvl="5" w:tplc="A03EFD44">
      <w:start w:val="1"/>
      <w:numFmt w:val="lowerRoman"/>
      <w:lvlText w:val="%6."/>
      <w:lvlJc w:val="right"/>
      <w:pPr>
        <w:ind w:left="4320" w:hanging="180"/>
      </w:pPr>
    </w:lvl>
    <w:lvl w:ilvl="6" w:tplc="E24C2418">
      <w:start w:val="1"/>
      <w:numFmt w:val="decimal"/>
      <w:lvlText w:val="%7."/>
      <w:lvlJc w:val="left"/>
      <w:pPr>
        <w:ind w:left="5040" w:hanging="360"/>
      </w:pPr>
    </w:lvl>
    <w:lvl w:ilvl="7" w:tplc="0EB6C6A0">
      <w:start w:val="1"/>
      <w:numFmt w:val="lowerLetter"/>
      <w:lvlText w:val="%8."/>
      <w:lvlJc w:val="left"/>
      <w:pPr>
        <w:ind w:left="5760" w:hanging="360"/>
      </w:pPr>
    </w:lvl>
    <w:lvl w:ilvl="8" w:tplc="5B0089B0">
      <w:start w:val="1"/>
      <w:numFmt w:val="lowerRoman"/>
      <w:lvlText w:val="%9."/>
      <w:lvlJc w:val="right"/>
      <w:pPr>
        <w:ind w:left="6480" w:hanging="180"/>
      </w:pPr>
    </w:lvl>
  </w:abstractNum>
  <w:abstractNum w:abstractNumId="6" w15:restartNumberingAfterBreak="0">
    <w:nsid w:val="0EFB7115"/>
    <w:multiLevelType w:val="multilevel"/>
    <w:tmpl w:val="A1721400"/>
    <w:name w:val="ListNumber3Numbering"/>
    <w:lvl w:ilvl="0">
      <w:start w:val="1"/>
      <w:numFmt w:val="decimal"/>
      <w:pStyle w:val="Listanumerowana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0FC76BFF"/>
    <w:multiLevelType w:val="hybridMultilevel"/>
    <w:tmpl w:val="ED8A7D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20B7201"/>
    <w:multiLevelType w:val="multilevel"/>
    <w:tmpl w:val="DFF8D89C"/>
    <w:name w:val="ListNumberNumbering"/>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20B8345"/>
    <w:multiLevelType w:val="multilevel"/>
    <w:tmpl w:val="9FEEFC06"/>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262685D"/>
    <w:multiLevelType w:val="multilevel"/>
    <w:tmpl w:val="AA364E30"/>
    <w:name w:val="ListBullet4Numbering"/>
    <w:lvl w:ilvl="0">
      <w:start w:val="1"/>
      <w:numFmt w:val="bullet"/>
      <w:pStyle w:val="Listapunktowana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43D0A16"/>
    <w:multiLevelType w:val="multilevel"/>
    <w:tmpl w:val="DB341774"/>
    <w:name w:val="ListBullet3Numbering"/>
    <w:lvl w:ilvl="0">
      <w:start w:val="1"/>
      <w:numFmt w:val="bullet"/>
      <w:pStyle w:val="Listapunktowana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172F0AC5"/>
    <w:multiLevelType w:val="multilevel"/>
    <w:tmpl w:val="8FDA4866"/>
    <w:name w:val="ListNumber2Numbering"/>
    <w:lvl w:ilvl="0">
      <w:start w:val="1"/>
      <w:numFmt w:val="decimal"/>
      <w:pStyle w:val="Listanumerowan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19194989"/>
    <w:multiLevelType w:val="hybridMultilevel"/>
    <w:tmpl w:val="7E588D6A"/>
    <w:lvl w:ilvl="0" w:tplc="C3AAFB7E">
      <w:start w:val="1"/>
      <w:numFmt w:val="bullet"/>
      <w:lvlText w:val=""/>
      <w:lvlJc w:val="left"/>
      <w:pPr>
        <w:ind w:left="720" w:hanging="360"/>
      </w:pPr>
      <w:rPr>
        <w:rFonts w:ascii="Symbol" w:hAnsi="Symbol" w:hint="default"/>
      </w:rPr>
    </w:lvl>
    <w:lvl w:ilvl="1" w:tplc="C804E6AE">
      <w:start w:val="1"/>
      <w:numFmt w:val="bullet"/>
      <w:lvlText w:val="o"/>
      <w:lvlJc w:val="left"/>
      <w:pPr>
        <w:ind w:left="1440" w:hanging="360"/>
      </w:pPr>
      <w:rPr>
        <w:rFonts w:ascii="Courier New" w:hAnsi="Courier New" w:hint="default"/>
      </w:rPr>
    </w:lvl>
    <w:lvl w:ilvl="2" w:tplc="56B6024C">
      <w:start w:val="1"/>
      <w:numFmt w:val="bullet"/>
      <w:lvlText w:val=""/>
      <w:lvlJc w:val="left"/>
      <w:pPr>
        <w:ind w:left="2160" w:hanging="360"/>
      </w:pPr>
      <w:rPr>
        <w:rFonts w:ascii="Wingdings" w:hAnsi="Wingdings" w:hint="default"/>
      </w:rPr>
    </w:lvl>
    <w:lvl w:ilvl="3" w:tplc="7EBA3102">
      <w:start w:val="1"/>
      <w:numFmt w:val="bullet"/>
      <w:lvlText w:val=""/>
      <w:lvlJc w:val="left"/>
      <w:pPr>
        <w:ind w:left="2880" w:hanging="360"/>
      </w:pPr>
      <w:rPr>
        <w:rFonts w:ascii="Symbol" w:hAnsi="Symbol" w:hint="default"/>
      </w:rPr>
    </w:lvl>
    <w:lvl w:ilvl="4" w:tplc="7542E93A">
      <w:start w:val="1"/>
      <w:numFmt w:val="bullet"/>
      <w:lvlText w:val="o"/>
      <w:lvlJc w:val="left"/>
      <w:pPr>
        <w:ind w:left="3600" w:hanging="360"/>
      </w:pPr>
      <w:rPr>
        <w:rFonts w:ascii="Courier New" w:hAnsi="Courier New" w:hint="default"/>
      </w:rPr>
    </w:lvl>
    <w:lvl w:ilvl="5" w:tplc="F49814FA">
      <w:start w:val="1"/>
      <w:numFmt w:val="bullet"/>
      <w:lvlText w:val=""/>
      <w:lvlJc w:val="left"/>
      <w:pPr>
        <w:ind w:left="4320" w:hanging="360"/>
      </w:pPr>
      <w:rPr>
        <w:rFonts w:ascii="Wingdings" w:hAnsi="Wingdings" w:hint="default"/>
      </w:rPr>
    </w:lvl>
    <w:lvl w:ilvl="6" w:tplc="32BEFF4E">
      <w:start w:val="1"/>
      <w:numFmt w:val="bullet"/>
      <w:lvlText w:val=""/>
      <w:lvlJc w:val="left"/>
      <w:pPr>
        <w:ind w:left="5040" w:hanging="360"/>
      </w:pPr>
      <w:rPr>
        <w:rFonts w:ascii="Symbol" w:hAnsi="Symbol" w:hint="default"/>
      </w:rPr>
    </w:lvl>
    <w:lvl w:ilvl="7" w:tplc="0F2ECA6C">
      <w:start w:val="1"/>
      <w:numFmt w:val="bullet"/>
      <w:lvlText w:val="o"/>
      <w:lvlJc w:val="left"/>
      <w:pPr>
        <w:ind w:left="5760" w:hanging="360"/>
      </w:pPr>
      <w:rPr>
        <w:rFonts w:ascii="Courier New" w:hAnsi="Courier New" w:hint="default"/>
      </w:rPr>
    </w:lvl>
    <w:lvl w:ilvl="8" w:tplc="224E9096">
      <w:start w:val="1"/>
      <w:numFmt w:val="bullet"/>
      <w:lvlText w:val=""/>
      <w:lvlJc w:val="left"/>
      <w:pPr>
        <w:ind w:left="6480" w:hanging="360"/>
      </w:pPr>
      <w:rPr>
        <w:rFonts w:ascii="Wingdings" w:hAnsi="Wingdings" w:hint="default"/>
      </w:rPr>
    </w:lvl>
  </w:abstractNum>
  <w:abstractNum w:abstractNumId="14" w15:restartNumberingAfterBreak="0">
    <w:nsid w:val="1C7B624F"/>
    <w:multiLevelType w:val="multilevel"/>
    <w:tmpl w:val="344220E6"/>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1D9A58BE"/>
    <w:multiLevelType w:val="hybridMultilevel"/>
    <w:tmpl w:val="366C5AC2"/>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C8DFDF8"/>
    <w:multiLevelType w:val="multilevel"/>
    <w:tmpl w:val="FA460BFE"/>
    <w:name w:val="ListBullet2Numbering"/>
    <w:lvl w:ilvl="0">
      <w:start w:val="1"/>
      <w:numFmt w:val="bullet"/>
      <w:pStyle w:val="Listapunktowana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2D293CE3"/>
    <w:multiLevelType w:val="multilevel"/>
    <w:tmpl w:val="BAB4179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2D293CF4"/>
    <w:multiLevelType w:val="multilevel"/>
    <w:tmpl w:val="08526B2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3102A6E"/>
    <w:multiLevelType w:val="multilevel"/>
    <w:tmpl w:val="D36EE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6324F1E"/>
    <w:multiLevelType w:val="multilevel"/>
    <w:tmpl w:val="3CC0FDEC"/>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37CB1E1C"/>
    <w:multiLevelType w:val="multilevel"/>
    <w:tmpl w:val="F698CA82"/>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3A7730C4"/>
    <w:multiLevelType w:val="multilevel"/>
    <w:tmpl w:val="9A22B242"/>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3E5DF85C"/>
    <w:multiLevelType w:val="hybridMultilevel"/>
    <w:tmpl w:val="4364C550"/>
    <w:lvl w:ilvl="0" w:tplc="3D44E6D4">
      <w:start w:val="1"/>
      <w:numFmt w:val="bullet"/>
      <w:lvlText w:val=""/>
      <w:lvlJc w:val="left"/>
      <w:pPr>
        <w:ind w:left="360" w:hanging="360"/>
      </w:pPr>
      <w:rPr>
        <w:rFonts w:ascii="Symbol" w:hAnsi="Symbol" w:hint="default"/>
      </w:rPr>
    </w:lvl>
    <w:lvl w:ilvl="1" w:tplc="05EA4D52">
      <w:start w:val="1"/>
      <w:numFmt w:val="bullet"/>
      <w:lvlText w:val="o"/>
      <w:lvlJc w:val="left"/>
      <w:pPr>
        <w:ind w:left="1080" w:hanging="360"/>
      </w:pPr>
      <w:rPr>
        <w:rFonts w:ascii="Courier New" w:hAnsi="Courier New" w:hint="default"/>
      </w:rPr>
    </w:lvl>
    <w:lvl w:ilvl="2" w:tplc="B1C8CE86">
      <w:start w:val="1"/>
      <w:numFmt w:val="bullet"/>
      <w:lvlText w:val=""/>
      <w:lvlJc w:val="left"/>
      <w:pPr>
        <w:ind w:left="1800" w:hanging="360"/>
      </w:pPr>
      <w:rPr>
        <w:rFonts w:ascii="Wingdings" w:hAnsi="Wingdings" w:hint="default"/>
      </w:rPr>
    </w:lvl>
    <w:lvl w:ilvl="3" w:tplc="820C9142">
      <w:start w:val="1"/>
      <w:numFmt w:val="bullet"/>
      <w:lvlText w:val=""/>
      <w:lvlJc w:val="left"/>
      <w:pPr>
        <w:ind w:left="2520" w:hanging="360"/>
      </w:pPr>
      <w:rPr>
        <w:rFonts w:ascii="Symbol" w:hAnsi="Symbol" w:hint="default"/>
      </w:rPr>
    </w:lvl>
    <w:lvl w:ilvl="4" w:tplc="18ACD70A">
      <w:start w:val="1"/>
      <w:numFmt w:val="bullet"/>
      <w:lvlText w:val="o"/>
      <w:lvlJc w:val="left"/>
      <w:pPr>
        <w:ind w:left="3240" w:hanging="360"/>
      </w:pPr>
      <w:rPr>
        <w:rFonts w:ascii="Courier New" w:hAnsi="Courier New" w:hint="default"/>
      </w:rPr>
    </w:lvl>
    <w:lvl w:ilvl="5" w:tplc="33E68A66">
      <w:start w:val="1"/>
      <w:numFmt w:val="bullet"/>
      <w:lvlText w:val=""/>
      <w:lvlJc w:val="left"/>
      <w:pPr>
        <w:ind w:left="3960" w:hanging="360"/>
      </w:pPr>
      <w:rPr>
        <w:rFonts w:ascii="Wingdings" w:hAnsi="Wingdings" w:hint="default"/>
      </w:rPr>
    </w:lvl>
    <w:lvl w:ilvl="6" w:tplc="F782FBE8">
      <w:start w:val="1"/>
      <w:numFmt w:val="bullet"/>
      <w:lvlText w:val=""/>
      <w:lvlJc w:val="left"/>
      <w:pPr>
        <w:ind w:left="4680" w:hanging="360"/>
      </w:pPr>
      <w:rPr>
        <w:rFonts w:ascii="Symbol" w:hAnsi="Symbol" w:hint="default"/>
      </w:rPr>
    </w:lvl>
    <w:lvl w:ilvl="7" w:tplc="A2B8060A">
      <w:start w:val="1"/>
      <w:numFmt w:val="bullet"/>
      <w:lvlText w:val="o"/>
      <w:lvlJc w:val="left"/>
      <w:pPr>
        <w:ind w:left="5400" w:hanging="360"/>
      </w:pPr>
      <w:rPr>
        <w:rFonts w:ascii="Courier New" w:hAnsi="Courier New" w:hint="default"/>
      </w:rPr>
    </w:lvl>
    <w:lvl w:ilvl="8" w:tplc="F320BB2E">
      <w:start w:val="1"/>
      <w:numFmt w:val="bullet"/>
      <w:lvlText w:val=""/>
      <w:lvlJc w:val="left"/>
      <w:pPr>
        <w:ind w:left="6120" w:hanging="360"/>
      </w:pPr>
      <w:rPr>
        <w:rFonts w:ascii="Wingdings" w:hAnsi="Wingdings" w:hint="default"/>
      </w:rPr>
    </w:lvl>
  </w:abstractNum>
  <w:abstractNum w:abstractNumId="24" w15:restartNumberingAfterBreak="0">
    <w:nsid w:val="3FEA3109"/>
    <w:multiLevelType w:val="hybridMultilevel"/>
    <w:tmpl w:val="1374AE42"/>
    <w:lvl w:ilvl="0" w:tplc="D24EB63E">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29E662A"/>
    <w:multiLevelType w:val="multilevel"/>
    <w:tmpl w:val="DACEC3A8"/>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42B0B498"/>
    <w:multiLevelType w:val="hybridMultilevel"/>
    <w:tmpl w:val="2FE27678"/>
    <w:lvl w:ilvl="0" w:tplc="507291CE">
      <w:start w:val="1"/>
      <w:numFmt w:val="bullet"/>
      <w:lvlText w:val=""/>
      <w:lvlJc w:val="left"/>
      <w:pPr>
        <w:ind w:left="720" w:hanging="360"/>
      </w:pPr>
      <w:rPr>
        <w:rFonts w:ascii="Symbol" w:hAnsi="Symbol" w:hint="default"/>
      </w:rPr>
    </w:lvl>
    <w:lvl w:ilvl="1" w:tplc="3282F92A">
      <w:start w:val="1"/>
      <w:numFmt w:val="bullet"/>
      <w:lvlText w:val="o"/>
      <w:lvlJc w:val="left"/>
      <w:pPr>
        <w:ind w:left="1440" w:hanging="360"/>
      </w:pPr>
      <w:rPr>
        <w:rFonts w:ascii="Courier New" w:hAnsi="Courier New" w:hint="default"/>
      </w:rPr>
    </w:lvl>
    <w:lvl w:ilvl="2" w:tplc="8BF6C5F8">
      <w:start w:val="1"/>
      <w:numFmt w:val="bullet"/>
      <w:lvlText w:val=""/>
      <w:lvlJc w:val="left"/>
      <w:pPr>
        <w:ind w:left="2160" w:hanging="360"/>
      </w:pPr>
      <w:rPr>
        <w:rFonts w:ascii="Wingdings" w:hAnsi="Wingdings" w:hint="default"/>
      </w:rPr>
    </w:lvl>
    <w:lvl w:ilvl="3" w:tplc="3D9270BE">
      <w:start w:val="1"/>
      <w:numFmt w:val="bullet"/>
      <w:lvlText w:val=""/>
      <w:lvlJc w:val="left"/>
      <w:pPr>
        <w:ind w:left="2880" w:hanging="360"/>
      </w:pPr>
      <w:rPr>
        <w:rFonts w:ascii="Symbol" w:hAnsi="Symbol" w:hint="default"/>
      </w:rPr>
    </w:lvl>
    <w:lvl w:ilvl="4" w:tplc="C3F2AB60">
      <w:start w:val="1"/>
      <w:numFmt w:val="bullet"/>
      <w:lvlText w:val="o"/>
      <w:lvlJc w:val="left"/>
      <w:pPr>
        <w:ind w:left="3600" w:hanging="360"/>
      </w:pPr>
      <w:rPr>
        <w:rFonts w:ascii="Courier New" w:hAnsi="Courier New" w:hint="default"/>
      </w:rPr>
    </w:lvl>
    <w:lvl w:ilvl="5" w:tplc="29F26D60">
      <w:start w:val="1"/>
      <w:numFmt w:val="bullet"/>
      <w:lvlText w:val=""/>
      <w:lvlJc w:val="left"/>
      <w:pPr>
        <w:ind w:left="4320" w:hanging="360"/>
      </w:pPr>
      <w:rPr>
        <w:rFonts w:ascii="Wingdings" w:hAnsi="Wingdings" w:hint="default"/>
      </w:rPr>
    </w:lvl>
    <w:lvl w:ilvl="6" w:tplc="85FC9E8A">
      <w:start w:val="1"/>
      <w:numFmt w:val="bullet"/>
      <w:lvlText w:val=""/>
      <w:lvlJc w:val="left"/>
      <w:pPr>
        <w:ind w:left="5040" w:hanging="360"/>
      </w:pPr>
      <w:rPr>
        <w:rFonts w:ascii="Symbol" w:hAnsi="Symbol" w:hint="default"/>
      </w:rPr>
    </w:lvl>
    <w:lvl w:ilvl="7" w:tplc="BB3C62D0">
      <w:start w:val="1"/>
      <w:numFmt w:val="bullet"/>
      <w:lvlText w:val="o"/>
      <w:lvlJc w:val="left"/>
      <w:pPr>
        <w:ind w:left="5760" w:hanging="360"/>
      </w:pPr>
      <w:rPr>
        <w:rFonts w:ascii="Courier New" w:hAnsi="Courier New" w:hint="default"/>
      </w:rPr>
    </w:lvl>
    <w:lvl w:ilvl="8" w:tplc="2250BD2A">
      <w:start w:val="1"/>
      <w:numFmt w:val="bullet"/>
      <w:lvlText w:val=""/>
      <w:lvlJc w:val="left"/>
      <w:pPr>
        <w:ind w:left="6480" w:hanging="360"/>
      </w:pPr>
      <w:rPr>
        <w:rFonts w:ascii="Wingdings" w:hAnsi="Wingdings" w:hint="default"/>
      </w:rPr>
    </w:lvl>
  </w:abstractNum>
  <w:abstractNum w:abstractNumId="27" w15:restartNumberingAfterBreak="0">
    <w:nsid w:val="4E1A63DF"/>
    <w:multiLevelType w:val="multilevel"/>
    <w:tmpl w:val="7BC4825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8" w15:restartNumberingAfterBreak="0">
    <w:nsid w:val="4E1A982C"/>
    <w:multiLevelType w:val="multilevel"/>
    <w:tmpl w:val="51C09094"/>
    <w:name w:val="ListBulletNumbering"/>
    <w:lvl w:ilvl="0">
      <w:start w:val="1"/>
      <w:numFmt w:val="bullet"/>
      <w:pStyle w:val="Listapunktowana"/>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9" w15:restartNumberingAfterBreak="0">
    <w:nsid w:val="5072619B"/>
    <w:multiLevelType w:val="multilevel"/>
    <w:tmpl w:val="DC40422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0" w15:restartNumberingAfterBreak="0">
    <w:nsid w:val="50729B52"/>
    <w:multiLevelType w:val="multilevel"/>
    <w:tmpl w:val="DC8A5DFC"/>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1" w15:restartNumberingAfterBreak="0">
    <w:nsid w:val="53A0A822"/>
    <w:multiLevelType w:val="hybridMultilevel"/>
    <w:tmpl w:val="FFFFFFFF"/>
    <w:lvl w:ilvl="0" w:tplc="3E04A20C">
      <w:start w:val="1"/>
      <w:numFmt w:val="bullet"/>
      <w:lvlText w:val="·"/>
      <w:lvlJc w:val="left"/>
      <w:pPr>
        <w:ind w:left="720" w:hanging="360"/>
      </w:pPr>
      <w:rPr>
        <w:rFonts w:ascii="Symbol" w:hAnsi="Symbol" w:hint="default"/>
      </w:rPr>
    </w:lvl>
    <w:lvl w:ilvl="1" w:tplc="1C067EF6">
      <w:start w:val="1"/>
      <w:numFmt w:val="bullet"/>
      <w:lvlText w:val="o"/>
      <w:lvlJc w:val="left"/>
      <w:pPr>
        <w:ind w:left="1440" w:hanging="360"/>
      </w:pPr>
      <w:rPr>
        <w:rFonts w:ascii="Courier New" w:hAnsi="Courier New" w:hint="default"/>
      </w:rPr>
    </w:lvl>
    <w:lvl w:ilvl="2" w:tplc="2AC67404">
      <w:start w:val="1"/>
      <w:numFmt w:val="bullet"/>
      <w:lvlText w:val=""/>
      <w:lvlJc w:val="left"/>
      <w:pPr>
        <w:ind w:left="2160" w:hanging="360"/>
      </w:pPr>
      <w:rPr>
        <w:rFonts w:ascii="Wingdings" w:hAnsi="Wingdings" w:hint="default"/>
      </w:rPr>
    </w:lvl>
    <w:lvl w:ilvl="3" w:tplc="1A520520">
      <w:start w:val="1"/>
      <w:numFmt w:val="bullet"/>
      <w:lvlText w:val=""/>
      <w:lvlJc w:val="left"/>
      <w:pPr>
        <w:ind w:left="2880" w:hanging="360"/>
      </w:pPr>
      <w:rPr>
        <w:rFonts w:ascii="Symbol" w:hAnsi="Symbol" w:hint="default"/>
      </w:rPr>
    </w:lvl>
    <w:lvl w:ilvl="4" w:tplc="05DAB712">
      <w:start w:val="1"/>
      <w:numFmt w:val="bullet"/>
      <w:lvlText w:val="o"/>
      <w:lvlJc w:val="left"/>
      <w:pPr>
        <w:ind w:left="3600" w:hanging="360"/>
      </w:pPr>
      <w:rPr>
        <w:rFonts w:ascii="Courier New" w:hAnsi="Courier New" w:hint="default"/>
      </w:rPr>
    </w:lvl>
    <w:lvl w:ilvl="5" w:tplc="C102DAD4">
      <w:start w:val="1"/>
      <w:numFmt w:val="bullet"/>
      <w:lvlText w:val=""/>
      <w:lvlJc w:val="left"/>
      <w:pPr>
        <w:ind w:left="4320" w:hanging="360"/>
      </w:pPr>
      <w:rPr>
        <w:rFonts w:ascii="Wingdings" w:hAnsi="Wingdings" w:hint="default"/>
      </w:rPr>
    </w:lvl>
    <w:lvl w:ilvl="6" w:tplc="B246BF66">
      <w:start w:val="1"/>
      <w:numFmt w:val="bullet"/>
      <w:lvlText w:val=""/>
      <w:lvlJc w:val="left"/>
      <w:pPr>
        <w:ind w:left="5040" w:hanging="360"/>
      </w:pPr>
      <w:rPr>
        <w:rFonts w:ascii="Symbol" w:hAnsi="Symbol" w:hint="default"/>
      </w:rPr>
    </w:lvl>
    <w:lvl w:ilvl="7" w:tplc="3282EF6A">
      <w:start w:val="1"/>
      <w:numFmt w:val="bullet"/>
      <w:lvlText w:val="o"/>
      <w:lvlJc w:val="left"/>
      <w:pPr>
        <w:ind w:left="5760" w:hanging="360"/>
      </w:pPr>
      <w:rPr>
        <w:rFonts w:ascii="Courier New" w:hAnsi="Courier New" w:hint="default"/>
      </w:rPr>
    </w:lvl>
    <w:lvl w:ilvl="8" w:tplc="7F38E470">
      <w:start w:val="1"/>
      <w:numFmt w:val="bullet"/>
      <w:lvlText w:val=""/>
      <w:lvlJc w:val="left"/>
      <w:pPr>
        <w:ind w:left="6480" w:hanging="360"/>
      </w:pPr>
      <w:rPr>
        <w:rFonts w:ascii="Wingdings" w:hAnsi="Wingdings" w:hint="default"/>
      </w:rPr>
    </w:lvl>
  </w:abstractNum>
  <w:abstractNum w:abstractNumId="32" w15:restartNumberingAfterBreak="0">
    <w:nsid w:val="58F03976"/>
    <w:multiLevelType w:val="hybridMultilevel"/>
    <w:tmpl w:val="D442A8A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5F65609"/>
    <w:multiLevelType w:val="hybridMultilevel"/>
    <w:tmpl w:val="42342332"/>
    <w:lvl w:ilvl="0" w:tplc="9FA86FF6">
      <w:start w:val="1"/>
      <w:numFmt w:val="bullet"/>
      <w:lvlText w:val=""/>
      <w:lvlJc w:val="left"/>
      <w:pPr>
        <w:ind w:left="720" w:hanging="360"/>
      </w:pPr>
      <w:rPr>
        <w:rFonts w:ascii="Symbol" w:hAnsi="Symbol" w:hint="default"/>
      </w:rPr>
    </w:lvl>
    <w:lvl w:ilvl="1" w:tplc="90D844C2">
      <w:start w:val="1"/>
      <w:numFmt w:val="bullet"/>
      <w:lvlText w:val="o"/>
      <w:lvlJc w:val="left"/>
      <w:pPr>
        <w:ind w:left="1440" w:hanging="360"/>
      </w:pPr>
      <w:rPr>
        <w:rFonts w:ascii="Courier New" w:hAnsi="Courier New" w:hint="default"/>
      </w:rPr>
    </w:lvl>
    <w:lvl w:ilvl="2" w:tplc="24E4883C">
      <w:start w:val="1"/>
      <w:numFmt w:val="bullet"/>
      <w:lvlText w:val=""/>
      <w:lvlJc w:val="left"/>
      <w:pPr>
        <w:ind w:left="2160" w:hanging="360"/>
      </w:pPr>
      <w:rPr>
        <w:rFonts w:ascii="Wingdings" w:hAnsi="Wingdings" w:hint="default"/>
      </w:rPr>
    </w:lvl>
    <w:lvl w:ilvl="3" w:tplc="CF1E49E6">
      <w:start w:val="1"/>
      <w:numFmt w:val="bullet"/>
      <w:lvlText w:val=""/>
      <w:lvlJc w:val="left"/>
      <w:pPr>
        <w:ind w:left="2880" w:hanging="360"/>
      </w:pPr>
      <w:rPr>
        <w:rFonts w:ascii="Symbol" w:hAnsi="Symbol" w:hint="default"/>
      </w:rPr>
    </w:lvl>
    <w:lvl w:ilvl="4" w:tplc="8BAA61BC">
      <w:start w:val="1"/>
      <w:numFmt w:val="bullet"/>
      <w:lvlText w:val="o"/>
      <w:lvlJc w:val="left"/>
      <w:pPr>
        <w:ind w:left="3600" w:hanging="360"/>
      </w:pPr>
      <w:rPr>
        <w:rFonts w:ascii="Courier New" w:hAnsi="Courier New" w:hint="default"/>
      </w:rPr>
    </w:lvl>
    <w:lvl w:ilvl="5" w:tplc="0554E1C4">
      <w:start w:val="1"/>
      <w:numFmt w:val="bullet"/>
      <w:lvlText w:val=""/>
      <w:lvlJc w:val="left"/>
      <w:pPr>
        <w:ind w:left="4320" w:hanging="360"/>
      </w:pPr>
      <w:rPr>
        <w:rFonts w:ascii="Wingdings" w:hAnsi="Wingdings" w:hint="default"/>
      </w:rPr>
    </w:lvl>
    <w:lvl w:ilvl="6" w:tplc="96E0A28A">
      <w:start w:val="1"/>
      <w:numFmt w:val="bullet"/>
      <w:lvlText w:val=""/>
      <w:lvlJc w:val="left"/>
      <w:pPr>
        <w:ind w:left="5040" w:hanging="360"/>
      </w:pPr>
      <w:rPr>
        <w:rFonts w:ascii="Symbol" w:hAnsi="Symbol" w:hint="default"/>
      </w:rPr>
    </w:lvl>
    <w:lvl w:ilvl="7" w:tplc="18445ABE">
      <w:start w:val="1"/>
      <w:numFmt w:val="bullet"/>
      <w:lvlText w:val="o"/>
      <w:lvlJc w:val="left"/>
      <w:pPr>
        <w:ind w:left="5760" w:hanging="360"/>
      </w:pPr>
      <w:rPr>
        <w:rFonts w:ascii="Courier New" w:hAnsi="Courier New" w:hint="default"/>
      </w:rPr>
    </w:lvl>
    <w:lvl w:ilvl="8" w:tplc="9C260310">
      <w:start w:val="1"/>
      <w:numFmt w:val="bullet"/>
      <w:lvlText w:val=""/>
      <w:lvlJc w:val="left"/>
      <w:pPr>
        <w:ind w:left="6480" w:hanging="360"/>
      </w:pPr>
      <w:rPr>
        <w:rFonts w:ascii="Wingdings" w:hAnsi="Wingdings" w:hint="default"/>
      </w:rPr>
    </w:lvl>
  </w:abstractNum>
  <w:abstractNum w:abstractNumId="34" w15:restartNumberingAfterBreak="0">
    <w:nsid w:val="6977472E"/>
    <w:multiLevelType w:val="multilevel"/>
    <w:tmpl w:val="CA7A4796"/>
    <w:name w:val="ListNumber4Numbering"/>
    <w:lvl w:ilvl="0">
      <w:start w:val="1"/>
      <w:numFmt w:val="decimal"/>
      <w:pStyle w:val="Listanumerowan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5" w15:restartNumberingAfterBreak="0">
    <w:nsid w:val="77DB593C"/>
    <w:multiLevelType w:val="hybridMultilevel"/>
    <w:tmpl w:val="288AC4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C65145E"/>
    <w:multiLevelType w:val="multilevel"/>
    <w:tmpl w:val="86E2F11C"/>
    <w:name w:val="EurolookHeading"/>
    <w:lvl w:ilvl="0">
      <w:start w:val="1"/>
      <w:numFmt w:val="decimal"/>
      <w:lvlText w:val="%1."/>
      <w:lvlJc w:val="left"/>
      <w:pPr>
        <w:tabs>
          <w:tab w:val="num" w:pos="7145"/>
        </w:tabs>
        <w:ind w:left="7145" w:hanging="482"/>
      </w:pPr>
      <w:rPr>
        <w:b/>
      </w:rPr>
    </w:lvl>
    <w:lvl w:ilvl="1">
      <w:start w:val="1"/>
      <w:numFmt w:val="decimal"/>
      <w:lvlText w:val="%1.%2."/>
      <w:lvlJc w:val="left"/>
      <w:pPr>
        <w:tabs>
          <w:tab w:val="num" w:pos="595"/>
        </w:tabs>
        <w:ind w:left="595" w:hanging="595"/>
      </w:pPr>
      <w:rPr>
        <w:b/>
      </w:rPr>
    </w:lvl>
    <w:lvl w:ilvl="2">
      <w:start w:val="1"/>
      <w:numFmt w:val="decimal"/>
      <w:lvlText w:val="%1.%2.%3."/>
      <w:lvlJc w:val="left"/>
      <w:pPr>
        <w:tabs>
          <w:tab w:val="num" w:pos="1922"/>
        </w:tabs>
        <w:ind w:left="1922" w:hanging="845"/>
      </w:pPr>
    </w:lvl>
    <w:lvl w:ilvl="3">
      <w:start w:val="1"/>
      <w:numFmt w:val="decimal"/>
      <w:lvlText w:val="%1.%2.%3.%4."/>
      <w:lvlJc w:val="left"/>
      <w:pPr>
        <w:tabs>
          <w:tab w:val="num" w:pos="2880"/>
        </w:tabs>
        <w:ind w:left="2880" w:hanging="958"/>
      </w:pPr>
    </w:lvl>
    <w:lvl w:ilvl="4">
      <w:start w:val="1"/>
      <w:numFmt w:val="decimal"/>
      <w:lvlText w:val="%1.%2.%3.%4.%5."/>
      <w:lvlJc w:val="left"/>
      <w:pPr>
        <w:tabs>
          <w:tab w:val="num" w:pos="2880"/>
        </w:tabs>
        <w:ind w:left="3838" w:hanging="958"/>
      </w:pPr>
    </w:lvl>
    <w:lvl w:ilvl="5">
      <w:start w:val="1"/>
      <w:numFmt w:val="decimal"/>
      <w:lvlText w:val="%1.%2.%3.%4.%5.%6."/>
      <w:lvlJc w:val="left"/>
      <w:pPr>
        <w:tabs>
          <w:tab w:val="num" w:pos="2880"/>
        </w:tabs>
        <w:ind w:left="3838" w:hanging="958"/>
      </w:pPr>
    </w:lvl>
    <w:lvl w:ilvl="6">
      <w:start w:val="1"/>
      <w:numFmt w:val="decimal"/>
      <w:lvlText w:val="%1.%2.%3.%4.%5.%6.%7."/>
      <w:lvlJc w:val="left"/>
      <w:pPr>
        <w:tabs>
          <w:tab w:val="num" w:pos="2880"/>
        </w:tabs>
        <w:ind w:left="3838" w:hanging="958"/>
      </w:pPr>
    </w:lvl>
    <w:lvl w:ilvl="7">
      <w:start w:val="1"/>
      <w:numFmt w:val="decimal"/>
      <w:lvlText w:val="%1.%2.%3.%4.%5.%6.%7.%8."/>
      <w:lvlJc w:val="left"/>
      <w:pPr>
        <w:tabs>
          <w:tab w:val="num" w:pos="2880"/>
        </w:tabs>
        <w:ind w:left="3838" w:hanging="958"/>
      </w:pPr>
    </w:lvl>
    <w:lvl w:ilvl="8">
      <w:start w:val="1"/>
      <w:numFmt w:val="decimal"/>
      <w:lvlText w:val="%1.%2.%3.%4.%5.%6.%7.%8.%9."/>
      <w:lvlJc w:val="left"/>
      <w:pPr>
        <w:tabs>
          <w:tab w:val="num" w:pos="2880"/>
        </w:tabs>
        <w:ind w:left="3838" w:hanging="958"/>
      </w:pPr>
    </w:lvl>
  </w:abstractNum>
  <w:abstractNum w:abstractNumId="37"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3"/>
  </w:num>
  <w:num w:numId="2">
    <w:abstractNumId w:val="20"/>
  </w:num>
  <w:num w:numId="3">
    <w:abstractNumId w:val="14"/>
  </w:num>
  <w:num w:numId="4">
    <w:abstractNumId w:val="21"/>
  </w:num>
  <w:num w:numId="5">
    <w:abstractNumId w:val="29"/>
  </w:num>
  <w:num w:numId="6">
    <w:abstractNumId w:val="34"/>
  </w:num>
  <w:num w:numId="7">
    <w:abstractNumId w:val="6"/>
  </w:num>
  <w:num w:numId="8">
    <w:abstractNumId w:val="12"/>
  </w:num>
  <w:num w:numId="9">
    <w:abstractNumId w:val="25"/>
  </w:num>
  <w:num w:numId="10">
    <w:abstractNumId w:val="8"/>
  </w:num>
  <w:num w:numId="11">
    <w:abstractNumId w:val="10"/>
  </w:num>
  <w:num w:numId="12">
    <w:abstractNumId w:val="11"/>
  </w:num>
  <w:num w:numId="13">
    <w:abstractNumId w:val="16"/>
  </w:num>
  <w:num w:numId="14">
    <w:abstractNumId w:val="22"/>
  </w:num>
  <w:num w:numId="15">
    <w:abstractNumId w:val="28"/>
  </w:num>
  <w:num w:numId="16">
    <w:abstractNumId w:val="36"/>
  </w:num>
  <w:num w:numId="17">
    <w:abstractNumId w:val="17"/>
  </w:num>
  <w:num w:numId="18">
    <w:abstractNumId w:val="18"/>
  </w:num>
  <w:num w:numId="19">
    <w:abstractNumId w:val="37"/>
  </w:num>
  <w:num w:numId="20">
    <w:abstractNumId w:val="27"/>
  </w:num>
  <w:num w:numId="21">
    <w:abstractNumId w:val="30"/>
  </w:num>
  <w:num w:numId="22">
    <w:abstractNumId w:val="9"/>
  </w:num>
  <w:num w:numId="23">
    <w:abstractNumId w:val="26"/>
  </w:num>
  <w:num w:numId="24">
    <w:abstractNumId w:val="1"/>
  </w:num>
  <w:num w:numId="25">
    <w:abstractNumId w:val="33"/>
  </w:num>
  <w:num w:numId="26">
    <w:abstractNumId w:val="13"/>
  </w:num>
  <w:num w:numId="27">
    <w:abstractNumId w:val="23"/>
  </w:num>
  <w:num w:numId="28">
    <w:abstractNumId w:val="5"/>
  </w:num>
  <w:num w:numId="29">
    <w:abstractNumId w:val="2"/>
  </w:num>
  <w:num w:numId="30">
    <w:abstractNumId w:val="19"/>
  </w:num>
  <w:num w:numId="31">
    <w:abstractNumId w:val="24"/>
  </w:num>
  <w:num w:numId="32">
    <w:abstractNumId w:val="15"/>
  </w:num>
  <w:num w:numId="33">
    <w:abstractNumId w:val="32"/>
  </w:num>
  <w:num w:numId="34">
    <w:abstractNumId w:val="35"/>
  </w:num>
  <w:num w:numId="35">
    <w:abstractNumId w:val="7"/>
  </w:num>
  <w:num w:numId="36">
    <w:abstractNumId w:val="36"/>
  </w:num>
  <w:num w:numId="37">
    <w:abstractNumId w:val="36"/>
  </w:num>
  <w:num w:numId="38">
    <w:abstractNumId w:val="0"/>
  </w:num>
  <w:num w:numId="39">
    <w:abstractNumId w:val="4"/>
  </w:num>
  <w:num w:numId="40">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ocStatus" w:val="Green"/>
    <w:docVar w:name="LW_CORRIGENDUM" w:val="&lt;UNUSED&gt;"/>
    <w:docVar w:name="LW_COVERPAGE_EXISTS" w:val="True"/>
    <w:docVar w:name="LW_COVERPAGE_GUID" w:val="4F72E7F8-96E5-495F-AB95-B210F98C7921"/>
    <w:docVar w:name="LW_COVERPAGE_TYPE" w:val="1"/>
    <w:docVar w:name="LW_CROSSREFERENCE" w:val="&lt;UNUSED&gt;"/>
    <w:docVar w:name="LW_DocType" w:val="EUROLOOK"/>
    <w:docVar w:name="LW_EMISSION" w:val="6.12.2023"/>
    <w:docVar w:name="LW_EMISSION_ISODATE" w:val="2023-12-06"/>
    <w:docVar w:name="LW_EMISSION_LOCATION" w:val="BRX"/>
    <w:docVar w:name="LW_EMISSION_PREFIX" w:val="Bruksela, dnia "/>
    <w:docVar w:name="LW_EMISSION_SUFFIX" w:val=" r."/>
    <w:docVar w:name="LW_ID_DOCTYPE_NONLW" w:val="CP-006"/>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3) 78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dotyczące stosowania rozporządzenia (UE) 2019/788&lt;/FMT&gt; w sprawie europejskiej inicjatywy obywatelskiej_x000d__x000d__x000d__x000d__x000d__x000b_"/>
    <w:docVar w:name="LW_TYPE.DOC.CP" w:val="SPRAWOZDANIE KOMISJI DLA PARLAMENTU EUROPEJSKIEGO I RADY"/>
    <w:docVar w:name="LwApiVersions" w:val="LW4CoDe 1.23.2.0; LW 8.0, Build 20211117"/>
  </w:docVars>
  <w:rsids>
    <w:rsidRoot w:val="00564B01"/>
    <w:rsid w:val="00000EE3"/>
    <w:rsid w:val="000044FB"/>
    <w:rsid w:val="00007383"/>
    <w:rsid w:val="00011F89"/>
    <w:rsid w:val="00012AF4"/>
    <w:rsid w:val="00014186"/>
    <w:rsid w:val="0002051C"/>
    <w:rsid w:val="000211C1"/>
    <w:rsid w:val="00021DA9"/>
    <w:rsid w:val="000221A1"/>
    <w:rsid w:val="00023F16"/>
    <w:rsid w:val="00026472"/>
    <w:rsid w:val="00031CC8"/>
    <w:rsid w:val="000372C9"/>
    <w:rsid w:val="00042FBF"/>
    <w:rsid w:val="00045539"/>
    <w:rsid w:val="00045930"/>
    <w:rsid w:val="00050F62"/>
    <w:rsid w:val="00051425"/>
    <w:rsid w:val="0005554C"/>
    <w:rsid w:val="00055E22"/>
    <w:rsid w:val="00056F4D"/>
    <w:rsid w:val="000600CB"/>
    <w:rsid w:val="00065241"/>
    <w:rsid w:val="00066343"/>
    <w:rsid w:val="00067AD1"/>
    <w:rsid w:val="00070133"/>
    <w:rsid w:val="00071310"/>
    <w:rsid w:val="00071B6F"/>
    <w:rsid w:val="0007325B"/>
    <w:rsid w:val="00073E1B"/>
    <w:rsid w:val="000741E7"/>
    <w:rsid w:val="00074344"/>
    <w:rsid w:val="000758A6"/>
    <w:rsid w:val="000760AD"/>
    <w:rsid w:val="00081144"/>
    <w:rsid w:val="00082672"/>
    <w:rsid w:val="0008367B"/>
    <w:rsid w:val="00083E9D"/>
    <w:rsid w:val="000841C8"/>
    <w:rsid w:val="000843EA"/>
    <w:rsid w:val="00084415"/>
    <w:rsid w:val="0008609A"/>
    <w:rsid w:val="0008727A"/>
    <w:rsid w:val="00087B08"/>
    <w:rsid w:val="0009255E"/>
    <w:rsid w:val="00093538"/>
    <w:rsid w:val="00093DD3"/>
    <w:rsid w:val="0009582F"/>
    <w:rsid w:val="00095C30"/>
    <w:rsid w:val="00096E55"/>
    <w:rsid w:val="000A18CF"/>
    <w:rsid w:val="000A31F5"/>
    <w:rsid w:val="000A4C60"/>
    <w:rsid w:val="000A50A9"/>
    <w:rsid w:val="000A6032"/>
    <w:rsid w:val="000A7A22"/>
    <w:rsid w:val="000B1557"/>
    <w:rsid w:val="000B2718"/>
    <w:rsid w:val="000B341B"/>
    <w:rsid w:val="000B3CEA"/>
    <w:rsid w:val="000B420C"/>
    <w:rsid w:val="000B4D61"/>
    <w:rsid w:val="000B61BB"/>
    <w:rsid w:val="000B66EA"/>
    <w:rsid w:val="000B7992"/>
    <w:rsid w:val="000C0673"/>
    <w:rsid w:val="000C4192"/>
    <w:rsid w:val="000C577F"/>
    <w:rsid w:val="000D05C2"/>
    <w:rsid w:val="000D0BE8"/>
    <w:rsid w:val="000D2771"/>
    <w:rsid w:val="000D2E20"/>
    <w:rsid w:val="000D3640"/>
    <w:rsid w:val="000D4EDD"/>
    <w:rsid w:val="000D5F40"/>
    <w:rsid w:val="000E1535"/>
    <w:rsid w:val="000E27FB"/>
    <w:rsid w:val="000E2A02"/>
    <w:rsid w:val="000E5E56"/>
    <w:rsid w:val="000E719A"/>
    <w:rsid w:val="000F074B"/>
    <w:rsid w:val="000F0994"/>
    <w:rsid w:val="000F793A"/>
    <w:rsid w:val="00106880"/>
    <w:rsid w:val="00113C85"/>
    <w:rsid w:val="001158DA"/>
    <w:rsid w:val="00117562"/>
    <w:rsid w:val="0012174F"/>
    <w:rsid w:val="00121CAE"/>
    <w:rsid w:val="0012316B"/>
    <w:rsid w:val="001238B5"/>
    <w:rsid w:val="0013017D"/>
    <w:rsid w:val="00130C18"/>
    <w:rsid w:val="00131EE5"/>
    <w:rsid w:val="00132975"/>
    <w:rsid w:val="0013572A"/>
    <w:rsid w:val="00135EFF"/>
    <w:rsid w:val="00136C31"/>
    <w:rsid w:val="00137412"/>
    <w:rsid w:val="00141B67"/>
    <w:rsid w:val="00142C19"/>
    <w:rsid w:val="00142F20"/>
    <w:rsid w:val="00145FB9"/>
    <w:rsid w:val="00150E66"/>
    <w:rsid w:val="001520FB"/>
    <w:rsid w:val="00152312"/>
    <w:rsid w:val="001530D3"/>
    <w:rsid w:val="00155B06"/>
    <w:rsid w:val="00162801"/>
    <w:rsid w:val="001631C6"/>
    <w:rsid w:val="0016419E"/>
    <w:rsid w:val="0016598E"/>
    <w:rsid w:val="00166397"/>
    <w:rsid w:val="00171766"/>
    <w:rsid w:val="00172966"/>
    <w:rsid w:val="001736C7"/>
    <w:rsid w:val="00177221"/>
    <w:rsid w:val="00180B6E"/>
    <w:rsid w:val="00182A35"/>
    <w:rsid w:val="00187BD5"/>
    <w:rsid w:val="001936FE"/>
    <w:rsid w:val="0019374A"/>
    <w:rsid w:val="00193EBA"/>
    <w:rsid w:val="0019419D"/>
    <w:rsid w:val="001A0C58"/>
    <w:rsid w:val="001A27E6"/>
    <w:rsid w:val="001A2B9C"/>
    <w:rsid w:val="001A2E5A"/>
    <w:rsid w:val="001A4BBD"/>
    <w:rsid w:val="001B32F7"/>
    <w:rsid w:val="001B6398"/>
    <w:rsid w:val="001C15F4"/>
    <w:rsid w:val="001C1708"/>
    <w:rsid w:val="001C2DEC"/>
    <w:rsid w:val="001C3961"/>
    <w:rsid w:val="001C3AFA"/>
    <w:rsid w:val="001C442E"/>
    <w:rsid w:val="001C58CA"/>
    <w:rsid w:val="001C5B7E"/>
    <w:rsid w:val="001C6EBC"/>
    <w:rsid w:val="001C78A8"/>
    <w:rsid w:val="001D2393"/>
    <w:rsid w:val="001D4236"/>
    <w:rsid w:val="001D453C"/>
    <w:rsid w:val="001D5A2E"/>
    <w:rsid w:val="001E1707"/>
    <w:rsid w:val="001E53F3"/>
    <w:rsid w:val="001E56A6"/>
    <w:rsid w:val="001E5F69"/>
    <w:rsid w:val="001E5FCF"/>
    <w:rsid w:val="001E6775"/>
    <w:rsid w:val="001E7524"/>
    <w:rsid w:val="001F1A77"/>
    <w:rsid w:val="00203875"/>
    <w:rsid w:val="00204E02"/>
    <w:rsid w:val="00206831"/>
    <w:rsid w:val="00207C24"/>
    <w:rsid w:val="00207D25"/>
    <w:rsid w:val="00210934"/>
    <w:rsid w:val="00211924"/>
    <w:rsid w:val="0021289A"/>
    <w:rsid w:val="00213F9E"/>
    <w:rsid w:val="00216145"/>
    <w:rsid w:val="00216EA5"/>
    <w:rsid w:val="00220924"/>
    <w:rsid w:val="00222207"/>
    <w:rsid w:val="00222CE1"/>
    <w:rsid w:val="002251B0"/>
    <w:rsid w:val="00225232"/>
    <w:rsid w:val="00232355"/>
    <w:rsid w:val="00232A54"/>
    <w:rsid w:val="00232BF6"/>
    <w:rsid w:val="00233B1F"/>
    <w:rsid w:val="002352E8"/>
    <w:rsid w:val="0023753F"/>
    <w:rsid w:val="00237F1D"/>
    <w:rsid w:val="00240B1B"/>
    <w:rsid w:val="00240D37"/>
    <w:rsid w:val="00242240"/>
    <w:rsid w:val="002424CC"/>
    <w:rsid w:val="002431A0"/>
    <w:rsid w:val="00243BA5"/>
    <w:rsid w:val="00243BC8"/>
    <w:rsid w:val="0024794F"/>
    <w:rsid w:val="0025152E"/>
    <w:rsid w:val="0025444A"/>
    <w:rsid w:val="00255818"/>
    <w:rsid w:val="00255B3A"/>
    <w:rsid w:val="00256353"/>
    <w:rsid w:val="00262F6A"/>
    <w:rsid w:val="002706C0"/>
    <w:rsid w:val="00272E98"/>
    <w:rsid w:val="00273FA8"/>
    <w:rsid w:val="00274275"/>
    <w:rsid w:val="002750B6"/>
    <w:rsid w:val="002815B4"/>
    <w:rsid w:val="00282368"/>
    <w:rsid w:val="0028635E"/>
    <w:rsid w:val="0028646D"/>
    <w:rsid w:val="00287CF7"/>
    <w:rsid w:val="0029092A"/>
    <w:rsid w:val="00291D37"/>
    <w:rsid w:val="00292326"/>
    <w:rsid w:val="00297E1A"/>
    <w:rsid w:val="002A050A"/>
    <w:rsid w:val="002A072B"/>
    <w:rsid w:val="002A1363"/>
    <w:rsid w:val="002A45E0"/>
    <w:rsid w:val="002A4756"/>
    <w:rsid w:val="002A4FEB"/>
    <w:rsid w:val="002A6C29"/>
    <w:rsid w:val="002B55AC"/>
    <w:rsid w:val="002B6344"/>
    <w:rsid w:val="002B6C54"/>
    <w:rsid w:val="002C05DB"/>
    <w:rsid w:val="002C5FEA"/>
    <w:rsid w:val="002C62C5"/>
    <w:rsid w:val="002D06F7"/>
    <w:rsid w:val="002D0F91"/>
    <w:rsid w:val="002D25B9"/>
    <w:rsid w:val="002D37A5"/>
    <w:rsid w:val="002D37FE"/>
    <w:rsid w:val="002D5380"/>
    <w:rsid w:val="002E3798"/>
    <w:rsid w:val="002E3B7C"/>
    <w:rsid w:val="002E44E5"/>
    <w:rsid w:val="002E4E41"/>
    <w:rsid w:val="002E5744"/>
    <w:rsid w:val="002E64D2"/>
    <w:rsid w:val="002E792A"/>
    <w:rsid w:val="002F12F3"/>
    <w:rsid w:val="00300CAC"/>
    <w:rsid w:val="00300FB3"/>
    <w:rsid w:val="00301D81"/>
    <w:rsid w:val="00301F68"/>
    <w:rsid w:val="00305AAA"/>
    <w:rsid w:val="00310735"/>
    <w:rsid w:val="00312F80"/>
    <w:rsid w:val="003154A0"/>
    <w:rsid w:val="00320960"/>
    <w:rsid w:val="003220B2"/>
    <w:rsid w:val="003229CF"/>
    <w:rsid w:val="00322C89"/>
    <w:rsid w:val="003244DA"/>
    <w:rsid w:val="00325E9E"/>
    <w:rsid w:val="00327694"/>
    <w:rsid w:val="0033016A"/>
    <w:rsid w:val="003301DF"/>
    <w:rsid w:val="00331738"/>
    <w:rsid w:val="00332910"/>
    <w:rsid w:val="00333437"/>
    <w:rsid w:val="00333A90"/>
    <w:rsid w:val="00333E20"/>
    <w:rsid w:val="0034182D"/>
    <w:rsid w:val="003428B0"/>
    <w:rsid w:val="003438D8"/>
    <w:rsid w:val="00346958"/>
    <w:rsid w:val="00347482"/>
    <w:rsid w:val="003506C9"/>
    <w:rsid w:val="00350ABA"/>
    <w:rsid w:val="0035416F"/>
    <w:rsid w:val="00354A38"/>
    <w:rsid w:val="00356246"/>
    <w:rsid w:val="003602CA"/>
    <w:rsid w:val="003719BA"/>
    <w:rsid w:val="00372FDF"/>
    <w:rsid w:val="00374467"/>
    <w:rsid w:val="00374E1C"/>
    <w:rsid w:val="00375CA7"/>
    <w:rsid w:val="00380A71"/>
    <w:rsid w:val="00380B5E"/>
    <w:rsid w:val="003841BD"/>
    <w:rsid w:val="00386B2B"/>
    <w:rsid w:val="003902FB"/>
    <w:rsid w:val="003906FA"/>
    <w:rsid w:val="00390DC4"/>
    <w:rsid w:val="00392219"/>
    <w:rsid w:val="00392DBE"/>
    <w:rsid w:val="00392F25"/>
    <w:rsid w:val="0039376A"/>
    <w:rsid w:val="003962A7"/>
    <w:rsid w:val="003A0E39"/>
    <w:rsid w:val="003A11B6"/>
    <w:rsid w:val="003A2584"/>
    <w:rsid w:val="003A26C3"/>
    <w:rsid w:val="003A2918"/>
    <w:rsid w:val="003A3A0D"/>
    <w:rsid w:val="003A4005"/>
    <w:rsid w:val="003A648F"/>
    <w:rsid w:val="003A7A21"/>
    <w:rsid w:val="003B16DF"/>
    <w:rsid w:val="003B41EC"/>
    <w:rsid w:val="003B45A0"/>
    <w:rsid w:val="003B659D"/>
    <w:rsid w:val="003B6D3C"/>
    <w:rsid w:val="003C40B0"/>
    <w:rsid w:val="003C4709"/>
    <w:rsid w:val="003C4914"/>
    <w:rsid w:val="003C63A6"/>
    <w:rsid w:val="003D1577"/>
    <w:rsid w:val="003D39C8"/>
    <w:rsid w:val="003D5DA5"/>
    <w:rsid w:val="003D5F72"/>
    <w:rsid w:val="003E0FB0"/>
    <w:rsid w:val="003E2C38"/>
    <w:rsid w:val="003E32A8"/>
    <w:rsid w:val="003E32CD"/>
    <w:rsid w:val="003E3301"/>
    <w:rsid w:val="003E3A71"/>
    <w:rsid w:val="003E53F7"/>
    <w:rsid w:val="003E6131"/>
    <w:rsid w:val="003E67BD"/>
    <w:rsid w:val="003E71D1"/>
    <w:rsid w:val="003E7E09"/>
    <w:rsid w:val="003E7FB1"/>
    <w:rsid w:val="003F1FFD"/>
    <w:rsid w:val="003F200C"/>
    <w:rsid w:val="003F32BC"/>
    <w:rsid w:val="003F3306"/>
    <w:rsid w:val="003F69B6"/>
    <w:rsid w:val="003F6F35"/>
    <w:rsid w:val="0040003B"/>
    <w:rsid w:val="0040083E"/>
    <w:rsid w:val="00400CC5"/>
    <w:rsid w:val="00403D61"/>
    <w:rsid w:val="00405F93"/>
    <w:rsid w:val="004071B8"/>
    <w:rsid w:val="004073FA"/>
    <w:rsid w:val="00407E81"/>
    <w:rsid w:val="00410AF2"/>
    <w:rsid w:val="00412C2E"/>
    <w:rsid w:val="00413654"/>
    <w:rsid w:val="00413B5C"/>
    <w:rsid w:val="00416C7A"/>
    <w:rsid w:val="00422411"/>
    <w:rsid w:val="0042475C"/>
    <w:rsid w:val="00424C9A"/>
    <w:rsid w:val="0042509A"/>
    <w:rsid w:val="0043031D"/>
    <w:rsid w:val="0043234D"/>
    <w:rsid w:val="0044116F"/>
    <w:rsid w:val="00441353"/>
    <w:rsid w:val="004423F3"/>
    <w:rsid w:val="004424A5"/>
    <w:rsid w:val="00444283"/>
    <w:rsid w:val="004453B5"/>
    <w:rsid w:val="0044625E"/>
    <w:rsid w:val="00451936"/>
    <w:rsid w:val="004532E2"/>
    <w:rsid w:val="004539AE"/>
    <w:rsid w:val="004542F5"/>
    <w:rsid w:val="00454B15"/>
    <w:rsid w:val="00455CAA"/>
    <w:rsid w:val="004570E2"/>
    <w:rsid w:val="00460CE5"/>
    <w:rsid w:val="00462C89"/>
    <w:rsid w:val="00466421"/>
    <w:rsid w:val="00466772"/>
    <w:rsid w:val="00470563"/>
    <w:rsid w:val="004726BD"/>
    <w:rsid w:val="004735C7"/>
    <w:rsid w:val="0047585D"/>
    <w:rsid w:val="00483E8B"/>
    <w:rsid w:val="00484C8D"/>
    <w:rsid w:val="004865E1"/>
    <w:rsid w:val="00486CEE"/>
    <w:rsid w:val="00490F4F"/>
    <w:rsid w:val="00492690"/>
    <w:rsid w:val="004955B2"/>
    <w:rsid w:val="004973C6"/>
    <w:rsid w:val="004973CB"/>
    <w:rsid w:val="004A125C"/>
    <w:rsid w:val="004A1D30"/>
    <w:rsid w:val="004A2636"/>
    <w:rsid w:val="004B1893"/>
    <w:rsid w:val="004B2B83"/>
    <w:rsid w:val="004B302A"/>
    <w:rsid w:val="004B38ED"/>
    <w:rsid w:val="004C4393"/>
    <w:rsid w:val="004C5127"/>
    <w:rsid w:val="004C51DA"/>
    <w:rsid w:val="004C59F3"/>
    <w:rsid w:val="004C7347"/>
    <w:rsid w:val="004C73D0"/>
    <w:rsid w:val="004D0186"/>
    <w:rsid w:val="004D02B8"/>
    <w:rsid w:val="004D0A1D"/>
    <w:rsid w:val="004D3056"/>
    <w:rsid w:val="004D44BF"/>
    <w:rsid w:val="004D48CA"/>
    <w:rsid w:val="004D6D69"/>
    <w:rsid w:val="004E0DB2"/>
    <w:rsid w:val="004E4A03"/>
    <w:rsid w:val="004F07A7"/>
    <w:rsid w:val="004F0F23"/>
    <w:rsid w:val="004F1958"/>
    <w:rsid w:val="004F1DA0"/>
    <w:rsid w:val="004F4C62"/>
    <w:rsid w:val="00500DD7"/>
    <w:rsid w:val="00504897"/>
    <w:rsid w:val="00505740"/>
    <w:rsid w:val="00506235"/>
    <w:rsid w:val="0050644F"/>
    <w:rsid w:val="0050660A"/>
    <w:rsid w:val="005164C6"/>
    <w:rsid w:val="005202E9"/>
    <w:rsid w:val="0052132F"/>
    <w:rsid w:val="00523216"/>
    <w:rsid w:val="00524173"/>
    <w:rsid w:val="005243C7"/>
    <w:rsid w:val="00524BE6"/>
    <w:rsid w:val="0052772C"/>
    <w:rsid w:val="005319F1"/>
    <w:rsid w:val="00531A46"/>
    <w:rsid w:val="00533BD4"/>
    <w:rsid w:val="00540218"/>
    <w:rsid w:val="005405EF"/>
    <w:rsid w:val="00540E54"/>
    <w:rsid w:val="0054557A"/>
    <w:rsid w:val="005455F8"/>
    <w:rsid w:val="00545C33"/>
    <w:rsid w:val="00547E41"/>
    <w:rsid w:val="005517B2"/>
    <w:rsid w:val="005529CF"/>
    <w:rsid w:val="00554904"/>
    <w:rsid w:val="00554D3A"/>
    <w:rsid w:val="005554BA"/>
    <w:rsid w:val="00555F90"/>
    <w:rsid w:val="00560152"/>
    <w:rsid w:val="005602D7"/>
    <w:rsid w:val="005618D1"/>
    <w:rsid w:val="00563B7F"/>
    <w:rsid w:val="00564B01"/>
    <w:rsid w:val="00565A95"/>
    <w:rsid w:val="005702BE"/>
    <w:rsid w:val="00571C45"/>
    <w:rsid w:val="00572101"/>
    <w:rsid w:val="005731B6"/>
    <w:rsid w:val="00574D26"/>
    <w:rsid w:val="00577090"/>
    <w:rsid w:val="00577241"/>
    <w:rsid w:val="0058019C"/>
    <w:rsid w:val="005821A7"/>
    <w:rsid w:val="00582F23"/>
    <w:rsid w:val="00583B99"/>
    <w:rsid w:val="00585895"/>
    <w:rsid w:val="005859D0"/>
    <w:rsid w:val="005859E7"/>
    <w:rsid w:val="00586788"/>
    <w:rsid w:val="005873BA"/>
    <w:rsid w:val="005877E0"/>
    <w:rsid w:val="005917E4"/>
    <w:rsid w:val="00594943"/>
    <w:rsid w:val="00594DEC"/>
    <w:rsid w:val="005A07EE"/>
    <w:rsid w:val="005A4888"/>
    <w:rsid w:val="005A4BCA"/>
    <w:rsid w:val="005A57B0"/>
    <w:rsid w:val="005A5FEB"/>
    <w:rsid w:val="005A7B7E"/>
    <w:rsid w:val="005B08E3"/>
    <w:rsid w:val="005B2F4D"/>
    <w:rsid w:val="005B4EEF"/>
    <w:rsid w:val="005B532B"/>
    <w:rsid w:val="005B686D"/>
    <w:rsid w:val="005B77B3"/>
    <w:rsid w:val="005C027E"/>
    <w:rsid w:val="005C0646"/>
    <w:rsid w:val="005C1C82"/>
    <w:rsid w:val="005C1E0D"/>
    <w:rsid w:val="005C2618"/>
    <w:rsid w:val="005C2A72"/>
    <w:rsid w:val="005C344B"/>
    <w:rsid w:val="005C3D63"/>
    <w:rsid w:val="005C5FC8"/>
    <w:rsid w:val="005C6BE4"/>
    <w:rsid w:val="005D3168"/>
    <w:rsid w:val="005D71A0"/>
    <w:rsid w:val="005E0729"/>
    <w:rsid w:val="005E0900"/>
    <w:rsid w:val="005E4A59"/>
    <w:rsid w:val="005E4EE2"/>
    <w:rsid w:val="005E655B"/>
    <w:rsid w:val="005F0FF2"/>
    <w:rsid w:val="005F10C2"/>
    <w:rsid w:val="005F331F"/>
    <w:rsid w:val="005F53BE"/>
    <w:rsid w:val="005F648E"/>
    <w:rsid w:val="005F7833"/>
    <w:rsid w:val="00603F3F"/>
    <w:rsid w:val="006048CF"/>
    <w:rsid w:val="00606401"/>
    <w:rsid w:val="00606B92"/>
    <w:rsid w:val="0060791C"/>
    <w:rsid w:val="0060792D"/>
    <w:rsid w:val="006111B9"/>
    <w:rsid w:val="00611758"/>
    <w:rsid w:val="00615826"/>
    <w:rsid w:val="00617BF5"/>
    <w:rsid w:val="00622211"/>
    <w:rsid w:val="00622248"/>
    <w:rsid w:val="00623139"/>
    <w:rsid w:val="00624155"/>
    <w:rsid w:val="006318BC"/>
    <w:rsid w:val="00632445"/>
    <w:rsid w:val="00632FE4"/>
    <w:rsid w:val="00633827"/>
    <w:rsid w:val="0064143D"/>
    <w:rsid w:val="00641D18"/>
    <w:rsid w:val="00643F96"/>
    <w:rsid w:val="006476D4"/>
    <w:rsid w:val="00650060"/>
    <w:rsid w:val="0065073B"/>
    <w:rsid w:val="006525D2"/>
    <w:rsid w:val="00656710"/>
    <w:rsid w:val="0066369A"/>
    <w:rsid w:val="00666310"/>
    <w:rsid w:val="006668CF"/>
    <w:rsid w:val="00666DFF"/>
    <w:rsid w:val="006734A4"/>
    <w:rsid w:val="0067448B"/>
    <w:rsid w:val="00675F37"/>
    <w:rsid w:val="0068034C"/>
    <w:rsid w:val="00682548"/>
    <w:rsid w:val="006835D3"/>
    <w:rsid w:val="00690C4A"/>
    <w:rsid w:val="006949D8"/>
    <w:rsid w:val="006956AE"/>
    <w:rsid w:val="00697533"/>
    <w:rsid w:val="006A005D"/>
    <w:rsid w:val="006A3937"/>
    <w:rsid w:val="006A54AF"/>
    <w:rsid w:val="006A6093"/>
    <w:rsid w:val="006A60BF"/>
    <w:rsid w:val="006B0503"/>
    <w:rsid w:val="006B10BF"/>
    <w:rsid w:val="006B26D2"/>
    <w:rsid w:val="006B3891"/>
    <w:rsid w:val="006B7749"/>
    <w:rsid w:val="006B7A11"/>
    <w:rsid w:val="006C01E5"/>
    <w:rsid w:val="006C1A10"/>
    <w:rsid w:val="006C20D3"/>
    <w:rsid w:val="006C226E"/>
    <w:rsid w:val="006C3CEA"/>
    <w:rsid w:val="006D1621"/>
    <w:rsid w:val="006D2EF6"/>
    <w:rsid w:val="006D5B57"/>
    <w:rsid w:val="006E05F5"/>
    <w:rsid w:val="006E28D5"/>
    <w:rsid w:val="006E299B"/>
    <w:rsid w:val="006E5199"/>
    <w:rsid w:val="006E6DAD"/>
    <w:rsid w:val="006F03C6"/>
    <w:rsid w:val="006F101C"/>
    <w:rsid w:val="006F24E2"/>
    <w:rsid w:val="006F321B"/>
    <w:rsid w:val="006F4419"/>
    <w:rsid w:val="006F4A09"/>
    <w:rsid w:val="006F4D32"/>
    <w:rsid w:val="006F5A3E"/>
    <w:rsid w:val="006F5A7E"/>
    <w:rsid w:val="006F6FDB"/>
    <w:rsid w:val="00701416"/>
    <w:rsid w:val="00707EA1"/>
    <w:rsid w:val="00713B5F"/>
    <w:rsid w:val="007155FA"/>
    <w:rsid w:val="00716FB7"/>
    <w:rsid w:val="007204CA"/>
    <w:rsid w:val="0072069F"/>
    <w:rsid w:val="00720C80"/>
    <w:rsid w:val="00720CFC"/>
    <w:rsid w:val="007231DA"/>
    <w:rsid w:val="007270A2"/>
    <w:rsid w:val="007271D0"/>
    <w:rsid w:val="00730387"/>
    <w:rsid w:val="00731667"/>
    <w:rsid w:val="007401AC"/>
    <w:rsid w:val="00740F70"/>
    <w:rsid w:val="007446CA"/>
    <w:rsid w:val="00744CE5"/>
    <w:rsid w:val="00745ED1"/>
    <w:rsid w:val="007461D3"/>
    <w:rsid w:val="00746C55"/>
    <w:rsid w:val="007474EB"/>
    <w:rsid w:val="00747D1B"/>
    <w:rsid w:val="0075249C"/>
    <w:rsid w:val="00753667"/>
    <w:rsid w:val="00754AA1"/>
    <w:rsid w:val="00755C14"/>
    <w:rsid w:val="0075602F"/>
    <w:rsid w:val="007578D0"/>
    <w:rsid w:val="00760E17"/>
    <w:rsid w:val="00764DF8"/>
    <w:rsid w:val="00766B1F"/>
    <w:rsid w:val="00767727"/>
    <w:rsid w:val="00770D5D"/>
    <w:rsid w:val="00771209"/>
    <w:rsid w:val="0077320C"/>
    <w:rsid w:val="007732C5"/>
    <w:rsid w:val="00773F55"/>
    <w:rsid w:val="00777912"/>
    <w:rsid w:val="00781BE8"/>
    <w:rsid w:val="0078597D"/>
    <w:rsid w:val="00785ABC"/>
    <w:rsid w:val="007867C3"/>
    <w:rsid w:val="00787E14"/>
    <w:rsid w:val="00792294"/>
    <w:rsid w:val="00792B5A"/>
    <w:rsid w:val="0079453D"/>
    <w:rsid w:val="007947A4"/>
    <w:rsid w:val="00796BEF"/>
    <w:rsid w:val="00796EA6"/>
    <w:rsid w:val="00797585"/>
    <w:rsid w:val="007A0285"/>
    <w:rsid w:val="007A05A3"/>
    <w:rsid w:val="007A0D38"/>
    <w:rsid w:val="007A25C8"/>
    <w:rsid w:val="007A53C7"/>
    <w:rsid w:val="007A63AF"/>
    <w:rsid w:val="007A670C"/>
    <w:rsid w:val="007B0089"/>
    <w:rsid w:val="007B088C"/>
    <w:rsid w:val="007B0C87"/>
    <w:rsid w:val="007B1E8D"/>
    <w:rsid w:val="007B2798"/>
    <w:rsid w:val="007B2E21"/>
    <w:rsid w:val="007B3098"/>
    <w:rsid w:val="007B44AF"/>
    <w:rsid w:val="007B5643"/>
    <w:rsid w:val="007B64D2"/>
    <w:rsid w:val="007B77D2"/>
    <w:rsid w:val="007C0705"/>
    <w:rsid w:val="007C2364"/>
    <w:rsid w:val="007C5905"/>
    <w:rsid w:val="007C64D4"/>
    <w:rsid w:val="007D0FBE"/>
    <w:rsid w:val="007D3348"/>
    <w:rsid w:val="007D4E0C"/>
    <w:rsid w:val="007D5882"/>
    <w:rsid w:val="007D7677"/>
    <w:rsid w:val="007E1F27"/>
    <w:rsid w:val="007E213F"/>
    <w:rsid w:val="007E40DA"/>
    <w:rsid w:val="007E51EB"/>
    <w:rsid w:val="007F210F"/>
    <w:rsid w:val="007F2547"/>
    <w:rsid w:val="007F3261"/>
    <w:rsid w:val="007F58CF"/>
    <w:rsid w:val="007F60F0"/>
    <w:rsid w:val="008028D2"/>
    <w:rsid w:val="00804458"/>
    <w:rsid w:val="008044AB"/>
    <w:rsid w:val="008052BF"/>
    <w:rsid w:val="008053D0"/>
    <w:rsid w:val="00805434"/>
    <w:rsid w:val="00805467"/>
    <w:rsid w:val="00806EDB"/>
    <w:rsid w:val="00807C5B"/>
    <w:rsid w:val="00807C94"/>
    <w:rsid w:val="0081016E"/>
    <w:rsid w:val="008104A6"/>
    <w:rsid w:val="008112A7"/>
    <w:rsid w:val="0081142D"/>
    <w:rsid w:val="0081354C"/>
    <w:rsid w:val="00814159"/>
    <w:rsid w:val="00815A7B"/>
    <w:rsid w:val="0081647E"/>
    <w:rsid w:val="00817967"/>
    <w:rsid w:val="008207D9"/>
    <w:rsid w:val="00822F7C"/>
    <w:rsid w:val="008238AB"/>
    <w:rsid w:val="008319DE"/>
    <w:rsid w:val="008321B5"/>
    <w:rsid w:val="00832DDB"/>
    <w:rsid w:val="00833C74"/>
    <w:rsid w:val="00834B5E"/>
    <w:rsid w:val="00835E5E"/>
    <w:rsid w:val="00836020"/>
    <w:rsid w:val="008364B2"/>
    <w:rsid w:val="00836B7C"/>
    <w:rsid w:val="00843A0F"/>
    <w:rsid w:val="0084411C"/>
    <w:rsid w:val="00844310"/>
    <w:rsid w:val="00846FA1"/>
    <w:rsid w:val="008478B6"/>
    <w:rsid w:val="00847907"/>
    <w:rsid w:val="00850B60"/>
    <w:rsid w:val="008516BC"/>
    <w:rsid w:val="008535D2"/>
    <w:rsid w:val="00854FA6"/>
    <w:rsid w:val="008555A4"/>
    <w:rsid w:val="00856C3A"/>
    <w:rsid w:val="008577DE"/>
    <w:rsid w:val="00861C23"/>
    <w:rsid w:val="008629DD"/>
    <w:rsid w:val="00863740"/>
    <w:rsid w:val="008667F7"/>
    <w:rsid w:val="008701C3"/>
    <w:rsid w:val="00872566"/>
    <w:rsid w:val="00873D42"/>
    <w:rsid w:val="008748D0"/>
    <w:rsid w:val="00877DE6"/>
    <w:rsid w:val="008808E8"/>
    <w:rsid w:val="00880F93"/>
    <w:rsid w:val="008828BA"/>
    <w:rsid w:val="008841D1"/>
    <w:rsid w:val="00887661"/>
    <w:rsid w:val="00891798"/>
    <w:rsid w:val="008922D8"/>
    <w:rsid w:val="0089336B"/>
    <w:rsid w:val="008A12E1"/>
    <w:rsid w:val="008A6C7D"/>
    <w:rsid w:val="008A910C"/>
    <w:rsid w:val="008B0343"/>
    <w:rsid w:val="008B1348"/>
    <w:rsid w:val="008B1AD4"/>
    <w:rsid w:val="008B3BC9"/>
    <w:rsid w:val="008B4CCC"/>
    <w:rsid w:val="008B575B"/>
    <w:rsid w:val="008B5D5C"/>
    <w:rsid w:val="008C0622"/>
    <w:rsid w:val="008C063A"/>
    <w:rsid w:val="008C350C"/>
    <w:rsid w:val="008C3514"/>
    <w:rsid w:val="008C4C70"/>
    <w:rsid w:val="008C4CB8"/>
    <w:rsid w:val="008C5526"/>
    <w:rsid w:val="008C6499"/>
    <w:rsid w:val="008C72C2"/>
    <w:rsid w:val="008D0259"/>
    <w:rsid w:val="008D04EA"/>
    <w:rsid w:val="008D18DA"/>
    <w:rsid w:val="008D197B"/>
    <w:rsid w:val="008D241F"/>
    <w:rsid w:val="008D2F28"/>
    <w:rsid w:val="008D35D4"/>
    <w:rsid w:val="008D4FF7"/>
    <w:rsid w:val="008E222F"/>
    <w:rsid w:val="008E4744"/>
    <w:rsid w:val="008E644E"/>
    <w:rsid w:val="008E770E"/>
    <w:rsid w:val="008F0D55"/>
    <w:rsid w:val="008F1881"/>
    <w:rsid w:val="008F2021"/>
    <w:rsid w:val="008F4AC0"/>
    <w:rsid w:val="008F5360"/>
    <w:rsid w:val="008F7094"/>
    <w:rsid w:val="008F73C4"/>
    <w:rsid w:val="009027C3"/>
    <w:rsid w:val="00902CEA"/>
    <w:rsid w:val="009040F4"/>
    <w:rsid w:val="00905D50"/>
    <w:rsid w:val="00907DC5"/>
    <w:rsid w:val="00910A8C"/>
    <w:rsid w:val="00910CAB"/>
    <w:rsid w:val="0092053B"/>
    <w:rsid w:val="00920585"/>
    <w:rsid w:val="00923363"/>
    <w:rsid w:val="00923448"/>
    <w:rsid w:val="00925743"/>
    <w:rsid w:val="00926807"/>
    <w:rsid w:val="009308A4"/>
    <w:rsid w:val="009315E8"/>
    <w:rsid w:val="009319AD"/>
    <w:rsid w:val="0093394C"/>
    <w:rsid w:val="00937EBE"/>
    <w:rsid w:val="009410D7"/>
    <w:rsid w:val="00942AA0"/>
    <w:rsid w:val="00942FEA"/>
    <w:rsid w:val="00951D0B"/>
    <w:rsid w:val="0095225E"/>
    <w:rsid w:val="009532AA"/>
    <w:rsid w:val="00953768"/>
    <w:rsid w:val="00954333"/>
    <w:rsid w:val="00960BD7"/>
    <w:rsid w:val="00961394"/>
    <w:rsid w:val="00961566"/>
    <w:rsid w:val="009619C7"/>
    <w:rsid w:val="00961B60"/>
    <w:rsid w:val="00961D22"/>
    <w:rsid w:val="00965826"/>
    <w:rsid w:val="00965834"/>
    <w:rsid w:val="009661A1"/>
    <w:rsid w:val="0096644F"/>
    <w:rsid w:val="009664F8"/>
    <w:rsid w:val="009672F1"/>
    <w:rsid w:val="00967466"/>
    <w:rsid w:val="009701B3"/>
    <w:rsid w:val="009702C9"/>
    <w:rsid w:val="00972048"/>
    <w:rsid w:val="00972603"/>
    <w:rsid w:val="00974A4F"/>
    <w:rsid w:val="00977E3A"/>
    <w:rsid w:val="0098064F"/>
    <w:rsid w:val="00980911"/>
    <w:rsid w:val="00983911"/>
    <w:rsid w:val="00983B91"/>
    <w:rsid w:val="00984D09"/>
    <w:rsid w:val="009851D6"/>
    <w:rsid w:val="00985491"/>
    <w:rsid w:val="00987E76"/>
    <w:rsid w:val="00991181"/>
    <w:rsid w:val="009932B7"/>
    <w:rsid w:val="00993B3A"/>
    <w:rsid w:val="00994B06"/>
    <w:rsid w:val="00996133"/>
    <w:rsid w:val="009978A1"/>
    <w:rsid w:val="009A5B68"/>
    <w:rsid w:val="009A7D30"/>
    <w:rsid w:val="009B1B5B"/>
    <w:rsid w:val="009B2943"/>
    <w:rsid w:val="009B449B"/>
    <w:rsid w:val="009B5292"/>
    <w:rsid w:val="009B69C7"/>
    <w:rsid w:val="009B7C51"/>
    <w:rsid w:val="009C1054"/>
    <w:rsid w:val="009C1174"/>
    <w:rsid w:val="009C37C0"/>
    <w:rsid w:val="009C6889"/>
    <w:rsid w:val="009C7B6F"/>
    <w:rsid w:val="009D2863"/>
    <w:rsid w:val="009D3548"/>
    <w:rsid w:val="009D42A0"/>
    <w:rsid w:val="009D663C"/>
    <w:rsid w:val="009D72C4"/>
    <w:rsid w:val="009E0713"/>
    <w:rsid w:val="009E0A7E"/>
    <w:rsid w:val="009E1C9D"/>
    <w:rsid w:val="009E36DF"/>
    <w:rsid w:val="009E46AE"/>
    <w:rsid w:val="009E4751"/>
    <w:rsid w:val="009E49A2"/>
    <w:rsid w:val="009F0D5C"/>
    <w:rsid w:val="009F4E67"/>
    <w:rsid w:val="009F6312"/>
    <w:rsid w:val="00A026D3"/>
    <w:rsid w:val="00A04562"/>
    <w:rsid w:val="00A046BB"/>
    <w:rsid w:val="00A057AE"/>
    <w:rsid w:val="00A10D0E"/>
    <w:rsid w:val="00A11FC4"/>
    <w:rsid w:val="00A12291"/>
    <w:rsid w:val="00A13333"/>
    <w:rsid w:val="00A17775"/>
    <w:rsid w:val="00A206D3"/>
    <w:rsid w:val="00A32F3F"/>
    <w:rsid w:val="00A3407B"/>
    <w:rsid w:val="00A36087"/>
    <w:rsid w:val="00A36857"/>
    <w:rsid w:val="00A37F2A"/>
    <w:rsid w:val="00A43678"/>
    <w:rsid w:val="00A442A7"/>
    <w:rsid w:val="00A443B2"/>
    <w:rsid w:val="00A52105"/>
    <w:rsid w:val="00A552AC"/>
    <w:rsid w:val="00A57006"/>
    <w:rsid w:val="00A60F49"/>
    <w:rsid w:val="00A614CC"/>
    <w:rsid w:val="00A61E22"/>
    <w:rsid w:val="00A6224F"/>
    <w:rsid w:val="00A665C5"/>
    <w:rsid w:val="00A67B3C"/>
    <w:rsid w:val="00A70116"/>
    <w:rsid w:val="00A70C52"/>
    <w:rsid w:val="00A70D70"/>
    <w:rsid w:val="00A71A63"/>
    <w:rsid w:val="00A7327D"/>
    <w:rsid w:val="00A73918"/>
    <w:rsid w:val="00A745A9"/>
    <w:rsid w:val="00A76629"/>
    <w:rsid w:val="00A76D49"/>
    <w:rsid w:val="00A83C8B"/>
    <w:rsid w:val="00A8738C"/>
    <w:rsid w:val="00A9088C"/>
    <w:rsid w:val="00A927B7"/>
    <w:rsid w:val="00A94FC9"/>
    <w:rsid w:val="00A96D76"/>
    <w:rsid w:val="00AA392F"/>
    <w:rsid w:val="00AB0201"/>
    <w:rsid w:val="00AB0D09"/>
    <w:rsid w:val="00AB297A"/>
    <w:rsid w:val="00AB400B"/>
    <w:rsid w:val="00AB4F07"/>
    <w:rsid w:val="00AC2339"/>
    <w:rsid w:val="00AC3AF4"/>
    <w:rsid w:val="00AC6DEA"/>
    <w:rsid w:val="00AD1075"/>
    <w:rsid w:val="00AD11DD"/>
    <w:rsid w:val="00AD3F60"/>
    <w:rsid w:val="00AD4706"/>
    <w:rsid w:val="00AD4E6D"/>
    <w:rsid w:val="00AD7070"/>
    <w:rsid w:val="00AE48D6"/>
    <w:rsid w:val="00AE560E"/>
    <w:rsid w:val="00AE7ABA"/>
    <w:rsid w:val="00AF0AD9"/>
    <w:rsid w:val="00AF10A8"/>
    <w:rsid w:val="00AF1DBA"/>
    <w:rsid w:val="00AF1DDC"/>
    <w:rsid w:val="00AF23BB"/>
    <w:rsid w:val="00AF5043"/>
    <w:rsid w:val="00AF6AFF"/>
    <w:rsid w:val="00B015EE"/>
    <w:rsid w:val="00B02725"/>
    <w:rsid w:val="00B030E3"/>
    <w:rsid w:val="00B047F1"/>
    <w:rsid w:val="00B135F9"/>
    <w:rsid w:val="00B14D07"/>
    <w:rsid w:val="00B16FB9"/>
    <w:rsid w:val="00B17C81"/>
    <w:rsid w:val="00B24F5B"/>
    <w:rsid w:val="00B25CEF"/>
    <w:rsid w:val="00B262BA"/>
    <w:rsid w:val="00B3004E"/>
    <w:rsid w:val="00B30F47"/>
    <w:rsid w:val="00B32CD9"/>
    <w:rsid w:val="00B341B6"/>
    <w:rsid w:val="00B354D2"/>
    <w:rsid w:val="00B364AB"/>
    <w:rsid w:val="00B36855"/>
    <w:rsid w:val="00B37731"/>
    <w:rsid w:val="00B40A18"/>
    <w:rsid w:val="00B40C7B"/>
    <w:rsid w:val="00B50D50"/>
    <w:rsid w:val="00B50F39"/>
    <w:rsid w:val="00B538E5"/>
    <w:rsid w:val="00B558AA"/>
    <w:rsid w:val="00B56B86"/>
    <w:rsid w:val="00B56C0F"/>
    <w:rsid w:val="00B5710F"/>
    <w:rsid w:val="00B63140"/>
    <w:rsid w:val="00B6730F"/>
    <w:rsid w:val="00B673FD"/>
    <w:rsid w:val="00B713CA"/>
    <w:rsid w:val="00B71C75"/>
    <w:rsid w:val="00B742BD"/>
    <w:rsid w:val="00B7433E"/>
    <w:rsid w:val="00B74D5E"/>
    <w:rsid w:val="00B75DC2"/>
    <w:rsid w:val="00B818C6"/>
    <w:rsid w:val="00B82E54"/>
    <w:rsid w:val="00B8677A"/>
    <w:rsid w:val="00B93671"/>
    <w:rsid w:val="00B93AD4"/>
    <w:rsid w:val="00B967E0"/>
    <w:rsid w:val="00B96C12"/>
    <w:rsid w:val="00BA035C"/>
    <w:rsid w:val="00BA1F7A"/>
    <w:rsid w:val="00BA2B38"/>
    <w:rsid w:val="00BA38F4"/>
    <w:rsid w:val="00BA3C14"/>
    <w:rsid w:val="00BA4DE5"/>
    <w:rsid w:val="00BB022E"/>
    <w:rsid w:val="00BC1032"/>
    <w:rsid w:val="00BC1636"/>
    <w:rsid w:val="00BC308F"/>
    <w:rsid w:val="00BC326F"/>
    <w:rsid w:val="00BC3578"/>
    <w:rsid w:val="00BC5023"/>
    <w:rsid w:val="00BC510D"/>
    <w:rsid w:val="00BC5B2A"/>
    <w:rsid w:val="00BC5B8D"/>
    <w:rsid w:val="00BC662A"/>
    <w:rsid w:val="00BC7EB5"/>
    <w:rsid w:val="00BD08B2"/>
    <w:rsid w:val="00BD0F93"/>
    <w:rsid w:val="00BD37D8"/>
    <w:rsid w:val="00BD4B07"/>
    <w:rsid w:val="00BDB5AC"/>
    <w:rsid w:val="00BE0517"/>
    <w:rsid w:val="00BE45E1"/>
    <w:rsid w:val="00BE505C"/>
    <w:rsid w:val="00BE50B0"/>
    <w:rsid w:val="00BF2E00"/>
    <w:rsid w:val="00BF7B5C"/>
    <w:rsid w:val="00C01E3C"/>
    <w:rsid w:val="00C03263"/>
    <w:rsid w:val="00C03B50"/>
    <w:rsid w:val="00C049CE"/>
    <w:rsid w:val="00C04DA2"/>
    <w:rsid w:val="00C05B61"/>
    <w:rsid w:val="00C07264"/>
    <w:rsid w:val="00C07E25"/>
    <w:rsid w:val="00C103CE"/>
    <w:rsid w:val="00C10C6F"/>
    <w:rsid w:val="00C123F5"/>
    <w:rsid w:val="00C14F00"/>
    <w:rsid w:val="00C15082"/>
    <w:rsid w:val="00C168B7"/>
    <w:rsid w:val="00C1A9C1"/>
    <w:rsid w:val="00C25704"/>
    <w:rsid w:val="00C3274E"/>
    <w:rsid w:val="00C32B4F"/>
    <w:rsid w:val="00C33147"/>
    <w:rsid w:val="00C33819"/>
    <w:rsid w:val="00C347F4"/>
    <w:rsid w:val="00C349DB"/>
    <w:rsid w:val="00C3559F"/>
    <w:rsid w:val="00C415A1"/>
    <w:rsid w:val="00C41BC3"/>
    <w:rsid w:val="00C432AD"/>
    <w:rsid w:val="00C4376D"/>
    <w:rsid w:val="00C45077"/>
    <w:rsid w:val="00C455AB"/>
    <w:rsid w:val="00C50A35"/>
    <w:rsid w:val="00C520E2"/>
    <w:rsid w:val="00C523CD"/>
    <w:rsid w:val="00C53546"/>
    <w:rsid w:val="00C53E14"/>
    <w:rsid w:val="00C55E0A"/>
    <w:rsid w:val="00C57730"/>
    <w:rsid w:val="00C62C09"/>
    <w:rsid w:val="00C64943"/>
    <w:rsid w:val="00C64E3A"/>
    <w:rsid w:val="00C650C7"/>
    <w:rsid w:val="00C66C30"/>
    <w:rsid w:val="00C7098C"/>
    <w:rsid w:val="00C75BE4"/>
    <w:rsid w:val="00C801C6"/>
    <w:rsid w:val="00C810FD"/>
    <w:rsid w:val="00C8646B"/>
    <w:rsid w:val="00C90F93"/>
    <w:rsid w:val="00C91489"/>
    <w:rsid w:val="00C946FB"/>
    <w:rsid w:val="00C96C27"/>
    <w:rsid w:val="00C96F18"/>
    <w:rsid w:val="00C97A39"/>
    <w:rsid w:val="00CA02E2"/>
    <w:rsid w:val="00CA0D4C"/>
    <w:rsid w:val="00CA20B4"/>
    <w:rsid w:val="00CA335D"/>
    <w:rsid w:val="00CA471B"/>
    <w:rsid w:val="00CA7392"/>
    <w:rsid w:val="00CA7A31"/>
    <w:rsid w:val="00CA7FC0"/>
    <w:rsid w:val="00CB1FEB"/>
    <w:rsid w:val="00CB3FB5"/>
    <w:rsid w:val="00CB5D39"/>
    <w:rsid w:val="00CB63CA"/>
    <w:rsid w:val="00CB7DFA"/>
    <w:rsid w:val="00CC2B2F"/>
    <w:rsid w:val="00CC3E38"/>
    <w:rsid w:val="00CC5071"/>
    <w:rsid w:val="00CC52D4"/>
    <w:rsid w:val="00CC67BA"/>
    <w:rsid w:val="00CC6994"/>
    <w:rsid w:val="00CD0A25"/>
    <w:rsid w:val="00CD1A64"/>
    <w:rsid w:val="00CD1CF5"/>
    <w:rsid w:val="00CD2B96"/>
    <w:rsid w:val="00CD3C40"/>
    <w:rsid w:val="00CE25DF"/>
    <w:rsid w:val="00CE2928"/>
    <w:rsid w:val="00CE4506"/>
    <w:rsid w:val="00CF147E"/>
    <w:rsid w:val="00CF4412"/>
    <w:rsid w:val="00CF4F63"/>
    <w:rsid w:val="00D01483"/>
    <w:rsid w:val="00D02EF8"/>
    <w:rsid w:val="00D03858"/>
    <w:rsid w:val="00D046FB"/>
    <w:rsid w:val="00D04757"/>
    <w:rsid w:val="00D07286"/>
    <w:rsid w:val="00D1059F"/>
    <w:rsid w:val="00D1285C"/>
    <w:rsid w:val="00D1321A"/>
    <w:rsid w:val="00D14F88"/>
    <w:rsid w:val="00D14F8D"/>
    <w:rsid w:val="00D2083D"/>
    <w:rsid w:val="00D30979"/>
    <w:rsid w:val="00D32E10"/>
    <w:rsid w:val="00D3395F"/>
    <w:rsid w:val="00D359F8"/>
    <w:rsid w:val="00D434C8"/>
    <w:rsid w:val="00D438B8"/>
    <w:rsid w:val="00D442ED"/>
    <w:rsid w:val="00D472AD"/>
    <w:rsid w:val="00D47791"/>
    <w:rsid w:val="00D47866"/>
    <w:rsid w:val="00D50CA1"/>
    <w:rsid w:val="00D529D3"/>
    <w:rsid w:val="00D53E48"/>
    <w:rsid w:val="00D5600B"/>
    <w:rsid w:val="00D63A6A"/>
    <w:rsid w:val="00D64C46"/>
    <w:rsid w:val="00D650F7"/>
    <w:rsid w:val="00D65A33"/>
    <w:rsid w:val="00D70D6E"/>
    <w:rsid w:val="00D70DF0"/>
    <w:rsid w:val="00D72277"/>
    <w:rsid w:val="00D72B1E"/>
    <w:rsid w:val="00D7364E"/>
    <w:rsid w:val="00D80068"/>
    <w:rsid w:val="00D81C2A"/>
    <w:rsid w:val="00D86568"/>
    <w:rsid w:val="00D87BE0"/>
    <w:rsid w:val="00D87E96"/>
    <w:rsid w:val="00D90FC6"/>
    <w:rsid w:val="00D91C3C"/>
    <w:rsid w:val="00D92A50"/>
    <w:rsid w:val="00D94492"/>
    <w:rsid w:val="00D97472"/>
    <w:rsid w:val="00D97B3C"/>
    <w:rsid w:val="00DA1812"/>
    <w:rsid w:val="00DA3673"/>
    <w:rsid w:val="00DA3848"/>
    <w:rsid w:val="00DA682F"/>
    <w:rsid w:val="00DA6B4A"/>
    <w:rsid w:val="00DA6F2C"/>
    <w:rsid w:val="00DB4A6D"/>
    <w:rsid w:val="00DB4B36"/>
    <w:rsid w:val="00DB4CB1"/>
    <w:rsid w:val="00DC26C3"/>
    <w:rsid w:val="00DC40BE"/>
    <w:rsid w:val="00DC5A05"/>
    <w:rsid w:val="00DC5F19"/>
    <w:rsid w:val="00DD2428"/>
    <w:rsid w:val="00DD398D"/>
    <w:rsid w:val="00DD6D0B"/>
    <w:rsid w:val="00DE0A36"/>
    <w:rsid w:val="00DE21DA"/>
    <w:rsid w:val="00DE657E"/>
    <w:rsid w:val="00DF02F2"/>
    <w:rsid w:val="00DF1C7B"/>
    <w:rsid w:val="00DF2AF3"/>
    <w:rsid w:val="00DF5D69"/>
    <w:rsid w:val="00DF656D"/>
    <w:rsid w:val="00DF65C1"/>
    <w:rsid w:val="00DF7A2E"/>
    <w:rsid w:val="00DF7D7A"/>
    <w:rsid w:val="00E00B71"/>
    <w:rsid w:val="00E01C75"/>
    <w:rsid w:val="00E05775"/>
    <w:rsid w:val="00E07F79"/>
    <w:rsid w:val="00E1031E"/>
    <w:rsid w:val="00E10350"/>
    <w:rsid w:val="00E11686"/>
    <w:rsid w:val="00E12D01"/>
    <w:rsid w:val="00E14EF6"/>
    <w:rsid w:val="00E16DED"/>
    <w:rsid w:val="00E230FE"/>
    <w:rsid w:val="00E2509F"/>
    <w:rsid w:val="00E26BDA"/>
    <w:rsid w:val="00E27CFF"/>
    <w:rsid w:val="00E3149A"/>
    <w:rsid w:val="00E316FD"/>
    <w:rsid w:val="00E31967"/>
    <w:rsid w:val="00E3205B"/>
    <w:rsid w:val="00E35A23"/>
    <w:rsid w:val="00E41336"/>
    <w:rsid w:val="00E43398"/>
    <w:rsid w:val="00E43C5B"/>
    <w:rsid w:val="00E464AF"/>
    <w:rsid w:val="00E5028D"/>
    <w:rsid w:val="00E522A1"/>
    <w:rsid w:val="00E52A05"/>
    <w:rsid w:val="00E55B79"/>
    <w:rsid w:val="00E5643B"/>
    <w:rsid w:val="00E56E1B"/>
    <w:rsid w:val="00E648CE"/>
    <w:rsid w:val="00E64B7F"/>
    <w:rsid w:val="00E66A50"/>
    <w:rsid w:val="00E7385B"/>
    <w:rsid w:val="00E779DE"/>
    <w:rsid w:val="00E85B8F"/>
    <w:rsid w:val="00E872AB"/>
    <w:rsid w:val="00E87667"/>
    <w:rsid w:val="00E8781C"/>
    <w:rsid w:val="00E90948"/>
    <w:rsid w:val="00E91AEE"/>
    <w:rsid w:val="00E91C87"/>
    <w:rsid w:val="00E94CCD"/>
    <w:rsid w:val="00EA1609"/>
    <w:rsid w:val="00EA1EA1"/>
    <w:rsid w:val="00EA5483"/>
    <w:rsid w:val="00EA5EFA"/>
    <w:rsid w:val="00EA63C8"/>
    <w:rsid w:val="00EB6F7B"/>
    <w:rsid w:val="00EB75BB"/>
    <w:rsid w:val="00EC21B5"/>
    <w:rsid w:val="00EC26ED"/>
    <w:rsid w:val="00EC3BBE"/>
    <w:rsid w:val="00EC67C4"/>
    <w:rsid w:val="00EC6E58"/>
    <w:rsid w:val="00EC789E"/>
    <w:rsid w:val="00ED0F95"/>
    <w:rsid w:val="00ED269C"/>
    <w:rsid w:val="00ED47DE"/>
    <w:rsid w:val="00EE3540"/>
    <w:rsid w:val="00EE39C2"/>
    <w:rsid w:val="00EE409D"/>
    <w:rsid w:val="00EF0843"/>
    <w:rsid w:val="00EF0E53"/>
    <w:rsid w:val="00EF3F72"/>
    <w:rsid w:val="00EF5CBE"/>
    <w:rsid w:val="00EF62F2"/>
    <w:rsid w:val="00EF718D"/>
    <w:rsid w:val="00EF7ECF"/>
    <w:rsid w:val="00F002C7"/>
    <w:rsid w:val="00F03F0D"/>
    <w:rsid w:val="00F05050"/>
    <w:rsid w:val="00F069E4"/>
    <w:rsid w:val="00F06E65"/>
    <w:rsid w:val="00F07677"/>
    <w:rsid w:val="00F078A3"/>
    <w:rsid w:val="00F10408"/>
    <w:rsid w:val="00F14D40"/>
    <w:rsid w:val="00F16BE5"/>
    <w:rsid w:val="00F21773"/>
    <w:rsid w:val="00F2375F"/>
    <w:rsid w:val="00F24E8C"/>
    <w:rsid w:val="00F253F0"/>
    <w:rsid w:val="00F2576D"/>
    <w:rsid w:val="00F2599E"/>
    <w:rsid w:val="00F25F36"/>
    <w:rsid w:val="00F264A2"/>
    <w:rsid w:val="00F2662A"/>
    <w:rsid w:val="00F26C36"/>
    <w:rsid w:val="00F31225"/>
    <w:rsid w:val="00F315D6"/>
    <w:rsid w:val="00F3239E"/>
    <w:rsid w:val="00F34971"/>
    <w:rsid w:val="00F36724"/>
    <w:rsid w:val="00F40AD5"/>
    <w:rsid w:val="00F40CD7"/>
    <w:rsid w:val="00F4107E"/>
    <w:rsid w:val="00F420B9"/>
    <w:rsid w:val="00F44DAC"/>
    <w:rsid w:val="00F45242"/>
    <w:rsid w:val="00F50A01"/>
    <w:rsid w:val="00F51843"/>
    <w:rsid w:val="00F53FC3"/>
    <w:rsid w:val="00F55E8A"/>
    <w:rsid w:val="00F56133"/>
    <w:rsid w:val="00F57461"/>
    <w:rsid w:val="00F57C99"/>
    <w:rsid w:val="00F60C35"/>
    <w:rsid w:val="00F60FB5"/>
    <w:rsid w:val="00F61555"/>
    <w:rsid w:val="00F62D58"/>
    <w:rsid w:val="00F65CA6"/>
    <w:rsid w:val="00F66432"/>
    <w:rsid w:val="00F72E18"/>
    <w:rsid w:val="00F74E86"/>
    <w:rsid w:val="00F75686"/>
    <w:rsid w:val="00F767C4"/>
    <w:rsid w:val="00F769D6"/>
    <w:rsid w:val="00F772EE"/>
    <w:rsid w:val="00F807DB"/>
    <w:rsid w:val="00F8161C"/>
    <w:rsid w:val="00F85B42"/>
    <w:rsid w:val="00F9105A"/>
    <w:rsid w:val="00F91B45"/>
    <w:rsid w:val="00F92EF2"/>
    <w:rsid w:val="00F96ACB"/>
    <w:rsid w:val="00FA1079"/>
    <w:rsid w:val="00FA116F"/>
    <w:rsid w:val="00FA304F"/>
    <w:rsid w:val="00FA3E4E"/>
    <w:rsid w:val="00FA41E3"/>
    <w:rsid w:val="00FA48A3"/>
    <w:rsid w:val="00FA6749"/>
    <w:rsid w:val="00FB0DD2"/>
    <w:rsid w:val="00FB113E"/>
    <w:rsid w:val="00FB1882"/>
    <w:rsid w:val="00FB1D63"/>
    <w:rsid w:val="00FB2AF6"/>
    <w:rsid w:val="00FB5FF7"/>
    <w:rsid w:val="00FB6C56"/>
    <w:rsid w:val="00FC259F"/>
    <w:rsid w:val="00FC3377"/>
    <w:rsid w:val="00FC3D9D"/>
    <w:rsid w:val="00FC3F94"/>
    <w:rsid w:val="00FC52DE"/>
    <w:rsid w:val="00FC5635"/>
    <w:rsid w:val="00FC5DE3"/>
    <w:rsid w:val="00FC6170"/>
    <w:rsid w:val="00FC7691"/>
    <w:rsid w:val="00FC7830"/>
    <w:rsid w:val="00FC791B"/>
    <w:rsid w:val="00FD0A5F"/>
    <w:rsid w:val="00FD1B06"/>
    <w:rsid w:val="00FD24C5"/>
    <w:rsid w:val="00FD4BD1"/>
    <w:rsid w:val="00FD4F5F"/>
    <w:rsid w:val="00FD6B56"/>
    <w:rsid w:val="00FD6C38"/>
    <w:rsid w:val="00FE009A"/>
    <w:rsid w:val="00FE13BD"/>
    <w:rsid w:val="00FE2E8D"/>
    <w:rsid w:val="00FE66ED"/>
    <w:rsid w:val="00FF1FA8"/>
    <w:rsid w:val="00FF3CD6"/>
    <w:rsid w:val="00FF3E17"/>
    <w:rsid w:val="00FF457D"/>
    <w:rsid w:val="00FF4C39"/>
    <w:rsid w:val="00FF4DE6"/>
    <w:rsid w:val="00FF5FBF"/>
    <w:rsid w:val="00FF6222"/>
    <w:rsid w:val="00FF7FA2"/>
    <w:rsid w:val="011FF290"/>
    <w:rsid w:val="01668D63"/>
    <w:rsid w:val="016CE657"/>
    <w:rsid w:val="017CE228"/>
    <w:rsid w:val="02370C87"/>
    <w:rsid w:val="02C6341F"/>
    <w:rsid w:val="0303FBDC"/>
    <w:rsid w:val="03DFAA94"/>
    <w:rsid w:val="04456211"/>
    <w:rsid w:val="047F88E7"/>
    <w:rsid w:val="0583AF77"/>
    <w:rsid w:val="0595863D"/>
    <w:rsid w:val="06776099"/>
    <w:rsid w:val="06B14FCC"/>
    <w:rsid w:val="0913E59E"/>
    <w:rsid w:val="0A46CCBC"/>
    <w:rsid w:val="0A6AD00B"/>
    <w:rsid w:val="0BA347CC"/>
    <w:rsid w:val="0C83011E"/>
    <w:rsid w:val="0EB30318"/>
    <w:rsid w:val="0EF6CB17"/>
    <w:rsid w:val="11023E38"/>
    <w:rsid w:val="11C20F61"/>
    <w:rsid w:val="1314B29B"/>
    <w:rsid w:val="13254A1C"/>
    <w:rsid w:val="14C000CD"/>
    <w:rsid w:val="152EF6CA"/>
    <w:rsid w:val="1582F1ED"/>
    <w:rsid w:val="16489A6C"/>
    <w:rsid w:val="18845FE8"/>
    <w:rsid w:val="188D3AAD"/>
    <w:rsid w:val="18B387F1"/>
    <w:rsid w:val="1940D3E5"/>
    <w:rsid w:val="194CB793"/>
    <w:rsid w:val="19F03761"/>
    <w:rsid w:val="1AE09760"/>
    <w:rsid w:val="1B441FC4"/>
    <w:rsid w:val="1B73FA19"/>
    <w:rsid w:val="1B905730"/>
    <w:rsid w:val="1B9A757A"/>
    <w:rsid w:val="1DAC43B4"/>
    <w:rsid w:val="1DC5EF80"/>
    <w:rsid w:val="1F0E2E1E"/>
    <w:rsid w:val="1F28A826"/>
    <w:rsid w:val="1F44A225"/>
    <w:rsid w:val="1FE7F4CE"/>
    <w:rsid w:val="20664E7D"/>
    <w:rsid w:val="209EE02E"/>
    <w:rsid w:val="215EC917"/>
    <w:rsid w:val="21B2B53A"/>
    <w:rsid w:val="22587B83"/>
    <w:rsid w:val="23588290"/>
    <w:rsid w:val="23784C35"/>
    <w:rsid w:val="23B10DF0"/>
    <w:rsid w:val="249F1666"/>
    <w:rsid w:val="24E7F322"/>
    <w:rsid w:val="265E598F"/>
    <w:rsid w:val="26734D57"/>
    <w:rsid w:val="2734AA18"/>
    <w:rsid w:val="275AD2DF"/>
    <w:rsid w:val="2789CBB4"/>
    <w:rsid w:val="2A7ADF52"/>
    <w:rsid w:val="2C0AC164"/>
    <w:rsid w:val="2C0CFFE9"/>
    <w:rsid w:val="2C6B1DAF"/>
    <w:rsid w:val="2C7648A6"/>
    <w:rsid w:val="2D30E463"/>
    <w:rsid w:val="2D7C3446"/>
    <w:rsid w:val="2DEEFC19"/>
    <w:rsid w:val="2E07D9F2"/>
    <w:rsid w:val="2E5A54FC"/>
    <w:rsid w:val="2F67553F"/>
    <w:rsid w:val="30B691DA"/>
    <w:rsid w:val="311C9DC7"/>
    <w:rsid w:val="33DADCE9"/>
    <w:rsid w:val="34A78B2E"/>
    <w:rsid w:val="355D9A3A"/>
    <w:rsid w:val="363949C7"/>
    <w:rsid w:val="36DD10A6"/>
    <w:rsid w:val="37D5F4B3"/>
    <w:rsid w:val="37E63792"/>
    <w:rsid w:val="382921C0"/>
    <w:rsid w:val="38BC5864"/>
    <w:rsid w:val="39495B41"/>
    <w:rsid w:val="3985D87F"/>
    <w:rsid w:val="3A659931"/>
    <w:rsid w:val="3AC4B4BF"/>
    <w:rsid w:val="3AEF1BB8"/>
    <w:rsid w:val="3B32B3FA"/>
    <w:rsid w:val="3DC31D67"/>
    <w:rsid w:val="3DF0700C"/>
    <w:rsid w:val="3E200F2C"/>
    <w:rsid w:val="3E25F32C"/>
    <w:rsid w:val="3EF8CD9C"/>
    <w:rsid w:val="3F0B4044"/>
    <w:rsid w:val="3F4B93CD"/>
    <w:rsid w:val="3F4C1291"/>
    <w:rsid w:val="3F7415CA"/>
    <w:rsid w:val="402153EC"/>
    <w:rsid w:val="40520A5F"/>
    <w:rsid w:val="410C947F"/>
    <w:rsid w:val="41BF7C5B"/>
    <w:rsid w:val="41E684B2"/>
    <w:rsid w:val="4216EF1E"/>
    <w:rsid w:val="422A8537"/>
    <w:rsid w:val="4257AFD5"/>
    <w:rsid w:val="426B58D9"/>
    <w:rsid w:val="43441CBA"/>
    <w:rsid w:val="44EB4690"/>
    <w:rsid w:val="45257F5E"/>
    <w:rsid w:val="458B4B2D"/>
    <w:rsid w:val="4605C57B"/>
    <w:rsid w:val="467A8E8C"/>
    <w:rsid w:val="46CF67DF"/>
    <w:rsid w:val="46EC8819"/>
    <w:rsid w:val="473D6D0B"/>
    <w:rsid w:val="4819B8EC"/>
    <w:rsid w:val="48B3857E"/>
    <w:rsid w:val="496C12F6"/>
    <w:rsid w:val="4A392E84"/>
    <w:rsid w:val="4A5BD9A1"/>
    <w:rsid w:val="4B734BCA"/>
    <w:rsid w:val="4BA929A3"/>
    <w:rsid w:val="4C0B1A80"/>
    <w:rsid w:val="4C3FD019"/>
    <w:rsid w:val="4CE923AA"/>
    <w:rsid w:val="4D51D9C3"/>
    <w:rsid w:val="4E04AD0B"/>
    <w:rsid w:val="4F3C0D92"/>
    <w:rsid w:val="4F5C12D7"/>
    <w:rsid w:val="4FB66ECB"/>
    <w:rsid w:val="5030E63C"/>
    <w:rsid w:val="503EF640"/>
    <w:rsid w:val="50C25C84"/>
    <w:rsid w:val="50CAAD30"/>
    <w:rsid w:val="510E163D"/>
    <w:rsid w:val="5159FD98"/>
    <w:rsid w:val="524C5FC5"/>
    <w:rsid w:val="5350ADDF"/>
    <w:rsid w:val="546EC405"/>
    <w:rsid w:val="5547E7AA"/>
    <w:rsid w:val="559B8E9D"/>
    <w:rsid w:val="55FF7FB2"/>
    <w:rsid w:val="5643CEDC"/>
    <w:rsid w:val="5744AF0E"/>
    <w:rsid w:val="57B0DB53"/>
    <w:rsid w:val="57FD5A26"/>
    <w:rsid w:val="5925B1E4"/>
    <w:rsid w:val="59C88B9E"/>
    <w:rsid w:val="5AB63EEB"/>
    <w:rsid w:val="5B323F11"/>
    <w:rsid w:val="5B7136B5"/>
    <w:rsid w:val="5B8F8D64"/>
    <w:rsid w:val="5C55828D"/>
    <w:rsid w:val="5C5F8E01"/>
    <w:rsid w:val="5C73AECC"/>
    <w:rsid w:val="5C7DF382"/>
    <w:rsid w:val="5CF571BB"/>
    <w:rsid w:val="5DD4357C"/>
    <w:rsid w:val="5E2A69CB"/>
    <w:rsid w:val="5E501566"/>
    <w:rsid w:val="5EA97B90"/>
    <w:rsid w:val="5F1A4111"/>
    <w:rsid w:val="5F535760"/>
    <w:rsid w:val="5F944E28"/>
    <w:rsid w:val="602FEEFA"/>
    <w:rsid w:val="60FFA1E5"/>
    <w:rsid w:val="6124DC17"/>
    <w:rsid w:val="61CD919C"/>
    <w:rsid w:val="61DF5447"/>
    <w:rsid w:val="624666D5"/>
    <w:rsid w:val="6267E064"/>
    <w:rsid w:val="6362755A"/>
    <w:rsid w:val="64D3F8F6"/>
    <w:rsid w:val="6563402A"/>
    <w:rsid w:val="656BBF59"/>
    <w:rsid w:val="658D2F9F"/>
    <w:rsid w:val="6653772E"/>
    <w:rsid w:val="685D5E56"/>
    <w:rsid w:val="69505354"/>
    <w:rsid w:val="6A23286B"/>
    <w:rsid w:val="6A9FD425"/>
    <w:rsid w:val="6AC988B6"/>
    <w:rsid w:val="6C3A913C"/>
    <w:rsid w:val="6C90912C"/>
    <w:rsid w:val="6D0E8FB7"/>
    <w:rsid w:val="6EA6DD1E"/>
    <w:rsid w:val="6ED40A54"/>
    <w:rsid w:val="6EEED4D5"/>
    <w:rsid w:val="6F3E76E1"/>
    <w:rsid w:val="6FE0EEF4"/>
    <w:rsid w:val="724384C6"/>
    <w:rsid w:val="72D4B5AA"/>
    <w:rsid w:val="73062BA4"/>
    <w:rsid w:val="736C04AA"/>
    <w:rsid w:val="73DA089F"/>
    <w:rsid w:val="7475ADCA"/>
    <w:rsid w:val="760D430F"/>
    <w:rsid w:val="76B167BD"/>
    <w:rsid w:val="76F0243F"/>
    <w:rsid w:val="7758988E"/>
    <w:rsid w:val="77608361"/>
    <w:rsid w:val="783E4128"/>
    <w:rsid w:val="7860BB5D"/>
    <w:rsid w:val="78A4C2EE"/>
    <w:rsid w:val="78F6D990"/>
    <w:rsid w:val="7922C182"/>
    <w:rsid w:val="79BA6417"/>
    <w:rsid w:val="79E1CC3E"/>
    <w:rsid w:val="7C728E82"/>
    <w:rsid w:val="7CB50249"/>
    <w:rsid w:val="7D4287FF"/>
    <w:rsid w:val="7DD18750"/>
    <w:rsid w:val="7E75DE6B"/>
    <w:rsid w:val="7FCD1A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7604B"/>
  <w15:docId w15:val="{A7B80D11-4D93-4E2B-B2E5-2CC78E73A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IE" w:eastAsia="en-IE"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unhideWhenUsed="1" w:qFormat="1"/>
    <w:lsdException w:name="annotation text" w:semiHidden="1" w:qFormat="1"/>
    <w:lsdException w:name="header" w:uiPriority="2"/>
    <w:lsdException w:name="footer" w:uiPriority="99"/>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99" w:qFormat="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atentStyles>
  <w:style w:type="paragraph" w:default="1" w:styleId="Normalny">
    <w:name w:val="Normal"/>
    <w:uiPriority w:val="1"/>
    <w:qFormat/>
    <w:pPr>
      <w:spacing w:after="240"/>
      <w:jc w:val="both"/>
    </w:pPr>
  </w:style>
  <w:style w:type="paragraph" w:styleId="Nagwek1">
    <w:name w:val="heading 1"/>
    <w:basedOn w:val="Normalny"/>
    <w:next w:val="Text1"/>
    <w:uiPriority w:val="1"/>
    <w:qFormat/>
    <w:pPr>
      <w:keepNext/>
      <w:spacing w:before="240"/>
      <w:outlineLvl w:val="0"/>
    </w:pPr>
    <w:rPr>
      <w:b/>
      <w:smallCaps/>
    </w:rPr>
  </w:style>
  <w:style w:type="paragraph" w:styleId="Nagwek2">
    <w:name w:val="heading 2"/>
    <w:basedOn w:val="Normalny"/>
    <w:next w:val="Text2"/>
    <w:uiPriority w:val="1"/>
    <w:qFormat/>
    <w:pPr>
      <w:keepNext/>
      <w:outlineLvl w:val="1"/>
    </w:pPr>
    <w:rPr>
      <w:b/>
    </w:rPr>
  </w:style>
  <w:style w:type="paragraph" w:styleId="Nagwek3">
    <w:name w:val="heading 3"/>
    <w:basedOn w:val="Normalny"/>
    <w:next w:val="Text3"/>
    <w:uiPriority w:val="1"/>
    <w:qFormat/>
    <w:pPr>
      <w:keepNext/>
      <w:outlineLvl w:val="2"/>
    </w:pPr>
    <w:rPr>
      <w:i/>
    </w:rPr>
  </w:style>
  <w:style w:type="paragraph" w:styleId="Nagwek4">
    <w:name w:val="heading 4"/>
    <w:basedOn w:val="Normalny"/>
    <w:next w:val="Text4"/>
    <w:uiPriority w:val="1"/>
    <w:qFormat/>
    <w:pPr>
      <w:keepNext/>
      <w:outlineLvl w:val="3"/>
    </w:pPr>
  </w:style>
  <w:style w:type="paragraph" w:styleId="Nagwek5">
    <w:name w:val="heading 5"/>
    <w:basedOn w:val="Normalny"/>
    <w:next w:val="Normalny"/>
    <w:semiHidden/>
    <w:pPr>
      <w:keepNext/>
      <w:outlineLvl w:val="4"/>
    </w:pPr>
  </w:style>
  <w:style w:type="paragraph" w:styleId="Nagwek6">
    <w:name w:val="heading 6"/>
    <w:basedOn w:val="Normalny"/>
    <w:next w:val="Normalny"/>
    <w:semiHidden/>
    <w:pPr>
      <w:keepNext/>
      <w:outlineLvl w:val="5"/>
    </w:pPr>
  </w:style>
  <w:style w:type="paragraph" w:styleId="Nagwek7">
    <w:name w:val="heading 7"/>
    <w:basedOn w:val="Normalny"/>
    <w:next w:val="Normalny"/>
    <w:semiHidden/>
    <w:pPr>
      <w:keepNext/>
      <w:outlineLvl w:val="6"/>
    </w:pPr>
  </w:style>
  <w:style w:type="paragraph" w:styleId="Nagwek8">
    <w:name w:val="heading 8"/>
    <w:basedOn w:val="Normalny"/>
    <w:next w:val="Normalny"/>
    <w:semiHidden/>
    <w:pPr>
      <w:keepNext/>
      <w:outlineLvl w:val="7"/>
    </w:pPr>
  </w:style>
  <w:style w:type="paragraph" w:styleId="Nagwek9">
    <w:name w:val="heading 9"/>
    <w:basedOn w:val="Normalny"/>
    <w:next w:val="Normalny"/>
    <w:semiHidden/>
    <w:pPr>
      <w:keepNext/>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PlaceholderText">
    <w:name w:val="BodyPlaceholderText"/>
    <w:basedOn w:val="Tekstzastpczy"/>
    <w:semiHidden/>
    <w:rPr>
      <w:color w:val="3366CC"/>
    </w:rPr>
  </w:style>
  <w:style w:type="character" w:customStyle="1" w:styleId="CrossReference">
    <w:name w:val="Cross Reference"/>
    <w:basedOn w:val="Domylnaczcionkaakapitu"/>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Tekstzastpczy">
    <w:name w:val="Placeholder Text"/>
    <w:basedOn w:val="Domylnaczcionkaakapitu"/>
    <w:semiHidden/>
    <w:rPr>
      <w:color w:val="288061"/>
    </w:rPr>
  </w:style>
  <w:style w:type="paragraph" w:customStyle="1" w:styleId="AfterTable">
    <w:name w:val="After Table"/>
    <w:semiHidden/>
    <w:rPr>
      <w:sz w:val="4"/>
    </w:rPr>
  </w:style>
  <w:style w:type="paragraph" w:customStyle="1" w:styleId="AnnexTitle">
    <w:name w:val="AnnexTitle"/>
    <w:basedOn w:val="Normalny"/>
    <w:next w:val="Normalny"/>
    <w:uiPriority w:val="1"/>
    <w:qFormat/>
    <w:pPr>
      <w:pageBreakBefore/>
      <w:numPr>
        <w:numId w:val="19"/>
      </w:numPr>
      <w:spacing w:after="480"/>
      <w:outlineLvl w:val="0"/>
    </w:pPr>
    <w:rPr>
      <w:b/>
      <w:sz w:val="32"/>
    </w:rPr>
  </w:style>
  <w:style w:type="paragraph" w:styleId="Legenda">
    <w:name w:val="caption"/>
    <w:basedOn w:val="Normalny"/>
    <w:next w:val="Normalny"/>
    <w:uiPriority w:val="35"/>
    <w:qFormat/>
    <w:pPr>
      <w:spacing w:before="160"/>
    </w:pPr>
    <w:rPr>
      <w:i/>
      <w:sz w:val="22"/>
    </w:rPr>
  </w:style>
  <w:style w:type="paragraph" w:styleId="Zwrotpoegnalny">
    <w:name w:val="Closing"/>
    <w:basedOn w:val="Normalny"/>
    <w:next w:val="Podpis"/>
    <w:uiPriority w:val="2"/>
    <w:pPr>
      <w:tabs>
        <w:tab w:val="left" w:pos="5102"/>
      </w:tabs>
      <w:spacing w:before="240"/>
      <w:ind w:left="5102"/>
      <w:jc w:val="left"/>
    </w:pPr>
  </w:style>
  <w:style w:type="paragraph" w:customStyle="1" w:styleId="ClosingL">
    <w:name w:val="ClosingL"/>
    <w:basedOn w:val="Normalny"/>
    <w:next w:val="Podpis"/>
    <w:uiPriority w:val="2"/>
    <w:pPr>
      <w:spacing w:before="240"/>
      <w:jc w:val="left"/>
    </w:pPr>
  </w:style>
  <w:style w:type="paragraph" w:customStyle="1" w:styleId="ConfidentialUE">
    <w:name w:val="Confidential UE"/>
    <w:basedOn w:val="Normalny"/>
    <w:semiHidden/>
    <w:pPr>
      <w:spacing w:after="0"/>
      <w:jc w:val="center"/>
    </w:pPr>
    <w:rPr>
      <w:b/>
      <w:caps/>
      <w:sz w:val="32"/>
      <w:bdr w:val="single" w:sz="18" w:space="0" w:color="auto"/>
    </w:rPr>
  </w:style>
  <w:style w:type="paragraph" w:customStyle="1" w:styleId="Contact">
    <w:name w:val="Contact"/>
    <w:basedOn w:val="Normalny"/>
    <w:uiPriority w:val="1"/>
    <w:pPr>
      <w:spacing w:before="480" w:after="0"/>
      <w:ind w:left="567" w:hanging="567"/>
      <w:contextualSpacing/>
      <w:jc w:val="left"/>
    </w:pPr>
  </w:style>
  <w:style w:type="paragraph" w:customStyle="1" w:styleId="ContNum">
    <w:name w:val="ContNum"/>
    <w:basedOn w:val="Normalny"/>
    <w:uiPriority w:val="1"/>
    <w:qFormat/>
    <w:pPr>
      <w:numPr>
        <w:numId w:val="18"/>
      </w:numPr>
    </w:pPr>
  </w:style>
  <w:style w:type="paragraph" w:customStyle="1" w:styleId="ContNumLevel2">
    <w:name w:val="ContNum (Level 2)"/>
    <w:basedOn w:val="Normalny"/>
    <w:uiPriority w:val="1"/>
    <w:pPr>
      <w:numPr>
        <w:ilvl w:val="1"/>
        <w:numId w:val="18"/>
      </w:numPr>
    </w:pPr>
  </w:style>
  <w:style w:type="paragraph" w:customStyle="1" w:styleId="ContNumLevel3">
    <w:name w:val="ContNum (Level 3)"/>
    <w:basedOn w:val="Normalny"/>
    <w:uiPriority w:val="1"/>
    <w:pPr>
      <w:numPr>
        <w:ilvl w:val="2"/>
        <w:numId w:val="18"/>
      </w:numPr>
    </w:pPr>
  </w:style>
  <w:style w:type="paragraph" w:customStyle="1" w:styleId="Copies">
    <w:name w:val="Copies"/>
    <w:basedOn w:val="Normalny"/>
    <w:uiPriority w:val="2"/>
    <w:pPr>
      <w:tabs>
        <w:tab w:val="left" w:pos="5669"/>
      </w:tabs>
      <w:spacing w:before="480" w:after="0"/>
      <w:ind w:left="1531" w:hanging="1531"/>
      <w:contextualSpacing/>
      <w:jc w:val="left"/>
    </w:pPr>
  </w:style>
  <w:style w:type="paragraph" w:styleId="Data">
    <w:name w:val="Date"/>
    <w:basedOn w:val="Normalny"/>
    <w:next w:val="References"/>
    <w:uiPriority w:val="1"/>
    <w:pPr>
      <w:spacing w:after="0"/>
      <w:ind w:left="5102" w:right="-567"/>
      <w:jc w:val="left"/>
    </w:pPr>
  </w:style>
  <w:style w:type="paragraph" w:customStyle="1" w:styleId="Designator">
    <w:name w:val="Designator"/>
    <w:basedOn w:val="Normalny"/>
    <w:semiHidden/>
    <w:pPr>
      <w:spacing w:after="0"/>
      <w:jc w:val="center"/>
    </w:pPr>
    <w:rPr>
      <w:b/>
      <w:caps/>
      <w:sz w:val="32"/>
    </w:rPr>
  </w:style>
  <w:style w:type="paragraph" w:customStyle="1" w:styleId="DoubSign">
    <w:name w:val="DoubSign"/>
    <w:basedOn w:val="Normalny"/>
    <w:uiPriority w:val="2"/>
    <w:pPr>
      <w:spacing w:before="1200" w:after="0"/>
      <w:jc w:val="left"/>
    </w:pPr>
  </w:style>
  <w:style w:type="paragraph" w:customStyle="1" w:styleId="EmptyParagraph">
    <w:name w:val="Empty Paragraph"/>
    <w:basedOn w:val="Normalny"/>
    <w:next w:val="Normalny"/>
    <w:semiHidden/>
    <w:pPr>
      <w:spacing w:before="240"/>
    </w:pPr>
  </w:style>
  <w:style w:type="paragraph" w:customStyle="1" w:styleId="Enclosures">
    <w:name w:val="Enclosures"/>
    <w:basedOn w:val="Normalny"/>
    <w:uiPriority w:val="2"/>
    <w:pPr>
      <w:keepNext/>
      <w:keepLines/>
      <w:tabs>
        <w:tab w:val="left" w:pos="5669"/>
      </w:tabs>
      <w:spacing w:before="480" w:after="0"/>
      <w:ind w:left="1531" w:hanging="1531"/>
      <w:contextualSpacing/>
      <w:jc w:val="left"/>
    </w:pPr>
  </w:style>
  <w:style w:type="paragraph" w:styleId="Tekstprzypisukocowego">
    <w:name w:val="endnote text"/>
    <w:basedOn w:val="Normalny"/>
    <w:semiHidden/>
    <w:unhideWhenUsed/>
    <w:pPr>
      <w:spacing w:after="120"/>
      <w:ind w:left="357" w:hanging="357"/>
    </w:pPr>
    <w:rPr>
      <w:sz w:val="20"/>
    </w:rPr>
  </w:style>
  <w:style w:type="paragraph" w:customStyle="1" w:styleId="FigureBody">
    <w:name w:val="Figure Body"/>
    <w:basedOn w:val="Normalny"/>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ny"/>
    <w:next w:val="Normalny"/>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ny"/>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Stopka">
    <w:name w:val="footer"/>
    <w:basedOn w:val="Normalny"/>
    <w:link w:val="StopkaZnak"/>
    <w:uiPriority w:val="99"/>
    <w:pPr>
      <w:spacing w:after="0"/>
      <w:ind w:right="-567"/>
      <w:jc w:val="left"/>
    </w:pPr>
    <w:rPr>
      <w:sz w:val="16"/>
    </w:rPr>
  </w:style>
  <w:style w:type="paragraph" w:customStyle="1" w:styleId="FooterLine">
    <w:name w:val="Footer Line"/>
    <w:basedOn w:val="Stopka"/>
    <w:next w:val="Stopka"/>
    <w:uiPriority w:val="2"/>
    <w:pPr>
      <w:tabs>
        <w:tab w:val="right" w:pos="8646"/>
      </w:tabs>
      <w:spacing w:before="120"/>
      <w:ind w:right="0"/>
    </w:pPr>
  </w:style>
  <w:style w:type="paragraph" w:styleId="Tekstprzypisudolnego">
    <w:name w:val="footnote text"/>
    <w:basedOn w:val="Normalny"/>
    <w:link w:val="TekstprzypisudolnegoZnak"/>
    <w:uiPriority w:val="99"/>
    <w:unhideWhenUsed/>
    <w:qFormat/>
    <w:pPr>
      <w:spacing w:after="120"/>
      <w:ind w:left="357" w:hanging="357"/>
    </w:pPr>
    <w:rPr>
      <w:sz w:val="20"/>
    </w:rPr>
  </w:style>
  <w:style w:type="paragraph" w:customStyle="1" w:styleId="LegalNumPar">
    <w:name w:val="LegalNumPar"/>
    <w:basedOn w:val="Normalny"/>
    <w:uiPriority w:val="1"/>
    <w:qFormat/>
    <w:pPr>
      <w:numPr>
        <w:numId w:val="17"/>
      </w:numPr>
      <w:spacing w:line="360" w:lineRule="auto"/>
    </w:pPr>
  </w:style>
  <w:style w:type="paragraph" w:customStyle="1" w:styleId="LegalNumPar2">
    <w:name w:val="LegalNumPar2"/>
    <w:basedOn w:val="Normalny"/>
    <w:uiPriority w:val="1"/>
    <w:pPr>
      <w:numPr>
        <w:ilvl w:val="1"/>
        <w:numId w:val="17"/>
      </w:numPr>
      <w:spacing w:line="360" w:lineRule="auto"/>
    </w:pPr>
  </w:style>
  <w:style w:type="paragraph" w:customStyle="1" w:styleId="LegalNumPar3">
    <w:name w:val="LegalNumPar3"/>
    <w:basedOn w:val="Normalny"/>
    <w:uiPriority w:val="1"/>
    <w:pPr>
      <w:numPr>
        <w:ilvl w:val="2"/>
        <w:numId w:val="17"/>
      </w:numPr>
      <w:spacing w:line="360" w:lineRule="auto"/>
    </w:pPr>
  </w:style>
  <w:style w:type="paragraph" w:styleId="Listapunktowana">
    <w:name w:val="List Bullet"/>
    <w:basedOn w:val="Normalny"/>
    <w:uiPriority w:val="1"/>
    <w:pPr>
      <w:numPr>
        <w:numId w:val="15"/>
      </w:numPr>
    </w:pPr>
  </w:style>
  <w:style w:type="paragraph" w:customStyle="1" w:styleId="ListBulletLevel2">
    <w:name w:val="List Bullet (Level 2)"/>
    <w:basedOn w:val="Normalny"/>
    <w:uiPriority w:val="1"/>
    <w:pPr>
      <w:numPr>
        <w:ilvl w:val="1"/>
        <w:numId w:val="15"/>
      </w:numPr>
    </w:pPr>
  </w:style>
  <w:style w:type="paragraph" w:customStyle="1" w:styleId="ListBulletLevel3">
    <w:name w:val="List Bullet (Level 3)"/>
    <w:basedOn w:val="Normalny"/>
    <w:uiPriority w:val="1"/>
    <w:semiHidden/>
    <w:unhideWhenUsed/>
    <w:pPr>
      <w:numPr>
        <w:ilvl w:val="2"/>
        <w:numId w:val="15"/>
      </w:numPr>
    </w:pPr>
  </w:style>
  <w:style w:type="paragraph" w:customStyle="1" w:styleId="ListBulletLevel4">
    <w:name w:val="List Bullet (Level 4)"/>
    <w:basedOn w:val="Normalny"/>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apunktowana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apunktowana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apunktowana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ny"/>
    <w:uiPriority w:val="1"/>
    <w:pPr>
      <w:numPr>
        <w:numId w:val="5"/>
      </w:numPr>
    </w:pPr>
  </w:style>
  <w:style w:type="paragraph" w:customStyle="1" w:styleId="ListDashLevel2">
    <w:name w:val="List Dash (Level 2)"/>
    <w:basedOn w:val="Normalny"/>
    <w:uiPriority w:val="1"/>
    <w:pPr>
      <w:numPr>
        <w:ilvl w:val="1"/>
        <w:numId w:val="5"/>
      </w:numPr>
    </w:pPr>
  </w:style>
  <w:style w:type="paragraph" w:customStyle="1" w:styleId="ListDashLevel3">
    <w:name w:val="List Dash (Level 3)"/>
    <w:basedOn w:val="Normalny"/>
    <w:uiPriority w:val="1"/>
    <w:semiHidden/>
    <w:unhideWhenUsed/>
    <w:pPr>
      <w:numPr>
        <w:ilvl w:val="2"/>
        <w:numId w:val="5"/>
      </w:numPr>
    </w:pPr>
  </w:style>
  <w:style w:type="paragraph" w:customStyle="1" w:styleId="ListDashLevel4">
    <w:name w:val="List Dash (Level 4)"/>
    <w:basedOn w:val="Normalny"/>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anumerowana">
    <w:name w:val="List Number"/>
    <w:basedOn w:val="Normalny"/>
    <w:uiPriority w:val="1"/>
    <w:pPr>
      <w:numPr>
        <w:numId w:val="10"/>
      </w:numPr>
    </w:pPr>
  </w:style>
  <w:style w:type="paragraph" w:customStyle="1" w:styleId="ListNumberLevel2">
    <w:name w:val="List Number (Level 2)"/>
    <w:basedOn w:val="Normalny"/>
    <w:uiPriority w:val="1"/>
    <w:pPr>
      <w:numPr>
        <w:ilvl w:val="1"/>
        <w:numId w:val="10"/>
      </w:numPr>
    </w:pPr>
  </w:style>
  <w:style w:type="paragraph" w:customStyle="1" w:styleId="ListNumberLevel3">
    <w:name w:val="List Number (Level 3)"/>
    <w:basedOn w:val="Normalny"/>
    <w:uiPriority w:val="1"/>
    <w:semiHidden/>
    <w:unhideWhenUsed/>
    <w:pPr>
      <w:numPr>
        <w:ilvl w:val="2"/>
        <w:numId w:val="10"/>
      </w:numPr>
    </w:pPr>
  </w:style>
  <w:style w:type="paragraph" w:customStyle="1" w:styleId="ListNumberLevel4">
    <w:name w:val="List Number (Level 4)"/>
    <w:basedOn w:val="Normalny"/>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anumerowana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anumerowana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anumerowana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Tekstmakra">
    <w:name w:val="macro"/>
    <w:basedOn w:val="Normalny"/>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ny"/>
    <w:semiHidden/>
    <w:rsid w:val="00564B01"/>
    <w:pPr>
      <w:ind w:left="5102" w:right="-680"/>
      <w:contextualSpacing/>
      <w:jc w:val="left"/>
    </w:pPr>
    <w:rPr>
      <w:sz w:val="28"/>
    </w:rPr>
  </w:style>
  <w:style w:type="paragraph" w:customStyle="1" w:styleId="NoteAddressee">
    <w:name w:val="NoteAddressee"/>
    <w:basedOn w:val="Normalny"/>
    <w:uiPriority w:val="2"/>
    <w:pPr>
      <w:spacing w:after="720"/>
      <w:contextualSpacing/>
      <w:jc w:val="center"/>
    </w:pPr>
    <w:rPr>
      <w:b/>
      <w:smallCaps/>
    </w:rPr>
  </w:style>
  <w:style w:type="paragraph" w:customStyle="1" w:styleId="NoteColumn">
    <w:name w:val="NoteColumn"/>
    <w:basedOn w:val="Normalny"/>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ny"/>
    <w:uiPriority w:val="2"/>
    <w:pPr>
      <w:spacing w:before="720" w:after="720"/>
      <w:contextualSpacing/>
      <w:jc w:val="center"/>
    </w:pPr>
    <w:rPr>
      <w:b/>
      <w:smallCaps/>
    </w:rPr>
  </w:style>
  <w:style w:type="paragraph" w:customStyle="1" w:styleId="NoteList">
    <w:name w:val="NoteList"/>
    <w:basedOn w:val="Normalny"/>
    <w:uiPriority w:val="2"/>
    <w:pPr>
      <w:tabs>
        <w:tab w:val="left" w:pos="5822"/>
      </w:tabs>
      <w:spacing w:before="720" w:after="720"/>
      <w:ind w:left="5102" w:hanging="3118"/>
      <w:contextualSpacing/>
      <w:jc w:val="left"/>
    </w:pPr>
    <w:rPr>
      <w:b/>
      <w:smallCaps/>
    </w:rPr>
  </w:style>
  <w:style w:type="paragraph" w:customStyle="1" w:styleId="NoteTitle">
    <w:name w:val="NoteTitle"/>
    <w:basedOn w:val="Normalny"/>
    <w:uiPriority w:val="2"/>
    <w:pPr>
      <w:spacing w:before="720" w:after="360"/>
      <w:contextualSpacing/>
      <w:jc w:val="center"/>
    </w:pPr>
    <w:rPr>
      <w:b/>
      <w:smallCaps/>
    </w:rPr>
  </w:style>
  <w:style w:type="paragraph" w:customStyle="1" w:styleId="NumPar1">
    <w:name w:val="NumPar 1"/>
    <w:basedOn w:val="Nagwek1"/>
    <w:uiPriority w:val="1"/>
    <w:qFormat/>
    <w:pPr>
      <w:keepNext w:val="0"/>
      <w:spacing w:before="0"/>
      <w:outlineLvl w:val="9"/>
    </w:pPr>
    <w:rPr>
      <w:b w:val="0"/>
      <w:smallCaps w:val="0"/>
    </w:rPr>
  </w:style>
  <w:style w:type="paragraph" w:customStyle="1" w:styleId="NumPar2">
    <w:name w:val="NumPar 2"/>
    <w:basedOn w:val="Nagwek2"/>
    <w:uiPriority w:val="1"/>
    <w:qFormat/>
    <w:pPr>
      <w:keepNext w:val="0"/>
      <w:outlineLvl w:val="9"/>
    </w:pPr>
    <w:rPr>
      <w:b w:val="0"/>
    </w:rPr>
  </w:style>
  <w:style w:type="paragraph" w:customStyle="1" w:styleId="NumPar3">
    <w:name w:val="NumPar 3"/>
    <w:basedOn w:val="Nagwek3"/>
    <w:uiPriority w:val="1"/>
    <w:qFormat/>
    <w:pPr>
      <w:keepNext w:val="0"/>
      <w:outlineLvl w:val="9"/>
    </w:pPr>
    <w:rPr>
      <w:i w:val="0"/>
    </w:rPr>
  </w:style>
  <w:style w:type="paragraph" w:customStyle="1" w:styleId="NumPar4">
    <w:name w:val="NumPar 4"/>
    <w:basedOn w:val="Nagwek4"/>
    <w:uiPriority w:val="1"/>
    <w:qFormat/>
    <w:pPr>
      <w:keepNext w:val="0"/>
      <w:outlineLvl w:val="9"/>
    </w:pPr>
  </w:style>
  <w:style w:type="paragraph" w:customStyle="1" w:styleId="Participants">
    <w:name w:val="Participants"/>
    <w:basedOn w:val="Normalny"/>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ny"/>
    <w:uiPriority w:val="1"/>
    <w:pPr>
      <w:ind w:left="5102" w:right="-567"/>
      <w:contextualSpacing/>
      <w:jc w:val="left"/>
    </w:pPr>
    <w:rPr>
      <w:sz w:val="20"/>
    </w:rPr>
  </w:style>
  <w:style w:type="paragraph" w:customStyle="1" w:styleId="Releasable">
    <w:name w:val="Releasable"/>
    <w:basedOn w:val="Normalny"/>
    <w:semiHidden/>
    <w:pPr>
      <w:spacing w:after="0"/>
      <w:jc w:val="center"/>
    </w:pPr>
    <w:rPr>
      <w:b/>
      <w:caps/>
      <w:sz w:val="32"/>
    </w:rPr>
  </w:style>
  <w:style w:type="paragraph" w:customStyle="1" w:styleId="RUE">
    <w:name w:val="RUE"/>
    <w:basedOn w:val="Normalny"/>
    <w:semiHidden/>
    <w:pPr>
      <w:spacing w:after="0"/>
      <w:jc w:val="center"/>
    </w:pPr>
    <w:rPr>
      <w:b/>
      <w:caps/>
      <w:sz w:val="32"/>
      <w:bdr w:val="single" w:sz="18" w:space="0" w:color="auto"/>
    </w:rPr>
  </w:style>
  <w:style w:type="paragraph" w:customStyle="1" w:styleId="SecretUE">
    <w:name w:val="Secret UE"/>
    <w:basedOn w:val="Normalny"/>
    <w:semiHidden/>
    <w:pPr>
      <w:spacing w:after="0"/>
      <w:jc w:val="center"/>
    </w:pPr>
    <w:rPr>
      <w:b/>
      <w:caps/>
      <w:color w:val="FF0000"/>
      <w:sz w:val="32"/>
      <w:bdr w:val="single" w:sz="18" w:space="0" w:color="FF0000"/>
    </w:rPr>
  </w:style>
  <w:style w:type="paragraph" w:styleId="Podpis">
    <w:name w:val="Signature"/>
    <w:basedOn w:val="Normalny"/>
    <w:uiPriority w:val="2"/>
    <w:pPr>
      <w:spacing w:before="1200" w:after="0"/>
      <w:ind w:left="5102"/>
      <w:jc w:val="center"/>
    </w:pPr>
  </w:style>
  <w:style w:type="paragraph" w:customStyle="1" w:styleId="SignatureL">
    <w:name w:val="SignatureL"/>
    <w:basedOn w:val="Normalny"/>
    <w:uiPriority w:val="2"/>
    <w:pPr>
      <w:spacing w:before="1200" w:after="0"/>
      <w:jc w:val="left"/>
    </w:pPr>
  </w:style>
  <w:style w:type="paragraph" w:customStyle="1" w:styleId="Subject">
    <w:name w:val="Subject"/>
    <w:basedOn w:val="Normalny"/>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ny"/>
    <w:next w:val="Normalny"/>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ny"/>
    <w:uiPriority w:val="1"/>
    <w:qFormat/>
    <w:pPr>
      <w:spacing w:before="60" w:after="60"/>
      <w:jc w:val="left"/>
    </w:pPr>
  </w:style>
  <w:style w:type="paragraph" w:customStyle="1" w:styleId="TableTitle">
    <w:name w:val="Table Title"/>
    <w:basedOn w:val="Normalny"/>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ny"/>
    <w:uiPriority w:val="1"/>
    <w:qFormat/>
    <w:pPr>
      <w:ind w:left="482"/>
    </w:pPr>
  </w:style>
  <w:style w:type="paragraph" w:customStyle="1" w:styleId="Text2">
    <w:name w:val="Text 2"/>
    <w:basedOn w:val="Normalny"/>
    <w:uiPriority w:val="1"/>
    <w:qFormat/>
    <w:pPr>
      <w:ind w:left="1077"/>
    </w:pPr>
  </w:style>
  <w:style w:type="paragraph" w:customStyle="1" w:styleId="Text3">
    <w:name w:val="Text 3"/>
    <w:basedOn w:val="Normalny"/>
    <w:uiPriority w:val="1"/>
    <w:qFormat/>
    <w:pPr>
      <w:ind w:left="1916"/>
    </w:pPr>
  </w:style>
  <w:style w:type="paragraph" w:customStyle="1" w:styleId="Text4">
    <w:name w:val="Text 4"/>
    <w:basedOn w:val="Normalny"/>
    <w:uiPriority w:val="1"/>
    <w:qFormat/>
    <w:pPr>
      <w:ind w:left="2880"/>
    </w:pPr>
  </w:style>
  <w:style w:type="paragraph" w:styleId="Tytu">
    <w:name w:val="Title"/>
    <w:basedOn w:val="Normalny"/>
    <w:next w:val="Normalny"/>
    <w:uiPriority w:val="1"/>
    <w:qFormat/>
    <w:pPr>
      <w:spacing w:after="480"/>
      <w:jc w:val="center"/>
    </w:pPr>
    <w:rPr>
      <w:b/>
      <w:kern w:val="28"/>
      <w:sz w:val="48"/>
    </w:rPr>
  </w:style>
  <w:style w:type="paragraph" w:styleId="Spistreci1">
    <w:name w:val="toc 1"/>
    <w:basedOn w:val="Normalny"/>
    <w:next w:val="Normalny"/>
    <w:semiHidden/>
    <w:pPr>
      <w:tabs>
        <w:tab w:val="right" w:leader="dot" w:pos="8640"/>
      </w:tabs>
      <w:spacing w:before="120" w:after="120"/>
      <w:ind w:left="482" w:right="720" w:hanging="482"/>
    </w:p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0"/>
      </w:tabs>
      <w:spacing w:before="60" w:after="60"/>
      <w:ind w:left="2880" w:right="720" w:hanging="964"/>
    </w:pPr>
  </w:style>
  <w:style w:type="paragraph" w:styleId="Spistreci5">
    <w:name w:val="toc 5"/>
    <w:basedOn w:val="Normalny"/>
    <w:next w:val="Normalny"/>
    <w:semiHidden/>
    <w:pPr>
      <w:tabs>
        <w:tab w:val="right" w:leader="dot" w:pos="8640"/>
      </w:tabs>
      <w:spacing w:before="240" w:after="120"/>
      <w:ind w:right="720"/>
    </w:pPr>
    <w:rPr>
      <w:caps/>
    </w:rPr>
  </w:style>
  <w:style w:type="paragraph" w:styleId="Spistreci6">
    <w:name w:val="toc 6"/>
    <w:basedOn w:val="Normalny"/>
    <w:next w:val="Normalny"/>
    <w:semiHidden/>
    <w:pPr>
      <w:tabs>
        <w:tab w:val="right" w:leader="dot" w:pos="8640"/>
        <w:tab w:val="left" w:pos="2880"/>
      </w:tabs>
      <w:spacing w:before="120" w:after="120"/>
      <w:ind w:left="1916" w:right="720" w:hanging="1916"/>
    </w:pPr>
    <w:rPr>
      <w:caps/>
    </w:rPr>
  </w:style>
  <w:style w:type="paragraph" w:styleId="Spistreci7">
    <w:name w:val="toc 7"/>
    <w:basedOn w:val="Normalny"/>
    <w:next w:val="Normalny"/>
    <w:semiHidden/>
    <w:pPr>
      <w:tabs>
        <w:tab w:val="left" w:pos="3685"/>
      </w:tabs>
      <w:spacing w:after="0"/>
      <w:ind w:left="3401" w:hanging="1417"/>
    </w:pPr>
  </w:style>
  <w:style w:type="paragraph" w:styleId="Spistreci8">
    <w:name w:val="toc 8"/>
    <w:basedOn w:val="Normalny"/>
    <w:next w:val="Normalny"/>
    <w:semiHidden/>
    <w:pPr>
      <w:tabs>
        <w:tab w:val="right" w:leader="dot" w:pos="8640"/>
      </w:tabs>
    </w:pPr>
  </w:style>
  <w:style w:type="paragraph" w:styleId="Spistreci9">
    <w:name w:val="toc 9"/>
    <w:basedOn w:val="Normalny"/>
    <w:next w:val="Normalny"/>
    <w:semiHidden/>
    <w:pPr>
      <w:tabs>
        <w:tab w:val="right" w:leader="dot" w:pos="8640"/>
      </w:tabs>
    </w:pPr>
  </w:style>
  <w:style w:type="paragraph" w:styleId="Nagwekspisutreci">
    <w:name w:val="TOC Heading"/>
    <w:basedOn w:val="Normalny"/>
    <w:next w:val="Normalny"/>
    <w:semiHidden/>
    <w:pPr>
      <w:spacing w:before="240"/>
      <w:jc w:val="center"/>
    </w:pPr>
    <w:rPr>
      <w:rFonts w:ascii="Times New Roman Bold" w:hAnsi="Times New Roman Bold"/>
      <w:b/>
      <w:caps/>
    </w:rPr>
  </w:style>
  <w:style w:type="paragraph" w:customStyle="1" w:styleId="TrsSecretUE">
    <w:name w:val="Très Secret UE"/>
    <w:basedOn w:val="Normalny"/>
    <w:semiHidden/>
    <w:pPr>
      <w:spacing w:after="0"/>
      <w:jc w:val="center"/>
    </w:pPr>
    <w:rPr>
      <w:b/>
      <w:caps/>
      <w:color w:val="FF0000"/>
      <w:sz w:val="32"/>
      <w:bdr w:val="single" w:sz="18" w:space="0" w:color="FF0000"/>
    </w:rPr>
  </w:style>
  <w:style w:type="paragraph" w:customStyle="1" w:styleId="YReferences">
    <w:name w:val="YReferences"/>
    <w:basedOn w:val="Normalny"/>
    <w:uiPriority w:val="2"/>
    <w:pPr>
      <w:spacing w:after="480"/>
      <w:ind w:left="1191" w:hanging="1191"/>
      <w:contextualSpacing/>
    </w:pPr>
  </w:style>
  <w:style w:type="paragraph" w:customStyle="1" w:styleId="ZCom">
    <w:name w:val="Z_Com"/>
    <w:basedOn w:val="Normalny"/>
    <w:next w:val="Normalny"/>
    <w:uiPriority w:val="2"/>
    <w:pPr>
      <w:widowControl w:val="0"/>
      <w:spacing w:before="90" w:after="0"/>
      <w:ind w:right="85"/>
      <w:jc w:val="left"/>
    </w:pPr>
  </w:style>
  <w:style w:type="paragraph" w:customStyle="1" w:styleId="ZDGName">
    <w:name w:val="Z_DGName"/>
    <w:basedOn w:val="Normalny"/>
    <w:uiPriority w:val="2"/>
    <w:pPr>
      <w:widowControl w:val="0"/>
      <w:spacing w:after="0"/>
      <w:ind w:right="85"/>
      <w:jc w:val="left"/>
    </w:pPr>
    <w:rPr>
      <w:sz w:val="16"/>
    </w:rPr>
  </w:style>
  <w:style w:type="paragraph" w:customStyle="1" w:styleId="ZFlag">
    <w:name w:val="Z_Flag"/>
    <w:basedOn w:val="Normalny"/>
    <w:next w:val="Normalny"/>
    <w:uiPriority w:val="2"/>
    <w:pPr>
      <w:widowControl w:val="0"/>
      <w:spacing w:after="0"/>
      <w:ind w:right="85"/>
    </w:pPr>
  </w:style>
  <w:style w:type="paragraph" w:styleId="Nagwek">
    <w:name w:val="header"/>
    <w:basedOn w:val="Normalny"/>
    <w:link w:val="NagwekZnak"/>
    <w:uiPriority w:val="2"/>
    <w:pPr>
      <w:tabs>
        <w:tab w:val="center" w:pos="4150"/>
        <w:tab w:val="right" w:pos="8306"/>
      </w:tabs>
      <w:spacing w:after="0"/>
    </w:pPr>
  </w:style>
  <w:style w:type="character" w:customStyle="1" w:styleId="NagwekZnak">
    <w:name w:val="Nagłówek Znak"/>
    <w:basedOn w:val="Domylnaczcionkaakapitu"/>
    <w:link w:val="Nagwek"/>
    <w:uiPriority w:val="2"/>
    <w:rPr>
      <w:sz w:val="24"/>
    </w:rPr>
  </w:style>
  <w:style w:type="table" w:customStyle="1" w:styleId="EurolookClassicBlue">
    <w:name w:val="Eurolook Classic Blue"/>
    <w:basedOn w:val="Standardowy"/>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Standardowy"/>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Standardowy"/>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Standardowy"/>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Standardowy"/>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Standardowy"/>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Standardowy"/>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Standardowy"/>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Standardowy"/>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Standardowy"/>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Standardowy"/>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Standardowy"/>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Standardowy"/>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Standardowy"/>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Standardowy"/>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Standardowy"/>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Standardowy"/>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Standardowy"/>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Standardowy"/>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Standardowy"/>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Standardowy"/>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Standardowy"/>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Standardowy"/>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Standardowy"/>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Standardowy"/>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Standardowy"/>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Standardowy"/>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Standardowy"/>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Standardowy"/>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Standardowy"/>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Standardowy"/>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Standardowy"/>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Standardowy"/>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Standardowy"/>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Standardowy"/>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Standardowy"/>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Standardowy"/>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Standardowy"/>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Standardowy"/>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Standardowy"/>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Standardowy"/>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Standardowy"/>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Standardowy"/>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Standardowy"/>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Standardowy"/>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Standardowy"/>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Standardowy"/>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Standardowy"/>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Standardowy"/>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Standardowy"/>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Standardowy"/>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Standardowy"/>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Standardowy"/>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Standardowy"/>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Standardowy"/>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Standardowy"/>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Standardowy"/>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Standardowy"/>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Standardowy"/>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Standardowy"/>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Ind w:w="-113" w:type="dxa"/>
      <w:tblCellMar>
        <w:left w:w="108" w:type="dxa"/>
        <w:right w:w="108" w:type="dxa"/>
      </w:tblCellMar>
    </w:tblPr>
  </w:style>
  <w:style w:type="table" w:customStyle="1" w:styleId="SignatureTable">
    <w:name w:val="Signature Table"/>
    <w:basedOn w:val="HelperTableBase"/>
    <w:semiHidden/>
    <w:tblPr/>
  </w:style>
  <w:style w:type="table" w:styleId="Tabela-Siatka">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Standardowy"/>
    <w:semiHidden/>
    <w:tblPr>
      <w:tblCellMar>
        <w:left w:w="0" w:type="dxa"/>
        <w:bottom w:w="340" w:type="dxa"/>
        <w:right w:w="0" w:type="dxa"/>
      </w:tblCellMar>
    </w:tblPr>
  </w:style>
  <w:style w:type="character" w:customStyle="1" w:styleId="StopkaZnak">
    <w:name w:val="Stopka Znak"/>
    <w:basedOn w:val="Domylnaczcionkaakapitu"/>
    <w:link w:val="Stopka"/>
    <w:uiPriority w:val="99"/>
    <w:rsid w:val="00564B01"/>
    <w:rPr>
      <w:sz w:val="16"/>
    </w:rPr>
  </w:style>
  <w:style w:type="character" w:customStyle="1" w:styleId="Marker">
    <w:name w:val="Marker"/>
    <w:basedOn w:val="Domylnaczcionkaakapitu"/>
    <w:rsid w:val="00564B01"/>
    <w:rPr>
      <w:color w:val="0000FF"/>
      <w:shd w:val="clear" w:color="auto" w:fill="auto"/>
    </w:rPr>
  </w:style>
  <w:style w:type="paragraph" w:customStyle="1" w:styleId="Pagedecouverture">
    <w:name w:val="Page de couverture"/>
    <w:basedOn w:val="Normalny"/>
    <w:next w:val="Normalny"/>
    <w:rsid w:val="00564B01"/>
    <w:pPr>
      <w:spacing w:after="0"/>
    </w:pPr>
    <w:rPr>
      <w:rFonts w:eastAsiaTheme="minorHAnsi"/>
    </w:rPr>
  </w:style>
  <w:style w:type="paragraph" w:customStyle="1" w:styleId="FooterCoverPage">
    <w:name w:val="Footer Cover Page"/>
    <w:basedOn w:val="Normalny"/>
    <w:link w:val="FooterCoverPageChar"/>
    <w:rsid w:val="00564B01"/>
    <w:pPr>
      <w:tabs>
        <w:tab w:val="center" w:pos="4535"/>
        <w:tab w:val="right" w:pos="9071"/>
        <w:tab w:val="right" w:pos="9921"/>
      </w:tabs>
      <w:spacing w:before="360" w:after="0"/>
      <w:ind w:left="-850" w:right="-850"/>
      <w:jc w:val="left"/>
    </w:pPr>
  </w:style>
  <w:style w:type="character" w:customStyle="1" w:styleId="FooterCoverPageChar">
    <w:name w:val="Footer Cover Page Char"/>
    <w:basedOn w:val="Domylnaczcionkaakapitu"/>
    <w:link w:val="FooterCoverPage"/>
    <w:rsid w:val="00564B01"/>
  </w:style>
  <w:style w:type="paragraph" w:customStyle="1" w:styleId="FooterSensitivity">
    <w:name w:val="Footer Sensitivity"/>
    <w:basedOn w:val="Normalny"/>
    <w:link w:val="FooterSensitivityChar"/>
    <w:rsid w:val="00564B0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omylnaczcionkaakapitu"/>
    <w:link w:val="FooterSensitivity"/>
    <w:rsid w:val="00564B01"/>
    <w:rPr>
      <w:b/>
      <w:sz w:val="32"/>
    </w:rPr>
  </w:style>
  <w:style w:type="paragraph" w:customStyle="1" w:styleId="HeaderCoverPage">
    <w:name w:val="Header Cover Page"/>
    <w:basedOn w:val="Normalny"/>
    <w:link w:val="HeaderCoverPageChar"/>
    <w:rsid w:val="00564B01"/>
    <w:pPr>
      <w:tabs>
        <w:tab w:val="center" w:pos="4535"/>
        <w:tab w:val="right" w:pos="9071"/>
      </w:tabs>
      <w:spacing w:after="120"/>
    </w:pPr>
  </w:style>
  <w:style w:type="character" w:customStyle="1" w:styleId="HeaderCoverPageChar">
    <w:name w:val="Header Cover Page Char"/>
    <w:basedOn w:val="Domylnaczcionkaakapitu"/>
    <w:link w:val="HeaderCoverPage"/>
    <w:rsid w:val="00564B01"/>
  </w:style>
  <w:style w:type="paragraph" w:customStyle="1" w:styleId="HeaderSensitivity">
    <w:name w:val="Header Sensitivity"/>
    <w:basedOn w:val="Normalny"/>
    <w:link w:val="HeaderSensitivityChar"/>
    <w:rsid w:val="00564B01"/>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omylnaczcionkaakapitu"/>
    <w:link w:val="HeaderSensitivity"/>
    <w:rsid w:val="00564B01"/>
    <w:rPr>
      <w:b/>
      <w:sz w:val="32"/>
    </w:rPr>
  </w:style>
  <w:style w:type="paragraph" w:customStyle="1" w:styleId="HeaderSensitivityRight">
    <w:name w:val="Header Sensitivity Right"/>
    <w:basedOn w:val="Normalny"/>
    <w:link w:val="HeaderSensitivityRightChar"/>
    <w:rsid w:val="00564B01"/>
    <w:pPr>
      <w:spacing w:after="120"/>
      <w:jc w:val="right"/>
    </w:pPr>
    <w:rPr>
      <w:sz w:val="28"/>
    </w:rPr>
  </w:style>
  <w:style w:type="character" w:customStyle="1" w:styleId="HeaderSensitivityRightChar">
    <w:name w:val="Header Sensitivity Right Char"/>
    <w:basedOn w:val="Domylnaczcionkaakapitu"/>
    <w:link w:val="HeaderSensitivityRight"/>
    <w:rsid w:val="00564B01"/>
    <w:rPr>
      <w:sz w:val="28"/>
    </w:rPr>
  </w:style>
  <w:style w:type="paragraph" w:styleId="Akapitzlist">
    <w:name w:val="List Paragraph"/>
    <w:basedOn w:val="Normalny"/>
    <w:link w:val="AkapitzlistZnak"/>
    <w:uiPriority w:val="34"/>
    <w:qFormat/>
    <w:locked/>
    <w:rsid w:val="005A4888"/>
    <w:pPr>
      <w:spacing w:after="200" w:line="276" w:lineRule="auto"/>
      <w:ind w:left="720"/>
      <w:contextualSpacing/>
      <w:jc w:val="left"/>
    </w:pPr>
    <w:rPr>
      <w:rFonts w:asciiTheme="minorHAnsi" w:eastAsiaTheme="minorHAnsi" w:hAnsiTheme="minorHAnsi" w:cstheme="minorBidi"/>
      <w:sz w:val="22"/>
    </w:rPr>
  </w:style>
  <w:style w:type="character" w:styleId="Hipercze">
    <w:name w:val="Hyperlink"/>
    <w:basedOn w:val="Domylnaczcionkaakapitu"/>
    <w:uiPriority w:val="99"/>
    <w:unhideWhenUsed/>
    <w:locked/>
    <w:rsid w:val="005A4888"/>
    <w:rPr>
      <w:color w:val="0563C1" w:themeColor="hyperlink"/>
      <w:u w:val="single"/>
    </w:rPr>
  </w:style>
  <w:style w:type="character" w:styleId="Pogrubienie">
    <w:name w:val="Strong"/>
    <w:basedOn w:val="Domylnaczcionkaakapitu"/>
    <w:qFormat/>
    <w:locked/>
    <w:rsid w:val="005A4888"/>
    <w:rPr>
      <w:b/>
    </w:rPr>
  </w:style>
  <w:style w:type="character" w:customStyle="1" w:styleId="normaltextrun">
    <w:name w:val="normaltextrun"/>
    <w:basedOn w:val="Domylnaczcionkaakapitu"/>
    <w:rsid w:val="005A4888"/>
  </w:style>
  <w:style w:type="character" w:customStyle="1" w:styleId="AkapitzlistZnak">
    <w:name w:val="Akapit z listą Znak"/>
    <w:basedOn w:val="Domylnaczcionkaakapitu"/>
    <w:link w:val="Akapitzlist"/>
    <w:uiPriority w:val="34"/>
    <w:qFormat/>
    <w:locked/>
    <w:rsid w:val="005A4888"/>
    <w:rPr>
      <w:rFonts w:asciiTheme="minorHAnsi" w:eastAsiaTheme="minorHAnsi" w:hAnsiTheme="minorHAnsi" w:cstheme="minorBidi"/>
      <w:sz w:val="22"/>
    </w:rPr>
  </w:style>
  <w:style w:type="character" w:customStyle="1" w:styleId="TekstprzypisudolnegoZnak">
    <w:name w:val="Tekst przypisu dolnego Znak"/>
    <w:basedOn w:val="Domylnaczcionkaakapitu"/>
    <w:link w:val="Tekstprzypisudolnego"/>
    <w:uiPriority w:val="99"/>
    <w:rsid w:val="005A4888"/>
    <w:rPr>
      <w:sz w:val="20"/>
    </w:rPr>
  </w:style>
  <w:style w:type="character" w:styleId="Odwoanieprzypisudolnego">
    <w:name w:val="footnote reference"/>
    <w:basedOn w:val="Domylnaczcionkaakapitu"/>
    <w:link w:val="ftrefCharCharCharCharCharCharCharCharChar"/>
    <w:uiPriority w:val="99"/>
    <w:unhideWhenUsed/>
    <w:qFormat/>
    <w:locked/>
    <w:rsid w:val="005A4888"/>
    <w:rPr>
      <w:vertAlign w:val="superscript"/>
    </w:rPr>
  </w:style>
  <w:style w:type="character" w:customStyle="1" w:styleId="eop">
    <w:name w:val="eop"/>
    <w:basedOn w:val="Domylnaczcionkaakapitu"/>
    <w:rsid w:val="005A4888"/>
  </w:style>
  <w:style w:type="paragraph" w:customStyle="1" w:styleId="5Normal">
    <w:name w:val="5 Normal"/>
    <w:rsid w:val="005A4888"/>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styleId="NormalnyWeb">
    <w:name w:val="Normal (Web)"/>
    <w:basedOn w:val="Normalny"/>
    <w:uiPriority w:val="99"/>
    <w:unhideWhenUsed/>
    <w:locked/>
    <w:rsid w:val="005A4888"/>
    <w:pPr>
      <w:spacing w:before="100" w:beforeAutospacing="1" w:after="100" w:afterAutospacing="1"/>
      <w:jc w:val="left"/>
    </w:pPr>
  </w:style>
  <w:style w:type="character" w:styleId="Uwydatnienie">
    <w:name w:val="Emphasis"/>
    <w:basedOn w:val="Domylnaczcionkaakapitu"/>
    <w:qFormat/>
    <w:locked/>
    <w:rsid w:val="005A4888"/>
    <w:rPr>
      <w:i/>
    </w:rPr>
  </w:style>
  <w:style w:type="character" w:customStyle="1" w:styleId="cf01">
    <w:name w:val="cf01"/>
    <w:basedOn w:val="Domylnaczcionkaakapitu"/>
    <w:rsid w:val="005A4888"/>
    <w:rPr>
      <w:rFonts w:ascii="Segoe UI" w:hAnsi="Segoe UI" w:cs="Segoe UI" w:hint="default"/>
      <w:sz w:val="18"/>
    </w:rPr>
  </w:style>
  <w:style w:type="paragraph" w:customStyle="1" w:styleId="ftrefCharCharCharCharCharCharCharCharChar">
    <w:name w:val="ftref Char Char Char Char Char Char Char Char Char"/>
    <w:basedOn w:val="Normalny"/>
    <w:next w:val="Normalny"/>
    <w:link w:val="Odwoanieprzypisudolnego"/>
    <w:uiPriority w:val="99"/>
    <w:rsid w:val="005A4888"/>
    <w:pPr>
      <w:spacing w:after="160" w:line="240" w:lineRule="exact"/>
      <w:jc w:val="left"/>
    </w:pPr>
    <w:rPr>
      <w:vertAlign w:val="superscript"/>
    </w:rPr>
  </w:style>
  <w:style w:type="character" w:customStyle="1" w:styleId="UnresolvedMention1">
    <w:name w:val="Unresolved Mention1"/>
    <w:basedOn w:val="Domylnaczcionkaakapitu"/>
    <w:semiHidden/>
    <w:locked/>
    <w:rsid w:val="00540218"/>
    <w:rPr>
      <w:color w:val="605E5C"/>
      <w:shd w:val="clear" w:color="auto" w:fill="E1DFDD"/>
    </w:rPr>
  </w:style>
  <w:style w:type="character" w:styleId="UyteHipercze">
    <w:name w:val="FollowedHyperlink"/>
    <w:basedOn w:val="Domylnaczcionkaakapitu"/>
    <w:semiHidden/>
    <w:locked/>
    <w:rsid w:val="006A3937"/>
    <w:rPr>
      <w:color w:val="954F72" w:themeColor="followedHyperlink"/>
      <w:u w:val="single"/>
    </w:rPr>
  </w:style>
  <w:style w:type="paragraph" w:styleId="Poprawka">
    <w:name w:val="Revision"/>
    <w:hidden/>
    <w:semiHidden/>
    <w:locked/>
    <w:rsid w:val="007A63AF"/>
  </w:style>
  <w:style w:type="character" w:styleId="Odwoaniedokomentarza">
    <w:name w:val="annotation reference"/>
    <w:basedOn w:val="Domylnaczcionkaakapitu"/>
    <w:semiHidden/>
    <w:locked/>
    <w:rsid w:val="00C33819"/>
    <w:rPr>
      <w:sz w:val="16"/>
    </w:rPr>
  </w:style>
  <w:style w:type="paragraph" w:styleId="Tekstkomentarza">
    <w:name w:val="annotation text"/>
    <w:basedOn w:val="Normalny"/>
    <w:link w:val="TekstkomentarzaZnak"/>
    <w:semiHidden/>
    <w:locked/>
    <w:rsid w:val="003A2584"/>
    <w:rPr>
      <w:sz w:val="20"/>
    </w:rPr>
  </w:style>
  <w:style w:type="character" w:customStyle="1" w:styleId="TekstkomentarzaZnak">
    <w:name w:val="Tekst komentarza Znak"/>
    <w:basedOn w:val="Domylnaczcionkaakapitu"/>
    <w:link w:val="Tekstkomentarza"/>
    <w:semiHidden/>
    <w:qFormat/>
    <w:rsid w:val="00C33819"/>
    <w:rPr>
      <w:sz w:val="20"/>
    </w:rPr>
  </w:style>
  <w:style w:type="paragraph" w:styleId="Tematkomentarza">
    <w:name w:val="annotation subject"/>
    <w:basedOn w:val="Tekstkomentarza"/>
    <w:next w:val="Tekstkomentarza"/>
    <w:link w:val="TematkomentarzaZnak"/>
    <w:semiHidden/>
    <w:locked/>
    <w:rsid w:val="00C33819"/>
    <w:rPr>
      <w:b/>
    </w:rPr>
  </w:style>
  <w:style w:type="character" w:customStyle="1" w:styleId="TematkomentarzaZnak">
    <w:name w:val="Temat komentarza Znak"/>
    <w:basedOn w:val="TekstkomentarzaZnak"/>
    <w:link w:val="Tematkomentarza"/>
    <w:semiHidden/>
    <w:rsid w:val="00C33819"/>
    <w:rPr>
      <w:b/>
      <w:sz w:val="20"/>
    </w:rPr>
  </w:style>
  <w:style w:type="paragraph" w:customStyle="1" w:styleId="pf0">
    <w:name w:val="pf0"/>
    <w:basedOn w:val="Normalny"/>
    <w:rsid w:val="00CD1A64"/>
    <w:pPr>
      <w:spacing w:before="100" w:beforeAutospacing="1" w:after="100" w:afterAutospacing="1"/>
      <w:jc w:val="left"/>
    </w:pPr>
  </w:style>
  <w:style w:type="character" w:customStyle="1" w:styleId="cf11">
    <w:name w:val="cf11"/>
    <w:basedOn w:val="Domylnaczcionkaakapitu"/>
    <w:rsid w:val="005859D0"/>
    <w:rPr>
      <w:rFonts w:ascii="Segoe UI" w:hAnsi="Segoe UI" w:cs="Segoe UI" w:hint="default"/>
      <w:i/>
      <w:sz w:val="18"/>
    </w:rPr>
  </w:style>
  <w:style w:type="paragraph" w:styleId="Tekstdymka">
    <w:name w:val="Balloon Text"/>
    <w:basedOn w:val="Normalny"/>
    <w:link w:val="TekstdymkaZnak"/>
    <w:semiHidden/>
    <w:locked/>
    <w:rsid w:val="007E40DA"/>
    <w:pPr>
      <w:spacing w:after="0"/>
    </w:pPr>
    <w:rPr>
      <w:rFonts w:ascii="Segoe UI" w:hAnsi="Segoe UI" w:cs="Segoe UI"/>
      <w:sz w:val="18"/>
    </w:rPr>
  </w:style>
  <w:style w:type="character" w:customStyle="1" w:styleId="TekstdymkaZnak">
    <w:name w:val="Tekst dymka Znak"/>
    <w:basedOn w:val="Domylnaczcionkaakapitu"/>
    <w:link w:val="Tekstdymka"/>
    <w:semiHidden/>
    <w:rsid w:val="007E40DA"/>
    <w:rPr>
      <w:rFonts w:ascii="Segoe UI" w:hAnsi="Segoe UI" w:cs="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17502">
      <w:bodyDiv w:val="1"/>
      <w:marLeft w:val="0"/>
      <w:marRight w:val="0"/>
      <w:marTop w:val="0"/>
      <w:marBottom w:val="0"/>
      <w:divBdr>
        <w:top w:val="none" w:sz="0" w:space="0" w:color="auto"/>
        <w:left w:val="none" w:sz="0" w:space="0" w:color="auto"/>
        <w:bottom w:val="none" w:sz="0" w:space="0" w:color="auto"/>
        <w:right w:val="none" w:sz="0" w:space="0" w:color="auto"/>
      </w:divBdr>
    </w:div>
    <w:div w:id="913047856">
      <w:bodyDiv w:val="1"/>
      <w:marLeft w:val="0"/>
      <w:marRight w:val="0"/>
      <w:marTop w:val="0"/>
      <w:marBottom w:val="0"/>
      <w:divBdr>
        <w:top w:val="none" w:sz="0" w:space="0" w:color="auto"/>
        <w:left w:val="none" w:sz="0" w:space="0" w:color="auto"/>
        <w:bottom w:val="none" w:sz="0" w:space="0" w:color="auto"/>
        <w:right w:val="none" w:sz="0" w:space="0" w:color="auto"/>
      </w:divBdr>
    </w:div>
    <w:div w:id="1113094340">
      <w:bodyDiv w:val="1"/>
      <w:marLeft w:val="0"/>
      <w:marRight w:val="0"/>
      <w:marTop w:val="0"/>
      <w:marBottom w:val="0"/>
      <w:divBdr>
        <w:top w:val="none" w:sz="0" w:space="0" w:color="auto"/>
        <w:left w:val="none" w:sz="0" w:space="0" w:color="auto"/>
        <w:bottom w:val="none" w:sz="0" w:space="0" w:color="auto"/>
        <w:right w:val="none" w:sz="0" w:space="0" w:color="auto"/>
      </w:divBdr>
    </w:div>
    <w:div w:id="1398673332">
      <w:bodyDiv w:val="1"/>
      <w:marLeft w:val="0"/>
      <w:marRight w:val="0"/>
      <w:marTop w:val="0"/>
      <w:marBottom w:val="0"/>
      <w:divBdr>
        <w:top w:val="none" w:sz="0" w:space="0" w:color="auto"/>
        <w:left w:val="none" w:sz="0" w:space="0" w:color="auto"/>
        <w:bottom w:val="none" w:sz="0" w:space="0" w:color="auto"/>
        <w:right w:val="none" w:sz="0" w:space="0" w:color="auto"/>
      </w:divBdr>
    </w:div>
    <w:div w:id="1587113071">
      <w:bodyDiv w:val="1"/>
      <w:marLeft w:val="0"/>
      <w:marRight w:val="0"/>
      <w:marTop w:val="0"/>
      <w:marBottom w:val="0"/>
      <w:divBdr>
        <w:top w:val="none" w:sz="0" w:space="0" w:color="auto"/>
        <w:left w:val="none" w:sz="0" w:space="0" w:color="auto"/>
        <w:bottom w:val="none" w:sz="0" w:space="0" w:color="auto"/>
        <w:right w:val="none" w:sz="0" w:space="0" w:color="auto"/>
      </w:divBdr>
    </w:div>
    <w:div w:id="1822305802">
      <w:bodyDiv w:val="1"/>
      <w:marLeft w:val="0"/>
      <w:marRight w:val="0"/>
      <w:marTop w:val="0"/>
      <w:marBottom w:val="0"/>
      <w:divBdr>
        <w:top w:val="none" w:sz="0" w:space="0" w:color="auto"/>
        <w:left w:val="none" w:sz="0" w:space="0" w:color="auto"/>
        <w:bottom w:val="none" w:sz="0" w:space="0" w:color="auto"/>
        <w:right w:val="none" w:sz="0" w:space="0" w:color="auto"/>
      </w:divBdr>
    </w:div>
    <w:div w:id="1869677483">
      <w:bodyDiv w:val="1"/>
      <w:marLeft w:val="0"/>
      <w:marRight w:val="0"/>
      <w:marTop w:val="0"/>
      <w:marBottom w:val="0"/>
      <w:divBdr>
        <w:top w:val="none" w:sz="0" w:space="0" w:color="auto"/>
        <w:left w:val="none" w:sz="0" w:space="0" w:color="auto"/>
        <w:bottom w:val="none" w:sz="0" w:space="0" w:color="auto"/>
        <w:right w:val="none" w:sz="0" w:space="0" w:color="auto"/>
      </w:divBdr>
    </w:div>
    <w:div w:id="1935623228">
      <w:bodyDiv w:val="1"/>
      <w:marLeft w:val="0"/>
      <w:marRight w:val="0"/>
      <w:marTop w:val="0"/>
      <w:marBottom w:val="0"/>
      <w:divBdr>
        <w:top w:val="none" w:sz="0" w:space="0" w:color="auto"/>
        <w:left w:val="none" w:sz="0" w:space="0" w:color="auto"/>
        <w:bottom w:val="none" w:sz="0" w:space="0" w:color="auto"/>
        <w:right w:val="none" w:sz="0" w:space="0" w:color="auto"/>
      </w:divBdr>
    </w:div>
    <w:div w:id="2098404728">
      <w:bodyDiv w:val="1"/>
      <w:marLeft w:val="0"/>
      <w:marRight w:val="0"/>
      <w:marTop w:val="0"/>
      <w:marBottom w:val="0"/>
      <w:divBdr>
        <w:top w:val="none" w:sz="0" w:space="0" w:color="auto"/>
        <w:left w:val="none" w:sz="0" w:space="0" w:color="auto"/>
        <w:bottom w:val="none" w:sz="0" w:space="0" w:color="auto"/>
        <w:right w:val="none" w:sz="0" w:space="0" w:color="auto"/>
      </w:divBdr>
    </w:div>
    <w:div w:id="2127305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yperlink" Target="https://eur-lex.europa.eu/eli/dec/2017/46/2017-01-11" TargetMode="External"/><Relationship Id="rId39" Type="http://schemas.openxmlformats.org/officeDocument/2006/relationships/hyperlink" Target="https://citizens-initiative.europa.eu/initiatives/details/2019/000016_pl" TargetMode="External"/><Relationship Id="rId21" Type="http://schemas.openxmlformats.org/officeDocument/2006/relationships/footer" Target="footer3.xml"/><Relationship Id="rId34" Type="http://schemas.openxmlformats.org/officeDocument/2006/relationships/hyperlink" Target="https://eur-lex.europa.eu/legal-content/pl/TXT/?uri=CELEX:62021TJ0158" TargetMode="External"/><Relationship Id="rId42" Type="http://schemas.openxmlformats.org/officeDocument/2006/relationships/hyperlink" Target="https://citizens-initiative.europa.eu/sites/default/files/2023-07/C_2023_4489_1_EN.pdf" TargetMode="External"/><Relationship Id="rId47" Type="http://schemas.openxmlformats.org/officeDocument/2006/relationships/hyperlink" Target="https://citizens-initiative.europa.eu/_pl" TargetMode="External"/><Relationship Id="rId50" Type="http://schemas.openxmlformats.org/officeDocument/2006/relationships/hyperlink" Target="https://eur-lex.europa.eu/eli/reg/2020/1042/oj" TargetMode="External"/><Relationship Id="rId55"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image" Target="media/image2.png"/><Relationship Id="rId33" Type="http://schemas.openxmlformats.org/officeDocument/2006/relationships/hyperlink" Target="https://ec.europa.eu/transparency/documents-register/detail?ref=C(2021)171&amp;lang=pl" TargetMode="External"/><Relationship Id="rId38" Type="http://schemas.openxmlformats.org/officeDocument/2006/relationships/hyperlink" Target="https://citizens-initiative.europa.eu/initiatives/details/2019/000016_pl" TargetMode="External"/><Relationship Id="rId46" Type="http://schemas.openxmlformats.org/officeDocument/2006/relationships/chart" Target="charts/chart1.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eur-lex.europa.eu/eli/reg_impl/2019/1799/oj" TargetMode="External"/><Relationship Id="rId41" Type="http://schemas.openxmlformats.org/officeDocument/2006/relationships/hyperlink" Target="https://citizens-initiative.europa.eu/initiatives/details/2020/000001_pl"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europarl.europa.eu/doceo/document/TA-9-2023-0230_PL.html" TargetMode="External"/><Relationship Id="rId32" Type="http://schemas.openxmlformats.org/officeDocument/2006/relationships/hyperlink" Target="https://www.europarl.europa.eu/doceo/document/TA-9-2020-0370_PL.html" TargetMode="External"/><Relationship Id="rId37" Type="http://schemas.openxmlformats.org/officeDocument/2006/relationships/hyperlink" Target="https://ec.europa.eu/transparency/documents-register/api/files/C(2021)4747_0/090166e5df30600f?rendition=false" TargetMode="External"/><Relationship Id="rId40" Type="http://schemas.openxmlformats.org/officeDocument/2006/relationships/hyperlink" Target="https://ec.europa.eu/transparency/documents-register/api/files/C(2023)2320_0/090166e5fa5e453f?rendition=false" TargetMode="External"/><Relationship Id="rId45" Type="http://schemas.openxmlformats.org/officeDocument/2006/relationships/hyperlink" Target="https://citizens-initiative.europa.eu/initiatives/details/2022/000002_pl" TargetMode="External"/><Relationship Id="rId53" Type="http://schemas.openxmlformats.org/officeDocument/2006/relationships/header" Target="header4.xml"/><Relationship Id="rId58"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https://eur-lex.europa.eu/eli/reg/2011/211/oj" TargetMode="External"/><Relationship Id="rId28" Type="http://schemas.openxmlformats.org/officeDocument/2006/relationships/hyperlink" Target="https://eur-lex.europa.eu/eli/reg/2014/910/oj" TargetMode="External"/><Relationship Id="rId36" Type="http://schemas.openxmlformats.org/officeDocument/2006/relationships/hyperlink" Target="https://www.europarl.europa.eu/doceo/document/TA-9-2021-0295_PL.html" TargetMode="External"/><Relationship Id="rId49" Type="http://schemas.openxmlformats.org/officeDocument/2006/relationships/image" Target="media/image3.png"/><Relationship Id="rId57" Type="http://schemas.openxmlformats.org/officeDocument/2006/relationships/header" Target="header6.xml"/><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hyperlink" Target="https://citizens-initiative.europa.eu/initiatives/details/2017/000004_pl" TargetMode="External"/><Relationship Id="rId44" Type="http://schemas.openxmlformats.org/officeDocument/2006/relationships/hyperlink" Target="https://citizens-initiative.europa.eu/sites/default/files/2023-07/C_2023_5041_EN.pdf" TargetMode="External"/><Relationship Id="rId52" Type="http://schemas.openxmlformats.org/officeDocument/2006/relationships/chart" Target="charts/chart3.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data.europa.eu/eli/reg/2019/788/2020-02-01" TargetMode="External"/><Relationship Id="rId27" Type="http://schemas.openxmlformats.org/officeDocument/2006/relationships/hyperlink" Target="https://eur-lex.europa.eu/eli/reg/2018/1725/oj" TargetMode="External"/><Relationship Id="rId30" Type="http://schemas.openxmlformats.org/officeDocument/2006/relationships/hyperlink" Target="https://citizens-initiative.europa.eu/_pl" TargetMode="External"/><Relationship Id="rId35" Type="http://schemas.openxmlformats.org/officeDocument/2006/relationships/hyperlink" Target="https://citizens-initiative.europa.eu/initiatives/details/2018/000004_pl" TargetMode="External"/><Relationship Id="rId43" Type="http://schemas.openxmlformats.org/officeDocument/2006/relationships/hyperlink" Target="https://citizens-initiative.europa.eu/initiatives/details/2021/000006_pl" TargetMode="External"/><Relationship Id="rId48" Type="http://schemas.openxmlformats.org/officeDocument/2006/relationships/hyperlink" Target="https://citizens-initiative-forum.europa.eu/_pl" TargetMode="External"/><Relationship Id="rId56" Type="http://schemas.openxmlformats.org/officeDocument/2006/relationships/footer" Target="footer5.xml"/><Relationship Id="rId8" Type="http://schemas.openxmlformats.org/officeDocument/2006/relationships/customXml" Target="../customXml/item8.xml"/><Relationship Id="rId51" Type="http://schemas.openxmlformats.org/officeDocument/2006/relationships/chart" Target="charts/chart2.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3" Type="http://schemas.openxmlformats.org/officeDocument/2006/relationships/hyperlink" Target="https://www.europarl.europa.eu/doceo/document/TA-9-2023-0230_PL.html" TargetMode="External"/><Relationship Id="rId18" Type="http://schemas.openxmlformats.org/officeDocument/2006/relationships/hyperlink" Target="https://eur-lex.europa.eu/legal-content/PL/TXT/PDF/?uri=CELEX:52015DC0145&amp;qid=1703838667292" TargetMode="External"/><Relationship Id="rId26" Type="http://schemas.openxmlformats.org/officeDocument/2006/relationships/hyperlink" Target="https://oeil.secure.europarl.europa.eu/oeil/popups/ficheprocedure.do?lang=en&amp;reference=2021/2633(RSP)" TargetMode="External"/><Relationship Id="rId39" Type="http://schemas.openxmlformats.org/officeDocument/2006/relationships/hyperlink" Target="https://citizens-initiative.europa.eu/how-it-works/data-protection_pl" TargetMode="External"/><Relationship Id="rId21" Type="http://schemas.openxmlformats.org/officeDocument/2006/relationships/hyperlink" Target="https://www.europarl.europa.eu/doceo/document/TA-9-2020-0370_PL.html" TargetMode="External"/><Relationship Id="rId34" Type="http://schemas.openxmlformats.org/officeDocument/2006/relationships/hyperlink" Target="https://citizens-initiative.europa.eu/initiatives/details/2021/000006_pl" TargetMode="External"/><Relationship Id="rId42" Type="http://schemas.openxmlformats.org/officeDocument/2006/relationships/hyperlink" Target="https://citizens-initiative.europa.eu/news/citizencentral-podcast_pl" TargetMode="External"/><Relationship Id="rId47" Type="http://schemas.openxmlformats.org/officeDocument/2006/relationships/hyperlink" Target="https://european-union.europa.eu/contact-eu/meet-us_pl" TargetMode="External"/><Relationship Id="rId50" Type="http://schemas.openxmlformats.org/officeDocument/2006/relationships/hyperlink" Target="https://regions-and-cities.europa.eu/" TargetMode="External"/><Relationship Id="rId55" Type="http://schemas.openxmlformats.org/officeDocument/2006/relationships/hyperlink" Target="https://eur-lex.europa.eu/eli/reg/2020/1042/oj" TargetMode="External"/><Relationship Id="rId7" Type="http://schemas.openxmlformats.org/officeDocument/2006/relationships/hyperlink" Target="https://eur-lex.europa.eu/eli/dir/2020/2184/oj" TargetMode="External"/><Relationship Id="rId12" Type="http://schemas.openxmlformats.org/officeDocument/2006/relationships/hyperlink" Target="https://www.bsi.bund.de/DE/Themen/Verbraucherinnen-und-Verbraucher/Leistungen-und-Kooperationen/Europaeische-Buergerinitiative/Archiv-bereits-erteilte-bescheinigungen/erteilte_bescheinigungen_node.html" TargetMode="External"/><Relationship Id="rId17" Type="http://schemas.openxmlformats.org/officeDocument/2006/relationships/hyperlink" Target="https://citizens-initiative.europa.eu/how-it-works/implementation-national-level_pl" TargetMode="External"/><Relationship Id="rId25" Type="http://schemas.openxmlformats.org/officeDocument/2006/relationships/hyperlink" Target="https://citizens-initiative.europa.eu/initiatives/details/2018/000004_pl" TargetMode="External"/><Relationship Id="rId33" Type="http://schemas.openxmlformats.org/officeDocument/2006/relationships/hyperlink" Target="https://citizens-initiative.europa.eu/sites/default/files/2023-07/C_2023_4489_1_EN.pdf" TargetMode="External"/><Relationship Id="rId38" Type="http://schemas.openxmlformats.org/officeDocument/2006/relationships/hyperlink" Target="https://citizens-initiative.europa.eu/how-it-works/faq_pl" TargetMode="External"/><Relationship Id="rId46" Type="http://schemas.openxmlformats.org/officeDocument/2006/relationships/hyperlink" Target="https://citizens-initiative.europa.eu/spread-word/eci-ambassadors_pl" TargetMode="External"/><Relationship Id="rId59" Type="http://schemas.openxmlformats.org/officeDocument/2006/relationships/hyperlink" Target="https://www.eesc.europa.eu/sites/default/files/files/ahg_eci_recommendation_on_eci_functionning_2020-2022_3_2.pdf" TargetMode="External"/><Relationship Id="rId2" Type="http://schemas.openxmlformats.org/officeDocument/2006/relationships/hyperlink" Target="https://eur-lex.europa.eu/eli/reg/2011/211/oj" TargetMode="External"/><Relationship Id="rId16" Type="http://schemas.openxmlformats.org/officeDocument/2006/relationships/hyperlink" Target="https://eur-lex.europa.eu/eli/reg_impl/2019/1799/oj" TargetMode="External"/><Relationship Id="rId20" Type="http://schemas.openxmlformats.org/officeDocument/2006/relationships/hyperlink" Target="https://citizens-initiative.europa.eu/initiatives/details/2017/000004_pl" TargetMode="External"/><Relationship Id="rId29" Type="http://schemas.openxmlformats.org/officeDocument/2006/relationships/hyperlink" Target="https://citizens-initiative.europa.eu/initiatives/details/2019/000016_pl" TargetMode="External"/><Relationship Id="rId41" Type="http://schemas.openxmlformats.org/officeDocument/2006/relationships/hyperlink" Target="https://ec.europa.eu/newsroom/ecif/newsletter-archives/view/service/1501" TargetMode="External"/><Relationship Id="rId54" Type="http://schemas.openxmlformats.org/officeDocument/2006/relationships/hyperlink" Target="https://citizens-initiative-forum.europa.eu/_pl" TargetMode="External"/><Relationship Id="rId1" Type="http://schemas.openxmlformats.org/officeDocument/2006/relationships/hyperlink" Target="http://data.europa.eu/eli/reg/2019/788/2020-02-01" TargetMode="External"/><Relationship Id="rId6" Type="http://schemas.openxmlformats.org/officeDocument/2006/relationships/hyperlink" Target="https://eur-lex.europa.eu/eli/reg/2020/1042/oj" TargetMode="External"/><Relationship Id="rId11" Type="http://schemas.openxmlformats.org/officeDocument/2006/relationships/hyperlink" Target="https://eur-lex.europa.eu/legal-content/PL/TXT/?uri=CELEX%3A52021PC0281" TargetMode="External"/><Relationship Id="rId24" Type="http://schemas.openxmlformats.org/officeDocument/2006/relationships/hyperlink" Target="https://eur-lex.europa.eu/legal-content/pl/TXT/?uri=CELEX:62021TJ0158" TargetMode="External"/><Relationship Id="rId32" Type="http://schemas.openxmlformats.org/officeDocument/2006/relationships/hyperlink" Target="https://citizens-initiative.europa.eu/initiatives/details/2020/000001_pl" TargetMode="External"/><Relationship Id="rId37" Type="http://schemas.openxmlformats.org/officeDocument/2006/relationships/hyperlink" Target="https://citizens-initiative.europa.eu/how-it-works/privacy-policy_pl" TargetMode="External"/><Relationship Id="rId40" Type="http://schemas.openxmlformats.org/officeDocument/2006/relationships/hyperlink" Target="https://citizens-initiative.europa.eu/_pl" TargetMode="External"/><Relationship Id="rId45" Type="http://schemas.openxmlformats.org/officeDocument/2006/relationships/hyperlink" Target="https://citizens-initiative.europa.eu/contact-points-national-level_pl" TargetMode="External"/><Relationship Id="rId53" Type="http://schemas.openxmlformats.org/officeDocument/2006/relationships/hyperlink" Target="https://europa.eu/citizens-initiative/contact-points-national-level_pl" TargetMode="External"/><Relationship Id="rId58" Type="http://schemas.openxmlformats.org/officeDocument/2006/relationships/hyperlink" Target="https://eur-lex.europa.eu/eli/dec_impl/2021/944/oj" TargetMode="External"/><Relationship Id="rId5" Type="http://schemas.openxmlformats.org/officeDocument/2006/relationships/hyperlink" Target="https://citizens-initiative.europa.eu/2023-eci-review_pl" TargetMode="External"/><Relationship Id="rId15" Type="http://schemas.openxmlformats.org/officeDocument/2006/relationships/hyperlink" Target="https://citizens-initiative.europa.eu/sites/default/files/2023-11/Study%20on%20Technical%20Solutions%20for%20Organisers%20of%20European%20Citizens%20Initiatives.pdf" TargetMode="External"/><Relationship Id="rId23" Type="http://schemas.openxmlformats.org/officeDocument/2006/relationships/hyperlink" Target="https://europa.eu/citizens-initiative/initiatives/details/2017/000004/minority-safepack-one-million-signatures-diversity-europe_pl" TargetMode="External"/><Relationship Id="rId28" Type="http://schemas.openxmlformats.org/officeDocument/2006/relationships/hyperlink" Target="https://ec.europa.eu/transparency/documents-register/api/files/C(2021)4747_0/090166e5df30600f?rendition=false" TargetMode="External"/><Relationship Id="rId36" Type="http://schemas.openxmlformats.org/officeDocument/2006/relationships/hyperlink" Target="https://citizens-initiative.europa.eu/initiatives/details/2022/000002_pl" TargetMode="External"/><Relationship Id="rId49" Type="http://schemas.openxmlformats.org/officeDocument/2006/relationships/hyperlink" Target="https://www.eesc.europa.eu/pl/agenda/our-events/events/eci-day-2023" TargetMode="External"/><Relationship Id="rId57" Type="http://schemas.openxmlformats.org/officeDocument/2006/relationships/hyperlink" Target="https://eur-lex.europa.eu/eli/dec_impl/2021/360/oj" TargetMode="External"/><Relationship Id="rId10" Type="http://schemas.openxmlformats.org/officeDocument/2006/relationships/hyperlink" Target="https://eur-lex.europa.eu/eli/reg/2014/910/oj" TargetMode="External"/><Relationship Id="rId19" Type="http://schemas.openxmlformats.org/officeDocument/2006/relationships/hyperlink" Target="https://eur-lex.europa.eu/legal-content/PL/TXT/PDF/?uri=CELEX:52018DC0157" TargetMode="External"/><Relationship Id="rId31" Type="http://schemas.openxmlformats.org/officeDocument/2006/relationships/hyperlink" Target="https://ec.europa.eu/transparency/documents-register/detail?ref=C(2023)2320&amp;lang=pl" TargetMode="External"/><Relationship Id="rId44" Type="http://schemas.openxmlformats.org/officeDocument/2006/relationships/hyperlink" Target="https://citizens-initiative.europa.eu/schools/video-competition_pl" TargetMode="External"/><Relationship Id="rId52" Type="http://schemas.openxmlformats.org/officeDocument/2006/relationships/hyperlink" Target="https://citizens-initiative.europa.eu/_pl" TargetMode="External"/><Relationship Id="rId60" Type="http://schemas.openxmlformats.org/officeDocument/2006/relationships/hyperlink" Target="https://commission.europa.eu/funding-tenders/find-funding/eu-funding-programmes/citizens-equality-rights-and-values-programme_pl" TargetMode="External"/><Relationship Id="rId4" Type="http://schemas.openxmlformats.org/officeDocument/2006/relationships/hyperlink" Target="https://oeil.secure.europarl.europa.eu/oeil/spdoc.do?i=60031&amp;j=0&amp;l=en" TargetMode="External"/><Relationship Id="rId9" Type="http://schemas.openxmlformats.org/officeDocument/2006/relationships/hyperlink" Target="https://citizens-initiative.europa.eu/_pl" TargetMode="External"/><Relationship Id="rId14" Type="http://schemas.openxmlformats.org/officeDocument/2006/relationships/hyperlink" Target="https://eur-lex.europa.eu/eli/reg_impl/2019/1799/oj" TargetMode="External"/><Relationship Id="rId22" Type="http://schemas.openxmlformats.org/officeDocument/2006/relationships/hyperlink" Target="https://ec.europa.eu/transparency/documents-register/api/files/C(2021)171_0/de00000000036104?rendition=false" TargetMode="External"/><Relationship Id="rId27" Type="http://schemas.openxmlformats.org/officeDocument/2006/relationships/hyperlink" Target="https://www.europarl.europa.eu/doceo/document/TA-9-2021-0295_PL.html" TargetMode="External"/><Relationship Id="rId30" Type="http://schemas.openxmlformats.org/officeDocument/2006/relationships/hyperlink" Target="https://www.eesc.europa.eu/pl/our-work/opinions-information-reports/opinions/european-citizens-initiative-save-bees-and-farmers" TargetMode="External"/><Relationship Id="rId35" Type="http://schemas.openxmlformats.org/officeDocument/2006/relationships/hyperlink" Target="https://citizens-initiative.europa.eu/sites/default/files/2023-07/C_2023_5041_EN.pdf" TargetMode="External"/><Relationship Id="rId43" Type="http://schemas.openxmlformats.org/officeDocument/2006/relationships/hyperlink" Target="https://citizens-initiative.europa.eu/schools/eci-educational-toolkit_pl" TargetMode="External"/><Relationship Id="rId48" Type="http://schemas.openxmlformats.org/officeDocument/2006/relationships/hyperlink" Target="https://europeday.europa.eu/european-commission-2023_pl" TargetMode="External"/><Relationship Id="rId56" Type="http://schemas.openxmlformats.org/officeDocument/2006/relationships/hyperlink" Target="https://eur-lex.europa.eu/eli/dec_impl/2020/2200/oj" TargetMode="External"/><Relationship Id="rId8" Type="http://schemas.openxmlformats.org/officeDocument/2006/relationships/hyperlink" Target="https://eur-lex.europa.eu/eli/reg/2019/1381/oj" TargetMode="External"/><Relationship Id="rId51" Type="http://schemas.openxmlformats.org/officeDocument/2006/relationships/hyperlink" Target="https://european-youth-event.europarl.europa.eu/pl/" TargetMode="External"/><Relationship Id="rId3" Type="http://schemas.openxmlformats.org/officeDocument/2006/relationships/hyperlink" Target="https://www.europarl.europa.eu/doceo/document/TA-9-2023-0230_PL.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czernpa\AppData\Local\CATE\DGT\Dossiers\SG\SG-2023-04009\SG-2023-04009-03-00-PL-FLT-00\SG-2023-04009-03-00-EN-SRC-0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zernpa\AppData\Local\CATE\DGT\Dossiers\SG\SG-2023-04009\SG-2023-04009-03-00-PL-FLT-00\SG-2023-04009-03-00-EN-SRC-00.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czernpa\AppData\Local\CATE\DGT\Dossiers\SG\SG-2023-04009\SG-2023-04009-03-00-PL-FLT-00\SG-2023-04009-03-00-EN-SRC-0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'WYKRES 2 – finansowanie'!$D$4</c:f>
              <c:strCache>
                <c:ptCount val="1"/>
                <c:pt idx="0">
                  <c:v>Total</c:v>
                </c:pt>
              </c:strCache>
            </c:strRef>
          </c:tx>
          <c:spPr>
            <a:solidFill>
              <a:schemeClr val="accent1"/>
            </a:solidFill>
            <a:ln>
              <a:solidFill>
                <a:schemeClr val="accent5"/>
              </a:solidFill>
            </a:ln>
            <a:effectLst/>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'WYKRES 2 – finansowanie'!$C$5:$C$10</c:f>
              <c:strCache>
                <c:ptCount val="6"/>
                <c:pt idx="0">
                  <c:v>Nie zgłoszono finansowania</c:v>
                </c:pt>
                <c:pt idx="1">
                  <c:v>Łączna kwota finansowania poniżej 10 000 EUR</c:v>
                </c:pt>
                <c:pt idx="2">
                  <c:v>Łączna kwota finansowania w przedziale od 10 000 do 49 999 EUR</c:v>
                </c:pt>
                <c:pt idx="3">
                  <c:v>Łączna kwota finansowania w przedziale od 50 000 do 99 999 EUR</c:v>
                </c:pt>
                <c:pt idx="4">
                  <c:v>Łączna kwota finansowania w przedziale od 100 000 do 999 999 EUR</c:v>
                </c:pt>
                <c:pt idx="5">
                  <c:v>Łączna kwota finansowania wynoszącą co najmniej 1 000 000 EUR</c:v>
                </c:pt>
              </c:strCache>
            </c:strRef>
          </c:cat>
          <c:val>
            <c:numRef>
              <c:f>'WYKRES 2 – finansowanie'!$D$5:$D$10</c:f>
              <c:numCache>
                <c:formatCode>General</c:formatCode>
                <c:ptCount val="6"/>
                <c:pt idx="0">
                  <c:v>27</c:v>
                </c:pt>
                <c:pt idx="1">
                  <c:v>7</c:v>
                </c:pt>
                <c:pt idx="2">
                  <c:v>8</c:v>
                </c:pt>
                <c:pt idx="3">
                  <c:v>4</c:v>
                </c:pt>
                <c:pt idx="4">
                  <c:v>8</c:v>
                </c:pt>
                <c:pt idx="5">
                  <c:v>2</c:v>
                </c:pt>
              </c:numCache>
            </c:numRef>
          </c:val>
          <c:extLst>
            <c:ext xmlns:c16="http://schemas.microsoft.com/office/drawing/2014/chart" uri="{C3380CC4-5D6E-409C-BE32-E72D297353CC}">
              <c16:uniqueId val="{00000000-488C-4A55-B3EC-AAAF4201E74E}"/>
            </c:ext>
          </c:extLst>
        </c:ser>
        <c:dLbls>
          <c:showLegendKey val="0"/>
          <c:showVal val="0"/>
          <c:showCatName val="0"/>
          <c:showSerName val="0"/>
          <c:showPercent val="0"/>
          <c:showBubbleSize val="0"/>
        </c:dLbls>
        <c:gapWidth val="102"/>
        <c:axId val="1069434943"/>
        <c:axId val="1"/>
      </c:barChart>
      <c:catAx>
        <c:axId val="1069434943"/>
        <c:scaling>
          <c:orientation val="minMax"/>
        </c:scaling>
        <c:delete val="0"/>
        <c:axPos val="l"/>
        <c:numFmt formatCode="General" sourceLinked="1"/>
        <c:majorTickMark val="out"/>
        <c:minorTickMark val="none"/>
        <c:tickLblPos val="nextTo"/>
        <c:spPr>
          <a:solidFill>
            <a:schemeClr val="bg1"/>
          </a:solid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50000"/>
                    <a:lumOff val="50000"/>
                  </a:schemeClr>
                </a:solidFill>
                <a:latin typeface="+mn-lt"/>
                <a:ea typeface="+mn-ea"/>
                <a:cs typeface="+mn-cs"/>
              </a:defRPr>
            </a:pPr>
            <a:endParaRPr lang="pl-PL"/>
          </a:p>
        </c:txPr>
        <c:crossAx val="1"/>
        <c:crosses val="autoZero"/>
        <c:auto val="1"/>
        <c:lblAlgn val="ctr"/>
        <c:lblOffset val="100"/>
        <c:noMultiLvlLbl val="0"/>
      </c:catAx>
      <c:valAx>
        <c:axId val="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
                  <a:t>Liczba inicjatyw</a:t>
                </a:r>
                <a:endParaRPr lang="en-IE"/>
              </a:p>
            </c:rich>
          </c:tx>
          <c:overlay val="0"/>
          <c:spPr>
            <a:noFill/>
            <a:ln w="25400">
              <a:noFill/>
            </a:ln>
          </c:spPr>
        </c:title>
        <c:numFmt formatCode="General" sourceLinked="1"/>
        <c:majorTickMark val="out"/>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069434943"/>
        <c:crosses val="autoZero"/>
        <c:crossBetween val="between"/>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tx1">
                    <a:lumMod val="50000"/>
                    <a:lumOff val="50000"/>
                  </a:schemeClr>
                </a:solidFill>
                <a:latin typeface="+mn-lt"/>
                <a:ea typeface="+mn-ea"/>
                <a:cs typeface="+mn-cs"/>
              </a:defRPr>
            </a:pPr>
            <a:endParaRPr lang="en-IE"/>
          </a:p>
        </c:rich>
      </c:tx>
      <c:layout>
        <c:manualLayout>
          <c:xMode val="edge"/>
          <c:yMode val="edge"/>
          <c:x val="9.8381925232318937E-2"/>
          <c:y val="1.605032903821154E-2"/>
        </c:manualLayout>
      </c:layout>
      <c:overlay val="0"/>
      <c:spPr>
        <a:noFill/>
        <a:ln w="25400">
          <a:noFill/>
        </a:ln>
      </c:spPr>
    </c:title>
    <c:autoTitleDeleted val="0"/>
    <c:plotArea>
      <c:layout/>
      <c:barChart>
        <c:barDir val="bar"/>
        <c:grouping val="clustered"/>
        <c:varyColors val="0"/>
        <c:ser>
          <c:idx val="0"/>
          <c:order val="0"/>
          <c:tx>
            <c:strRef>
              <c:f>'WYKRESY 1 i 4 – obywatelstwomi'!$C$2</c:f>
              <c:strCache>
                <c:ptCount val="1"/>
                <c:pt idx="0">
                  <c:v>Miejsce zamieszkania</c:v>
                </c:pt>
              </c:strCache>
            </c:strRef>
          </c:tx>
          <c:spPr>
            <a:solidFill>
              <a:schemeClr val="bg2">
                <a:lumMod val="75000"/>
              </a:schemeClr>
            </a:solidFill>
            <a:ln>
              <a:noFill/>
            </a:ln>
            <a:effectLst/>
          </c:spPr>
          <c:invertIfNegative val="0"/>
          <c:dLbls>
            <c:dLbl>
              <c:idx val="0"/>
              <c:layout>
                <c:manualLayout>
                  <c:x val="-7.5627868589669541E-3"/>
                  <c:y val="-1.7306265554150929E-3"/>
                </c:manualLayout>
              </c:layout>
              <c:spPr>
                <a:noFill/>
                <a:ln w="25400">
                  <a:noFill/>
                </a:ln>
              </c:spPr>
              <c:txPr>
                <a:bodyPr/>
                <a:lstStyle/>
                <a:p>
                  <a:pPr>
                    <a:defRPr sz="900" b="0" i="0" u="none" strike="noStrike" baseline="0">
                      <a:solidFill>
                        <a:srgbClr val="808080"/>
                      </a:solidFill>
                      <a:latin typeface="Calibri"/>
                      <a:ea typeface="Calibri"/>
                      <a:cs typeface="Calibri"/>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0D-4A7A-B195-6AE9F65C4176}"/>
                </c:ext>
              </c:extLst>
            </c:dLbl>
            <c:dLbl>
              <c:idx val="1"/>
              <c:layout>
                <c:manualLayout>
                  <c:x val="-7.5379063476226646E-3"/>
                  <c:y val="-1.2727191876871313E-16"/>
                </c:manualLayout>
              </c:layout>
              <c:spPr>
                <a:noFill/>
                <a:ln w="25400">
                  <a:noFill/>
                </a:ln>
              </c:spPr>
              <c:txPr>
                <a:bodyPr/>
                <a:lstStyle/>
                <a:p>
                  <a:pPr>
                    <a:defRPr sz="900" b="0" i="0" u="none" strike="noStrike" baseline="0">
                      <a:solidFill>
                        <a:srgbClr val="808080"/>
                      </a:solidFill>
                      <a:latin typeface="Calibri"/>
                      <a:ea typeface="Calibri"/>
                      <a:cs typeface="Calibri"/>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0D-4A7A-B195-6AE9F65C4176}"/>
                </c:ext>
              </c:extLst>
            </c:dLbl>
            <c:spPr>
              <a:noFill/>
              <a:ln w="25400">
                <a:noFill/>
              </a:ln>
            </c:spPr>
            <c:txPr>
              <a:bodyPr wrap="square" lIns="38100" tIns="19050" rIns="38100" bIns="19050" anchor="ctr">
                <a:spAutoFit/>
              </a:bodyPr>
              <a:lstStyle/>
              <a:p>
                <a:pPr>
                  <a:defRPr sz="900" b="0" i="0" u="none" strike="noStrike" baseline="0">
                    <a:solidFill>
                      <a:srgbClr val="FFFFFF"/>
                    </a:solidFill>
                    <a:latin typeface="Calibri"/>
                    <a:ea typeface="Calibri"/>
                    <a:cs typeface="Calibri"/>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'WYKRESY 1 i 4 – obywatelstwomi'!$B$3:$B$29</c:f>
              <c:strCache>
                <c:ptCount val="27"/>
                <c:pt idx="0">
                  <c:v>Cypr</c:v>
                </c:pt>
                <c:pt idx="1">
                  <c:v>Malta</c:v>
                </c:pt>
                <c:pt idx="2">
                  <c:v>Estonia</c:v>
                </c:pt>
                <c:pt idx="3">
                  <c:v>Luksemburg</c:v>
                </c:pt>
                <c:pt idx="4">
                  <c:v>Łotwa</c:v>
                </c:pt>
                <c:pt idx="5">
                  <c:v>Litwa</c:v>
                </c:pt>
                <c:pt idx="6">
                  <c:v>Słowacja</c:v>
                </c:pt>
                <c:pt idx="7">
                  <c:v>Bułgaria</c:v>
                </c:pt>
                <c:pt idx="8">
                  <c:v>Chorwacja</c:v>
                </c:pt>
                <c:pt idx="9">
                  <c:v>Słowenia</c:v>
                </c:pt>
                <c:pt idx="10">
                  <c:v>Czechy</c:v>
                </c:pt>
                <c:pt idx="11">
                  <c:v>Grecja</c:v>
                </c:pt>
                <c:pt idx="12">
                  <c:v>Austria</c:v>
                </c:pt>
                <c:pt idx="13">
                  <c:v>Szwecja</c:v>
                </c:pt>
                <c:pt idx="14">
                  <c:v>Dania</c:v>
                </c:pt>
                <c:pt idx="15">
                  <c:v>Irlandia</c:v>
                </c:pt>
                <c:pt idx="16">
                  <c:v>Finlandia</c:v>
                </c:pt>
                <c:pt idx="17">
                  <c:v>Polska</c:v>
                </c:pt>
                <c:pt idx="18">
                  <c:v>Węgry</c:v>
                </c:pt>
                <c:pt idx="19">
                  <c:v>Niderlandy</c:v>
                </c:pt>
                <c:pt idx="20">
                  <c:v>Portugalia</c:v>
                </c:pt>
                <c:pt idx="21">
                  <c:v>Rumunia</c:v>
                </c:pt>
                <c:pt idx="22">
                  <c:v>Belgia</c:v>
                </c:pt>
                <c:pt idx="23">
                  <c:v>Hiszpania</c:v>
                </c:pt>
                <c:pt idx="24">
                  <c:v>Francja</c:v>
                </c:pt>
                <c:pt idx="25">
                  <c:v>Niemcy</c:v>
                </c:pt>
                <c:pt idx="26">
                  <c:v>Włochy</c:v>
                </c:pt>
              </c:strCache>
            </c:strRef>
          </c:cat>
          <c:val>
            <c:numRef>
              <c:f>'WYKRESY 1 i 4 – obywatelstwomi'!$C$3:$C$29</c:f>
              <c:numCache>
                <c:formatCode>#0</c:formatCode>
                <c:ptCount val="27"/>
                <c:pt idx="0">
                  <c:v>1</c:v>
                </c:pt>
                <c:pt idx="1">
                  <c:v>1</c:v>
                </c:pt>
                <c:pt idx="2">
                  <c:v>2</c:v>
                </c:pt>
                <c:pt idx="3">
                  <c:v>3</c:v>
                </c:pt>
                <c:pt idx="4">
                  <c:v>3</c:v>
                </c:pt>
                <c:pt idx="5">
                  <c:v>3</c:v>
                </c:pt>
                <c:pt idx="6">
                  <c:v>6</c:v>
                </c:pt>
                <c:pt idx="7">
                  <c:v>6</c:v>
                </c:pt>
                <c:pt idx="8">
                  <c:v>6</c:v>
                </c:pt>
                <c:pt idx="9">
                  <c:v>6</c:v>
                </c:pt>
                <c:pt idx="10">
                  <c:v>7</c:v>
                </c:pt>
                <c:pt idx="11">
                  <c:v>7</c:v>
                </c:pt>
                <c:pt idx="12">
                  <c:v>10</c:v>
                </c:pt>
                <c:pt idx="13">
                  <c:v>11</c:v>
                </c:pt>
                <c:pt idx="14">
                  <c:v>8</c:v>
                </c:pt>
                <c:pt idx="15">
                  <c:v>10</c:v>
                </c:pt>
                <c:pt idx="16">
                  <c:v>9</c:v>
                </c:pt>
                <c:pt idx="17">
                  <c:v>11</c:v>
                </c:pt>
                <c:pt idx="18">
                  <c:v>10</c:v>
                </c:pt>
                <c:pt idx="19">
                  <c:v>17</c:v>
                </c:pt>
                <c:pt idx="20">
                  <c:v>11</c:v>
                </c:pt>
                <c:pt idx="21">
                  <c:v>10</c:v>
                </c:pt>
                <c:pt idx="22">
                  <c:v>29</c:v>
                </c:pt>
                <c:pt idx="23">
                  <c:v>25</c:v>
                </c:pt>
                <c:pt idx="24">
                  <c:v>28</c:v>
                </c:pt>
                <c:pt idx="25">
                  <c:v>31</c:v>
                </c:pt>
                <c:pt idx="26">
                  <c:v>35</c:v>
                </c:pt>
              </c:numCache>
            </c:numRef>
          </c:val>
          <c:extLst>
            <c:ext xmlns:c16="http://schemas.microsoft.com/office/drawing/2014/chart" uri="{C3380CC4-5D6E-409C-BE32-E72D297353CC}">
              <c16:uniqueId val="{00000002-710D-4A7A-B195-6AE9F65C4176}"/>
            </c:ext>
          </c:extLst>
        </c:ser>
        <c:ser>
          <c:idx val="1"/>
          <c:order val="1"/>
          <c:tx>
            <c:strRef>
              <c:f>'WYKRESY 1 i 4 – obywatelstwomi'!$D$2</c:f>
              <c:strCache>
                <c:ptCount val="1"/>
                <c:pt idx="0">
                  <c:v>Obywatelstwo</c:v>
                </c:pt>
              </c:strCache>
            </c:strRef>
          </c:tx>
          <c:spPr>
            <a:solidFill>
              <a:schemeClr val="accent1"/>
            </a:solidFill>
            <a:ln w="25400">
              <a:noFill/>
            </a:ln>
          </c:spPr>
          <c:invertIfNegative val="0"/>
          <c:dLbls>
            <c:dLbl>
              <c:idx val="0"/>
              <c:layout>
                <c:manualLayout>
                  <c:x val="-7.5659857818540744E-3"/>
                  <c:y val="-1.2727191876871313E-16"/>
                </c:manualLayout>
              </c:layout>
              <c:spPr>
                <a:noFill/>
                <a:ln w="25400">
                  <a:noFill/>
                </a:ln>
              </c:spPr>
              <c:txPr>
                <a:bodyPr/>
                <a:lstStyle/>
                <a:p>
                  <a:pPr>
                    <a:defRPr sz="900" b="0" i="0" u="none" strike="noStrike" baseline="0">
                      <a:solidFill>
                        <a:srgbClr val="808080"/>
                      </a:solidFill>
                      <a:latin typeface="Calibri"/>
                      <a:ea typeface="Calibri"/>
                      <a:cs typeface="Calibri"/>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10D-4A7A-B195-6AE9F65C4176}"/>
                </c:ext>
              </c:extLst>
            </c:dLbl>
            <c:dLbl>
              <c:idx val="1"/>
              <c:layout>
                <c:manualLayout>
                  <c:x val="-7.5167579129800767E-3"/>
                  <c:y val="-1.2727191876871313E-16"/>
                </c:manualLayout>
              </c:layout>
              <c:spPr>
                <a:noFill/>
                <a:ln w="25400">
                  <a:noFill/>
                </a:ln>
              </c:spPr>
              <c:txPr>
                <a:bodyPr/>
                <a:lstStyle/>
                <a:p>
                  <a:pPr>
                    <a:defRPr sz="900" b="0" i="0" u="none" strike="noStrike" baseline="0">
                      <a:solidFill>
                        <a:srgbClr val="808080"/>
                      </a:solidFill>
                      <a:latin typeface="Calibri"/>
                      <a:ea typeface="Calibri"/>
                      <a:cs typeface="Calibri"/>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10D-4A7A-B195-6AE9F65C4176}"/>
                </c:ext>
              </c:extLst>
            </c:dLbl>
            <c:spPr>
              <a:noFill/>
              <a:ln w="25400">
                <a:noFill/>
              </a:ln>
            </c:spPr>
            <c:txPr>
              <a:bodyPr wrap="square" lIns="38100" tIns="19050" rIns="38100" bIns="19050" anchor="ctr">
                <a:spAutoFit/>
              </a:bodyPr>
              <a:lstStyle/>
              <a:p>
                <a:pPr>
                  <a:defRPr sz="900" b="0" i="0" u="none" strike="noStrike" baseline="0">
                    <a:solidFill>
                      <a:srgbClr val="FFFFFF"/>
                    </a:solidFill>
                    <a:latin typeface="Calibri"/>
                    <a:ea typeface="Calibri"/>
                    <a:cs typeface="Calibri"/>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'WYKRESY 1 i 4 – obywatelstwomi'!$B$3:$B$29</c:f>
              <c:strCache>
                <c:ptCount val="27"/>
                <c:pt idx="0">
                  <c:v>Cypr</c:v>
                </c:pt>
                <c:pt idx="1">
                  <c:v>Malta</c:v>
                </c:pt>
                <c:pt idx="2">
                  <c:v>Estonia</c:v>
                </c:pt>
                <c:pt idx="3">
                  <c:v>Luksemburg</c:v>
                </c:pt>
                <c:pt idx="4">
                  <c:v>Łotwa</c:v>
                </c:pt>
                <c:pt idx="5">
                  <c:v>Litwa</c:v>
                </c:pt>
                <c:pt idx="6">
                  <c:v>Słowacja</c:v>
                </c:pt>
                <c:pt idx="7">
                  <c:v>Bułgaria</c:v>
                </c:pt>
                <c:pt idx="8">
                  <c:v>Chorwacja</c:v>
                </c:pt>
                <c:pt idx="9">
                  <c:v>Słowenia</c:v>
                </c:pt>
                <c:pt idx="10">
                  <c:v>Czechy</c:v>
                </c:pt>
                <c:pt idx="11">
                  <c:v>Grecja</c:v>
                </c:pt>
                <c:pt idx="12">
                  <c:v>Austria</c:v>
                </c:pt>
                <c:pt idx="13">
                  <c:v>Szwecja</c:v>
                </c:pt>
                <c:pt idx="14">
                  <c:v>Dania</c:v>
                </c:pt>
                <c:pt idx="15">
                  <c:v>Irlandia</c:v>
                </c:pt>
                <c:pt idx="16">
                  <c:v>Finlandia</c:v>
                </c:pt>
                <c:pt idx="17">
                  <c:v>Polska</c:v>
                </c:pt>
                <c:pt idx="18">
                  <c:v>Węgry</c:v>
                </c:pt>
                <c:pt idx="19">
                  <c:v>Niderlandy</c:v>
                </c:pt>
                <c:pt idx="20">
                  <c:v>Portugalia</c:v>
                </c:pt>
                <c:pt idx="21">
                  <c:v>Rumunia</c:v>
                </c:pt>
                <c:pt idx="22">
                  <c:v>Belgia</c:v>
                </c:pt>
                <c:pt idx="23">
                  <c:v>Hiszpania</c:v>
                </c:pt>
                <c:pt idx="24">
                  <c:v>Francja</c:v>
                </c:pt>
                <c:pt idx="25">
                  <c:v>Niemcy</c:v>
                </c:pt>
                <c:pt idx="26">
                  <c:v>Włochy</c:v>
                </c:pt>
              </c:strCache>
            </c:strRef>
          </c:cat>
          <c:val>
            <c:numRef>
              <c:f>'WYKRESY 1 i 4 – obywatelstwomi'!$D$3:$D$29</c:f>
              <c:numCache>
                <c:formatCode>#0</c:formatCode>
                <c:ptCount val="27"/>
                <c:pt idx="0">
                  <c:v>1</c:v>
                </c:pt>
                <c:pt idx="1">
                  <c:v>1</c:v>
                </c:pt>
                <c:pt idx="2">
                  <c:v>2</c:v>
                </c:pt>
                <c:pt idx="3">
                  <c:v>2</c:v>
                </c:pt>
                <c:pt idx="4">
                  <c:v>3</c:v>
                </c:pt>
                <c:pt idx="5">
                  <c:v>3</c:v>
                </c:pt>
                <c:pt idx="6">
                  <c:v>4</c:v>
                </c:pt>
                <c:pt idx="7">
                  <c:v>6</c:v>
                </c:pt>
                <c:pt idx="8">
                  <c:v>6</c:v>
                </c:pt>
                <c:pt idx="9">
                  <c:v>6</c:v>
                </c:pt>
                <c:pt idx="10">
                  <c:v>6</c:v>
                </c:pt>
                <c:pt idx="11">
                  <c:v>6</c:v>
                </c:pt>
                <c:pt idx="12">
                  <c:v>6</c:v>
                </c:pt>
                <c:pt idx="13">
                  <c:v>6</c:v>
                </c:pt>
                <c:pt idx="14">
                  <c:v>7</c:v>
                </c:pt>
                <c:pt idx="15">
                  <c:v>8</c:v>
                </c:pt>
                <c:pt idx="16">
                  <c:v>9</c:v>
                </c:pt>
                <c:pt idx="17">
                  <c:v>11</c:v>
                </c:pt>
                <c:pt idx="18">
                  <c:v>12</c:v>
                </c:pt>
                <c:pt idx="19">
                  <c:v>17</c:v>
                </c:pt>
                <c:pt idx="20">
                  <c:v>18</c:v>
                </c:pt>
                <c:pt idx="21">
                  <c:v>19</c:v>
                </c:pt>
                <c:pt idx="22">
                  <c:v>19</c:v>
                </c:pt>
                <c:pt idx="23">
                  <c:v>21</c:v>
                </c:pt>
                <c:pt idx="24">
                  <c:v>28</c:v>
                </c:pt>
                <c:pt idx="25">
                  <c:v>31</c:v>
                </c:pt>
                <c:pt idx="26">
                  <c:v>48</c:v>
                </c:pt>
              </c:numCache>
            </c:numRef>
          </c:val>
          <c:extLst>
            <c:ext xmlns:c16="http://schemas.microsoft.com/office/drawing/2014/chart" uri="{C3380CC4-5D6E-409C-BE32-E72D297353CC}">
              <c16:uniqueId val="{00000005-710D-4A7A-B195-6AE9F65C4176}"/>
            </c:ext>
          </c:extLst>
        </c:ser>
        <c:dLbls>
          <c:showLegendKey val="0"/>
          <c:showVal val="0"/>
          <c:showCatName val="0"/>
          <c:showSerName val="0"/>
          <c:showPercent val="0"/>
          <c:showBubbleSize val="0"/>
        </c:dLbls>
        <c:gapWidth val="37"/>
        <c:axId val="1163235983"/>
        <c:axId val="1"/>
      </c:barChart>
      <c:catAx>
        <c:axId val="116323598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808080"/>
                </a:solidFill>
                <a:latin typeface="Calibri"/>
                <a:ea typeface="Calibri"/>
                <a:cs typeface="Calibri"/>
              </a:defRPr>
            </a:pPr>
            <a:endParaRPr lang="pl-PL"/>
          </a:p>
        </c:txPr>
        <c:crossAx val="1"/>
        <c:crosses val="autoZero"/>
        <c:auto val="1"/>
        <c:lblAlgn val="ctr"/>
        <c:lblOffset val="100"/>
        <c:noMultiLvlLbl val="0"/>
      </c:catAx>
      <c:valAx>
        <c:axId val="1"/>
        <c:scaling>
          <c:orientation val="minMax"/>
        </c:scaling>
        <c:delete val="0"/>
        <c:axPos val="b"/>
        <c:title>
          <c:tx>
            <c:rich>
              <a:bodyPr/>
              <a:lstStyle/>
              <a:p>
                <a:pPr>
                  <a:defRPr sz="1000" b="0" i="0" u="none" strike="noStrike" baseline="0">
                    <a:solidFill>
                      <a:srgbClr val="808080"/>
                    </a:solidFill>
                    <a:latin typeface="Calibri"/>
                    <a:ea typeface="Calibri"/>
                    <a:cs typeface="Calibri"/>
                  </a:defRPr>
                </a:pPr>
                <a:r>
                  <a:rPr lang="pl"/>
                  <a:t>Liczba organizatorów</a:t>
                </a:r>
              </a:p>
            </c:rich>
          </c:tx>
          <c:overlay val="0"/>
          <c:spPr>
            <a:noFill/>
            <a:ln w="25400">
              <a:noFill/>
            </a:ln>
          </c:spPr>
        </c:title>
        <c:numFmt formatCode="#0" sourceLinked="1"/>
        <c:majorTickMark val="none"/>
        <c:minorTickMark val="none"/>
        <c:tickLblPos val="nextTo"/>
        <c:spPr>
          <a:ln w="6350">
            <a:noFill/>
          </a:ln>
        </c:spPr>
        <c:txPr>
          <a:bodyPr rot="0" vert="horz"/>
          <a:lstStyle/>
          <a:p>
            <a:pPr>
              <a:defRPr sz="900" b="0" i="0" u="none" strike="noStrike" baseline="0">
                <a:solidFill>
                  <a:srgbClr val="808080"/>
                </a:solidFill>
                <a:latin typeface="Calibri"/>
                <a:ea typeface="Calibri"/>
                <a:cs typeface="Calibri"/>
              </a:defRPr>
            </a:pPr>
            <a:endParaRPr lang="pl-PL"/>
          </a:p>
        </c:txPr>
        <c:crossAx val="1163235983"/>
        <c:crosses val="autoZero"/>
        <c:crossBetween val="between"/>
      </c:valAx>
      <c:spPr>
        <a:noFill/>
        <a:ln w="25400">
          <a:noFill/>
        </a:ln>
      </c:spPr>
    </c:plotArea>
    <c:legend>
      <c:legendPos val="r"/>
      <c:layout>
        <c:manualLayout>
          <c:xMode val="edge"/>
          <c:yMode val="edge"/>
          <c:x val="0.13997083529213736"/>
          <c:y val="1.0349623263511401E-2"/>
          <c:w val="0.74252981872770629"/>
          <c:h val="2.5874058158778503E-2"/>
        </c:manualLayout>
      </c:layout>
      <c:overlay val="0"/>
      <c:spPr>
        <a:noFill/>
        <a:ln w="25400">
          <a:noFill/>
        </a:ln>
      </c:spPr>
      <c:txPr>
        <a:bodyPr/>
        <a:lstStyle/>
        <a:p>
          <a:pPr>
            <a:defRPr sz="825" b="0" i="0" u="none" strike="noStrike" baseline="0">
              <a:solidFill>
                <a:srgbClr val="808080"/>
              </a:solidFill>
              <a:latin typeface="Calibri"/>
              <a:ea typeface="Calibri"/>
              <a:cs typeface="Calibri"/>
            </a:defRPr>
          </a:pPr>
          <a:endParaRPr lang="pl-PL"/>
        </a:p>
      </c:txPr>
    </c:legend>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808080"/>
          </a:solidFill>
          <a:latin typeface="Calibri"/>
          <a:ea typeface="Calibri"/>
          <a:cs typeface="Calibri"/>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50000"/>
                    <a:lumOff val="50000"/>
                  </a:schemeClr>
                </a:solidFill>
                <a:latin typeface="+mn-lt"/>
                <a:ea typeface="+mn-ea"/>
                <a:cs typeface="+mn-cs"/>
              </a:defRPr>
            </a:pPr>
            <a:r>
              <a:rPr lang="pl">
                <a:solidFill>
                  <a:schemeClr val="tx1">
                    <a:lumMod val="50000"/>
                    <a:lumOff val="50000"/>
                  </a:schemeClr>
                </a:solidFill>
              </a:rPr>
              <a:t>ROZKŁAD CZŁONKÓW INICJATYW ZE WZGLĘDU NA WIEK</a:t>
            </a:r>
          </a:p>
        </c:rich>
      </c:tx>
      <c:layout>
        <c:manualLayout>
          <c:xMode val="edge"/>
          <c:yMode val="edge"/>
          <c:x val="0.25603687300230782"/>
          <c:y val="4.1174026958889776E-2"/>
        </c:manualLayout>
      </c:layout>
      <c:overlay val="0"/>
      <c:spPr>
        <a:noFill/>
        <a:ln w="25400">
          <a:noFill/>
        </a:ln>
        <a:effectLst/>
      </c:spPr>
      <c:txPr>
        <a:bodyPr rot="0" spcFirstLastPara="1" vertOverflow="ellipsis" vert="horz" wrap="square" anchor="ctr" anchorCtr="1"/>
        <a:lstStyle/>
        <a:p>
          <a:pPr>
            <a:defRPr sz="1400" b="0" i="0" u="none" strike="noStrike" kern="1200" spc="0" baseline="0">
              <a:solidFill>
                <a:schemeClr val="tx1">
                  <a:lumMod val="50000"/>
                  <a:lumOff val="50000"/>
                </a:schemeClr>
              </a:solidFill>
              <a:latin typeface="+mn-lt"/>
              <a:ea typeface="+mn-ea"/>
              <a:cs typeface="+mn-cs"/>
            </a:defRPr>
          </a:pPr>
          <a:endParaRPr lang="pl-PL"/>
        </a:p>
      </c:txPr>
    </c:title>
    <c:autoTitleDeleted val="0"/>
    <c:plotArea>
      <c:layout>
        <c:manualLayout>
          <c:layoutTarget val="inner"/>
          <c:xMode val="edge"/>
          <c:yMode val="edge"/>
          <c:x val="9.6642921127841994E-2"/>
          <c:y val="0.16416045690292697"/>
          <c:w val="0.88654447250631396"/>
          <c:h val="0.63931036597818502"/>
        </c:manualLayout>
      </c:layout>
      <c:barChart>
        <c:barDir val="col"/>
        <c:grouping val="clustered"/>
        <c:varyColors val="0"/>
        <c:ser>
          <c:idx val="0"/>
          <c:order val="0"/>
          <c:spPr>
            <a:solidFill>
              <a:schemeClr val="accent1">
                <a:shade val="33000"/>
              </a:schemeClr>
            </a:solidFill>
            <a:ln>
              <a:noFill/>
            </a:ln>
            <a:effectLst/>
          </c:spPr>
          <c:invertIfNegative val="0"/>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n'!$E$2:$M$2</c:f>
            </c:numRef>
          </c:val>
          <c:extLst>
            <c:ext xmlns:c16="http://schemas.microsoft.com/office/drawing/2014/chart" uri="{C3380CC4-5D6E-409C-BE32-E72D297353CC}">
              <c16:uniqueId val="{00000000-9852-49F3-92CF-8BEDFC86FCDE}"/>
            </c:ext>
          </c:extLst>
        </c:ser>
        <c:ser>
          <c:idx val="1"/>
          <c:order val="1"/>
          <c:spPr>
            <a:solidFill>
              <a:schemeClr val="accent1">
                <a:shade val="37000"/>
              </a:schemeClr>
            </a:solidFill>
            <a:ln>
              <a:noFill/>
            </a:ln>
            <a:effectLst/>
          </c:spPr>
          <c:invertIfNegative val="0"/>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n'!$E$3:$M$3</c:f>
            </c:numRef>
          </c:val>
          <c:extLst>
            <c:ext xmlns:c16="http://schemas.microsoft.com/office/drawing/2014/chart" uri="{C3380CC4-5D6E-409C-BE32-E72D297353CC}">
              <c16:uniqueId val="{00000001-9852-49F3-92CF-8BEDFC86FCDE}"/>
            </c:ext>
          </c:extLst>
        </c:ser>
        <c:ser>
          <c:idx val="2"/>
          <c:order val="2"/>
          <c:spPr>
            <a:solidFill>
              <a:schemeClr val="accent1">
                <a:shade val="41000"/>
              </a:schemeClr>
            </a:solidFill>
            <a:ln>
              <a:noFill/>
            </a:ln>
            <a:effectLst/>
          </c:spPr>
          <c:invertIfNegative val="0"/>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n'!$E$4:$M$4</c:f>
            </c:numRef>
          </c:val>
          <c:extLst>
            <c:ext xmlns:c16="http://schemas.microsoft.com/office/drawing/2014/chart" uri="{C3380CC4-5D6E-409C-BE32-E72D297353CC}">
              <c16:uniqueId val="{00000002-9852-49F3-92CF-8BEDFC86FCDE}"/>
            </c:ext>
          </c:extLst>
        </c:ser>
        <c:ser>
          <c:idx val="3"/>
          <c:order val="3"/>
          <c:spPr>
            <a:solidFill>
              <a:schemeClr val="accent1">
                <a:shade val="45000"/>
              </a:schemeClr>
            </a:solidFill>
            <a:ln>
              <a:noFill/>
            </a:ln>
            <a:effectLst/>
          </c:spPr>
          <c:invertIfNegative val="0"/>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n'!$E$5:$M$5</c:f>
            </c:numRef>
          </c:val>
          <c:extLst>
            <c:ext xmlns:c16="http://schemas.microsoft.com/office/drawing/2014/chart" uri="{C3380CC4-5D6E-409C-BE32-E72D297353CC}">
              <c16:uniqueId val="{00000003-9852-49F3-92CF-8BEDFC86FCDE}"/>
            </c:ext>
          </c:extLst>
        </c:ser>
        <c:ser>
          <c:idx val="4"/>
          <c:order val="4"/>
          <c:spPr>
            <a:solidFill>
              <a:schemeClr val="accent1">
                <a:shade val="48000"/>
              </a:schemeClr>
            </a:solidFill>
            <a:ln>
              <a:noFill/>
            </a:ln>
            <a:effectLst/>
          </c:spPr>
          <c:invertIfNegative val="0"/>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n'!$E$6:$M$6</c:f>
            </c:numRef>
          </c:val>
          <c:extLst>
            <c:ext xmlns:c16="http://schemas.microsoft.com/office/drawing/2014/chart" uri="{C3380CC4-5D6E-409C-BE32-E72D297353CC}">
              <c16:uniqueId val="{00000004-9852-49F3-92CF-8BEDFC86FCDE}"/>
            </c:ext>
          </c:extLst>
        </c:ser>
        <c:ser>
          <c:idx val="5"/>
          <c:order val="5"/>
          <c:spPr>
            <a:solidFill>
              <a:schemeClr val="accent1">
                <a:shade val="52000"/>
              </a:schemeClr>
            </a:solidFill>
            <a:ln>
              <a:noFill/>
            </a:ln>
            <a:effectLst/>
          </c:spPr>
          <c:invertIfNegative val="0"/>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n'!$E$7:$M$7</c:f>
            </c:numRef>
          </c:val>
          <c:extLst>
            <c:ext xmlns:c16="http://schemas.microsoft.com/office/drawing/2014/chart" uri="{C3380CC4-5D6E-409C-BE32-E72D297353CC}">
              <c16:uniqueId val="{00000005-9852-49F3-92CF-8BEDFC86FCDE}"/>
            </c:ext>
          </c:extLst>
        </c:ser>
        <c:ser>
          <c:idx val="6"/>
          <c:order val="6"/>
          <c:spPr>
            <a:solidFill>
              <a:schemeClr val="accent1">
                <a:shade val="56000"/>
              </a:schemeClr>
            </a:solidFill>
            <a:ln>
              <a:noFill/>
            </a:ln>
            <a:effectLst/>
          </c:spPr>
          <c:invertIfNegative val="0"/>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n'!$E$8:$M$8</c:f>
            </c:numRef>
          </c:val>
          <c:extLst>
            <c:ext xmlns:c16="http://schemas.microsoft.com/office/drawing/2014/chart" uri="{C3380CC4-5D6E-409C-BE32-E72D297353CC}">
              <c16:uniqueId val="{00000006-9852-49F3-92CF-8BEDFC86FCDE}"/>
            </c:ext>
          </c:extLst>
        </c:ser>
        <c:ser>
          <c:idx val="7"/>
          <c:order val="7"/>
          <c:spPr>
            <a:solidFill>
              <a:schemeClr val="accent1">
                <a:shade val="60000"/>
              </a:schemeClr>
            </a:solidFill>
            <a:ln>
              <a:noFill/>
            </a:ln>
            <a:effectLst/>
          </c:spPr>
          <c:invertIfNegative val="0"/>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n'!$E$9:$M$9</c:f>
            </c:numRef>
          </c:val>
          <c:extLst>
            <c:ext xmlns:c16="http://schemas.microsoft.com/office/drawing/2014/chart" uri="{C3380CC4-5D6E-409C-BE32-E72D297353CC}">
              <c16:uniqueId val="{00000007-9852-49F3-92CF-8BEDFC86FCDE}"/>
            </c:ext>
          </c:extLst>
        </c:ser>
        <c:ser>
          <c:idx val="8"/>
          <c:order val="8"/>
          <c:spPr>
            <a:solidFill>
              <a:schemeClr val="accent1">
                <a:shade val="64000"/>
              </a:schemeClr>
            </a:solidFill>
            <a:ln>
              <a:noFill/>
            </a:ln>
            <a:effectLst/>
          </c:spPr>
          <c:invertIfNegative val="0"/>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n'!$E$10:$M$10</c:f>
            </c:numRef>
          </c:val>
          <c:extLst>
            <c:ext xmlns:c16="http://schemas.microsoft.com/office/drawing/2014/chart" uri="{C3380CC4-5D6E-409C-BE32-E72D297353CC}">
              <c16:uniqueId val="{00000008-9852-49F3-92CF-8BEDFC86FCDE}"/>
            </c:ext>
          </c:extLst>
        </c:ser>
        <c:ser>
          <c:idx val="9"/>
          <c:order val="9"/>
          <c:spPr>
            <a:solidFill>
              <a:schemeClr val="accent1">
                <a:shade val="67000"/>
              </a:schemeClr>
            </a:solidFill>
            <a:ln>
              <a:noFill/>
            </a:ln>
            <a:effectLst/>
          </c:spPr>
          <c:invertIfNegative val="0"/>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n'!$E$11:$M$11</c:f>
            </c:numRef>
          </c:val>
          <c:extLst>
            <c:ext xmlns:c16="http://schemas.microsoft.com/office/drawing/2014/chart" uri="{C3380CC4-5D6E-409C-BE32-E72D297353CC}">
              <c16:uniqueId val="{00000009-9852-49F3-92CF-8BEDFC86FCDE}"/>
            </c:ext>
          </c:extLst>
        </c:ser>
        <c:ser>
          <c:idx val="10"/>
          <c:order val="10"/>
          <c:spPr>
            <a:solidFill>
              <a:schemeClr val="accent1">
                <a:shade val="71000"/>
              </a:schemeClr>
            </a:solidFill>
            <a:ln>
              <a:noFill/>
            </a:ln>
            <a:effectLst/>
          </c:spPr>
          <c:invertIfNegative val="0"/>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n'!$E$12:$M$12</c:f>
            </c:numRef>
          </c:val>
          <c:extLst>
            <c:ext xmlns:c16="http://schemas.microsoft.com/office/drawing/2014/chart" uri="{C3380CC4-5D6E-409C-BE32-E72D297353CC}">
              <c16:uniqueId val="{0000000A-9852-49F3-92CF-8BEDFC86FCDE}"/>
            </c:ext>
          </c:extLst>
        </c:ser>
        <c:ser>
          <c:idx val="11"/>
          <c:order val="11"/>
          <c:spPr>
            <a:solidFill>
              <a:schemeClr val="accent1">
                <a:shade val="75000"/>
              </a:schemeClr>
            </a:solidFill>
            <a:ln>
              <a:noFill/>
            </a:ln>
            <a:effectLst/>
          </c:spPr>
          <c:invertIfNegative val="0"/>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n'!$E$13:$M$13</c:f>
            </c:numRef>
          </c:val>
          <c:extLst>
            <c:ext xmlns:c16="http://schemas.microsoft.com/office/drawing/2014/chart" uri="{C3380CC4-5D6E-409C-BE32-E72D297353CC}">
              <c16:uniqueId val="{0000000B-9852-49F3-92CF-8BEDFC86FCDE}"/>
            </c:ext>
          </c:extLst>
        </c:ser>
        <c:ser>
          <c:idx val="12"/>
          <c:order val="12"/>
          <c:spPr>
            <a:solidFill>
              <a:schemeClr val="accent1">
                <a:shade val="79000"/>
              </a:schemeClr>
            </a:solidFill>
            <a:ln>
              <a:noFill/>
            </a:ln>
            <a:effectLst/>
          </c:spPr>
          <c:invertIfNegative val="0"/>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n'!$E$14:$M$14</c:f>
            </c:numRef>
          </c:val>
          <c:extLst>
            <c:ext xmlns:c16="http://schemas.microsoft.com/office/drawing/2014/chart" uri="{C3380CC4-5D6E-409C-BE32-E72D297353CC}">
              <c16:uniqueId val="{0000000C-9852-49F3-92CF-8BEDFC86FCDE}"/>
            </c:ext>
          </c:extLst>
        </c:ser>
        <c:ser>
          <c:idx val="13"/>
          <c:order val="13"/>
          <c:spPr>
            <a:solidFill>
              <a:schemeClr val="accent1">
                <a:shade val="82000"/>
              </a:schemeClr>
            </a:solidFill>
            <a:ln>
              <a:noFill/>
            </a:ln>
            <a:effectLst/>
          </c:spPr>
          <c:invertIfNegative val="0"/>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n'!$E$15:$M$15</c:f>
            </c:numRef>
          </c:val>
          <c:extLst>
            <c:ext xmlns:c16="http://schemas.microsoft.com/office/drawing/2014/chart" uri="{C3380CC4-5D6E-409C-BE32-E72D297353CC}">
              <c16:uniqueId val="{0000000D-9852-49F3-92CF-8BEDFC86FCDE}"/>
            </c:ext>
          </c:extLst>
        </c:ser>
        <c:ser>
          <c:idx val="14"/>
          <c:order val="14"/>
          <c:spPr>
            <a:solidFill>
              <a:schemeClr val="accent1">
                <a:shade val="86000"/>
              </a:schemeClr>
            </a:solidFill>
            <a:ln>
              <a:noFill/>
            </a:ln>
            <a:effectLst/>
          </c:spPr>
          <c:invertIfNegative val="0"/>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n'!$E$16:$M$16</c:f>
            </c:numRef>
          </c:val>
          <c:extLst>
            <c:ext xmlns:c16="http://schemas.microsoft.com/office/drawing/2014/chart" uri="{C3380CC4-5D6E-409C-BE32-E72D297353CC}">
              <c16:uniqueId val="{0000000E-9852-49F3-92CF-8BEDFC86FCDE}"/>
            </c:ext>
          </c:extLst>
        </c:ser>
        <c:ser>
          <c:idx val="15"/>
          <c:order val="15"/>
          <c:spPr>
            <a:solidFill>
              <a:schemeClr val="accent1">
                <a:shade val="90000"/>
              </a:schemeClr>
            </a:solidFill>
            <a:ln>
              <a:noFill/>
            </a:ln>
            <a:effectLst/>
          </c:spPr>
          <c:invertIfNegative val="0"/>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n'!$E$17:$M$17</c:f>
            </c:numRef>
          </c:val>
          <c:extLst>
            <c:ext xmlns:c16="http://schemas.microsoft.com/office/drawing/2014/chart" uri="{C3380CC4-5D6E-409C-BE32-E72D297353CC}">
              <c16:uniqueId val="{0000000F-9852-49F3-92CF-8BEDFC86FCDE}"/>
            </c:ext>
          </c:extLst>
        </c:ser>
        <c:ser>
          <c:idx val="16"/>
          <c:order val="16"/>
          <c:spPr>
            <a:solidFill>
              <a:schemeClr val="accent1">
                <a:shade val="94000"/>
              </a:schemeClr>
            </a:solidFill>
            <a:ln>
              <a:noFill/>
            </a:ln>
            <a:effectLst/>
          </c:spPr>
          <c:invertIfNegative val="0"/>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n'!$E$18:$M$18</c:f>
            </c:numRef>
          </c:val>
          <c:extLst>
            <c:ext xmlns:c16="http://schemas.microsoft.com/office/drawing/2014/chart" uri="{C3380CC4-5D6E-409C-BE32-E72D297353CC}">
              <c16:uniqueId val="{00000010-9852-49F3-92CF-8BEDFC86FCDE}"/>
            </c:ext>
          </c:extLst>
        </c:ser>
        <c:ser>
          <c:idx val="17"/>
          <c:order val="17"/>
          <c:spPr>
            <a:solidFill>
              <a:schemeClr val="accent1">
                <a:shade val="98000"/>
              </a:schemeClr>
            </a:solidFill>
            <a:ln>
              <a:noFill/>
            </a:ln>
            <a:effectLst/>
          </c:spPr>
          <c:invertIfNegative val="0"/>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n'!$E$19:$M$19</c:f>
            </c:numRef>
          </c:val>
          <c:extLst>
            <c:ext xmlns:c16="http://schemas.microsoft.com/office/drawing/2014/chart" uri="{C3380CC4-5D6E-409C-BE32-E72D297353CC}">
              <c16:uniqueId val="{00000011-9852-49F3-92CF-8BEDFC86FCDE}"/>
            </c:ext>
          </c:extLst>
        </c:ser>
        <c:ser>
          <c:idx val="18"/>
          <c:order val="18"/>
          <c:spPr>
            <a:solidFill>
              <a:schemeClr val="accent1">
                <a:tint val="99000"/>
              </a:schemeClr>
            </a:solidFill>
            <a:ln>
              <a:noFill/>
            </a:ln>
            <a:effectLst/>
          </c:spPr>
          <c:invertIfNegative val="0"/>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n'!$E$20:$M$20</c:f>
            </c:numRef>
          </c:val>
          <c:extLst>
            <c:ext xmlns:c16="http://schemas.microsoft.com/office/drawing/2014/chart" uri="{C3380CC4-5D6E-409C-BE32-E72D297353CC}">
              <c16:uniqueId val="{00000012-9852-49F3-92CF-8BEDFC86FCDE}"/>
            </c:ext>
          </c:extLst>
        </c:ser>
        <c:ser>
          <c:idx val="19"/>
          <c:order val="19"/>
          <c:spPr>
            <a:solidFill>
              <a:schemeClr val="accent1">
                <a:tint val="95000"/>
              </a:schemeClr>
            </a:solidFill>
            <a:ln>
              <a:noFill/>
            </a:ln>
            <a:effectLst/>
          </c:spPr>
          <c:invertIfNegative val="0"/>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n'!$E$21:$M$21</c:f>
            </c:numRef>
          </c:val>
          <c:extLst>
            <c:ext xmlns:c16="http://schemas.microsoft.com/office/drawing/2014/chart" uri="{C3380CC4-5D6E-409C-BE32-E72D297353CC}">
              <c16:uniqueId val="{00000013-9852-49F3-92CF-8BEDFC86FCDE}"/>
            </c:ext>
          </c:extLst>
        </c:ser>
        <c:ser>
          <c:idx val="20"/>
          <c:order val="20"/>
          <c:spPr>
            <a:solidFill>
              <a:schemeClr val="accent1">
                <a:tint val="91000"/>
              </a:schemeClr>
            </a:solidFill>
            <a:ln>
              <a:noFill/>
            </a:ln>
            <a:effectLst/>
          </c:spPr>
          <c:invertIfNegative val="0"/>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n'!$E$22:$M$22</c:f>
            </c:numRef>
          </c:val>
          <c:extLst>
            <c:ext xmlns:c16="http://schemas.microsoft.com/office/drawing/2014/chart" uri="{C3380CC4-5D6E-409C-BE32-E72D297353CC}">
              <c16:uniqueId val="{00000014-9852-49F3-92CF-8BEDFC86FCDE}"/>
            </c:ext>
          </c:extLst>
        </c:ser>
        <c:ser>
          <c:idx val="21"/>
          <c:order val="21"/>
          <c:spPr>
            <a:solidFill>
              <a:schemeClr val="accent1">
                <a:tint val="87000"/>
              </a:schemeClr>
            </a:solidFill>
            <a:ln>
              <a:noFill/>
            </a:ln>
            <a:effectLst/>
          </c:spPr>
          <c:invertIfNegative val="0"/>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n'!$E$23:$M$23</c:f>
            </c:numRef>
          </c:val>
          <c:extLst>
            <c:ext xmlns:c16="http://schemas.microsoft.com/office/drawing/2014/chart" uri="{C3380CC4-5D6E-409C-BE32-E72D297353CC}">
              <c16:uniqueId val="{00000015-9852-49F3-92CF-8BEDFC86FCDE}"/>
            </c:ext>
          </c:extLst>
        </c:ser>
        <c:ser>
          <c:idx val="22"/>
          <c:order val="22"/>
          <c:spPr>
            <a:solidFill>
              <a:schemeClr val="accent1">
                <a:tint val="83000"/>
              </a:schemeClr>
            </a:solidFill>
            <a:ln>
              <a:noFill/>
            </a:ln>
            <a:effectLst/>
          </c:spPr>
          <c:invertIfNegative val="0"/>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n'!$E$24:$M$24</c:f>
            </c:numRef>
          </c:val>
          <c:extLst>
            <c:ext xmlns:c16="http://schemas.microsoft.com/office/drawing/2014/chart" uri="{C3380CC4-5D6E-409C-BE32-E72D297353CC}">
              <c16:uniqueId val="{00000016-9852-49F3-92CF-8BEDFC86FCDE}"/>
            </c:ext>
          </c:extLst>
        </c:ser>
        <c:ser>
          <c:idx val="23"/>
          <c:order val="23"/>
          <c:spPr>
            <a:solidFill>
              <a:schemeClr val="accent1">
                <a:tint val="80000"/>
              </a:schemeClr>
            </a:solidFill>
            <a:ln>
              <a:noFill/>
            </a:ln>
            <a:effectLst/>
          </c:spPr>
          <c:invertIfNegative val="0"/>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n'!$E$25:$M$25</c:f>
            </c:numRef>
          </c:val>
          <c:extLst>
            <c:ext xmlns:c16="http://schemas.microsoft.com/office/drawing/2014/chart" uri="{C3380CC4-5D6E-409C-BE32-E72D297353CC}">
              <c16:uniqueId val="{00000017-9852-49F3-92CF-8BEDFC86FCDE}"/>
            </c:ext>
          </c:extLst>
        </c:ser>
        <c:ser>
          <c:idx val="24"/>
          <c:order val="24"/>
          <c:spPr>
            <a:solidFill>
              <a:schemeClr val="accent1">
                <a:tint val="76000"/>
              </a:schemeClr>
            </a:solidFill>
            <a:ln>
              <a:noFill/>
            </a:ln>
            <a:effectLst/>
          </c:spPr>
          <c:invertIfNegative val="0"/>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n'!$E$26:$M$26</c:f>
            </c:numRef>
          </c:val>
          <c:extLst>
            <c:ext xmlns:c16="http://schemas.microsoft.com/office/drawing/2014/chart" uri="{C3380CC4-5D6E-409C-BE32-E72D297353CC}">
              <c16:uniqueId val="{00000018-9852-49F3-92CF-8BEDFC86FCDE}"/>
            </c:ext>
          </c:extLst>
        </c:ser>
        <c:ser>
          <c:idx val="25"/>
          <c:order val="25"/>
          <c:spPr>
            <a:solidFill>
              <a:schemeClr val="accent1">
                <a:tint val="72000"/>
              </a:schemeClr>
            </a:solidFill>
            <a:ln>
              <a:noFill/>
            </a:ln>
            <a:effectLst/>
          </c:spPr>
          <c:invertIfNegative val="0"/>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n'!$E$27:$M$27</c:f>
            </c:numRef>
          </c:val>
          <c:extLst>
            <c:ext xmlns:c16="http://schemas.microsoft.com/office/drawing/2014/chart" uri="{C3380CC4-5D6E-409C-BE32-E72D297353CC}">
              <c16:uniqueId val="{00000019-9852-49F3-92CF-8BEDFC86FCDE}"/>
            </c:ext>
          </c:extLst>
        </c:ser>
        <c:ser>
          <c:idx val="26"/>
          <c:order val="26"/>
          <c:spPr>
            <a:solidFill>
              <a:schemeClr val="accent1">
                <a:tint val="68000"/>
              </a:schemeClr>
            </a:solidFill>
            <a:ln>
              <a:noFill/>
            </a:ln>
            <a:effectLst/>
          </c:spPr>
          <c:invertIfNegative val="0"/>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n'!$E$28:$M$28</c:f>
            </c:numRef>
          </c:val>
          <c:extLst>
            <c:ext xmlns:c16="http://schemas.microsoft.com/office/drawing/2014/chart" uri="{C3380CC4-5D6E-409C-BE32-E72D297353CC}">
              <c16:uniqueId val="{0000001A-9852-49F3-92CF-8BEDFC86FCDE}"/>
            </c:ext>
          </c:extLst>
        </c:ser>
        <c:ser>
          <c:idx val="27"/>
          <c:order val="27"/>
          <c:spPr>
            <a:solidFill>
              <a:schemeClr val="accent1">
                <a:tint val="65000"/>
              </a:schemeClr>
            </a:solidFill>
            <a:ln>
              <a:noFill/>
            </a:ln>
            <a:effectLst/>
          </c:spPr>
          <c:invertIfNegative val="0"/>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n'!$E$29:$M$29</c:f>
            </c:numRef>
          </c:val>
          <c:extLst>
            <c:ext xmlns:c16="http://schemas.microsoft.com/office/drawing/2014/chart" uri="{C3380CC4-5D6E-409C-BE32-E72D297353CC}">
              <c16:uniqueId val="{0000001B-9852-49F3-92CF-8BEDFC86FCDE}"/>
            </c:ext>
          </c:extLst>
        </c:ser>
        <c:ser>
          <c:idx val="28"/>
          <c:order val="28"/>
          <c:spPr>
            <a:solidFill>
              <a:schemeClr val="accent1">
                <a:tint val="61000"/>
              </a:schemeClr>
            </a:solidFill>
            <a:ln>
              <a:noFill/>
            </a:ln>
            <a:effectLst/>
          </c:spPr>
          <c:invertIfNegative val="0"/>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n'!$E$30:$M$30</c:f>
            </c:numRef>
          </c:val>
          <c:extLst>
            <c:ext xmlns:c16="http://schemas.microsoft.com/office/drawing/2014/chart" uri="{C3380CC4-5D6E-409C-BE32-E72D297353CC}">
              <c16:uniqueId val="{0000001C-9852-49F3-92CF-8BEDFC86FCDE}"/>
            </c:ext>
          </c:extLst>
        </c:ser>
        <c:ser>
          <c:idx val="30"/>
          <c:order val="29"/>
          <c:spPr>
            <a:solidFill>
              <a:schemeClr val="accent1">
                <a:tint val="53000"/>
              </a:schemeClr>
            </a:solidFill>
            <a:ln>
              <a:noFill/>
            </a:ln>
            <a:effectLst/>
          </c:spPr>
          <c:invertIfNegative val="0"/>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n'!$E$31:$M$31</c:f>
            </c:numRef>
          </c:val>
          <c:extLst>
            <c:ext xmlns:c16="http://schemas.microsoft.com/office/drawing/2014/chart" uri="{C3380CC4-5D6E-409C-BE32-E72D297353CC}">
              <c16:uniqueId val="{0000001D-9852-49F3-92CF-8BEDFC86FCDE}"/>
            </c:ext>
          </c:extLst>
        </c:ser>
        <c:ser>
          <c:idx val="31"/>
          <c:order val="30"/>
          <c:spPr>
            <a:solidFill>
              <a:schemeClr val="accent1">
                <a:tint val="49000"/>
              </a:schemeClr>
            </a:solidFill>
            <a:ln>
              <a:noFill/>
            </a:ln>
            <a:effectLst/>
          </c:spPr>
          <c:invertIfNegative val="0"/>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n'!$E$32:$M$32</c:f>
            </c:numRef>
          </c:val>
          <c:extLst>
            <c:ext xmlns:c16="http://schemas.microsoft.com/office/drawing/2014/chart" uri="{C3380CC4-5D6E-409C-BE32-E72D297353CC}">
              <c16:uniqueId val="{0000001E-9852-49F3-92CF-8BEDFC86FCDE}"/>
            </c:ext>
          </c:extLst>
        </c:ser>
        <c:ser>
          <c:idx val="32"/>
          <c:order val="31"/>
          <c:spPr>
            <a:solidFill>
              <a:schemeClr val="accent1">
                <a:tint val="46000"/>
              </a:schemeClr>
            </a:solidFill>
            <a:ln>
              <a:noFill/>
            </a:ln>
            <a:effectLst/>
          </c:spPr>
          <c:invertIfNegative val="0"/>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n'!$E$33:$M$33</c:f>
            </c:numRef>
          </c:val>
          <c:extLst>
            <c:ext xmlns:c16="http://schemas.microsoft.com/office/drawing/2014/chart" uri="{C3380CC4-5D6E-409C-BE32-E72D297353CC}">
              <c16:uniqueId val="{0000001F-9852-49F3-92CF-8BEDFC86FCDE}"/>
            </c:ext>
          </c:extLst>
        </c:ser>
        <c:ser>
          <c:idx val="35"/>
          <c:order val="32"/>
          <c:spPr>
            <a:solidFill>
              <a:schemeClr val="accent1"/>
            </a:solidFill>
            <a:ln>
              <a:noFill/>
            </a:ln>
            <a:effectLst/>
          </c:spPr>
          <c:invertIfNegative val="0"/>
          <c:dLbls>
            <c:dLbl>
              <c:idx val="0"/>
              <c:layout>
                <c:manualLayout>
                  <c:x val="-1.8841851539104614E-17"/>
                  <c:y val="6.838435136436347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9852-49F3-92CF-8BEDFC86FCDE}"/>
                </c:ext>
              </c:extLst>
            </c:dLbl>
            <c:dLbl>
              <c:idx val="1"/>
              <c:spPr>
                <a:noFill/>
                <a:ln w="25400">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dLblPos val="inEnd"/>
              <c:showLegendKey val="0"/>
              <c:showVal val="1"/>
              <c:showCatName val="0"/>
              <c:showSerName val="0"/>
              <c:showPercent val="0"/>
              <c:showBubbleSize val="0"/>
              <c:extLst>
                <c:ext xmlns:c16="http://schemas.microsoft.com/office/drawing/2014/chart" uri="{C3380CC4-5D6E-409C-BE32-E72D297353CC}">
                  <c16:uniqueId val="{00000021-9852-49F3-92CF-8BEDFC86FCDE}"/>
                </c:ext>
              </c:extLst>
            </c:dLbl>
            <c:dLbl>
              <c:idx val="2"/>
              <c:spPr>
                <a:noFill/>
                <a:ln w="25400">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dLblPos val="inEnd"/>
              <c:showLegendKey val="0"/>
              <c:showVal val="1"/>
              <c:showCatName val="0"/>
              <c:showSerName val="0"/>
              <c:showPercent val="0"/>
              <c:showBubbleSize val="0"/>
              <c:extLst>
                <c:ext xmlns:c16="http://schemas.microsoft.com/office/drawing/2014/chart" uri="{C3380CC4-5D6E-409C-BE32-E72D297353CC}">
                  <c16:uniqueId val="{00000022-9852-49F3-92CF-8BEDFC86FCDE}"/>
                </c:ext>
              </c:extLst>
            </c:dLbl>
            <c:dLbl>
              <c:idx val="3"/>
              <c:spPr>
                <a:noFill/>
                <a:ln w="25400">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dLblPos val="inEnd"/>
              <c:showLegendKey val="0"/>
              <c:showVal val="1"/>
              <c:showCatName val="0"/>
              <c:showSerName val="0"/>
              <c:showPercent val="0"/>
              <c:showBubbleSize val="0"/>
              <c:extLst>
                <c:ext xmlns:c16="http://schemas.microsoft.com/office/drawing/2014/chart" uri="{C3380CC4-5D6E-409C-BE32-E72D297353CC}">
                  <c16:uniqueId val="{00000023-9852-49F3-92CF-8BEDFC86FCDE}"/>
                </c:ext>
              </c:extLst>
            </c:dLbl>
            <c:dLbl>
              <c:idx val="4"/>
              <c:spPr>
                <a:noFill/>
                <a:ln w="25400">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dLblPos val="inEnd"/>
              <c:showLegendKey val="0"/>
              <c:showVal val="1"/>
              <c:showCatName val="0"/>
              <c:showSerName val="0"/>
              <c:showPercent val="0"/>
              <c:showBubbleSize val="0"/>
              <c:extLst>
                <c:ext xmlns:c16="http://schemas.microsoft.com/office/drawing/2014/chart" uri="{C3380CC4-5D6E-409C-BE32-E72D297353CC}">
                  <c16:uniqueId val="{00000024-9852-49F3-92CF-8BEDFC86FCDE}"/>
                </c:ext>
              </c:extLst>
            </c:dLbl>
            <c:dLbl>
              <c:idx val="5"/>
              <c:tx>
                <c:rich>
                  <a:bodyPr/>
                  <a:lstStyle/>
                  <a:p>
                    <a:fld id="{1C144C2D-E171-4DA8-B90A-1FCF9E291AFE}" type="VALUE">
                      <a:rPr lang="en-US" baseline="0">
                        <a:solidFill>
                          <a:schemeClr val="bg1"/>
                        </a:solidFill>
                      </a:rPr>
                      <a:pPr/>
                      <a:t>[WARTOŚĆ]</a:t>
                    </a:fld>
                    <a:endParaRPr lang="pl-PL"/>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5-9852-49F3-92CF-8BEDFC86FCDE}"/>
                </c:ext>
              </c:extLst>
            </c:dLbl>
            <c:dLbl>
              <c:idx val="6"/>
              <c:layout>
                <c:manualLayout>
                  <c:x val="2.0554984583760053E-3"/>
                  <c:y val="1.249281709608784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9852-49F3-92CF-8BEDFC86FCDE}"/>
                </c:ext>
              </c:extLst>
            </c:dLbl>
            <c:dLbl>
              <c:idx val="7"/>
              <c:layout>
                <c:manualLayout>
                  <c:x val="-2.0554984583761563E-3"/>
                  <c:y val="-6.179937566975725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9852-49F3-92CF-8BEDFC86FCDE}"/>
                </c:ext>
              </c:extLst>
            </c:dLbl>
            <c:dLbl>
              <c:idx val="8"/>
              <c:layout>
                <c:manualLayout>
                  <c:x val="-1.5073481231283691E-16"/>
                  <c:y val="-7.88954635108481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9852-49F3-92CF-8BEDFC86FCDE}"/>
                </c:ext>
              </c:extLst>
            </c:dLbl>
            <c:spPr>
              <a:noFill/>
              <a:ln w="25400">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70C0"/>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'WYKRES 5 – podział ze względu n'!$E$1:$M$1</c:f>
              <c:strCache>
                <c:ptCount val="9"/>
                <c:pt idx="0">
                  <c:v>poniżej 20</c:v>
                </c:pt>
                <c:pt idx="1">
                  <c:v>21–30</c:v>
                </c:pt>
                <c:pt idx="2">
                  <c:v>31–40</c:v>
                </c:pt>
                <c:pt idx="3">
                  <c:v>41–50</c:v>
                </c:pt>
                <c:pt idx="4">
                  <c:v>51–60</c:v>
                </c:pt>
                <c:pt idx="5">
                  <c:v>61–70</c:v>
                </c:pt>
                <c:pt idx="6">
                  <c:v>71–80</c:v>
                </c:pt>
                <c:pt idx="7">
                  <c:v>81–90</c:v>
                </c:pt>
                <c:pt idx="8">
                  <c:v>powyżej 90</c:v>
                </c:pt>
              </c:strCache>
            </c:strRef>
          </c:cat>
          <c:val>
            <c:numRef>
              <c:f>'WYKRES 5 – podział ze względu n'!$E$40:$M$40</c:f>
              <c:numCache>
                <c:formatCode>#0</c:formatCode>
                <c:ptCount val="9"/>
                <c:pt idx="0">
                  <c:v>4</c:v>
                </c:pt>
                <c:pt idx="1">
                  <c:v>59</c:v>
                </c:pt>
                <c:pt idx="2">
                  <c:v>90</c:v>
                </c:pt>
                <c:pt idx="3">
                  <c:v>60</c:v>
                </c:pt>
                <c:pt idx="4">
                  <c:v>51</c:v>
                </c:pt>
                <c:pt idx="5">
                  <c:v>32</c:v>
                </c:pt>
                <c:pt idx="6">
                  <c:v>5</c:v>
                </c:pt>
                <c:pt idx="7">
                  <c:v>1</c:v>
                </c:pt>
                <c:pt idx="8">
                  <c:v>0</c:v>
                </c:pt>
              </c:numCache>
            </c:numRef>
          </c:val>
          <c:extLst>
            <c:ext xmlns:c16="http://schemas.microsoft.com/office/drawing/2014/chart" uri="{C3380CC4-5D6E-409C-BE32-E72D297353CC}">
              <c16:uniqueId val="{00000029-9852-49F3-92CF-8BEDFC86FCDE}"/>
            </c:ext>
          </c:extLst>
        </c:ser>
        <c:dLbls>
          <c:showLegendKey val="0"/>
          <c:showVal val="0"/>
          <c:showCatName val="0"/>
          <c:showSerName val="0"/>
          <c:showPercent val="0"/>
          <c:showBubbleSize val="0"/>
        </c:dLbls>
        <c:gapWidth val="109"/>
        <c:overlap val="-27"/>
        <c:axId val="1061271935"/>
        <c:axId val="1"/>
      </c:barChart>
      <c:catAx>
        <c:axId val="10612719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50000"/>
                        <a:lumOff val="50000"/>
                      </a:schemeClr>
                    </a:solidFill>
                    <a:latin typeface="+mn-lt"/>
                    <a:ea typeface="+mn-ea"/>
                    <a:cs typeface="+mn-cs"/>
                  </a:defRPr>
                </a:pPr>
                <a:r>
                  <a:rPr lang="pl">
                    <a:solidFill>
                      <a:schemeClr val="tx1">
                        <a:lumMod val="50000"/>
                        <a:lumOff val="50000"/>
                      </a:schemeClr>
                    </a:solidFill>
                  </a:rPr>
                  <a:t>Kategoria wiekowa</a:t>
                </a:r>
              </a:p>
            </c:rich>
          </c:tx>
          <c:overlay val="0"/>
          <c:spPr>
            <a:noFill/>
            <a:ln w="25400">
              <a:noFill/>
            </a:ln>
            <a:effectLst/>
          </c:spPr>
          <c:txPr>
            <a:bodyPr rot="0" spcFirstLastPara="1" vertOverflow="ellipsis" vert="horz" wrap="square" anchor="ctr" anchorCtr="1"/>
            <a:lstStyle/>
            <a:p>
              <a:pPr>
                <a:defRPr sz="1000" b="0" i="0" u="none" strike="noStrike" kern="1200" baseline="0">
                  <a:solidFill>
                    <a:schemeClr val="tx1">
                      <a:lumMod val="50000"/>
                      <a:lumOff val="50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50000"/>
                        <a:lumOff val="50000"/>
                      </a:schemeClr>
                    </a:solidFill>
                    <a:latin typeface="+mn-lt"/>
                    <a:ea typeface="+mn-ea"/>
                    <a:cs typeface="+mn-cs"/>
                  </a:defRPr>
                </a:pPr>
                <a:r>
                  <a:rPr lang="pl">
                    <a:solidFill>
                      <a:schemeClr val="tx1">
                        <a:lumMod val="50000"/>
                        <a:lumOff val="50000"/>
                      </a:schemeClr>
                    </a:solidFill>
                  </a:rPr>
                  <a:t>Liczba organizatorów</a:t>
                </a:r>
                <a:endParaRPr lang="en-IE">
                  <a:solidFill>
                    <a:schemeClr val="tx1">
                      <a:lumMod val="50000"/>
                      <a:lumOff val="50000"/>
                    </a:schemeClr>
                  </a:solidFill>
                </a:endParaRPr>
              </a:p>
            </c:rich>
          </c:tx>
          <c:overlay val="0"/>
          <c:spPr>
            <a:noFill/>
            <a:ln w="25400">
              <a:noFill/>
            </a:ln>
            <a:effectLst/>
          </c:spPr>
          <c:txPr>
            <a:bodyPr rot="-5400000" spcFirstLastPara="1" vertOverflow="ellipsis" vert="horz" wrap="square" anchor="ctr" anchorCtr="1"/>
            <a:lstStyle/>
            <a:p>
              <a:pPr>
                <a:defRPr sz="1000" b="0" i="0" u="none" strike="noStrike" kern="1200" baseline="0">
                  <a:solidFill>
                    <a:schemeClr val="tx1">
                      <a:lumMod val="50000"/>
                      <a:lumOff val="50000"/>
                    </a:schemeClr>
                  </a:solidFill>
                  <a:latin typeface="+mn-lt"/>
                  <a:ea typeface="+mn-ea"/>
                  <a:cs typeface="+mn-cs"/>
                </a:defRPr>
              </a:pPr>
              <a:endParaRPr lang="pl-PL"/>
            </a:p>
          </c:txPr>
        </c:title>
        <c:numFmt formatCode="#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l-PL"/>
          </a:p>
        </c:txPr>
        <c:crossAx val="1061271935"/>
        <c:crosses val="autoZero"/>
        <c:crossBetween val="between"/>
      </c:valAx>
      <c:spPr>
        <a:noFill/>
        <a:ln w="25400">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Author Role="Creator" AuthorRoleName="Signatory" AuthorRoleId="dd422d74-d41f-4095-8cb8-8304a90a6b0c">
  <Id>f7db4a93-f1b7-477d-ad87-2e49206c40e6</Id>
  <Names>
    <Latin>
      <FirstName>Ilze</FirstName>
      <LastName>JUHANSONE</LastName>
    </Latin>
    <Greek>
      <FirstName/>
      <LastName/>
    </Greek>
    <Cyrillic>
      <FirstName/>
      <LastName/>
    </Cyrillic>
    <DocumentScript>
      <FirstName>Ilze</FirstName>
      <LastName>JUHANSONE</LastName>
      <FullName>Ilze JUHANSONE</FullName>
    </DocumentScript>
  </Names>
  <Initials>IJ</Initials>
  <Gender>f</Gender>
  <Email>Ilze.JUHANSONE@ec.europa.eu</Email>
  <Service>SG</Service>
  <Function ADCode="33" ShowInSignature="false" ShowInHeader="true" HeaderText="The Secretary-General">Secretary-General</Function>
  <WebAddress/>
  <FunctionalMailbox/>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OrgaEntity3/>
  <Hierarchy>
    <OrgaEntity>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+32 229-80179</Phone>
    <Office>BERL 13/210</Office>
  </MainWorkplace>
  <Workplaces>
    <Workplace IsMain="true">
      <AddressId>f03b5801-04c9-4931-aa17-c6d6c70bc579</AddressId>
      <Fax/>
      <Phone>+32 229-80179</Phone>
      <Office>BERL 13/210</Office>
    </Workplace>
  </Workplaces>
</Author>
</file>

<file path=customXml/item3.xml><?xml version="1.0" encoding="utf-8"?>
<Author AuthorRoleName="Writer" AuthorRoleId="a4fbaff4-b07c-48b4-a21e-e7b9eedf3796">
  <Id>f7db4a93-f1b7-477d-ad87-2e49206c40e6</Id>
  <Names>
    <Latin>
      <FirstName>Ilze</FirstName>
      <LastName>JUHANSONE</LastName>
    </Latin>
    <Greek>
      <FirstName/>
      <LastName/>
    </Greek>
    <Cyrillic>
      <FirstName/>
      <LastName/>
    </Cyrillic>
    <DocumentScript>
      <FirstName>Ilze</FirstName>
      <LastName>JUHANSONE</LastName>
      <FullName>Ilze JUHANSONE</FullName>
    </DocumentScript>
  </Names>
  <Initials>IJ</Initials>
  <Gender>f</Gender>
  <Email>Ilze.JUHANSONE@ec.europa.eu</Email>
  <Service>SG</Service>
  <Function ADCode="33" ShowInSignature="false" ShowInHeader="true" HeaderText="The Secretary-General">Secretary-General</Function>
  <WebAddress/>
  <FunctionalMailbox/>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OrgaEntity3/>
  <Hierarchy>
    <OrgaEntity>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+32 229-80179</Phone>
    <Office>BERL 13/210</Office>
  </MainWorkplace>
  <Workplaces>
    <Workplace IsMain="true">
      <AddressId>f03b5801-04c9-4931-aa17-c6d6c70bc579</AddressId>
      <Fax/>
      <Phone>+32 229-80179</Phone>
      <Office>BERL 13/210</Office>
    </Workplace>
  </Workplaces>
</Author>
</file>

<file path=customXml/item4.xml><?xml version="1.0" encoding="utf-8"?>
<EurolookProperties>
  <ProductCustomizationId>EC</ProductCustomizationId>
  <Created>
    <Version>10.0.45336.0</Version>
    <Date>2023-09-26T17:21:54</Date>
    <Language>EN</Language>
    <Note/>
  </Created>
  <Edited>
    <Version/>
    <Date/>
  </Edited>
  <DocumentModel>
    <Id>0b054141-88b1-4efb-8c91-2905cb0bed6c</Id>
    <Name>Note</Name>
  </DocumentModel>
  <CustomTemplate>
    <Id/>
    <Name/>
  </CustomTemplate>
  <DocumentDate>2023-09-26T17:21:54</DocumentDate>
  <DocumentVersion>0.1</DocumentVersion>
  <CompatibilityMode>Eurolook10</CompatibilityMode>
  <DocumentMetadata>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EC_SecurityReleasability MetadataSerializationType="SimpleValue"/>
    <EC_SecurityDateMarkingEvent MetadataSerializationType="SimpleValue"/>
    <EC_SecurityDistributionWorkingGroup MetadataSerializationType="SimpleValue"/>
    <EC_SecurityDateMarking MetadataSerializationType="SimpleValue"/>
  </DocumentMetadata>
</Eurolook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C9AE72D67C1FC4DBF89100B390AF2EC" ma:contentTypeVersion="7" ma:contentTypeDescription="Create a new document." ma:contentTypeScope="" ma:versionID="0b5d093327ed1fd1810256ab8a9d6484">
  <xsd:schema xmlns:xsd="http://www.w3.org/2001/XMLSchema" xmlns:xs="http://www.w3.org/2001/XMLSchema" xmlns:p="http://schemas.microsoft.com/office/2006/metadata/properties" xmlns:ns2="65364dff-70db-4bc7-8648-010248a19ac0" xmlns:ns3="a4401afa-531e-4b63-bdbe-89a31840c5f0" targetNamespace="http://schemas.microsoft.com/office/2006/metadata/properties" ma:root="true" ma:fieldsID="a4d169fde5b15c40aaa0e6f7570fb428" ns2:_="" ns3:_="">
    <xsd:import namespace="65364dff-70db-4bc7-8648-010248a19ac0"/>
    <xsd:import namespace="a4401afa-531e-4b63-bdbe-89a31840c5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64dff-70db-4bc7-8648-010248a19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401afa-531e-4b63-bdbe-89a31840c5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4CA9D-657D-4A2A-8146-F8F2973078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8FC5B8-AE3A-4C6D-8F50-37AC5D6C4A82}">
  <ds:schemaRefs/>
</ds:datastoreItem>
</file>

<file path=customXml/itemProps3.xml><?xml version="1.0" encoding="utf-8"?>
<ds:datastoreItem xmlns:ds="http://schemas.openxmlformats.org/officeDocument/2006/customXml" ds:itemID="{D009C436-19B0-4676-B964-25EFFE86771C}">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FC6D7D58-C8CF-4BE8-8A46-CA947140F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64dff-70db-4bc7-8648-010248a19ac0"/>
    <ds:schemaRef ds:uri="a4401afa-531e-4b63-bdbe-89a31840c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77EE171-DFE1-4414-BEFB-F2E195DD510A}">
  <ds:schemaRefs>
    <ds:schemaRef ds:uri="http://schemas.microsoft.com/sharepoint/v3/contenttype/forms"/>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032FF04F-F4A0-4D63-A4A0-8187FE90D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11458</Words>
  <Characters>68750</Characters>
  <Application>Microsoft Office Word</Application>
  <DocSecurity>0</DocSecurity>
  <PresentationFormat>Microsoft Word 14.0</PresentationFormat>
  <Lines>572</Lines>
  <Paragraphs>160</Paragraphs>
  <ScaleCrop>true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Łuszczyńska Kinga</dc:creator>
  <cp:keywords/>
  <dc:description/>
  <cp:lastModifiedBy>Łuszczyńska Kinga</cp:lastModifiedBy>
  <cp:revision>2</cp:revision>
  <cp:lastPrinted>2023-10-13T20:00:00Z</cp:lastPrinted>
  <dcterms:created xsi:type="dcterms:W3CDTF">2024-02-09T10:20:00Z</dcterms:created>
  <dcterms:modified xsi:type="dcterms:W3CDTF">2024-02-09T10:20:00Z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_LW_INVALIDATED_EurolookVersion">
    <vt:lpwstr>10.0</vt:lpwstr>
  </property>
  <property fmtid="{D5CDD505-2E9C-101B-9397-08002B2CF9AE}" pid="4" name="_LW_INVALIDATED_ELDocType">
    <vt:lpwstr>not.dot</vt:lpwstr>
  </property>
  <property fmtid="{D5CDD505-2E9C-101B-9397-08002B2CF9AE}" pid="5" name="Part">
    <vt:lpwstr>1</vt:lpwstr>
  </property>
  <property fmtid="{D5CDD505-2E9C-101B-9397-08002B2CF9AE}" pid="6" name="Total parts">
    <vt:lpwstr>1</vt:lpwstr>
  </property>
  <property fmtid="{D5CDD505-2E9C-101B-9397-08002B2CF9AE}" pid="7" name="DocStatus">
    <vt:lpwstr>Green</vt:lpwstr>
  </property>
  <property fmtid="{D5CDD505-2E9C-101B-9397-08002B2CF9AE}" pid="8" name="CPTemplateID">
    <vt:lpwstr>CP-006</vt:lpwstr>
  </property>
  <property fmtid="{D5CDD505-2E9C-101B-9397-08002B2CF9AE}" pid="9" name="Last edited using">
    <vt:lpwstr>LW 9.0, Build 20230317</vt:lpwstr>
  </property>
  <property fmtid="{D5CDD505-2E9C-101B-9397-08002B2CF9AE}" pid="10" name="Created using">
    <vt:lpwstr>LW 9.0, Build 20230317</vt:lpwstr>
  </property>
  <property fmtid="{D5CDD505-2E9C-101B-9397-08002B2CF9AE}" pid="11" name="MSIP_Label_6bd9ddd1-4d20-43f6-abfa-fc3c07406f94_Enabled">
    <vt:lpwstr>true</vt:lpwstr>
  </property>
  <property fmtid="{D5CDD505-2E9C-101B-9397-08002B2CF9AE}" pid="12" name="MSIP_Label_6bd9ddd1-4d20-43f6-abfa-fc3c07406f94_SetDate">
    <vt:lpwstr>2023-09-26T15:25:04Z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95b39213-0fd8-4e66-a2e0-5a4ff1888445</vt:lpwstr>
  </property>
  <property fmtid="{D5CDD505-2E9C-101B-9397-08002B2CF9AE}" pid="17" name="MSIP_Label_6bd9ddd1-4d20-43f6-abfa-fc3c07406f94_ContentBits">
    <vt:lpwstr>0</vt:lpwstr>
  </property>
  <property fmtid="{D5CDD505-2E9C-101B-9397-08002B2CF9AE}" pid="18" name="ContentTypeId">
    <vt:lpwstr>0x010100FC9AE72D67C1FC4DBF89100B390AF2EC</vt:lpwstr>
  </property>
</Properties>
</file>