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a-Siatka"/>
        <w:tblW w:w="15163" w:type="dxa"/>
        <w:jc w:val="center"/>
        <w:tblLook w:val="04A0" w:firstRow="1" w:lastRow="0" w:firstColumn="1" w:lastColumn="0" w:noHBand="0" w:noVBand="1"/>
      </w:tblPr>
      <w:tblGrid>
        <w:gridCol w:w="872"/>
        <w:gridCol w:w="2531"/>
        <w:gridCol w:w="3238"/>
        <w:gridCol w:w="2865"/>
        <w:gridCol w:w="1991"/>
        <w:gridCol w:w="1402"/>
        <w:gridCol w:w="2264"/>
      </w:tblGrid>
      <w:tr w:rsidR="00A8522A" w:rsidRPr="00BE6D75" w14:paraId="06ED896E" w14:textId="415671A8" w:rsidTr="00FB0EEB">
        <w:trPr>
          <w:jc w:val="center"/>
        </w:trPr>
        <w:tc>
          <w:tcPr>
            <w:tcW w:w="872" w:type="dxa"/>
            <w:vAlign w:val="center"/>
          </w:tcPr>
          <w:p w14:paraId="39C6C2AD" w14:textId="4A596991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z w:val="21"/>
                <w:szCs w:val="21"/>
              </w:rPr>
              <w:t>LP.</w:t>
            </w:r>
          </w:p>
        </w:tc>
        <w:tc>
          <w:tcPr>
            <w:tcW w:w="2531" w:type="dxa"/>
            <w:vAlign w:val="center"/>
          </w:tcPr>
          <w:p w14:paraId="19274CAE" w14:textId="3349574A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4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4"/>
                <w:sz w:val="21"/>
                <w:szCs w:val="21"/>
              </w:rPr>
              <w:t>TYTUŁ PROJEKTU ROZPORZĄDZENIA MINISTRA SPRAWIEDLIWOŚCI</w:t>
            </w:r>
          </w:p>
        </w:tc>
        <w:tc>
          <w:tcPr>
            <w:tcW w:w="3238" w:type="dxa"/>
            <w:vAlign w:val="center"/>
          </w:tcPr>
          <w:p w14:paraId="13B55CEC" w14:textId="7EB91614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4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4"/>
                <w:sz w:val="21"/>
                <w:szCs w:val="21"/>
              </w:rPr>
              <w:t>PRZYCZYNY I POTRZEBY WPROWADZENIA PROJEKTU ROZPORZĄDZENIA ORAZ  WSKAZANIE ISTOTY ROZWIAZAŃ, KTÓRE PLANUJE ZAWRZEĆ SIĘ W PROJEKCIE ROZPORZĄDZENIA</w:t>
            </w:r>
          </w:p>
        </w:tc>
        <w:tc>
          <w:tcPr>
            <w:tcW w:w="2865" w:type="dxa"/>
            <w:vAlign w:val="center"/>
          </w:tcPr>
          <w:p w14:paraId="5C855BB2" w14:textId="77777777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6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6"/>
                <w:sz w:val="21"/>
                <w:szCs w:val="21"/>
              </w:rPr>
              <w:t xml:space="preserve">IMIĘ I NAZWISKO </w:t>
            </w:r>
          </w:p>
          <w:p w14:paraId="1CB29097" w14:textId="77777777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6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6"/>
                <w:sz w:val="21"/>
                <w:szCs w:val="21"/>
              </w:rPr>
              <w:t xml:space="preserve">STANOWISKO/FUNKCJA OSOBY ODPOWIEDZIALNEJ </w:t>
            </w:r>
          </w:p>
          <w:p w14:paraId="2FBA7592" w14:textId="4535E2D4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4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6"/>
                <w:sz w:val="21"/>
                <w:szCs w:val="21"/>
              </w:rPr>
              <w:t>ZA</w:t>
            </w:r>
            <w:r>
              <w:rPr>
                <w:rFonts w:cs="Calibri"/>
                <w:b/>
                <w:bCs/>
                <w:spacing w:val="-6"/>
                <w:sz w:val="21"/>
                <w:szCs w:val="21"/>
              </w:rPr>
              <w:t> </w:t>
            </w:r>
            <w:r w:rsidRPr="00A8522A">
              <w:rPr>
                <w:rFonts w:cs="Calibri"/>
                <w:b/>
                <w:bCs/>
                <w:spacing w:val="-6"/>
                <w:sz w:val="21"/>
                <w:szCs w:val="21"/>
              </w:rPr>
              <w:t>PRZYGOTOWANIE</w:t>
            </w:r>
            <w:r>
              <w:rPr>
                <w:rFonts w:cs="Calibri"/>
                <w:b/>
                <w:bCs/>
                <w:spacing w:val="-6"/>
                <w:sz w:val="21"/>
                <w:szCs w:val="21"/>
              </w:rPr>
              <w:t> </w:t>
            </w:r>
            <w:r w:rsidRPr="00A8522A">
              <w:rPr>
                <w:rFonts w:cs="Calibri"/>
                <w:b/>
                <w:bCs/>
                <w:spacing w:val="-6"/>
                <w:sz w:val="21"/>
                <w:szCs w:val="21"/>
              </w:rPr>
              <w:t>PROJEKTU</w:t>
            </w:r>
          </w:p>
        </w:tc>
        <w:tc>
          <w:tcPr>
            <w:tcW w:w="1991" w:type="dxa"/>
            <w:vAlign w:val="center"/>
          </w:tcPr>
          <w:p w14:paraId="1F3D1F7C" w14:textId="7CE30782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4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4"/>
                <w:sz w:val="21"/>
                <w:szCs w:val="21"/>
              </w:rPr>
              <w:t xml:space="preserve">TERMIN </w:t>
            </w:r>
            <w:r w:rsidRPr="00A8522A">
              <w:rPr>
                <w:rFonts w:cs="Calibri"/>
                <w:b/>
                <w:bCs/>
                <w:spacing w:val="-6"/>
                <w:sz w:val="21"/>
                <w:szCs w:val="21"/>
              </w:rPr>
              <w:t>PRZEWIDYWANEGO</w:t>
            </w:r>
            <w:r w:rsidRPr="00A8522A">
              <w:rPr>
                <w:rFonts w:cs="Calibri"/>
                <w:b/>
                <w:bCs/>
                <w:spacing w:val="-4"/>
                <w:sz w:val="21"/>
                <w:szCs w:val="21"/>
              </w:rPr>
              <w:t xml:space="preserve"> WYDANIA ROZPORZĄDZENIA</w:t>
            </w:r>
          </w:p>
        </w:tc>
        <w:tc>
          <w:tcPr>
            <w:tcW w:w="1402" w:type="dxa"/>
            <w:vAlign w:val="center"/>
          </w:tcPr>
          <w:p w14:paraId="4FA566D6" w14:textId="77777777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4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4"/>
                <w:sz w:val="21"/>
                <w:szCs w:val="21"/>
              </w:rPr>
              <w:t xml:space="preserve">DATA </w:t>
            </w:r>
          </w:p>
          <w:p w14:paraId="4C3AB62A" w14:textId="7EC11090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4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4"/>
                <w:sz w:val="21"/>
                <w:szCs w:val="21"/>
              </w:rPr>
              <w:t>WPISU</w:t>
            </w:r>
          </w:p>
        </w:tc>
        <w:tc>
          <w:tcPr>
            <w:tcW w:w="2264" w:type="dxa"/>
            <w:vAlign w:val="center"/>
          </w:tcPr>
          <w:p w14:paraId="0A13673C" w14:textId="0111C897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6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6"/>
                <w:sz w:val="21"/>
                <w:szCs w:val="21"/>
              </w:rPr>
              <w:t>PUBLIKATOR LUB INFORMACJA O REZYGNACJI</w:t>
            </w:r>
          </w:p>
          <w:p w14:paraId="256C0FB0" w14:textId="7F60470E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6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6"/>
                <w:sz w:val="21"/>
                <w:szCs w:val="21"/>
              </w:rPr>
              <w:t xml:space="preserve">Z PRAC NAD PROJEKTEM </w:t>
            </w:r>
          </w:p>
          <w:p w14:paraId="2C53215C" w14:textId="753BC61F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pacing w:val="-4"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pacing w:val="-6"/>
                <w:sz w:val="21"/>
                <w:szCs w:val="21"/>
              </w:rPr>
              <w:t>(wraz z uzasadnieniem)</w:t>
            </w:r>
          </w:p>
        </w:tc>
      </w:tr>
      <w:tr w:rsidR="00A8522A" w14:paraId="28BE63E1" w14:textId="0C338C69" w:rsidTr="00FB0EEB">
        <w:trPr>
          <w:jc w:val="center"/>
        </w:trPr>
        <w:tc>
          <w:tcPr>
            <w:tcW w:w="872" w:type="dxa"/>
            <w:vAlign w:val="center"/>
          </w:tcPr>
          <w:p w14:paraId="61BDE8F9" w14:textId="5C95841E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z w:val="21"/>
                <w:szCs w:val="21"/>
              </w:rPr>
              <w:t>B836</w:t>
            </w:r>
          </w:p>
        </w:tc>
        <w:tc>
          <w:tcPr>
            <w:tcW w:w="2531" w:type="dxa"/>
          </w:tcPr>
          <w:p w14:paraId="1DA3ADEA" w14:textId="512B1392" w:rsidR="00A8522A" w:rsidRPr="00FB0EEB" w:rsidRDefault="00A8522A" w:rsidP="00A8522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</w:pPr>
            <w:r w:rsidRP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>projekt rozporządzenia Ministra Sprawiedliwości w sprawie utworzenia</w:t>
            </w:r>
          </w:p>
          <w:p w14:paraId="4D9F7225" w14:textId="1C11716F" w:rsidR="00A8522A" w:rsidRPr="00FB0EEB" w:rsidRDefault="00A8522A" w:rsidP="00FB0EEB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 xml:space="preserve">Wydziałów do spraw Wojskowych w </w:t>
            </w:r>
            <w:r w:rsid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>P</w:t>
            </w:r>
            <w:r w:rsidRP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>rokuraturze Okręgowej w Olsztynie</w:t>
            </w:r>
            <w:r w:rsid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 xml:space="preserve"> </w:t>
            </w:r>
            <w:r w:rsidRP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>i w Prokuraturze Okręgowej w Lublinie,</w:t>
            </w:r>
          </w:p>
        </w:tc>
        <w:tc>
          <w:tcPr>
            <w:tcW w:w="3238" w:type="dxa"/>
          </w:tcPr>
          <w:p w14:paraId="78EADF89" w14:textId="4530CFA0" w:rsidR="00A8522A" w:rsidRPr="00FB0EEB" w:rsidRDefault="00A8522A" w:rsidP="00A8522A">
            <w:pPr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>Podstawa prawna - art. 35 § 2 ustawy z dnia 28 stycznia 2016 r. o prokuraturze (Dz. U. z 2024 r. poz. 390). Projekt przewiduje utworzenie Wydziałów do spraw Wojskowych w Prokuraturze Okręgowej w Olsztynie i w Prokuraturze Okręgowej w Lublinie. Nowo utworzony Wydział do spraw Wojskowych Prokuratury Okręgowej w Olsztynie obejmie swoją właściwością obszar działania Działów do spraw Wojskowych Prokuratury Rejonowej Olsztyn - Południe w Olsztynie oraz Białystok - Północ w Białymstoku, zaś Wydział do spraw Wojskowych Prokuratury Okręgowej w Lublinie obejmie obszar działania Działów do spraw Wojskowych Prokuratury Rejonowej w Lublinie oraz Prokuratury Rejonowej dla miasta Rzeszów w Rzeszowie.</w:t>
            </w:r>
          </w:p>
        </w:tc>
        <w:tc>
          <w:tcPr>
            <w:tcW w:w="2865" w:type="dxa"/>
          </w:tcPr>
          <w:p w14:paraId="6FE78601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 xml:space="preserve">Agata Langner </w:t>
            </w:r>
          </w:p>
          <w:p w14:paraId="658E92C3" w14:textId="73431773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główny specjalista Departament Legislacyjny</w:t>
            </w:r>
          </w:p>
        </w:tc>
        <w:tc>
          <w:tcPr>
            <w:tcW w:w="1991" w:type="dxa"/>
          </w:tcPr>
          <w:p w14:paraId="29A136C1" w14:textId="2F18B6FA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4 listopada 2024 r.</w:t>
            </w:r>
          </w:p>
        </w:tc>
        <w:tc>
          <w:tcPr>
            <w:tcW w:w="1402" w:type="dxa"/>
          </w:tcPr>
          <w:p w14:paraId="458101AD" w14:textId="280B1560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23.07.2024 r.</w:t>
            </w:r>
          </w:p>
        </w:tc>
        <w:tc>
          <w:tcPr>
            <w:tcW w:w="2264" w:type="dxa"/>
          </w:tcPr>
          <w:p w14:paraId="309E3E49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A8522A" w14:paraId="3A504AEB" w14:textId="41C83B74" w:rsidTr="00FB0EEB">
        <w:trPr>
          <w:jc w:val="center"/>
        </w:trPr>
        <w:tc>
          <w:tcPr>
            <w:tcW w:w="872" w:type="dxa"/>
            <w:vAlign w:val="center"/>
          </w:tcPr>
          <w:p w14:paraId="2B0A7972" w14:textId="49537D54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z w:val="21"/>
                <w:szCs w:val="21"/>
              </w:rPr>
              <w:t>B837</w:t>
            </w:r>
          </w:p>
        </w:tc>
        <w:tc>
          <w:tcPr>
            <w:tcW w:w="2531" w:type="dxa"/>
          </w:tcPr>
          <w:p w14:paraId="4161EF52" w14:textId="2991DAAD" w:rsidR="00A8522A" w:rsidRPr="00FB0EEB" w:rsidRDefault="00A8522A" w:rsidP="00A8522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</w:pPr>
            <w:r w:rsidRP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 xml:space="preserve">projekt rozporządzenia Ministra Sprawiedliwości zmieniającego </w:t>
            </w:r>
            <w:r w:rsid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>r</w:t>
            </w:r>
            <w:r w:rsidRP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>ozporządzenie</w:t>
            </w:r>
            <w:r w:rsid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 xml:space="preserve"> </w:t>
            </w:r>
            <w:r w:rsidRP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 xml:space="preserve">w sprawie utworzenia w </w:t>
            </w:r>
            <w:r w:rsid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lastRenderedPageBreak/>
              <w:t>p</w:t>
            </w:r>
            <w:r w:rsidRP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>rokuraturach okręgowych i prokuraturach rejonowych</w:t>
            </w:r>
          </w:p>
          <w:p w14:paraId="4BE1C190" w14:textId="26683D06" w:rsidR="00A8522A" w:rsidRPr="00FB0EEB" w:rsidRDefault="00A8522A" w:rsidP="00A8522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</w:pPr>
            <w:r w:rsidRPr="00FB0EEB">
              <w:rPr>
                <w:rFonts w:eastAsiaTheme="minorHAnsi" w:cs="Calibri"/>
                <w:spacing w:val="-4"/>
                <w:sz w:val="21"/>
                <w:szCs w:val="21"/>
                <w14:ligatures w14:val="standardContextual"/>
              </w:rPr>
              <w:t>komórek organizacyjnych do spraw wojskowych, ustalenia ich siedzib i obszarów właściwości</w:t>
            </w:r>
          </w:p>
        </w:tc>
        <w:tc>
          <w:tcPr>
            <w:tcW w:w="3238" w:type="dxa"/>
          </w:tcPr>
          <w:p w14:paraId="2ECB7F2A" w14:textId="6EBC63EC" w:rsidR="00A8522A" w:rsidRPr="00FB0EEB" w:rsidRDefault="00A8522A" w:rsidP="00A8522A">
            <w:pPr>
              <w:pStyle w:val="Nagwek"/>
              <w:spacing w:after="0" w:line="240" w:lineRule="auto"/>
              <w:rPr>
                <w:rFonts w:cs="Calibri"/>
                <w:color w:val="000000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 xml:space="preserve">Podstawa prawna - art. 35 § 2 ustawy z dnia 28 stycznia 2016 r. o prokuraturze (Dz. U. z 2024 r. poz. 390), zmiany w </w:t>
            </w:r>
            <w:r w:rsidRPr="00FB0EEB">
              <w:rPr>
                <w:rFonts w:cs="Calibri"/>
                <w:color w:val="000000"/>
                <w:spacing w:val="-4"/>
                <w:sz w:val="21"/>
                <w:szCs w:val="21"/>
              </w:rPr>
              <w:t xml:space="preserve">rozporządzeniu Ministra Sprawiedliwości z dnia 22 </w:t>
            </w:r>
            <w:r w:rsidRPr="00FB0EEB">
              <w:rPr>
                <w:rFonts w:cs="Calibri"/>
                <w:color w:val="000000"/>
                <w:spacing w:val="-4"/>
                <w:sz w:val="21"/>
                <w:szCs w:val="21"/>
              </w:rPr>
              <w:lastRenderedPageBreak/>
              <w:t xml:space="preserve">marca 2016 r. w sprawie utworzenia w prokuraturach okręgowych i prokuraturach rejonowych komórek organizacyjnych do spraw wojskowych, ustalenia ich siedzib i obszarów właściwości (Dz. U. z 2023 r. poz. 2435) polegające na dodaniu w § 1 Wydziału do spraw Wojskowych w Prokuraturze Okręgowej w Olsztynie z siedzibą w Olsztynie oraz Wydziału do spraw Wojskowych w Prokuraturze Okręgowej w Lublinie z siedzibą w Lublinie.”, a także w § 3 zmian zakresy właściwości Wydziałów do spraw Wojskowych w </w:t>
            </w:r>
            <w:r w:rsidR="00FB0EEB" w:rsidRPr="00FB0EEB">
              <w:rPr>
                <w:rFonts w:cs="Calibri"/>
                <w:color w:val="000000"/>
                <w:spacing w:val="-4"/>
                <w:sz w:val="21"/>
                <w:szCs w:val="21"/>
              </w:rPr>
              <w:t>P</w:t>
            </w:r>
            <w:r w:rsidRPr="00FB0EEB">
              <w:rPr>
                <w:rFonts w:cs="Calibri"/>
                <w:color w:val="000000"/>
                <w:spacing w:val="-4"/>
                <w:sz w:val="21"/>
                <w:szCs w:val="21"/>
              </w:rPr>
              <w:t xml:space="preserve">rokuraturach Okręgowych w taki sposób,  że nowo utworzony Wydział do spraw Wojskowych Prokuratury Okręgowej w Olsztynie obejmie swoją właściwością obszar działania Działów do spraw Wojskowych Prokuratury Rejonowej Olsztyn Południe w Olsztynie oraz Białystok Północ w Białymstoku, zaś Wydział do spraw Wojskowych Prokuratury Okręgowej w Lublinie obejmie obszar działania Działów do spraw Wojskowych Prokuratury Rejonowej w Lublinie oraz Prokuratury Rejonowej dla miasta Rzeszów w Rzeszowie. Właściwość Wydziału do spraw Wojskowych Prokuratury </w:t>
            </w:r>
            <w:r w:rsidRPr="00FB0EEB">
              <w:rPr>
                <w:rFonts w:cs="Calibri"/>
                <w:color w:val="000000"/>
                <w:spacing w:val="-4"/>
                <w:sz w:val="21"/>
                <w:szCs w:val="21"/>
              </w:rPr>
              <w:lastRenderedPageBreak/>
              <w:t>Okręgowej w Warszawie zostanie ograniczona do obszaru działania Działów do spraw Wojskowych Prokuratury Rejonowej Warszawa Ursynów w Warszawie oraz Łódź Polesie w Łodzi. Natomiast Wydział do spraw Wojskowych Prokuratury Okręgowej w Gdańsku zostanie zmniejszony do właściwości Działów do Spraw Wojskowych w Gdyni i Bydgoszczy Południe w Bydgoszczy. Z kolei Wydział do spraw Wojskowych w Krakowie zostanie ograniczony do właściwości Działu do spraw Wojskowych Kraków Krowodrza w Krakowie oraz Katowice Południe w Katowicach, a właściwość Wydziału do spraw Wojskowych Prokuratury Okręgowej w Poznaniu pozostanie niezmieniona.</w:t>
            </w:r>
          </w:p>
        </w:tc>
        <w:tc>
          <w:tcPr>
            <w:tcW w:w="2865" w:type="dxa"/>
          </w:tcPr>
          <w:p w14:paraId="2EC520B9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lastRenderedPageBreak/>
              <w:t xml:space="preserve">Agata Langner </w:t>
            </w:r>
          </w:p>
          <w:p w14:paraId="4FDA3D88" w14:textId="5B85313F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główny specjalista Departament Legislacyjny</w:t>
            </w:r>
          </w:p>
        </w:tc>
        <w:tc>
          <w:tcPr>
            <w:tcW w:w="1991" w:type="dxa"/>
          </w:tcPr>
          <w:p w14:paraId="02776AFE" w14:textId="036515F9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4 listopada 2024 r.</w:t>
            </w:r>
          </w:p>
        </w:tc>
        <w:tc>
          <w:tcPr>
            <w:tcW w:w="1402" w:type="dxa"/>
          </w:tcPr>
          <w:p w14:paraId="484ECC9E" w14:textId="448165B4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23.07.2024 r.</w:t>
            </w:r>
          </w:p>
        </w:tc>
        <w:tc>
          <w:tcPr>
            <w:tcW w:w="2264" w:type="dxa"/>
          </w:tcPr>
          <w:p w14:paraId="399DAF2D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A8522A" w14:paraId="728FE8EF" w14:textId="7156299C" w:rsidTr="00FB0EEB">
        <w:trPr>
          <w:jc w:val="center"/>
        </w:trPr>
        <w:tc>
          <w:tcPr>
            <w:tcW w:w="872" w:type="dxa"/>
            <w:vAlign w:val="center"/>
          </w:tcPr>
          <w:p w14:paraId="3556FF80" w14:textId="5BF3DDAD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z w:val="21"/>
                <w:szCs w:val="21"/>
              </w:rPr>
              <w:lastRenderedPageBreak/>
              <w:t>B838</w:t>
            </w:r>
          </w:p>
        </w:tc>
        <w:tc>
          <w:tcPr>
            <w:tcW w:w="2531" w:type="dxa"/>
          </w:tcPr>
          <w:p w14:paraId="6594B215" w14:textId="3145530B" w:rsidR="00A8522A" w:rsidRPr="00FB0EEB" w:rsidRDefault="00A8522A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Projekt rozporządzenia Ministra Sprawiedliwości zmieniającego rozporządzenie w sprawie stanowisk i szczegółowych zasad wynagradzania urzędników i innych pracowników sądów i prokuratury oraz </w:t>
            </w:r>
            <w:r w:rsidR="00FB0EEB">
              <w:rPr>
                <w:rFonts w:cs="Calibri"/>
                <w:spacing w:val="-4"/>
                <w:sz w:val="21"/>
                <w:szCs w:val="21"/>
              </w:rPr>
              <w:t>o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t>dbywania stażu urzędniczego</w:t>
            </w:r>
          </w:p>
        </w:tc>
        <w:tc>
          <w:tcPr>
            <w:tcW w:w="3238" w:type="dxa"/>
          </w:tcPr>
          <w:p w14:paraId="6656CEDD" w14:textId="18B8F22B" w:rsidR="00A8522A" w:rsidRPr="00FB0EEB" w:rsidRDefault="00A8522A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Podstawa prawna - art. 14 ust. 1 ustawy z dnia 18 grudnia 1998 r. o pracownikach sądów i prokuratury (Dz.U. z 2018 r. poz. 577). Projektowana regulacja ma na celu wprowadzenie rozwiązania, w myśl którego  pracownicy sądów i prokuratur pełniący dyżury uprawnieni są do wyboru albo świadczenia pieniężnego albo czasu wolnego w zamian za czas dyżuru. Rozwiązanie to będzie ograniczone 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>do tych sytuacji, w których dyżur pełniony jest w sądzie albo w jednostce organizacyjnej prokuratury.</w:t>
            </w:r>
          </w:p>
          <w:p w14:paraId="1480AEA4" w14:textId="0DF4DC08" w:rsidR="00A8522A" w:rsidRPr="00FB0EEB" w:rsidRDefault="00A8522A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>Ponadto z uwagi na fakt, że średnioroczny wskaźnik wzrostu wynagrodzeń w państwowej sferze budżetowej, z wyłączeniem osób zajmujących kierownicze stanowiska państwowe, został ustalony w ustawie budżetowej na poziomie 120,0% nowelizuje się załącznik nr 4 do przedmiotowego rozporządzenia w ten sposób, że wskazuje się, odniesieniu do każdego stanowiska i każdej funkcji, maksymalną kwotę dodatku podwyższoną  o 20%.</w:t>
            </w:r>
          </w:p>
        </w:tc>
        <w:tc>
          <w:tcPr>
            <w:tcW w:w="2865" w:type="dxa"/>
          </w:tcPr>
          <w:p w14:paraId="64022BFB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lastRenderedPageBreak/>
              <w:t>Janusz Kopciński</w:t>
            </w:r>
          </w:p>
          <w:p w14:paraId="7E9E922E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 xml:space="preserve">Główny specjalista </w:t>
            </w:r>
          </w:p>
          <w:p w14:paraId="27B88958" w14:textId="0BB16120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Departament Legislacyjny</w:t>
            </w:r>
          </w:p>
        </w:tc>
        <w:tc>
          <w:tcPr>
            <w:tcW w:w="1991" w:type="dxa"/>
          </w:tcPr>
          <w:p w14:paraId="6D79BE8C" w14:textId="035A775F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 xml:space="preserve">W zakresie § 1 pkt 1 projektowanego rozporządzenia termin wejścia w życie to 1 października 2024 r. W pozostałym zakresie -  po upływie 14 dni od dnia ogłoszenia. </w:t>
            </w:r>
          </w:p>
        </w:tc>
        <w:tc>
          <w:tcPr>
            <w:tcW w:w="1402" w:type="dxa"/>
          </w:tcPr>
          <w:p w14:paraId="0BB3C338" w14:textId="6BBCED2A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23.07.2024 r.</w:t>
            </w:r>
          </w:p>
        </w:tc>
        <w:tc>
          <w:tcPr>
            <w:tcW w:w="2264" w:type="dxa"/>
          </w:tcPr>
          <w:p w14:paraId="118744D4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A8522A" w14:paraId="2B0B93AF" w14:textId="0D6835F0" w:rsidTr="00FB0EEB">
        <w:trPr>
          <w:jc w:val="center"/>
        </w:trPr>
        <w:tc>
          <w:tcPr>
            <w:tcW w:w="872" w:type="dxa"/>
            <w:vAlign w:val="center"/>
          </w:tcPr>
          <w:p w14:paraId="15E7FE35" w14:textId="1F16D3CB" w:rsidR="00A8522A" w:rsidRPr="00A8522A" w:rsidRDefault="00A8522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 w:rsidRPr="00A8522A">
              <w:rPr>
                <w:rFonts w:cs="Calibri"/>
                <w:b/>
                <w:bCs/>
                <w:sz w:val="21"/>
                <w:szCs w:val="21"/>
              </w:rPr>
              <w:t>B839</w:t>
            </w:r>
          </w:p>
        </w:tc>
        <w:tc>
          <w:tcPr>
            <w:tcW w:w="2531" w:type="dxa"/>
          </w:tcPr>
          <w:p w14:paraId="205C769A" w14:textId="4FF89F19" w:rsidR="00A8522A" w:rsidRPr="00FB0EEB" w:rsidRDefault="00A8522A" w:rsidP="00A8522A">
            <w:pPr>
              <w:pStyle w:val="TYTUAKTUprzedmiotregulacjiustawylubrozporzdzenia"/>
              <w:spacing w:before="0" w:after="0" w:line="240" w:lineRule="auto"/>
              <w:jc w:val="left"/>
              <w:rPr>
                <w:rFonts w:ascii="Calibri" w:hAnsi="Calibri" w:cs="Calibri"/>
                <w:b w:val="0"/>
                <w:bCs w:val="0"/>
                <w:spacing w:val="-4"/>
                <w:sz w:val="21"/>
                <w:szCs w:val="21"/>
              </w:rPr>
            </w:pPr>
            <w:r w:rsidRPr="00FB0EEB">
              <w:rPr>
                <w:rFonts w:ascii="Calibri" w:hAnsi="Calibri" w:cs="Calibri"/>
                <w:b w:val="0"/>
                <w:bCs w:val="0"/>
                <w:spacing w:val="-4"/>
                <w:sz w:val="21"/>
                <w:szCs w:val="21"/>
              </w:rPr>
              <w:t>Projekt rozporządzenia zmieniające</w:t>
            </w:r>
            <w:r w:rsidR="00FB0EEB" w:rsidRPr="00FB0EEB">
              <w:rPr>
                <w:rFonts w:ascii="Calibri" w:hAnsi="Calibri" w:cs="Calibri"/>
                <w:b w:val="0"/>
                <w:bCs w:val="0"/>
                <w:spacing w:val="-4"/>
                <w:sz w:val="21"/>
                <w:szCs w:val="21"/>
              </w:rPr>
              <w:t xml:space="preserve">go </w:t>
            </w:r>
            <w:r w:rsidRPr="00FB0EEB">
              <w:rPr>
                <w:rFonts w:ascii="Calibri" w:hAnsi="Calibri" w:cs="Calibri"/>
                <w:b w:val="0"/>
                <w:bCs w:val="0"/>
                <w:spacing w:val="-4"/>
                <w:sz w:val="21"/>
                <w:szCs w:val="21"/>
              </w:rPr>
              <w:t xml:space="preserve">rozporządzenie </w:t>
            </w:r>
            <w:r w:rsidRPr="00FB0EEB">
              <w:rPr>
                <w:rFonts w:ascii="Calibri" w:hAnsi="Calibri" w:cs="Calibri"/>
                <w:b w:val="0"/>
                <w:bCs w:val="0"/>
                <w:spacing w:val="-4"/>
                <w:sz w:val="21"/>
                <w:szCs w:val="21"/>
              </w:rPr>
              <w:sym w:font="Symbol" w:char="F02D"/>
            </w:r>
            <w:r w:rsidRPr="00FB0EEB">
              <w:rPr>
                <w:rFonts w:ascii="Calibri" w:hAnsi="Calibri" w:cs="Calibri"/>
                <w:b w:val="0"/>
                <w:bCs w:val="0"/>
                <w:spacing w:val="-4"/>
                <w:sz w:val="21"/>
                <w:szCs w:val="21"/>
              </w:rPr>
              <w:t xml:space="preserve"> Regulamin wewnętrznego urzędowania powszechnych jednostek organizacyjnych prokuratury</w:t>
            </w:r>
          </w:p>
          <w:p w14:paraId="000FE198" w14:textId="163EAA25" w:rsidR="00A8522A" w:rsidRPr="00FB0EEB" w:rsidRDefault="00A8522A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 </w:t>
            </w:r>
          </w:p>
        </w:tc>
        <w:tc>
          <w:tcPr>
            <w:tcW w:w="3238" w:type="dxa"/>
          </w:tcPr>
          <w:p w14:paraId="7C4E2961" w14:textId="1CA7B126" w:rsidR="00A8522A" w:rsidRPr="00FB0EEB" w:rsidRDefault="00A8522A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Projektowane rozporządzenie wprowadza uzupełnienie brzmienia § 204 Regulaminu o zapis z którego wynikać będzie, że do ustalenia kwotowego zakresu zabezpieczenia, w przypadku gdy zabezpieczeniu podlega pojazd mechaniczny, uwzględniać się będzie sposób ustalania wartości pojazdu wskazany w art. 44b §2 zdanie drugie k.k.. Pozwoli to na ustalenie zakresu zabezpieczenia, czyli prognozowanej wartości przepadku równowartości pojazdu, gdy nie będzie celowe orzeczenie jego przepadku, zgodnie z regułami ustanowionymi w art. 44b 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>k.k. (tj. w sytuacji gdy orzeczenie przepadku pojazdu mechanicznego, z uwagi na jego zbycie, utratę, zniszczenie lub znaczne uszkodzenie jest niemożliwe lub niecelowe, albo jeżeli pojazd, w czasie popełnienia przestępstwa nie stanowił wyłącznej własności sprawcy).</w:t>
            </w:r>
          </w:p>
        </w:tc>
        <w:tc>
          <w:tcPr>
            <w:tcW w:w="2865" w:type="dxa"/>
          </w:tcPr>
          <w:p w14:paraId="10BD5F05" w14:textId="162780FF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lastRenderedPageBreak/>
              <w:t>Beata Woźniak-Tuszyńska</w:t>
            </w:r>
          </w:p>
          <w:p w14:paraId="4BF2F76A" w14:textId="34336E9A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Główny specjalista - prokurator</w:t>
            </w:r>
          </w:p>
          <w:p w14:paraId="5D967209" w14:textId="430A8AFA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Departament Legislacyjny</w:t>
            </w:r>
          </w:p>
        </w:tc>
        <w:tc>
          <w:tcPr>
            <w:tcW w:w="1991" w:type="dxa"/>
          </w:tcPr>
          <w:p w14:paraId="6FA1BE39" w14:textId="0FFDE200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14 dni od dnia ogłoszenia.</w:t>
            </w:r>
          </w:p>
        </w:tc>
        <w:tc>
          <w:tcPr>
            <w:tcW w:w="1402" w:type="dxa"/>
          </w:tcPr>
          <w:p w14:paraId="78E76E1C" w14:textId="074E894F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8522A">
              <w:rPr>
                <w:rFonts w:cs="Calibri"/>
                <w:sz w:val="21"/>
                <w:szCs w:val="21"/>
              </w:rPr>
              <w:t>24.07.2024 r.</w:t>
            </w:r>
          </w:p>
        </w:tc>
        <w:tc>
          <w:tcPr>
            <w:tcW w:w="2264" w:type="dxa"/>
          </w:tcPr>
          <w:p w14:paraId="71E9DF26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A8522A" w14:paraId="1DAE3309" w14:textId="3422A007" w:rsidTr="00FB0EEB">
        <w:trPr>
          <w:jc w:val="center"/>
        </w:trPr>
        <w:tc>
          <w:tcPr>
            <w:tcW w:w="872" w:type="dxa"/>
            <w:vAlign w:val="center"/>
          </w:tcPr>
          <w:p w14:paraId="20B894F4" w14:textId="10C48A3F" w:rsidR="00A8522A" w:rsidRPr="00A8522A" w:rsidRDefault="005B0B4C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B840</w:t>
            </w:r>
          </w:p>
        </w:tc>
        <w:tc>
          <w:tcPr>
            <w:tcW w:w="2531" w:type="dxa"/>
          </w:tcPr>
          <w:p w14:paraId="64371CCB" w14:textId="0E1A853E" w:rsidR="00A8522A" w:rsidRPr="00FB0EEB" w:rsidRDefault="00A94736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Projekt </w:t>
            </w:r>
            <w:r w:rsidR="00FB0EEB" w:rsidRPr="00FB0EEB">
              <w:rPr>
                <w:rFonts w:cs="Calibri"/>
                <w:spacing w:val="-4"/>
                <w:sz w:val="21"/>
                <w:szCs w:val="21"/>
              </w:rPr>
              <w:t>r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t>ozporządzenia Ministra Sprawiedliwości zmieniającego rozporządzenie w sprawie zakładania i prowadzenia ksiąg wieczystych w systemie teleinformatycznym</w:t>
            </w:r>
          </w:p>
        </w:tc>
        <w:tc>
          <w:tcPr>
            <w:tcW w:w="3238" w:type="dxa"/>
          </w:tcPr>
          <w:p w14:paraId="127000F3" w14:textId="77777777" w:rsidR="00A94736" w:rsidRPr="00FB0EEB" w:rsidRDefault="00A94736" w:rsidP="00A94736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Podstawą prawną rozporządzenia jest art. 251 ust. 2 ustawy z dnia 6 lipca 1982 r. o księgach wieczystych i hipotece (Dz. U. z 2023 r. poz. 1984). </w:t>
            </w:r>
          </w:p>
          <w:p w14:paraId="6DE13008" w14:textId="77777777" w:rsidR="00A94736" w:rsidRPr="00FB0EEB" w:rsidRDefault="00A94736" w:rsidP="00A94736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</w:p>
          <w:p w14:paraId="315894E1" w14:textId="2A764722" w:rsidR="00A8522A" w:rsidRPr="00FB0EEB" w:rsidRDefault="00A94736" w:rsidP="00A94736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>Z uwagi na planowane zniesienie VIII Wydziału zamiejscowego Ksiąg Wieczystych Sądu Rejonowego w Busku-Zdroju z siedzibą w Kazimierzy Wielkiej projekt zawiera zmianę załącznika nr 1 do rozporządzenia Ministra Sprawiedliwości z dnia 15 lutego 2016 r. w sprawie zakładania i prowadzenia ksiąg wieczystych w systemie teleinformatycznym polegającą na wykreśleniu wiersza określającego kod wydziału ksiąg wieczystych Sądu Rejonowego w Busku-Zdroju – Wydziału zamiejscowego z siedzibą w Kazimierzy Wielkiej.</w:t>
            </w:r>
          </w:p>
        </w:tc>
        <w:tc>
          <w:tcPr>
            <w:tcW w:w="2865" w:type="dxa"/>
          </w:tcPr>
          <w:p w14:paraId="000F74BD" w14:textId="77777777" w:rsidR="00A94736" w:rsidRPr="00A94736" w:rsidRDefault="00A94736" w:rsidP="00A94736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94736">
              <w:rPr>
                <w:rFonts w:cs="Calibri"/>
                <w:sz w:val="21"/>
                <w:szCs w:val="21"/>
              </w:rPr>
              <w:t>Amelia Choroszewska</w:t>
            </w:r>
          </w:p>
          <w:p w14:paraId="2E543C41" w14:textId="6BFE2AE2" w:rsidR="00A8522A" w:rsidRPr="00A8522A" w:rsidRDefault="00A94736" w:rsidP="00A94736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94736">
              <w:rPr>
                <w:rFonts w:cs="Calibri"/>
                <w:sz w:val="21"/>
                <w:szCs w:val="21"/>
              </w:rPr>
              <w:t>Główny Specjalista w DL</w:t>
            </w:r>
          </w:p>
        </w:tc>
        <w:tc>
          <w:tcPr>
            <w:tcW w:w="1991" w:type="dxa"/>
          </w:tcPr>
          <w:p w14:paraId="70984C26" w14:textId="6A7E50BB" w:rsidR="00A8522A" w:rsidRPr="00A8522A" w:rsidRDefault="00A94736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A94736">
              <w:rPr>
                <w:rFonts w:cs="Calibri"/>
                <w:sz w:val="21"/>
                <w:szCs w:val="21"/>
              </w:rPr>
              <w:t>III kwartał 2024</w:t>
            </w:r>
          </w:p>
        </w:tc>
        <w:tc>
          <w:tcPr>
            <w:tcW w:w="1402" w:type="dxa"/>
          </w:tcPr>
          <w:p w14:paraId="5AA331C2" w14:textId="3AB276DC" w:rsidR="00A8522A" w:rsidRPr="00A8522A" w:rsidRDefault="00A94736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12.08.2024</w:t>
            </w:r>
          </w:p>
        </w:tc>
        <w:tc>
          <w:tcPr>
            <w:tcW w:w="2264" w:type="dxa"/>
          </w:tcPr>
          <w:p w14:paraId="2F6203B0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A8522A" w14:paraId="3F416BD5" w14:textId="5E3433ED" w:rsidTr="00FB0EEB">
        <w:trPr>
          <w:jc w:val="center"/>
        </w:trPr>
        <w:tc>
          <w:tcPr>
            <w:tcW w:w="872" w:type="dxa"/>
            <w:vAlign w:val="center"/>
          </w:tcPr>
          <w:p w14:paraId="71C2BBA1" w14:textId="4B09EF4A" w:rsidR="00A8522A" w:rsidRPr="00A8522A" w:rsidRDefault="005B0B4C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B841</w:t>
            </w:r>
          </w:p>
        </w:tc>
        <w:tc>
          <w:tcPr>
            <w:tcW w:w="2531" w:type="dxa"/>
          </w:tcPr>
          <w:p w14:paraId="56A5159C" w14:textId="07EF8D8F" w:rsidR="00A8522A" w:rsidRPr="00FB0EEB" w:rsidRDefault="006B2281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Projekt rozporządzenia Ministra Sprawiedliwości zmieniającego rozporządzenie w sprawie 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>stanowisk służbowych oraz stopni funkcjonariuszy Służby Więziennej</w:t>
            </w:r>
          </w:p>
        </w:tc>
        <w:tc>
          <w:tcPr>
            <w:tcW w:w="3238" w:type="dxa"/>
          </w:tcPr>
          <w:p w14:paraId="163AE0E9" w14:textId="2C27C4FF" w:rsidR="00A8522A" w:rsidRPr="00FB0EEB" w:rsidRDefault="006B2281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 xml:space="preserve">Podstawę prawną projektowanego aktu wykonawczego stanowi art. 55 ustawy z dnia 9 kwietnia 2010 r. o Służbie Więziennej (Dz. U. z 2023 r. 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>poz. 1683</w:t>
            </w:r>
            <w:r w:rsidR="00437EFB" w:rsidRPr="00FB0EEB">
              <w:rPr>
                <w:rFonts w:cs="Calibri"/>
                <w:spacing w:val="-4"/>
                <w:sz w:val="21"/>
                <w:szCs w:val="21"/>
              </w:rPr>
              <w:t>, z późn. zm.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t>), stosownie do którego Minister Sprawiedliwości zobowiązany został do określenia rodzajów stanowisk oficerskich, chorążych i podoficerskich w jednostkach organizacyjnych, stażu służby, rodzaju wykształcenia, szkolenia specjalistycznego oraz zawodowego wymaganych do zajmowania poszczególnych stanowisk, maksymalnych stopni przypisane do poszczególnych stanowisk oraz trybu nadawania, obniżania i anulowania funkcjonariuszom stopni. W projekcie zaproponowano m.in. wprowadzenie zmian polegających na dostosowaniu korpusów, stopni, stanowisk służbowych oraz kwalifikacji zawodowych funkcjonariuszy Służby Więziennej pełniących służbę w Grupach Interwencyjnych Służby Więziennej, do poziomu i zakresu realizowanych przez nich zadań.</w:t>
            </w:r>
          </w:p>
        </w:tc>
        <w:tc>
          <w:tcPr>
            <w:tcW w:w="2865" w:type="dxa"/>
          </w:tcPr>
          <w:p w14:paraId="62224432" w14:textId="77777777" w:rsidR="006B2281" w:rsidRPr="00B37DD8" w:rsidRDefault="006B2281" w:rsidP="006B2281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lastRenderedPageBreak/>
              <w:t>Anna Łubińska-Bujak</w:t>
            </w:r>
          </w:p>
          <w:p w14:paraId="579F0B67" w14:textId="77777777" w:rsidR="006B2281" w:rsidRPr="00B37DD8" w:rsidRDefault="006B2281" w:rsidP="006B2281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t>Główny Specjalista ds. legislacji</w:t>
            </w:r>
          </w:p>
          <w:p w14:paraId="0B855513" w14:textId="77777777" w:rsidR="006B2281" w:rsidRPr="00B37DD8" w:rsidRDefault="006B2281" w:rsidP="006B2281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t>Wydział Legislacji VI</w:t>
            </w:r>
          </w:p>
          <w:p w14:paraId="6BD2F8F3" w14:textId="151D6789" w:rsidR="00A8522A" w:rsidRPr="00B37DD8" w:rsidRDefault="006B2281" w:rsidP="006B2281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lastRenderedPageBreak/>
              <w:t>Departament Legislacyjny</w:t>
            </w:r>
          </w:p>
        </w:tc>
        <w:tc>
          <w:tcPr>
            <w:tcW w:w="1991" w:type="dxa"/>
          </w:tcPr>
          <w:p w14:paraId="17A565DC" w14:textId="6C80CC3D" w:rsidR="00A8522A" w:rsidRPr="00B37DD8" w:rsidRDefault="006B2281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lastRenderedPageBreak/>
              <w:t>30 dni od dnia ogłoszenia/IV kwartał 2024</w:t>
            </w:r>
          </w:p>
        </w:tc>
        <w:tc>
          <w:tcPr>
            <w:tcW w:w="1402" w:type="dxa"/>
          </w:tcPr>
          <w:p w14:paraId="6781C065" w14:textId="3BCE4967" w:rsidR="00A8522A" w:rsidRPr="00B37DD8" w:rsidRDefault="006B2281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t>12.08.2024</w:t>
            </w:r>
          </w:p>
        </w:tc>
        <w:tc>
          <w:tcPr>
            <w:tcW w:w="2264" w:type="dxa"/>
          </w:tcPr>
          <w:p w14:paraId="13B905C2" w14:textId="77777777" w:rsidR="00A8522A" w:rsidRPr="00A8522A" w:rsidRDefault="00A8522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B37DD8" w14:paraId="79A1A2AE" w14:textId="3C1EA437" w:rsidTr="00FB0EEB">
        <w:trPr>
          <w:jc w:val="center"/>
        </w:trPr>
        <w:tc>
          <w:tcPr>
            <w:tcW w:w="872" w:type="dxa"/>
            <w:vAlign w:val="center"/>
          </w:tcPr>
          <w:p w14:paraId="140B216C" w14:textId="315F64CC" w:rsidR="00B37DD8" w:rsidRPr="00A8522A" w:rsidRDefault="00B37DD8" w:rsidP="00B37DD8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B842</w:t>
            </w:r>
          </w:p>
        </w:tc>
        <w:tc>
          <w:tcPr>
            <w:tcW w:w="2531" w:type="dxa"/>
          </w:tcPr>
          <w:p w14:paraId="57EE6227" w14:textId="697AAA7A" w:rsidR="00B37DD8" w:rsidRPr="00FB0EEB" w:rsidRDefault="00B37DD8" w:rsidP="00B37DD8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Projekt rozporządzenia Ministra Sprawiedliwości zmieniającego rozporządzenie w sprawie uposażenia zasadniczego funkcjonariuszy </w:t>
            </w:r>
          </w:p>
          <w:p w14:paraId="0A0DEA5B" w14:textId="6F384D0E" w:rsidR="00B37DD8" w:rsidRPr="00FB0EEB" w:rsidRDefault="00B37DD8" w:rsidP="00B37DD8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>Służby Więziennej</w:t>
            </w:r>
          </w:p>
        </w:tc>
        <w:tc>
          <w:tcPr>
            <w:tcW w:w="3238" w:type="dxa"/>
          </w:tcPr>
          <w:p w14:paraId="39AA36EC" w14:textId="1693B241" w:rsidR="00437EFB" w:rsidRPr="00FB0EEB" w:rsidRDefault="00437EFB" w:rsidP="00437EFB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Projekt rozporządzenia stanowi wykonanie upoważnienia ustawowego zawartego w art. 57 ust. 3 ustawy z dnia 9 kwietnia 2010 r. o Służbie Więziennej (Dz. U. z 2023 r. poz. 1683, z późn. zm.), zgodnie z którym Minister Sprawiedliwości w porozumieniu z ministrem 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 xml:space="preserve">właściwym do spraw pracy został zobowiązany do określenia w drodze rozporządzenia grup zaszeregowania poszczególnych stanowisk oraz odpowiadających im mnożników przeciętnego uposażenia stanowiącego uposażenie zasadnicze. </w:t>
            </w:r>
          </w:p>
          <w:p w14:paraId="52E4486D" w14:textId="396052BA" w:rsidR="00B37DD8" w:rsidRPr="00FB0EEB" w:rsidRDefault="00640ED3" w:rsidP="00437EFB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>Zmiana polega na</w:t>
            </w:r>
            <w:r w:rsidR="00437EFB" w:rsidRPr="00FB0EEB">
              <w:rPr>
                <w:rFonts w:cs="Calibri"/>
                <w:spacing w:val="-4"/>
                <w:sz w:val="21"/>
                <w:szCs w:val="21"/>
              </w:rPr>
              <w:t xml:space="preserve"> dostosowani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t>u</w:t>
            </w:r>
            <w:r w:rsidR="00437EFB" w:rsidRPr="00FB0EEB">
              <w:rPr>
                <w:rFonts w:cs="Calibri"/>
                <w:spacing w:val="-4"/>
                <w:sz w:val="21"/>
                <w:szCs w:val="21"/>
              </w:rPr>
              <w:t xml:space="preserve"> uposażenia funkcjonariuszy pełniących służbę w GISW do poziomu i zakresu realizowanych przez nich zadań oraz dostosowanie ich stanowisk do przepisów ustawy o Służbie Więziennej.</w:t>
            </w:r>
          </w:p>
        </w:tc>
        <w:tc>
          <w:tcPr>
            <w:tcW w:w="2865" w:type="dxa"/>
          </w:tcPr>
          <w:p w14:paraId="6260CDC3" w14:textId="77777777" w:rsidR="00B37DD8" w:rsidRPr="00B37DD8" w:rsidRDefault="00B37DD8" w:rsidP="00B37DD8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lastRenderedPageBreak/>
              <w:t>Anna Łubińska-Bujak</w:t>
            </w:r>
          </w:p>
          <w:p w14:paraId="36C2A156" w14:textId="77777777" w:rsidR="00B37DD8" w:rsidRPr="00B37DD8" w:rsidRDefault="00B37DD8" w:rsidP="00B37DD8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t>Główny Specjalista ds. legislacji</w:t>
            </w:r>
          </w:p>
          <w:p w14:paraId="63B41E81" w14:textId="77777777" w:rsidR="00B37DD8" w:rsidRPr="00B37DD8" w:rsidRDefault="00B37DD8" w:rsidP="00B37DD8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t>Wydział Legislacji VI</w:t>
            </w:r>
          </w:p>
          <w:p w14:paraId="1ABB4D40" w14:textId="100338E5" w:rsidR="00B37DD8" w:rsidRPr="00A8522A" w:rsidRDefault="00B37DD8" w:rsidP="00B37DD8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t>Departament Legislacyjny</w:t>
            </w:r>
          </w:p>
        </w:tc>
        <w:tc>
          <w:tcPr>
            <w:tcW w:w="1991" w:type="dxa"/>
          </w:tcPr>
          <w:p w14:paraId="1E8F46F3" w14:textId="2C5C199C" w:rsidR="00B37DD8" w:rsidRPr="00A8522A" w:rsidRDefault="00B37DD8" w:rsidP="00B37DD8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t>30 dni od dnia ogłoszenia/IV kwartał 2024</w:t>
            </w:r>
          </w:p>
        </w:tc>
        <w:tc>
          <w:tcPr>
            <w:tcW w:w="1402" w:type="dxa"/>
          </w:tcPr>
          <w:p w14:paraId="70AEA163" w14:textId="644F3775" w:rsidR="00B37DD8" w:rsidRPr="00A8522A" w:rsidRDefault="00B37DD8" w:rsidP="00B37DD8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 w:rsidRPr="00B37DD8">
              <w:rPr>
                <w:rFonts w:cs="Calibri"/>
                <w:sz w:val="21"/>
                <w:szCs w:val="21"/>
              </w:rPr>
              <w:t>12.08.2024</w:t>
            </w:r>
          </w:p>
        </w:tc>
        <w:tc>
          <w:tcPr>
            <w:tcW w:w="2264" w:type="dxa"/>
          </w:tcPr>
          <w:p w14:paraId="7E8EA96B" w14:textId="77777777" w:rsidR="00B37DD8" w:rsidRPr="00A8522A" w:rsidRDefault="00B37DD8" w:rsidP="00B37DD8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5B0B4C" w14:paraId="3B3E79B2" w14:textId="77777777" w:rsidTr="00FB0EEB">
        <w:trPr>
          <w:jc w:val="center"/>
        </w:trPr>
        <w:tc>
          <w:tcPr>
            <w:tcW w:w="872" w:type="dxa"/>
            <w:vAlign w:val="center"/>
          </w:tcPr>
          <w:p w14:paraId="01755934" w14:textId="6E0032A7" w:rsidR="005B0B4C" w:rsidRPr="00A8522A" w:rsidRDefault="000C28B4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B843</w:t>
            </w:r>
          </w:p>
        </w:tc>
        <w:tc>
          <w:tcPr>
            <w:tcW w:w="2531" w:type="dxa"/>
          </w:tcPr>
          <w:p w14:paraId="0DEBD2EC" w14:textId="0D209008" w:rsidR="005B0B4C" w:rsidRPr="00FB0EEB" w:rsidRDefault="000C28B4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Projekt rozporządzenia Ministra Sprawiedliwości zmieniającego rozporządzenie w sprawie sposobu i trybu udzielania informacji o osobach oraz o podmiotach zbiorowych z Krajowego Rejestru Karnego, udzielanych za pośrednictwem systemu teleinformatycznego, sposobu zakładania konta użytkownika i konta instytucjonalnego dla informacji udzielanych na zapytanie lub wniosek oraz zakresu informacji o osobie lub o podmiocie zbiorowym 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>udzielanej na żądanie (B-KRK)</w:t>
            </w:r>
          </w:p>
        </w:tc>
        <w:tc>
          <w:tcPr>
            <w:tcW w:w="3238" w:type="dxa"/>
          </w:tcPr>
          <w:p w14:paraId="2B074F99" w14:textId="2033762F" w:rsidR="005B0B4C" w:rsidRPr="00FB0EEB" w:rsidRDefault="000C28B4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 xml:space="preserve">Konieczność nowelizacji rozporządzenia Ministra Sprawiedliwości z dnia 23 października 2023 r. w sprawie sposobu i trybu udzielania informacji o osobach oraz o podmiotach zbiorowych z Krajowego Rejestru Karnego, udzielanych za pośrednictwem systemu teleinformatycznego, sposobu zakładania konta użytkownika i konta instytucjonalnego dla informacji udzielanych na zapytanie lub wniosek oraz zakresu informacji o osobie lub o podmiocie zbiorowym udzielanej na żądanie (Dz. U. poz. 2469 oraz z 2024 r. poz. 279) jest podyktowana potrzebą 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>uwzględnienia opóźnienia w prowadzonych przez Wykonawcę pracach informatycznych dotyczących budowy nowej e-usługi udzielania informacji z Krajowego Rejestru Karnego, zwanego dalej „KRK”, oraz przeniesienia jej na nową platformę usług elektronicznych Ministerstwa Sprawiedliwości (tzw. Portal Rejestrów Sądowych).</w:t>
            </w:r>
          </w:p>
        </w:tc>
        <w:tc>
          <w:tcPr>
            <w:tcW w:w="2865" w:type="dxa"/>
          </w:tcPr>
          <w:p w14:paraId="22A5AEB0" w14:textId="77777777" w:rsidR="005B0B4C" w:rsidRDefault="000C28B4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lastRenderedPageBreak/>
              <w:t>Hubert Pękala</w:t>
            </w:r>
          </w:p>
          <w:p w14:paraId="2FDDF5EF" w14:textId="77777777" w:rsidR="000C28B4" w:rsidRDefault="000C28B4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Starszy Specjalista</w:t>
            </w:r>
          </w:p>
          <w:p w14:paraId="69344A16" w14:textId="77777777" w:rsidR="000C28B4" w:rsidRDefault="000C28B4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Wydział Legislacji I</w:t>
            </w:r>
          </w:p>
          <w:p w14:paraId="528577D6" w14:textId="2471C504" w:rsidR="000C28B4" w:rsidRPr="00A8522A" w:rsidRDefault="000C28B4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Departament Legislacyjny</w:t>
            </w:r>
          </w:p>
        </w:tc>
        <w:tc>
          <w:tcPr>
            <w:tcW w:w="1991" w:type="dxa"/>
          </w:tcPr>
          <w:p w14:paraId="6553275E" w14:textId="40A1C9AC" w:rsidR="005B0B4C" w:rsidRPr="00A8522A" w:rsidRDefault="000C28B4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1 października 2024 r.</w:t>
            </w:r>
          </w:p>
        </w:tc>
        <w:tc>
          <w:tcPr>
            <w:tcW w:w="1402" w:type="dxa"/>
          </w:tcPr>
          <w:p w14:paraId="421A2268" w14:textId="40DC6E5E" w:rsidR="005B0B4C" w:rsidRPr="00A8522A" w:rsidRDefault="000C28B4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12.08.2024 r.</w:t>
            </w:r>
          </w:p>
        </w:tc>
        <w:tc>
          <w:tcPr>
            <w:tcW w:w="2264" w:type="dxa"/>
          </w:tcPr>
          <w:p w14:paraId="7FA6C0C6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5B0B4C" w14:paraId="52D414BE" w14:textId="77777777" w:rsidTr="00FB0EEB">
        <w:trPr>
          <w:jc w:val="center"/>
        </w:trPr>
        <w:tc>
          <w:tcPr>
            <w:tcW w:w="872" w:type="dxa"/>
            <w:vAlign w:val="center"/>
          </w:tcPr>
          <w:p w14:paraId="00A94B89" w14:textId="18A41543" w:rsidR="005B0B4C" w:rsidRPr="00A8522A" w:rsidRDefault="008C4DEA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B844</w:t>
            </w:r>
          </w:p>
        </w:tc>
        <w:tc>
          <w:tcPr>
            <w:tcW w:w="2531" w:type="dxa"/>
          </w:tcPr>
          <w:p w14:paraId="79C36DBB" w14:textId="0E97BB7C" w:rsidR="005B0B4C" w:rsidRPr="00FB0EEB" w:rsidRDefault="008C4DEA" w:rsidP="00A8522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>Projekt rozporządzenia Ministra Sprawiedliwości zmieniając</w:t>
            </w:r>
            <w:r w:rsidR="00FB0EEB" w:rsidRPr="00FB0EEB">
              <w:rPr>
                <w:rFonts w:cs="Calibri"/>
                <w:spacing w:val="-4"/>
                <w:sz w:val="21"/>
                <w:szCs w:val="21"/>
              </w:rPr>
              <w:t xml:space="preserve">ego 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rozporządzenie w sprawie szczegółowego sposobu prowadzenia rejestrów wchodzących w skład Krajowego Rejestru Sądowego oraz szczegółowej treści tych rejestrów     </w:t>
            </w:r>
          </w:p>
        </w:tc>
        <w:tc>
          <w:tcPr>
            <w:tcW w:w="3238" w:type="dxa"/>
          </w:tcPr>
          <w:p w14:paraId="40F9A0CA" w14:textId="77777777" w:rsidR="008C4DEA" w:rsidRPr="00FB0EEB" w:rsidRDefault="008C4DEA" w:rsidP="008C4DE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 xml:space="preserve">Na potrzebę wprowadzenia zmian do obecnie obowiązującego w/w rozporządzenia, wskazują przede wszystkim,  uchwalona zmiana ustawy o rachunkowości oraz niektórych innych ustaw, która nakłada obowiązek sporządzania sprawozdania o podatku dochodowym na wszystkie duże przedsiębiorstwa wielonarodowe (jednostki dominujące najwyższego szczebla grupy kapitałowej i jednostki samodzielne o odpowiednio skonsolidowanych przychodach – dla jednostek dominujących najwyższego szczebla – i przychodach – dla jednostek samodzielnych, przekraczających w kolejnych dwóch latach kwotę 750 mln EUR), mające siedzibę lub miejsce sprawowania zarządu na terytorium Rzeczypospolitej Polskiej, </w:t>
            </w:r>
            <w:r w:rsidRPr="00FB0EEB">
              <w:rPr>
                <w:rFonts w:cs="Calibri"/>
                <w:spacing w:val="-4"/>
                <w:sz w:val="21"/>
                <w:szCs w:val="21"/>
              </w:rPr>
              <w:lastRenderedPageBreak/>
              <w:t xml:space="preserve">jak i przedsiębiorstwa wielonarodowe spoza EOG, prowadzące działalność gospodarczą na terytorium Rzeczypospolitej Polskiej za pośrednictwem oddziału lub jednostki zależnej. </w:t>
            </w:r>
          </w:p>
          <w:p w14:paraId="59558A28" w14:textId="439A36C1" w:rsidR="005B0B4C" w:rsidRPr="00FB0EEB" w:rsidRDefault="008C4DEA" w:rsidP="008C4DEA">
            <w:pPr>
              <w:pStyle w:val="Nagwek"/>
              <w:spacing w:after="0" w:line="240" w:lineRule="auto"/>
              <w:rPr>
                <w:rFonts w:cs="Calibri"/>
                <w:spacing w:val="-4"/>
                <w:sz w:val="21"/>
                <w:szCs w:val="21"/>
              </w:rPr>
            </w:pPr>
            <w:r w:rsidRPr="00FB0EEB">
              <w:rPr>
                <w:rFonts w:cs="Calibri"/>
                <w:spacing w:val="-4"/>
                <w:sz w:val="21"/>
                <w:szCs w:val="21"/>
              </w:rPr>
              <w:t>W związku z wprowadzanym obowiązkiem ujawniania w Krajowym Rejestrze Sądowym wzmianki o złożeniu sprawozdania o podatku dochodowym, zaistniała potrzeba dostosowania przepisów zmienianego rozporządzenia do opublikowanej ustawy</w:t>
            </w:r>
          </w:p>
        </w:tc>
        <w:tc>
          <w:tcPr>
            <w:tcW w:w="2865" w:type="dxa"/>
          </w:tcPr>
          <w:p w14:paraId="5ED65B13" w14:textId="77777777" w:rsidR="005B0B4C" w:rsidRDefault="008C4DE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lastRenderedPageBreak/>
              <w:t xml:space="preserve">Adrian Orliński </w:t>
            </w:r>
          </w:p>
          <w:p w14:paraId="770751B7" w14:textId="77777777" w:rsidR="008C4DEA" w:rsidRDefault="008C4DE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Główny Specjalista</w:t>
            </w:r>
          </w:p>
          <w:p w14:paraId="6BFBD661" w14:textId="77777777" w:rsidR="008C4DEA" w:rsidRDefault="008C4DE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Wydział Prawa Rejestrów</w:t>
            </w:r>
          </w:p>
          <w:p w14:paraId="41A20336" w14:textId="79DCF0D9" w:rsidR="008C4DEA" w:rsidRPr="00A8522A" w:rsidRDefault="008C4DEA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Departament Prawa Cywilnego i Gosp</w:t>
            </w:r>
            <w:r w:rsidR="0033747F">
              <w:rPr>
                <w:rFonts w:cs="Calibri"/>
                <w:sz w:val="21"/>
                <w:szCs w:val="21"/>
              </w:rPr>
              <w:t>o</w:t>
            </w:r>
            <w:r>
              <w:rPr>
                <w:rFonts w:cs="Calibri"/>
                <w:sz w:val="21"/>
                <w:szCs w:val="21"/>
              </w:rPr>
              <w:t>darczego</w:t>
            </w:r>
          </w:p>
        </w:tc>
        <w:tc>
          <w:tcPr>
            <w:tcW w:w="1991" w:type="dxa"/>
          </w:tcPr>
          <w:p w14:paraId="7F6210EB" w14:textId="42247F19" w:rsidR="005B0B4C" w:rsidRPr="00A8522A" w:rsidRDefault="0033747F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22 czerwca 2025 r.</w:t>
            </w:r>
          </w:p>
        </w:tc>
        <w:tc>
          <w:tcPr>
            <w:tcW w:w="1402" w:type="dxa"/>
          </w:tcPr>
          <w:p w14:paraId="7030138F" w14:textId="28B66F6A" w:rsidR="005B0B4C" w:rsidRPr="00A8522A" w:rsidRDefault="0033747F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  <w:r>
              <w:rPr>
                <w:rFonts w:cs="Calibri"/>
                <w:sz w:val="21"/>
                <w:szCs w:val="21"/>
              </w:rPr>
              <w:t>13.08.2024 r.</w:t>
            </w:r>
          </w:p>
        </w:tc>
        <w:tc>
          <w:tcPr>
            <w:tcW w:w="2264" w:type="dxa"/>
          </w:tcPr>
          <w:p w14:paraId="7F6B4F74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5B0B4C" w14:paraId="4CECD4E5" w14:textId="77777777" w:rsidTr="00FB0EEB">
        <w:trPr>
          <w:jc w:val="center"/>
        </w:trPr>
        <w:tc>
          <w:tcPr>
            <w:tcW w:w="872" w:type="dxa"/>
            <w:vAlign w:val="center"/>
          </w:tcPr>
          <w:p w14:paraId="4101E23D" w14:textId="7BD662A8" w:rsidR="005B0B4C" w:rsidRPr="00A8522A" w:rsidRDefault="00FB0EEB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B845</w:t>
            </w:r>
          </w:p>
        </w:tc>
        <w:tc>
          <w:tcPr>
            <w:tcW w:w="2531" w:type="dxa"/>
          </w:tcPr>
          <w:p w14:paraId="00510F29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3238" w:type="dxa"/>
          </w:tcPr>
          <w:p w14:paraId="40BF58EF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865" w:type="dxa"/>
          </w:tcPr>
          <w:p w14:paraId="07C395C8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991" w:type="dxa"/>
          </w:tcPr>
          <w:p w14:paraId="7555CA0F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402" w:type="dxa"/>
          </w:tcPr>
          <w:p w14:paraId="77358853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264" w:type="dxa"/>
          </w:tcPr>
          <w:p w14:paraId="5BBBC120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5B0B4C" w14:paraId="1EDB478C" w14:textId="77777777" w:rsidTr="00FB0EEB">
        <w:trPr>
          <w:jc w:val="center"/>
        </w:trPr>
        <w:tc>
          <w:tcPr>
            <w:tcW w:w="872" w:type="dxa"/>
            <w:vAlign w:val="center"/>
          </w:tcPr>
          <w:p w14:paraId="44F87E9B" w14:textId="0C22F505" w:rsidR="005B0B4C" w:rsidRPr="00A8522A" w:rsidRDefault="00FB0EEB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B846</w:t>
            </w:r>
          </w:p>
        </w:tc>
        <w:tc>
          <w:tcPr>
            <w:tcW w:w="2531" w:type="dxa"/>
          </w:tcPr>
          <w:p w14:paraId="0C1DCD0A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3238" w:type="dxa"/>
          </w:tcPr>
          <w:p w14:paraId="6E4FAC1B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865" w:type="dxa"/>
          </w:tcPr>
          <w:p w14:paraId="018A7FD9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991" w:type="dxa"/>
          </w:tcPr>
          <w:p w14:paraId="39575B02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402" w:type="dxa"/>
          </w:tcPr>
          <w:p w14:paraId="674B37E3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264" w:type="dxa"/>
          </w:tcPr>
          <w:p w14:paraId="4BABF4CD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5B0B4C" w14:paraId="043AA1AE" w14:textId="77777777" w:rsidTr="00FB0EEB">
        <w:trPr>
          <w:jc w:val="center"/>
        </w:trPr>
        <w:tc>
          <w:tcPr>
            <w:tcW w:w="872" w:type="dxa"/>
            <w:vAlign w:val="center"/>
          </w:tcPr>
          <w:p w14:paraId="0733DE14" w14:textId="530D9D2D" w:rsidR="005B0B4C" w:rsidRPr="00A8522A" w:rsidRDefault="00FB0EEB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B847</w:t>
            </w:r>
          </w:p>
        </w:tc>
        <w:tc>
          <w:tcPr>
            <w:tcW w:w="2531" w:type="dxa"/>
          </w:tcPr>
          <w:p w14:paraId="6BDB549E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3238" w:type="dxa"/>
          </w:tcPr>
          <w:p w14:paraId="584A29CF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865" w:type="dxa"/>
          </w:tcPr>
          <w:p w14:paraId="3032C025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991" w:type="dxa"/>
          </w:tcPr>
          <w:p w14:paraId="26020C08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402" w:type="dxa"/>
          </w:tcPr>
          <w:p w14:paraId="37945869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264" w:type="dxa"/>
          </w:tcPr>
          <w:p w14:paraId="51109540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5B0B4C" w14:paraId="12C0B38C" w14:textId="77777777" w:rsidTr="00FB0EEB">
        <w:trPr>
          <w:jc w:val="center"/>
        </w:trPr>
        <w:tc>
          <w:tcPr>
            <w:tcW w:w="872" w:type="dxa"/>
            <w:vAlign w:val="center"/>
          </w:tcPr>
          <w:p w14:paraId="4ED66998" w14:textId="098F75CD" w:rsidR="005B0B4C" w:rsidRPr="00A8522A" w:rsidRDefault="00FB0EEB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B848</w:t>
            </w:r>
          </w:p>
        </w:tc>
        <w:tc>
          <w:tcPr>
            <w:tcW w:w="2531" w:type="dxa"/>
          </w:tcPr>
          <w:p w14:paraId="129DD772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3238" w:type="dxa"/>
          </w:tcPr>
          <w:p w14:paraId="4C5EE11E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865" w:type="dxa"/>
          </w:tcPr>
          <w:p w14:paraId="6EEF1848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991" w:type="dxa"/>
          </w:tcPr>
          <w:p w14:paraId="658380EF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402" w:type="dxa"/>
          </w:tcPr>
          <w:p w14:paraId="00F6378E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264" w:type="dxa"/>
          </w:tcPr>
          <w:p w14:paraId="00BDF731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5B0B4C" w14:paraId="32DD9E0C" w14:textId="77777777" w:rsidTr="00FB0EEB">
        <w:trPr>
          <w:jc w:val="center"/>
        </w:trPr>
        <w:tc>
          <w:tcPr>
            <w:tcW w:w="872" w:type="dxa"/>
            <w:vAlign w:val="center"/>
          </w:tcPr>
          <w:p w14:paraId="556CD890" w14:textId="5BD365BA" w:rsidR="005B0B4C" w:rsidRPr="00A8522A" w:rsidRDefault="00FB0EEB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B849</w:t>
            </w:r>
          </w:p>
        </w:tc>
        <w:tc>
          <w:tcPr>
            <w:tcW w:w="2531" w:type="dxa"/>
          </w:tcPr>
          <w:p w14:paraId="4BBCEBFF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3238" w:type="dxa"/>
          </w:tcPr>
          <w:p w14:paraId="29B66DC1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865" w:type="dxa"/>
          </w:tcPr>
          <w:p w14:paraId="569D4FF7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991" w:type="dxa"/>
          </w:tcPr>
          <w:p w14:paraId="6C11A22D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402" w:type="dxa"/>
          </w:tcPr>
          <w:p w14:paraId="7B878451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264" w:type="dxa"/>
          </w:tcPr>
          <w:p w14:paraId="18EC0DE4" w14:textId="77777777" w:rsidR="005B0B4C" w:rsidRPr="00A8522A" w:rsidRDefault="005B0B4C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  <w:tr w:rsidR="00FB0EEB" w14:paraId="6945A16C" w14:textId="77777777" w:rsidTr="00FB0EEB">
        <w:trPr>
          <w:jc w:val="center"/>
        </w:trPr>
        <w:tc>
          <w:tcPr>
            <w:tcW w:w="872" w:type="dxa"/>
            <w:vAlign w:val="center"/>
          </w:tcPr>
          <w:p w14:paraId="13A73491" w14:textId="7A2EA050" w:rsidR="00FB0EEB" w:rsidRDefault="00FB0EEB" w:rsidP="00A8522A">
            <w:pPr>
              <w:pStyle w:val="Nagwek"/>
              <w:spacing w:after="0" w:line="240" w:lineRule="auto"/>
              <w:jc w:val="center"/>
              <w:rPr>
                <w:rFonts w:cs="Calibri"/>
                <w:b/>
                <w:bCs/>
                <w:sz w:val="21"/>
                <w:szCs w:val="21"/>
              </w:rPr>
            </w:pPr>
            <w:r>
              <w:rPr>
                <w:rFonts w:cs="Calibri"/>
                <w:b/>
                <w:bCs/>
                <w:sz w:val="21"/>
                <w:szCs w:val="21"/>
              </w:rPr>
              <w:t>B850</w:t>
            </w:r>
          </w:p>
        </w:tc>
        <w:tc>
          <w:tcPr>
            <w:tcW w:w="2531" w:type="dxa"/>
          </w:tcPr>
          <w:p w14:paraId="10986350" w14:textId="77777777" w:rsidR="00FB0EEB" w:rsidRPr="00A8522A" w:rsidRDefault="00FB0EEB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3238" w:type="dxa"/>
          </w:tcPr>
          <w:p w14:paraId="4126B639" w14:textId="77777777" w:rsidR="00FB0EEB" w:rsidRPr="00A8522A" w:rsidRDefault="00FB0EEB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865" w:type="dxa"/>
          </w:tcPr>
          <w:p w14:paraId="05299176" w14:textId="77777777" w:rsidR="00FB0EEB" w:rsidRPr="00A8522A" w:rsidRDefault="00FB0EEB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991" w:type="dxa"/>
          </w:tcPr>
          <w:p w14:paraId="26BE0CCC" w14:textId="77777777" w:rsidR="00FB0EEB" w:rsidRPr="00A8522A" w:rsidRDefault="00FB0EEB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1402" w:type="dxa"/>
          </w:tcPr>
          <w:p w14:paraId="63FDB909" w14:textId="77777777" w:rsidR="00FB0EEB" w:rsidRPr="00A8522A" w:rsidRDefault="00FB0EEB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  <w:tc>
          <w:tcPr>
            <w:tcW w:w="2264" w:type="dxa"/>
          </w:tcPr>
          <w:p w14:paraId="17B080B0" w14:textId="77777777" w:rsidR="00FB0EEB" w:rsidRPr="00A8522A" w:rsidRDefault="00FB0EEB" w:rsidP="00A8522A">
            <w:pPr>
              <w:pStyle w:val="Nagwek"/>
              <w:spacing w:after="0" w:line="240" w:lineRule="auto"/>
              <w:rPr>
                <w:rFonts w:cs="Calibri"/>
                <w:sz w:val="21"/>
                <w:szCs w:val="21"/>
              </w:rPr>
            </w:pPr>
          </w:p>
        </w:tc>
      </w:tr>
    </w:tbl>
    <w:p w14:paraId="51C1E314" w14:textId="4BE9924B" w:rsidR="009928CF" w:rsidRPr="00420202" w:rsidRDefault="009928CF" w:rsidP="009928CF">
      <w:pPr>
        <w:pStyle w:val="Nagwek"/>
        <w:rPr>
          <w:rFonts w:ascii="Arial" w:hAnsi="Arial" w:cs="Arial"/>
          <w:sz w:val="32"/>
          <w:szCs w:val="32"/>
        </w:rPr>
      </w:pPr>
    </w:p>
    <w:p w14:paraId="05DBBE5C" w14:textId="77777777" w:rsidR="0037511F" w:rsidRDefault="0037511F" w:rsidP="00BE6D75"/>
    <w:sectPr w:rsidR="0037511F" w:rsidSect="008227D9">
      <w:headerReference w:type="default" r:id="rId7"/>
      <w:pgSz w:w="16838" w:h="11906" w:orient="landscape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267760" w14:textId="77777777" w:rsidR="009928CF" w:rsidRDefault="009928CF" w:rsidP="009928CF">
      <w:pPr>
        <w:spacing w:after="0" w:line="240" w:lineRule="auto"/>
      </w:pPr>
      <w:r>
        <w:separator/>
      </w:r>
    </w:p>
  </w:endnote>
  <w:endnote w:type="continuationSeparator" w:id="0">
    <w:p w14:paraId="62DD494A" w14:textId="77777777" w:rsidR="009928CF" w:rsidRDefault="009928CF" w:rsidP="00992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BE79AF" w14:textId="77777777" w:rsidR="009928CF" w:rsidRDefault="009928CF" w:rsidP="009928CF">
      <w:pPr>
        <w:spacing w:after="0" w:line="240" w:lineRule="auto"/>
      </w:pPr>
      <w:r>
        <w:separator/>
      </w:r>
    </w:p>
  </w:footnote>
  <w:footnote w:type="continuationSeparator" w:id="0">
    <w:p w14:paraId="6A5B2634" w14:textId="77777777" w:rsidR="009928CF" w:rsidRDefault="009928CF" w:rsidP="009928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69511A" w14:textId="4D205D98" w:rsidR="009928CF" w:rsidRDefault="009928CF" w:rsidP="009928CF">
    <w:pPr>
      <w:pStyle w:val="Nagwek"/>
      <w:jc w:val="center"/>
      <w:rPr>
        <w:b/>
        <w:bCs/>
        <w:sz w:val="28"/>
        <w:szCs w:val="28"/>
      </w:rPr>
    </w:pPr>
    <w:r w:rsidRPr="009928CF">
      <w:rPr>
        <w:b/>
        <w:bCs/>
        <w:sz w:val="28"/>
        <w:szCs w:val="28"/>
      </w:rPr>
      <w:t>Wykaz prac legislacyjnych Ministra Sprawiedliwości</w:t>
    </w:r>
  </w:p>
  <w:p w14:paraId="784B2B9E" w14:textId="5A9E2F9D" w:rsidR="009928CF" w:rsidRPr="009928CF" w:rsidRDefault="009928CF" w:rsidP="009928CF">
    <w:pPr>
      <w:pStyle w:val="Nagwek"/>
      <w:jc w:val="center"/>
      <w:rPr>
        <w:b/>
        <w:bCs/>
        <w:sz w:val="28"/>
        <w:szCs w:val="28"/>
      </w:rPr>
    </w:pPr>
    <w:r w:rsidRPr="009928CF">
      <w:rPr>
        <w:b/>
        <w:bCs/>
        <w:sz w:val="28"/>
        <w:szCs w:val="28"/>
      </w:rPr>
      <w:t>B. Pozostałe projekty rozporządzeń Ministra Sprawiedliwości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87B31CB"/>
    <w:multiLevelType w:val="hybridMultilevel"/>
    <w:tmpl w:val="D84460A4"/>
    <w:lvl w:ilvl="0" w:tplc="0C80CFE2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695621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999"/>
    <w:rsid w:val="000276BD"/>
    <w:rsid w:val="000C28B4"/>
    <w:rsid w:val="001A3A4E"/>
    <w:rsid w:val="001B6EC1"/>
    <w:rsid w:val="001F0A5B"/>
    <w:rsid w:val="001F1BA6"/>
    <w:rsid w:val="00217999"/>
    <w:rsid w:val="002339B7"/>
    <w:rsid w:val="0033747F"/>
    <w:rsid w:val="0037511F"/>
    <w:rsid w:val="00437EFB"/>
    <w:rsid w:val="00444D83"/>
    <w:rsid w:val="004E065D"/>
    <w:rsid w:val="005B0B4C"/>
    <w:rsid w:val="005B6AFC"/>
    <w:rsid w:val="00640ED3"/>
    <w:rsid w:val="00654832"/>
    <w:rsid w:val="00684FB8"/>
    <w:rsid w:val="006B2281"/>
    <w:rsid w:val="007139B7"/>
    <w:rsid w:val="00760FEB"/>
    <w:rsid w:val="00782DBF"/>
    <w:rsid w:val="0079560E"/>
    <w:rsid w:val="007A2D21"/>
    <w:rsid w:val="007C6A32"/>
    <w:rsid w:val="008227D9"/>
    <w:rsid w:val="008C4DEA"/>
    <w:rsid w:val="00902148"/>
    <w:rsid w:val="009928CF"/>
    <w:rsid w:val="009A5266"/>
    <w:rsid w:val="009B05A8"/>
    <w:rsid w:val="009E0841"/>
    <w:rsid w:val="009F1E82"/>
    <w:rsid w:val="00A02FCA"/>
    <w:rsid w:val="00A105FB"/>
    <w:rsid w:val="00A8522A"/>
    <w:rsid w:val="00A94736"/>
    <w:rsid w:val="00AA4138"/>
    <w:rsid w:val="00AE286B"/>
    <w:rsid w:val="00B37DD8"/>
    <w:rsid w:val="00BE6D75"/>
    <w:rsid w:val="00CA3956"/>
    <w:rsid w:val="00CA46C9"/>
    <w:rsid w:val="00D03C6F"/>
    <w:rsid w:val="00DE454C"/>
    <w:rsid w:val="00E15A7E"/>
    <w:rsid w:val="00E9383C"/>
    <w:rsid w:val="00F70E5B"/>
    <w:rsid w:val="00FB0EEB"/>
    <w:rsid w:val="00FB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17623"/>
  <w15:chartTrackingRefBased/>
  <w15:docId w15:val="{3C03F176-907E-492B-A067-AA710F638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28CF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qFormat/>
    <w:rsid w:val="002179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179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179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179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179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179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179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179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179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179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179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179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17999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17999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1799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1799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1799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1799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179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179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179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179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179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1799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1799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17999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179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17999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17999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9928C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928CF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9928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28CF"/>
    <w:rPr>
      <w:rFonts w:ascii="Calibri" w:eastAsia="Calibri" w:hAnsi="Calibri" w:cs="Times New Roman"/>
      <w:kern w:val="0"/>
      <w14:ligatures w14:val="none"/>
    </w:rPr>
  </w:style>
  <w:style w:type="table" w:styleId="Tabela-Siatka">
    <w:name w:val="Table Grid"/>
    <w:basedOn w:val="Standardowy"/>
    <w:uiPriority w:val="39"/>
    <w:rsid w:val="00BE6D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YTUAKTUprzedmiotregulacjiustawylubrozporzdzenia">
    <w:name w:val="TYTUŁ_AKTU – przedmiot regulacji ustawy lub rozporządzenia"/>
    <w:next w:val="Normalny"/>
    <w:uiPriority w:val="6"/>
    <w:qFormat/>
    <w:rsid w:val="009B05A8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9</Pages>
  <Words>1717</Words>
  <Characters>10305</Characters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2024-07-22T10:39:00Z</dcterms:created>
  <dcterms:modified xsi:type="dcterms:W3CDTF">2024-08-22T06:27:00Z</dcterms:modified>
</cp:coreProperties>
</file>