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47" w:rsidRDefault="000C15A6">
      <w:pPr>
        <w:pStyle w:val="TYTUAKTUprzedmiotregulacjiustawylubrozporzdzenia"/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>Zarządzenie</w:t>
      </w:r>
      <w:r>
        <w:rPr>
          <w:rFonts w:ascii="Arial" w:hAnsi="Arial"/>
          <w:sz w:val="28"/>
          <w:szCs w:val="28"/>
        </w:rPr>
        <w:br/>
        <w:t>Dyrektora Generalnego 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1" w:name="ezdDataPodpisu"/>
      <w:r>
        <w:rPr>
          <w:rFonts w:ascii="Arial" w:hAnsi="Arial"/>
          <w:sz w:val="28"/>
          <w:szCs w:val="28"/>
        </w:rPr>
        <w:t>23 maja 2025</w:t>
      </w:r>
      <w:bookmarkEnd w:id="1"/>
      <w:r>
        <w:rPr>
          <w:rFonts w:ascii="Arial" w:hAnsi="Arial"/>
          <w:sz w:val="28"/>
          <w:szCs w:val="28"/>
        </w:rPr>
        <w:t xml:space="preserve"> r.</w:t>
      </w:r>
    </w:p>
    <w:p w:rsidR="00D80047" w:rsidRDefault="000C15A6">
      <w:pPr>
        <w:spacing w:line="276" w:lineRule="auto"/>
        <w:jc w:val="center"/>
      </w:pPr>
      <w:r>
        <w:rPr>
          <w:rFonts w:ascii="Arial" w:eastAsiaTheme="minorEastAsia" w:hAnsi="Arial" w:cs="Arial"/>
          <w:b/>
          <w:sz w:val="24"/>
          <w:szCs w:val="20"/>
          <w:lang w:eastAsia="pl-PL"/>
        </w:rPr>
        <w:t>zmieniające zarządzenie w sprawie wprowadzenia Regulaminu wewnętrznego udzielania zamówień publicznych w Łódzkim Urzędzie Wojewódzkim w Łodzi</w:t>
      </w:r>
    </w:p>
    <w:p w:rsidR="00D80047" w:rsidRDefault="000C15A6">
      <w:pPr>
        <w:pStyle w:val="NIEARTTEKSTtekstnieartykuowanynppodstprawnarozplubpreambua"/>
        <w:rPr>
          <w:rFonts w:ascii="Arial" w:hAnsi="Arial"/>
        </w:rPr>
      </w:pPr>
      <w:r>
        <w:rPr>
          <w:rFonts w:ascii="Arial" w:hAnsi="Arial"/>
        </w:rPr>
        <w:t>Na podstawie art.</w:t>
      </w:r>
      <w:r>
        <w:rPr>
          <w:rFonts w:ascii="Arial" w:hAnsi="Arial"/>
        </w:rPr>
        <w:t xml:space="preserve"> 25 ust. 4 pkt 1 ustawy z dnia 21 listopada 2008 r. o służbie cywilnej (Dz. U. z 2024. poz. 409) w związku z art. 53 i art. 68 ustawy z dnia 27 sierpnia 2009 r. o finansach publicznych (Dz.U. z 2024 r. poz. 1530 ze zm.) zarządza się, co następuje:</w:t>
      </w:r>
    </w:p>
    <w:p w:rsidR="00D80047" w:rsidRDefault="000C15A6">
      <w:pPr>
        <w:pStyle w:val="ARTartustawynprozporzdzenia"/>
        <w:numPr>
          <w:ilvl w:val="0"/>
          <w:numId w:val="1"/>
        </w:numPr>
        <w:tabs>
          <w:tab w:val="left" w:pos="848"/>
        </w:tabs>
        <w:ind w:left="142" w:firstLine="0"/>
        <w:rPr>
          <w:rFonts w:ascii="Arial" w:hAnsi="Arial"/>
          <w:bCs/>
        </w:rPr>
      </w:pPr>
      <w:r>
        <w:rPr>
          <w:rFonts w:ascii="Arial" w:hAnsi="Arial"/>
          <w:bCs/>
        </w:rPr>
        <w:t>W Regula</w:t>
      </w:r>
      <w:r>
        <w:rPr>
          <w:rFonts w:ascii="Arial" w:hAnsi="Arial"/>
          <w:bCs/>
        </w:rPr>
        <w:t xml:space="preserve">minie wewnętrznym udzielania zamówień publicznych w Łódzkim Urzędzie Wojewódzkim w Łodzi, stanowiącym załącznik do Zarządzenia Nr 13/2024 Dyrektora Generalnego Łódzkiego Urzędu Wojewódzkiego w Łodzi z dnia 27 maja 2024 r. w sprawie wprowadzenia Regulaminu </w:t>
      </w:r>
      <w:r>
        <w:rPr>
          <w:rFonts w:ascii="Arial" w:hAnsi="Arial"/>
          <w:bCs/>
        </w:rPr>
        <w:t>wewnętrznego udzielania zamówień publicznych w Łódzkim Urzędzie Wojewódzkim w Łodzi wprowadza się następujące zmiany:</w:t>
      </w:r>
    </w:p>
    <w:p w:rsidR="00D80047" w:rsidRDefault="000C15A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 xml:space="preserve">§ 15 ust. 1 otrzymuje brzmienie: </w:t>
      </w:r>
    </w:p>
    <w:p w:rsidR="00D80047" w:rsidRDefault="000C15A6">
      <w:pPr>
        <w:pStyle w:val="Akapitzlist"/>
        <w:spacing w:after="0" w:line="360" w:lineRule="auto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 xml:space="preserve">„ Procedura konkurencyjności polega na: </w:t>
      </w:r>
    </w:p>
    <w:p w:rsidR="00D80047" w:rsidRDefault="000C15A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>skierowaniu zapytania ofertowego w formie pisemnej do co najmni</w:t>
      </w:r>
      <w:r>
        <w:rPr>
          <w:rFonts w:ascii="Arial" w:eastAsiaTheme="minorEastAsia" w:hAnsi="Arial" w:cs="Arial"/>
          <w:bCs/>
          <w:sz w:val="24"/>
          <w:szCs w:val="20"/>
          <w:lang w:eastAsia="pl-PL"/>
        </w:rPr>
        <w:t>ej 2 potencjalnych wykonawców w celu wyboru najkorzystniejszej oferty</w:t>
      </w:r>
    </w:p>
    <w:p w:rsidR="00D80047" w:rsidRDefault="000C15A6">
      <w:pPr>
        <w:pStyle w:val="Akapitzlist"/>
        <w:spacing w:after="0" w:line="360" w:lineRule="auto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>albo</w:t>
      </w:r>
    </w:p>
    <w:p w:rsidR="00D80047" w:rsidRDefault="000C15A6">
      <w:pPr>
        <w:pStyle w:val="Akapitzlist"/>
        <w:numPr>
          <w:ilvl w:val="0"/>
          <w:numId w:val="2"/>
        </w:numPr>
        <w:spacing w:after="0" w:line="360" w:lineRule="auto"/>
        <w:ind w:left="1134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>opublikowaniu zapytania ofertowego na stronie internetowej urzędu (BIP) na podstronie „Zamówienia publiczne” w zakładce pn. Zamówienia poniżej 130 000 zł.”</w:t>
      </w:r>
    </w:p>
    <w:p w:rsidR="00D80047" w:rsidRDefault="000C15A6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>§ 15 ust. 5 otrzymuje brz</w:t>
      </w:r>
      <w:r>
        <w:rPr>
          <w:rFonts w:ascii="Arial" w:eastAsiaTheme="minorEastAsia" w:hAnsi="Arial" w:cs="Arial"/>
          <w:bCs/>
          <w:sz w:val="24"/>
          <w:szCs w:val="20"/>
          <w:lang w:eastAsia="pl-PL"/>
        </w:rPr>
        <w:t xml:space="preserve">mienie: </w:t>
      </w:r>
    </w:p>
    <w:p w:rsidR="00D80047" w:rsidRDefault="000C15A6">
      <w:pPr>
        <w:pStyle w:val="Akapitzlist"/>
        <w:suppressAutoHyphens/>
        <w:spacing w:after="0" w:line="360" w:lineRule="auto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>„Termin na złożenie oferty powinien wynosić nie mniej niż 2 dni kalendarzowe od dnia umieszczenia zapytania ofertowego na stronie internetowej lub przesłania go do potencjalnych wykonawców.”</w:t>
      </w:r>
    </w:p>
    <w:p w:rsidR="00D80047" w:rsidRDefault="000C15A6">
      <w:pPr>
        <w:pStyle w:val="Akapitzlist"/>
        <w:numPr>
          <w:ilvl w:val="0"/>
          <w:numId w:val="3"/>
        </w:numPr>
        <w:spacing w:after="0" w:line="360" w:lineRule="auto"/>
        <w:ind w:left="709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 xml:space="preserve">§ 15 ust. 8 otrzymuje brzmienie: </w:t>
      </w:r>
    </w:p>
    <w:p w:rsidR="00D80047" w:rsidRDefault="000C15A6">
      <w:pPr>
        <w:pStyle w:val="Akapitzlist"/>
        <w:suppressAutoHyphens/>
        <w:spacing w:after="0" w:line="360" w:lineRule="auto"/>
        <w:ind w:left="709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>„W przypadku jeśli Wyd</w:t>
      </w:r>
      <w:r>
        <w:rPr>
          <w:rFonts w:ascii="Arial" w:eastAsiaTheme="minorEastAsia" w:hAnsi="Arial" w:cs="Arial"/>
          <w:bCs/>
          <w:sz w:val="24"/>
          <w:szCs w:val="20"/>
          <w:lang w:eastAsia="pl-PL"/>
        </w:rPr>
        <w:t>ział merytoryczny przesłał zapytanie ofertowe do co najmniej 2 potencjalnych wykonawców, procedurę konkurencyjności uznaje się za spełnioną, jeśli Wydział merytoryczny otrzyma co najmniej dwie oferty niepodlegające odrzuceniu.”</w:t>
      </w:r>
    </w:p>
    <w:p w:rsidR="00D80047" w:rsidRDefault="000C15A6">
      <w:pPr>
        <w:pStyle w:val="Akapitzlist"/>
        <w:numPr>
          <w:ilvl w:val="0"/>
          <w:numId w:val="3"/>
        </w:numPr>
        <w:ind w:left="709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 xml:space="preserve">§ 15 ust. 9 otrzymuje brzmienie: </w:t>
      </w:r>
    </w:p>
    <w:p w:rsidR="00D80047" w:rsidRDefault="00D80047">
      <w:pPr>
        <w:pStyle w:val="Akapitzlist"/>
        <w:spacing w:line="360" w:lineRule="auto"/>
        <w:ind w:left="709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</w:p>
    <w:p w:rsidR="00D80047" w:rsidRDefault="000C15A6">
      <w:pPr>
        <w:pStyle w:val="Akapitzlist"/>
        <w:suppressAutoHyphens/>
        <w:spacing w:after="0" w:line="360" w:lineRule="auto"/>
        <w:jc w:val="both"/>
        <w:rPr>
          <w:rFonts w:ascii="Arial" w:eastAsiaTheme="minorEastAsia" w:hAnsi="Arial" w:cs="Arial"/>
          <w:bCs/>
          <w:sz w:val="24"/>
          <w:szCs w:val="20"/>
          <w:lang w:eastAsia="pl-PL"/>
        </w:rPr>
      </w:pPr>
      <w:r>
        <w:rPr>
          <w:rFonts w:ascii="Arial" w:eastAsiaTheme="minorEastAsia" w:hAnsi="Arial" w:cs="Arial"/>
          <w:bCs/>
          <w:sz w:val="24"/>
          <w:szCs w:val="20"/>
          <w:lang w:eastAsia="pl-PL"/>
        </w:rPr>
        <w:t>„W przypadku wysłania zapytania ofertowego do co najmniej 2 potencjalnych wykonawców i gdy Wydział merytoryczny nie otrzymał dwóch ofert niepodlegających odrzuceniu, należy jeden raz powtórzyć procedurę wysłania zapytania</w:t>
      </w:r>
      <w:r>
        <w:rPr>
          <w:rFonts w:ascii="Arial" w:eastAsiaTheme="minorEastAsia" w:hAnsi="Arial" w:cs="Arial"/>
          <w:bCs/>
          <w:sz w:val="24"/>
          <w:szCs w:val="20"/>
          <w:lang w:eastAsia="pl-PL"/>
        </w:rPr>
        <w:t xml:space="preserve"> ofertowego do dwóch potencjalnych wykonawców (lecz do żadnego </w:t>
      </w:r>
      <w:r>
        <w:rPr>
          <w:rFonts w:ascii="Arial" w:eastAsiaTheme="minorEastAsia" w:hAnsi="Arial" w:cs="Arial"/>
          <w:bCs/>
          <w:sz w:val="24"/>
          <w:szCs w:val="20"/>
          <w:lang w:eastAsia="pl-PL"/>
        </w:rPr>
        <w:lastRenderedPageBreak/>
        <w:t>z tych, którzy nie złożyli ofert w wyniku wysłania pierwszego zapytania). Jeżeli w wyniku powtórzenia procedury Wydział merytoryczny otrzyma minimum jedną ofertę niepodlegającą odrzuceniu, uzna</w:t>
      </w:r>
      <w:r>
        <w:rPr>
          <w:rFonts w:ascii="Arial" w:eastAsiaTheme="minorEastAsia" w:hAnsi="Arial" w:cs="Arial"/>
          <w:bCs/>
          <w:sz w:val="24"/>
          <w:szCs w:val="20"/>
          <w:lang w:eastAsia="pl-PL"/>
        </w:rPr>
        <w:t>je się, że procedura konkurencyjności została spełniona.”</w:t>
      </w:r>
    </w:p>
    <w:p w:rsidR="00D80047" w:rsidRDefault="000C15A6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142" w:firstLine="0"/>
        <w:rPr>
          <w:rFonts w:ascii="Arial" w:hAnsi="Arial"/>
          <w:bCs/>
        </w:rPr>
      </w:pPr>
      <w:r>
        <w:rPr>
          <w:rFonts w:ascii="Arial" w:hAnsi="Arial"/>
          <w:bCs/>
        </w:rPr>
        <w:t>Zarządzenie wchodzi w życie z dniem podpisania.</w:t>
      </w:r>
    </w:p>
    <w:p w:rsidR="00D80047" w:rsidRDefault="00D80047">
      <w:pPr>
        <w:pStyle w:val="ARTartustawynprozporzdzenia"/>
        <w:tabs>
          <w:tab w:val="left" w:pos="709"/>
        </w:tabs>
        <w:ind w:left="567" w:firstLine="0"/>
        <w:rPr>
          <w:rFonts w:ascii="Arial" w:hAnsi="Arial"/>
          <w:bCs/>
        </w:rPr>
      </w:pPr>
    </w:p>
    <w:p w:rsidR="00D80047" w:rsidRDefault="000C15A6">
      <w:pPr>
        <w:pStyle w:val="Nagwek20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D80047" w:rsidRDefault="00D80047"/>
    <w:sectPr w:rsidR="00D80047">
      <w:pgSz w:w="11906" w:h="16838"/>
      <w:pgMar w:top="993" w:right="1434" w:bottom="568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E137"/>
    <w:multiLevelType w:val="hybridMultilevel"/>
    <w:tmpl w:val="00000000"/>
    <w:lvl w:ilvl="0" w:tplc="B1082F20">
      <w:start w:val="1"/>
      <w:numFmt w:val="decimal"/>
      <w:lvlText w:val="%1)"/>
      <w:lvlJc w:val="left"/>
      <w:pPr>
        <w:ind w:left="720" w:hanging="360"/>
      </w:pPr>
    </w:lvl>
    <w:lvl w:ilvl="1" w:tplc="564E6A08">
      <w:start w:val="1"/>
      <w:numFmt w:val="lowerLetter"/>
      <w:lvlText w:val="%2."/>
      <w:lvlJc w:val="left"/>
      <w:pPr>
        <w:ind w:left="1440" w:hanging="360"/>
      </w:pPr>
    </w:lvl>
    <w:lvl w:ilvl="2" w:tplc="3AFE6D42">
      <w:start w:val="1"/>
      <w:numFmt w:val="lowerRoman"/>
      <w:lvlText w:val="%3."/>
      <w:lvlJc w:val="right"/>
      <w:pPr>
        <w:ind w:left="2160" w:hanging="180"/>
      </w:pPr>
    </w:lvl>
    <w:lvl w:ilvl="3" w:tplc="0B88B626">
      <w:start w:val="1"/>
      <w:numFmt w:val="decimal"/>
      <w:lvlText w:val="%4."/>
      <w:lvlJc w:val="left"/>
      <w:pPr>
        <w:ind w:left="2880" w:hanging="360"/>
      </w:pPr>
    </w:lvl>
    <w:lvl w:ilvl="4" w:tplc="86F25284">
      <w:start w:val="1"/>
      <w:numFmt w:val="lowerLetter"/>
      <w:lvlText w:val="%5."/>
      <w:lvlJc w:val="left"/>
      <w:pPr>
        <w:ind w:left="3600" w:hanging="360"/>
      </w:pPr>
    </w:lvl>
    <w:lvl w:ilvl="5" w:tplc="F94EF234">
      <w:start w:val="1"/>
      <w:numFmt w:val="lowerRoman"/>
      <w:lvlText w:val="%6."/>
      <w:lvlJc w:val="right"/>
      <w:pPr>
        <w:ind w:left="4320" w:hanging="180"/>
      </w:pPr>
    </w:lvl>
    <w:lvl w:ilvl="6" w:tplc="61A6B804">
      <w:start w:val="1"/>
      <w:numFmt w:val="decimal"/>
      <w:lvlText w:val="%7."/>
      <w:lvlJc w:val="left"/>
      <w:pPr>
        <w:ind w:left="5040" w:hanging="360"/>
      </w:pPr>
    </w:lvl>
    <w:lvl w:ilvl="7" w:tplc="157CA762">
      <w:start w:val="1"/>
      <w:numFmt w:val="lowerLetter"/>
      <w:lvlText w:val="%8."/>
      <w:lvlJc w:val="left"/>
      <w:pPr>
        <w:ind w:left="5760" w:hanging="360"/>
      </w:pPr>
    </w:lvl>
    <w:lvl w:ilvl="8" w:tplc="FE081A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80F8"/>
    <w:multiLevelType w:val="hybridMultilevel"/>
    <w:tmpl w:val="00000000"/>
    <w:lvl w:ilvl="0" w:tplc="94CE4C34">
      <w:start w:val="1"/>
      <w:numFmt w:val="decimal"/>
      <w:lvlText w:val="%1)"/>
      <w:lvlJc w:val="left"/>
      <w:pPr>
        <w:ind w:left="1080" w:hanging="360"/>
      </w:pPr>
    </w:lvl>
    <w:lvl w:ilvl="1" w:tplc="B624F966">
      <w:start w:val="1"/>
      <w:numFmt w:val="lowerLetter"/>
      <w:lvlText w:val="%2."/>
      <w:lvlJc w:val="left"/>
      <w:pPr>
        <w:ind w:left="1800" w:hanging="360"/>
      </w:pPr>
    </w:lvl>
    <w:lvl w:ilvl="2" w:tplc="6290C9E0">
      <w:start w:val="1"/>
      <w:numFmt w:val="lowerRoman"/>
      <w:lvlText w:val="%3."/>
      <w:lvlJc w:val="right"/>
      <w:pPr>
        <w:ind w:left="2520" w:hanging="180"/>
      </w:pPr>
    </w:lvl>
    <w:lvl w:ilvl="3" w:tplc="448644AE">
      <w:start w:val="1"/>
      <w:numFmt w:val="decimal"/>
      <w:lvlText w:val="%4."/>
      <w:lvlJc w:val="left"/>
      <w:pPr>
        <w:ind w:left="3240" w:hanging="360"/>
      </w:pPr>
    </w:lvl>
    <w:lvl w:ilvl="4" w:tplc="2550C934">
      <w:start w:val="1"/>
      <w:numFmt w:val="lowerLetter"/>
      <w:lvlText w:val="%5."/>
      <w:lvlJc w:val="left"/>
      <w:pPr>
        <w:ind w:left="3960" w:hanging="360"/>
      </w:pPr>
    </w:lvl>
    <w:lvl w:ilvl="5" w:tplc="7D8E31D2">
      <w:start w:val="1"/>
      <w:numFmt w:val="lowerRoman"/>
      <w:lvlText w:val="%6."/>
      <w:lvlJc w:val="right"/>
      <w:pPr>
        <w:ind w:left="4680" w:hanging="180"/>
      </w:pPr>
    </w:lvl>
    <w:lvl w:ilvl="6" w:tplc="C19CF7C2">
      <w:start w:val="1"/>
      <w:numFmt w:val="decimal"/>
      <w:lvlText w:val="%7."/>
      <w:lvlJc w:val="left"/>
      <w:pPr>
        <w:ind w:left="5400" w:hanging="360"/>
      </w:pPr>
    </w:lvl>
    <w:lvl w:ilvl="7" w:tplc="609A496C">
      <w:start w:val="1"/>
      <w:numFmt w:val="lowerLetter"/>
      <w:lvlText w:val="%8."/>
      <w:lvlJc w:val="left"/>
      <w:pPr>
        <w:ind w:left="6120" w:hanging="360"/>
      </w:pPr>
    </w:lvl>
    <w:lvl w:ilvl="8" w:tplc="18DAE3A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5D09A"/>
    <w:multiLevelType w:val="hybridMultilevel"/>
    <w:tmpl w:val="00000000"/>
    <w:lvl w:ilvl="0" w:tplc="E30492E2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 w:tplc="6B306F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AD2CFD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618F7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3AEED9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BACD5A0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 w:tplc="F3F4639C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 w:tplc="EFDC737C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 w:tplc="EBA6F556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EBF0020"/>
    <w:multiLevelType w:val="hybridMultilevel"/>
    <w:tmpl w:val="00000000"/>
    <w:lvl w:ilvl="0" w:tplc="D360BCAA">
      <w:start w:val="1"/>
      <w:numFmt w:val="none"/>
      <w:suff w:val="nothing"/>
      <w:lvlText w:val=""/>
      <w:lvlJc w:val="left"/>
      <w:pPr>
        <w:ind w:left="0" w:firstLine="0"/>
      </w:pPr>
    </w:lvl>
    <w:lvl w:ilvl="1" w:tplc="4E6291B6">
      <w:start w:val="1"/>
      <w:numFmt w:val="none"/>
      <w:suff w:val="nothing"/>
      <w:lvlText w:val=""/>
      <w:lvlJc w:val="left"/>
      <w:pPr>
        <w:ind w:left="0" w:firstLine="0"/>
      </w:pPr>
    </w:lvl>
    <w:lvl w:ilvl="2" w:tplc="6B8AF436">
      <w:start w:val="1"/>
      <w:numFmt w:val="none"/>
      <w:suff w:val="nothing"/>
      <w:lvlText w:val=""/>
      <w:lvlJc w:val="left"/>
      <w:pPr>
        <w:ind w:left="0" w:firstLine="0"/>
      </w:pPr>
    </w:lvl>
    <w:lvl w:ilvl="3" w:tplc="4AD8CA70">
      <w:start w:val="1"/>
      <w:numFmt w:val="none"/>
      <w:suff w:val="nothing"/>
      <w:lvlText w:val=""/>
      <w:lvlJc w:val="left"/>
      <w:pPr>
        <w:ind w:left="0" w:firstLine="0"/>
      </w:pPr>
    </w:lvl>
    <w:lvl w:ilvl="4" w:tplc="A968776C">
      <w:start w:val="1"/>
      <w:numFmt w:val="none"/>
      <w:suff w:val="nothing"/>
      <w:lvlText w:val=""/>
      <w:lvlJc w:val="left"/>
      <w:pPr>
        <w:ind w:left="0" w:firstLine="0"/>
      </w:pPr>
    </w:lvl>
    <w:lvl w:ilvl="5" w:tplc="EEEEA9A6">
      <w:start w:val="1"/>
      <w:numFmt w:val="none"/>
      <w:suff w:val="nothing"/>
      <w:lvlText w:val=""/>
      <w:lvlJc w:val="left"/>
      <w:pPr>
        <w:ind w:left="0" w:firstLine="0"/>
      </w:pPr>
    </w:lvl>
    <w:lvl w:ilvl="6" w:tplc="D03C49BC">
      <w:start w:val="1"/>
      <w:numFmt w:val="none"/>
      <w:suff w:val="nothing"/>
      <w:lvlText w:val=""/>
      <w:lvlJc w:val="left"/>
      <w:pPr>
        <w:ind w:left="0" w:firstLine="0"/>
      </w:pPr>
    </w:lvl>
    <w:lvl w:ilvl="7" w:tplc="46E8939E">
      <w:start w:val="1"/>
      <w:numFmt w:val="none"/>
      <w:suff w:val="nothing"/>
      <w:lvlText w:val=""/>
      <w:lvlJc w:val="left"/>
      <w:pPr>
        <w:ind w:left="0" w:firstLine="0"/>
      </w:pPr>
    </w:lvl>
    <w:lvl w:ilvl="8" w:tplc="7856EE9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7"/>
    <w:rsid w:val="000C15A6"/>
    <w:rsid w:val="00D8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D04DA-47FD-4585-BCDB-94738183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pPr>
      <w:suppressAutoHyphens/>
    </w:pPr>
    <w:rPr>
      <w:rFonts w:ascii="Calibri" w:eastAsiaTheme="minorHAns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NagwekZnak">
    <w:name w:val="Nagłówek Znak"/>
    <w:link w:val="Nagwek1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1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 w:firstLine="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 w:firstLine="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 w:firstLine="0"/>
    </w:pPr>
  </w:style>
  <w:style w:type="paragraph" w:customStyle="1" w:styleId="Stopka1">
    <w:name w:val="Stopka1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spacing w:before="120" w:line="360" w:lineRule="auto"/>
      <w:ind w:firstLine="510"/>
      <w:jc w:val="both"/>
    </w:pPr>
    <w:rPr>
      <w:rFonts w:eastAsiaTheme="minorEastAsia" w:cs="Arial"/>
      <w:sz w:val="22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uppressAutoHyphens/>
      <w:spacing w:line="360" w:lineRule="auto"/>
    </w:pPr>
    <w:rPr>
      <w:kern w:val="2"/>
      <w:sz w:val="2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 w:firstLine="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eastAsiaTheme="minorEastAsia" w:cs="Arial"/>
      <w:bCs/>
      <w:sz w:val="22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eastAsiaTheme="minorEastAsia" w:cs="Arial"/>
      <w:b/>
      <w:bCs/>
      <w:sz w:val="22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"/>
      <w:sz w:val="2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"/>
      <w:sz w:val="2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uppressAutoHyphens/>
      <w:spacing w:line="360" w:lineRule="auto"/>
      <w:ind w:left="510" w:hanging="510"/>
      <w:jc w:val="both"/>
    </w:pPr>
    <w:rPr>
      <w:rFonts w:eastAsiaTheme="minorEastAsia" w:cs="Arial"/>
      <w:bCs/>
      <w:sz w:val="22"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eastAsiaTheme="minorEastAsia"/>
      <w:b/>
      <w:bCs/>
      <w:sz w:val="22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uppressAutoHyphens/>
      <w:spacing w:before="120" w:line="360" w:lineRule="auto"/>
      <w:jc w:val="center"/>
    </w:pPr>
    <w:rPr>
      <w:rFonts w:eastAsiaTheme="minorEastAsia" w:cs="Arial"/>
      <w:bCs/>
      <w:caps/>
      <w:kern w:val="2"/>
      <w:sz w:val="2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2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eastAsiaTheme="minorEastAsia" w:cs="Arial"/>
      <w:bCs/>
      <w:kern w:val="2"/>
      <w:sz w:val="2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uppressAutoHyphens/>
      <w:ind w:left="284" w:hanging="284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eastAsiaTheme="minorEastAsia" w:cs="Arial"/>
      <w:bCs/>
      <w:kern w:val="2"/>
      <w:sz w:val="2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2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uppressAutoHyphens/>
      <w:spacing w:line="360" w:lineRule="auto"/>
      <w:jc w:val="right"/>
    </w:pPr>
    <w:rPr>
      <w:rFonts w:ascii="Times New Roman" w:eastAsiaTheme="minorEastAsia" w:hAnsi="Times New Roman" w:cs="Arial"/>
      <w:sz w:val="22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uppressAutoHyphens/>
      <w:spacing w:line="360" w:lineRule="auto"/>
    </w:pPr>
    <w:rPr>
      <w:rFonts w:ascii="Times New Roman" w:eastAsiaTheme="minorEastAsia" w:hAnsi="Times New Roman" w:cs="Arial"/>
      <w:b/>
      <w:sz w:val="22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2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uppressAutoHyphens/>
      <w:spacing w:line="360" w:lineRule="auto"/>
      <w:jc w:val="center"/>
    </w:pPr>
    <w:rPr>
      <w:rFonts w:ascii="Times New Roman" w:eastAsiaTheme="minorEastAsia" w:hAnsi="Times New Roman" w:cs="Arial"/>
      <w:sz w:val="22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pPr>
      <w:suppressAutoHyphens/>
    </w:pPr>
    <w:rPr>
      <w:rFonts w:ascii="Times New Roman" w:eastAsia="Cambria Math" w:hAnsi="Times New Roman"/>
      <w:szCs w:val="20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BB013A"/>
    <w:pPr>
      <w:suppressAutoHyphens w:val="0"/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3EBB-FC20-4482-A128-A9EFA9D8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2025-05-26T10:17:00Z</dcterms:created>
  <dcterms:modified xsi:type="dcterms:W3CDTF">2025-05-26T10:17:00Z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ategory">
    <vt:lpwstr>000</vt:lpwstr>
  </property>
  <property fmtid="{D5CDD505-2E9C-101B-9397-08002B2CF9AE}" pid="4" name="Company">
    <vt:lpwstr>&lt;nazwa organu&gt;</vt:lpwstr>
  </property>
  <property fmtid="{D5CDD505-2E9C-101B-9397-08002B2CF9AE}" pid="5" name="Data og?oszenia">
    <vt:lpwstr>&lt;data ogłoszenia&gt;</vt:lpwstr>
  </property>
  <property fmtid="{D5CDD505-2E9C-101B-9397-08002B2CF9AE}" pid="6" name="Data wydania obwieszczenia">
    <vt:lpwstr>&lt;data wydania obwieszczenia&gt;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