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FF90F" w14:textId="2298E4E0" w:rsidR="00BC4F70" w:rsidRDefault="00BC4F70" w:rsidP="00BC4F70">
      <w:pPr>
        <w:pStyle w:val="Tekstpodstawowy"/>
        <w:tabs>
          <w:tab w:val="left" w:pos="792"/>
          <w:tab w:val="left" w:pos="3168"/>
        </w:tabs>
        <w:spacing w:before="0"/>
        <w:jc w:val="left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ab/>
      </w:r>
    </w:p>
    <w:p w14:paraId="5E912FDA" w14:textId="682E2FD6" w:rsidR="00BC4F70" w:rsidRDefault="00BC4F70" w:rsidP="00BC4F70">
      <w:pPr>
        <w:pStyle w:val="Tekstpodstawowy"/>
        <w:tabs>
          <w:tab w:val="left" w:pos="792"/>
          <w:tab w:val="left" w:pos="3168"/>
        </w:tabs>
        <w:spacing w:before="0"/>
        <w:jc w:val="left"/>
        <w:rPr>
          <w:rFonts w:ascii="Arial" w:hAnsi="Arial" w:cs="Arial"/>
          <w:b/>
          <w:bCs/>
          <w:color w:val="000000" w:themeColor="text1"/>
        </w:rPr>
      </w:pPr>
    </w:p>
    <w:p w14:paraId="4EEE2086" w14:textId="6E1CCD07" w:rsidR="00BC4F70" w:rsidRDefault="00BC4F70" w:rsidP="00BC4F70">
      <w:pPr>
        <w:pStyle w:val="Tekstpodstawowy"/>
        <w:tabs>
          <w:tab w:val="left" w:pos="792"/>
          <w:tab w:val="left" w:pos="3168"/>
        </w:tabs>
        <w:spacing w:before="0"/>
        <w:jc w:val="left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noProof/>
          <w:color w:val="000000" w:themeColor="text1"/>
        </w:rPr>
        <w:drawing>
          <wp:inline distT="0" distB="0" distL="0" distR="0" wp14:anchorId="28FD9D59" wp14:editId="0FBB88AE">
            <wp:extent cx="6120130" cy="612013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AF45A" w14:textId="77777777" w:rsidR="00BC4F70" w:rsidRPr="009F7501" w:rsidRDefault="00BC4F70" w:rsidP="00BC4F70">
      <w:pPr>
        <w:pStyle w:val="Tekstpodstawowy"/>
        <w:tabs>
          <w:tab w:val="left" w:pos="2256"/>
        </w:tabs>
        <w:spacing w:before="0"/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000000" w:themeColor="text1"/>
        </w:rPr>
        <w:br w:type="column"/>
      </w:r>
      <w:r w:rsidRPr="009F7501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lastRenderedPageBreak/>
        <w:t>Spis treści</w:t>
      </w:r>
    </w:p>
    <w:p w14:paraId="7D3D2697" w14:textId="77777777" w:rsidR="00BC4F70" w:rsidRPr="00DB016C" w:rsidRDefault="00BC4F70" w:rsidP="00BC4F70">
      <w:pPr>
        <w:pStyle w:val="Tekstpodstawowy"/>
        <w:tabs>
          <w:tab w:val="left" w:pos="2256"/>
        </w:tabs>
        <w:spacing w:before="0"/>
        <w:jc w:val="center"/>
        <w:rPr>
          <w:rFonts w:ascii="Arial" w:hAnsi="Arial" w:cs="Arial"/>
          <w:color w:val="000000" w:themeColor="text1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1417"/>
        <w:gridCol w:w="1276"/>
      </w:tblGrid>
      <w:tr w:rsidR="00BC4F70" w:rsidRPr="00DB016C" w14:paraId="5895A943" w14:textId="77777777" w:rsidTr="00F86611">
        <w:trPr>
          <w:trHeight w:val="490"/>
        </w:trPr>
        <w:tc>
          <w:tcPr>
            <w:tcW w:w="7938" w:type="dxa"/>
            <w:gridSpan w:val="2"/>
            <w:tcBorders>
              <w:bottom w:val="single" w:sz="4" w:space="0" w:color="auto"/>
            </w:tcBorders>
            <w:vAlign w:val="center"/>
          </w:tcPr>
          <w:p w14:paraId="2DFE5F79" w14:textId="77777777" w:rsidR="00BC4F70" w:rsidRPr="00DB016C" w:rsidRDefault="00BC4F70" w:rsidP="00F86611">
            <w:pPr>
              <w:pStyle w:val="Tekstpodstawowy"/>
              <w:tabs>
                <w:tab w:val="left" w:pos="2256"/>
              </w:tabs>
              <w:spacing w:before="0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B016C">
              <w:rPr>
                <w:rFonts w:ascii="Arial" w:hAnsi="Arial" w:cs="Arial"/>
                <w:color w:val="000000" w:themeColor="text1"/>
                <w:sz w:val="22"/>
                <w:szCs w:val="22"/>
              </w:rPr>
              <w:t>Wstęp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2A17F19" w14:textId="77777777" w:rsidR="00BC4F70" w:rsidRPr="00DB016C" w:rsidRDefault="00BC4F70" w:rsidP="00F86611">
            <w:pPr>
              <w:pStyle w:val="Tekstpodstawowy"/>
              <w:tabs>
                <w:tab w:val="left" w:pos="2256"/>
              </w:tabs>
              <w:spacing w:before="0"/>
              <w:jc w:val="right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B016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</w:t>
            </w:r>
          </w:p>
        </w:tc>
      </w:tr>
      <w:tr w:rsidR="00BC4F70" w:rsidRPr="00DB016C" w14:paraId="4A3444B9" w14:textId="77777777" w:rsidTr="00F86611">
        <w:trPr>
          <w:trHeight w:val="981"/>
        </w:trPr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B5E9D" w14:textId="77777777" w:rsidR="00BC4F70" w:rsidRPr="00DB016C" w:rsidRDefault="00BC4F70" w:rsidP="00F86611">
            <w:pPr>
              <w:pStyle w:val="Tekstpodstawowy"/>
              <w:tabs>
                <w:tab w:val="left" w:pos="2256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B016C">
              <w:rPr>
                <w:rFonts w:ascii="Arial" w:hAnsi="Arial" w:cs="Arial"/>
                <w:color w:val="000000" w:themeColor="text1"/>
                <w:sz w:val="22"/>
                <w:szCs w:val="22"/>
              </w:rPr>
              <w:t>Postanowienia umowne dotyczące waloryzacji wynagrodzenia Wykonawcy (</w:t>
            </w:r>
            <w:r w:rsidRPr="00BC4F7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jeden wskaźnik waloryzacji</w:t>
            </w:r>
            <w:r w:rsidRPr="00DB016C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95664" w14:textId="77777777" w:rsidR="00BC4F70" w:rsidRPr="00DB016C" w:rsidRDefault="00BC4F70" w:rsidP="00F86611">
            <w:pPr>
              <w:pStyle w:val="Tekstpodstawowy"/>
              <w:tabs>
                <w:tab w:val="left" w:pos="2256"/>
              </w:tabs>
              <w:spacing w:before="0"/>
              <w:jc w:val="right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B016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</w:tr>
      <w:tr w:rsidR="00BC4F70" w:rsidRPr="00DB016C" w14:paraId="3A3158E3" w14:textId="77777777" w:rsidTr="00F86611">
        <w:trPr>
          <w:trHeight w:val="981"/>
        </w:trPr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D3F1A" w14:textId="01A62CE2" w:rsidR="00BC4F70" w:rsidRPr="00DB016C" w:rsidRDefault="00BC4F70" w:rsidP="00F86611">
            <w:pPr>
              <w:pStyle w:val="Tekstpodstawowy"/>
              <w:tabs>
                <w:tab w:val="left" w:pos="2256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B016C">
              <w:rPr>
                <w:rFonts w:ascii="Arial" w:hAnsi="Arial" w:cs="Arial"/>
                <w:color w:val="000000" w:themeColor="text1"/>
                <w:sz w:val="22"/>
                <w:szCs w:val="22"/>
              </w:rPr>
              <w:t>Postanowienia umowne dotyczące waloryzacji wynagrodzenia Wykonawcy (</w:t>
            </w:r>
            <w:r w:rsidRPr="00BC4F7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„Koszyk waloryzacyjny”</w:t>
            </w:r>
            <w:r w:rsidRPr="00DB016C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AB6BE" w14:textId="77777777" w:rsidR="00BC4F70" w:rsidRPr="00DB016C" w:rsidRDefault="00BC4F70" w:rsidP="00F86611">
            <w:pPr>
              <w:pStyle w:val="Tekstpodstawowy"/>
              <w:tabs>
                <w:tab w:val="left" w:pos="2256"/>
              </w:tabs>
              <w:spacing w:before="0"/>
              <w:jc w:val="right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B016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9</w:t>
            </w:r>
          </w:p>
        </w:tc>
      </w:tr>
      <w:tr w:rsidR="00BC4F70" w:rsidRPr="00DB016C" w14:paraId="5C13D708" w14:textId="77777777" w:rsidTr="00F86611">
        <w:trPr>
          <w:trHeight w:val="1314"/>
        </w:trPr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BC958" w14:textId="77777777" w:rsidR="00BC4F70" w:rsidRPr="00DB016C" w:rsidRDefault="00BC4F70" w:rsidP="00F86611">
            <w:pPr>
              <w:pStyle w:val="Tekstpodstawowy"/>
              <w:tabs>
                <w:tab w:val="left" w:pos="2256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B016C">
              <w:rPr>
                <w:rFonts w:ascii="Arial" w:hAnsi="Arial" w:cs="Arial"/>
                <w:color w:val="000000" w:themeColor="text1"/>
                <w:sz w:val="22"/>
                <w:szCs w:val="22"/>
              </w:rPr>
              <w:t>Klauzula waloryzacyjna w umowach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DB016C">
              <w:rPr>
                <w:rFonts w:ascii="Arial" w:hAnsi="Arial" w:cs="Arial"/>
                <w:color w:val="000000" w:themeColor="text1"/>
                <w:sz w:val="22"/>
                <w:szCs w:val="22"/>
              </w:rPr>
              <w:t>przygotowanych w oparciu o Warunki Kontraktowe FIDIC,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DB016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stosowana przez </w:t>
            </w:r>
            <w:r w:rsidRPr="00BC4F7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Generalną Dyrekcję Dróg Krajowych i Autostrad</w:t>
            </w:r>
            <w:r w:rsidRPr="00DB016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dla kontraktów realizowanych w systemie “projektuj i buduj”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7F662" w14:textId="57E0579E" w:rsidR="00BC4F70" w:rsidRPr="00DB016C" w:rsidRDefault="00BC4F70" w:rsidP="00F86611">
            <w:pPr>
              <w:pStyle w:val="Tekstpodstawowy"/>
              <w:tabs>
                <w:tab w:val="left" w:pos="2256"/>
              </w:tabs>
              <w:spacing w:before="0"/>
              <w:jc w:val="right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B016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</w:t>
            </w:r>
          </w:p>
        </w:tc>
      </w:tr>
      <w:tr w:rsidR="00BC4F70" w:rsidRPr="00DB016C" w14:paraId="6B3B6C67" w14:textId="77777777" w:rsidTr="00F86611">
        <w:trPr>
          <w:trHeight w:val="981"/>
        </w:trPr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D280D" w14:textId="77777777" w:rsidR="00BC4F70" w:rsidRPr="00DB016C" w:rsidRDefault="00BC4F70" w:rsidP="00F86611">
            <w:pPr>
              <w:pStyle w:val="Tekstpodstawowy"/>
              <w:tabs>
                <w:tab w:val="left" w:pos="2256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B016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Klauzula waloryzacyjna stosowana w umowach zawieranych </w:t>
            </w:r>
            <w:r w:rsidRPr="00BC4F7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przez </w:t>
            </w:r>
            <w:r w:rsidRPr="00BC4F7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PKP Polskie Linie Kolejowe S.A.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61B8A" w14:textId="77777777" w:rsidR="00BC4F70" w:rsidRPr="00DB016C" w:rsidRDefault="00BC4F70" w:rsidP="00F86611">
            <w:pPr>
              <w:pStyle w:val="Tekstpodstawowy"/>
              <w:tabs>
                <w:tab w:val="left" w:pos="2256"/>
              </w:tabs>
              <w:spacing w:before="0"/>
              <w:jc w:val="right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B016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</w:t>
            </w:r>
          </w:p>
        </w:tc>
      </w:tr>
      <w:tr w:rsidR="00BC4F70" w:rsidRPr="00DB016C" w14:paraId="73858740" w14:textId="77777777" w:rsidTr="00F86611">
        <w:trPr>
          <w:trHeight w:val="4330"/>
        </w:trPr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59D40528" w14:textId="43062802" w:rsidR="00164738" w:rsidRPr="00164738" w:rsidRDefault="00164738" w:rsidP="00F86611">
            <w:pPr>
              <w:pStyle w:val="Tekstpodstawowy"/>
              <w:tabs>
                <w:tab w:val="left" w:pos="2256"/>
              </w:tabs>
              <w:spacing w:before="0"/>
              <w:jc w:val="left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6473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Załącznik nr 1</w:t>
            </w:r>
          </w:p>
          <w:p w14:paraId="61BA8987" w14:textId="764F4341" w:rsidR="00BC4F70" w:rsidRPr="00164738" w:rsidRDefault="00BC4F70" w:rsidP="00F86611">
            <w:pPr>
              <w:pStyle w:val="Tekstpodstawowy"/>
              <w:tabs>
                <w:tab w:val="left" w:pos="2256"/>
              </w:tabs>
              <w:spacing w:before="0"/>
              <w:jc w:val="left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164738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Załącznik do klauzuli waloryzacyjnej w oparciu o koszyk waloryzacyjny - koszyki waloryzacyjne dla następujących rodzajów robót budowlanych:</w:t>
            </w:r>
          </w:p>
          <w:p w14:paraId="4C3ADF47" w14:textId="77777777" w:rsidR="00BC4F70" w:rsidRPr="00164738" w:rsidRDefault="00BC4F70" w:rsidP="00F86611">
            <w:pPr>
              <w:pStyle w:val="Tekstpodstawowy"/>
              <w:tabs>
                <w:tab w:val="left" w:pos="2256"/>
              </w:tabs>
              <w:spacing w:before="0"/>
              <w:jc w:val="left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164738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- Ogólny koszyk waloryzacyjny</w:t>
            </w:r>
          </w:p>
          <w:p w14:paraId="09947B77" w14:textId="77777777" w:rsidR="00BC4F70" w:rsidRPr="00164738" w:rsidRDefault="00BC4F70" w:rsidP="00F86611">
            <w:pPr>
              <w:pStyle w:val="Tekstpodstawowy"/>
              <w:tabs>
                <w:tab w:val="left" w:pos="2256"/>
              </w:tabs>
              <w:spacing w:before="0"/>
              <w:jc w:val="left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164738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- Budynek</w:t>
            </w:r>
          </w:p>
          <w:p w14:paraId="20514173" w14:textId="77777777" w:rsidR="00BC4F70" w:rsidRPr="00164738" w:rsidRDefault="00BC4F70" w:rsidP="00F86611">
            <w:pPr>
              <w:pStyle w:val="Tekstpodstawowy"/>
              <w:tabs>
                <w:tab w:val="left" w:pos="2256"/>
              </w:tabs>
              <w:spacing w:before="0"/>
              <w:jc w:val="left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164738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- Obiekt mostowy</w:t>
            </w:r>
          </w:p>
          <w:p w14:paraId="68489B9C" w14:textId="77777777" w:rsidR="00BC4F70" w:rsidRPr="00164738" w:rsidRDefault="00BC4F70" w:rsidP="00F86611">
            <w:pPr>
              <w:pStyle w:val="Tekstpodstawowy"/>
              <w:tabs>
                <w:tab w:val="left" w:pos="2256"/>
              </w:tabs>
              <w:spacing w:before="0"/>
              <w:jc w:val="left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164738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- Droga</w:t>
            </w:r>
          </w:p>
          <w:p w14:paraId="4486B0C6" w14:textId="77777777" w:rsidR="00BC4F70" w:rsidRPr="00164738" w:rsidRDefault="00BC4F70" w:rsidP="00F86611">
            <w:pPr>
              <w:pStyle w:val="Tekstpodstawowy"/>
              <w:tabs>
                <w:tab w:val="left" w:pos="2256"/>
              </w:tabs>
              <w:spacing w:before="0"/>
              <w:jc w:val="left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164738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- Hydrotechnika</w:t>
            </w:r>
          </w:p>
          <w:p w14:paraId="7E38747E" w14:textId="77777777" w:rsidR="00BC4F70" w:rsidRPr="00164738" w:rsidRDefault="00BC4F70" w:rsidP="00F86611">
            <w:pPr>
              <w:pStyle w:val="Tekstpodstawowy"/>
              <w:tabs>
                <w:tab w:val="left" w:pos="2256"/>
              </w:tabs>
              <w:spacing w:before="0"/>
              <w:jc w:val="left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164738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- Sieci wod-kan-co</w:t>
            </w:r>
          </w:p>
          <w:p w14:paraId="56D9FA70" w14:textId="77777777" w:rsidR="00BC4F70" w:rsidRPr="00164738" w:rsidRDefault="00BC4F70" w:rsidP="00F86611">
            <w:pPr>
              <w:pStyle w:val="Tekstpodstawowy"/>
              <w:tabs>
                <w:tab w:val="left" w:pos="2256"/>
              </w:tabs>
              <w:spacing w:before="0"/>
              <w:jc w:val="left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164738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- Sieć oświetleniowa</w:t>
            </w:r>
          </w:p>
          <w:p w14:paraId="03696D7D" w14:textId="77777777" w:rsidR="00BC4F70" w:rsidRPr="00DB016C" w:rsidRDefault="00BC4F70" w:rsidP="00F86611">
            <w:pPr>
              <w:pStyle w:val="Tekstpodstawowy"/>
              <w:tabs>
                <w:tab w:val="left" w:pos="2256"/>
              </w:tabs>
              <w:spacing w:before="0"/>
              <w:ind w:firstLine="601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7E99FCDE" w14:textId="4975A844" w:rsidR="00BC4F70" w:rsidRDefault="00BC4F70" w:rsidP="00F86611">
            <w:pPr>
              <w:pStyle w:val="Tekstpodstawowy"/>
              <w:tabs>
                <w:tab w:val="left" w:pos="2256"/>
              </w:tabs>
              <w:spacing w:before="0"/>
              <w:jc w:val="right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Załącznik w formie pliku </w:t>
            </w:r>
            <w:r w:rsidR="009F750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Excel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7486D425" w14:textId="77777777" w:rsidR="00BC4F70" w:rsidRPr="00B82FE8" w:rsidRDefault="00BC4F70" w:rsidP="00F86611">
            <w:pPr>
              <w:pStyle w:val="Tekstpodstawowy"/>
              <w:tabs>
                <w:tab w:val="left" w:pos="2256"/>
              </w:tabs>
              <w:spacing w:before="0"/>
              <w:jc w:val="right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„K</w:t>
            </w:r>
            <w:r w:rsidRPr="00B82FE8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oszyki waloryzacyjne”</w:t>
            </w:r>
          </w:p>
        </w:tc>
      </w:tr>
    </w:tbl>
    <w:p w14:paraId="021B5872" w14:textId="6B16C23E" w:rsidR="00BC4F70" w:rsidRDefault="00BC4F70" w:rsidP="00BC4F70">
      <w:pPr>
        <w:pStyle w:val="Tekstpodstawowy"/>
        <w:tabs>
          <w:tab w:val="left" w:pos="792"/>
          <w:tab w:val="left" w:pos="3168"/>
        </w:tabs>
        <w:spacing w:before="0"/>
        <w:jc w:val="left"/>
        <w:rPr>
          <w:rFonts w:ascii="Arial" w:hAnsi="Arial" w:cs="Arial"/>
          <w:b/>
          <w:bCs/>
          <w:color w:val="000000" w:themeColor="text1"/>
        </w:rPr>
      </w:pPr>
    </w:p>
    <w:p w14:paraId="442CA202" w14:textId="5C31231C" w:rsidR="0038470E" w:rsidRDefault="00BC4F70" w:rsidP="00BC4F70">
      <w:pPr>
        <w:pStyle w:val="Tekstpodstawowy"/>
        <w:tabs>
          <w:tab w:val="left" w:pos="792"/>
          <w:tab w:val="left" w:pos="3168"/>
        </w:tabs>
        <w:spacing w:before="0"/>
        <w:jc w:val="left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br w:type="column"/>
      </w:r>
      <w:r w:rsidR="0038470E">
        <w:rPr>
          <w:rFonts w:ascii="Arial" w:hAnsi="Arial" w:cs="Arial"/>
          <w:b/>
          <w:bCs/>
          <w:color w:val="000000" w:themeColor="text1"/>
        </w:rPr>
        <w:lastRenderedPageBreak/>
        <w:t xml:space="preserve"> </w:t>
      </w:r>
    </w:p>
    <w:p w14:paraId="5F1CEA83" w14:textId="24C60817" w:rsidR="00BC4F70" w:rsidRDefault="00BC4F70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PRZYKŁADOWE KLAUZULE WALORYZACYJNE</w:t>
      </w:r>
    </w:p>
    <w:p w14:paraId="6F874481" w14:textId="77777777" w:rsidR="00BC4F70" w:rsidRDefault="0038470E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DLA SEKTORA BUDOWNICTWA</w:t>
      </w:r>
    </w:p>
    <w:p w14:paraId="6AAF44F0" w14:textId="77777777" w:rsidR="00BC4F70" w:rsidRDefault="00BC4F70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/>
        <w:jc w:val="center"/>
        <w:rPr>
          <w:rFonts w:ascii="Arial" w:hAnsi="Arial" w:cs="Arial"/>
          <w:b/>
          <w:bCs/>
          <w:color w:val="000000" w:themeColor="text1"/>
        </w:rPr>
      </w:pPr>
    </w:p>
    <w:p w14:paraId="6214BF80" w14:textId="3D791F37" w:rsidR="00894A44" w:rsidRPr="00894A44" w:rsidRDefault="00BC4F70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– WSTĘP –</w:t>
      </w:r>
      <w:r w:rsidR="0038470E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510374C5" w14:textId="77777777" w:rsidR="00894A44" w:rsidRPr="00894A44" w:rsidRDefault="00894A44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/>
        <w:jc w:val="center"/>
        <w:rPr>
          <w:rFonts w:ascii="Arial" w:hAnsi="Arial" w:cs="Arial"/>
          <w:b/>
          <w:bCs/>
          <w:color w:val="000000" w:themeColor="text1"/>
        </w:rPr>
      </w:pPr>
    </w:p>
    <w:p w14:paraId="0CA38DF9" w14:textId="295738BD" w:rsidR="00894A44" w:rsidRPr="00894A44" w:rsidRDefault="00894A44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94A44">
        <w:rPr>
          <w:rFonts w:ascii="Arial" w:hAnsi="Arial" w:cs="Arial"/>
          <w:color w:val="000000" w:themeColor="text1"/>
          <w:sz w:val="22"/>
          <w:szCs w:val="22"/>
        </w:rPr>
        <w:t>Umowna waloryzacja wynagrodzenia stanowi narzędzie dostosowania treści stosunku prawnego łączącego strony do warunków rynkowych, w których umowa jest realizowana. Ma na celu przywrócenie równowagi ekonomicznej, określonej przez strony w umowie w chwili jej zawierania</w:t>
      </w:r>
      <w:r w:rsidR="006477A0">
        <w:rPr>
          <w:rFonts w:ascii="Arial" w:hAnsi="Arial" w:cs="Arial"/>
          <w:color w:val="000000" w:themeColor="text1"/>
          <w:sz w:val="22"/>
          <w:szCs w:val="22"/>
        </w:rPr>
        <w:t>,</w:t>
      </w:r>
      <w:r w:rsidRPr="00894A44">
        <w:rPr>
          <w:rFonts w:ascii="Arial" w:hAnsi="Arial" w:cs="Arial"/>
          <w:color w:val="000000" w:themeColor="text1"/>
          <w:sz w:val="22"/>
          <w:szCs w:val="22"/>
        </w:rPr>
        <w:t xml:space="preserve"> w przypadku jej </w:t>
      </w:r>
      <w:r w:rsidR="00BB0330">
        <w:rPr>
          <w:rFonts w:ascii="Arial" w:hAnsi="Arial" w:cs="Arial"/>
          <w:color w:val="000000" w:themeColor="text1"/>
          <w:sz w:val="22"/>
          <w:szCs w:val="22"/>
        </w:rPr>
        <w:t xml:space="preserve">naruszenia </w:t>
      </w:r>
      <w:r w:rsidRPr="00894A44">
        <w:rPr>
          <w:rFonts w:ascii="Arial" w:hAnsi="Arial" w:cs="Arial"/>
          <w:color w:val="000000" w:themeColor="text1"/>
          <w:sz w:val="22"/>
          <w:szCs w:val="22"/>
        </w:rPr>
        <w:t xml:space="preserve">przez określone zdarzenia, zaistniałe w trakcie wykonywania umowy. </w:t>
      </w:r>
    </w:p>
    <w:p w14:paraId="798A4C37" w14:textId="77777777" w:rsidR="00894A44" w:rsidRPr="00894A44" w:rsidRDefault="00894A44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94A44">
        <w:rPr>
          <w:rFonts w:ascii="Arial" w:hAnsi="Arial" w:cs="Arial"/>
          <w:color w:val="000000" w:themeColor="text1"/>
          <w:sz w:val="22"/>
          <w:szCs w:val="22"/>
        </w:rPr>
        <w:t xml:space="preserve">Prawidłowo sformułowane i adekwatne do danego stanu faktycznego klauzule waloryzacyjne nie tylko przyczyniają się do zwiększenia konkurencyjności prowadzonego postępowania o udzielenie zamówienia publicznego, ale także sprzyjają prawidłowej i efektywnej realizacji zawartej w wyniku tego postępowania umowy. </w:t>
      </w:r>
    </w:p>
    <w:p w14:paraId="499AD41D" w14:textId="4BE688CF" w:rsidR="00894A44" w:rsidRPr="00894A44" w:rsidRDefault="00894A44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 w:line="360" w:lineRule="auto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894A44">
        <w:rPr>
          <w:rFonts w:ascii="Arial" w:hAnsi="Arial" w:cs="Arial"/>
          <w:color w:val="000000" w:themeColor="text1"/>
          <w:sz w:val="22"/>
          <w:szCs w:val="22"/>
        </w:rPr>
        <w:t xml:space="preserve">Tytułem przypomnienia wskazać warto, że przesłanki waloryzacji </w:t>
      </w:r>
      <w:r w:rsidRPr="00894A44">
        <w:rPr>
          <w:rFonts w:ascii="Arial" w:eastAsia="Times New Roman" w:hAnsi="Arial" w:cs="Arial"/>
          <w:color w:val="000000" w:themeColor="text1"/>
          <w:sz w:val="22"/>
          <w:szCs w:val="22"/>
        </w:rPr>
        <w:t>umów na roboty budowlane</w:t>
      </w:r>
      <w:r w:rsidR="006B75D1">
        <w:rPr>
          <w:rFonts w:ascii="Arial" w:eastAsia="Times New Roman" w:hAnsi="Arial" w:cs="Arial"/>
          <w:color w:val="000000" w:themeColor="text1"/>
          <w:sz w:val="22"/>
          <w:szCs w:val="22"/>
        </w:rPr>
        <w:t>, usługi</w:t>
      </w:r>
      <w:r w:rsidRPr="00894A44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lub </w:t>
      </w:r>
      <w:r w:rsidR="006B75D1">
        <w:rPr>
          <w:rFonts w:ascii="Arial" w:eastAsia="Times New Roman" w:hAnsi="Arial" w:cs="Arial"/>
          <w:color w:val="000000" w:themeColor="text1"/>
          <w:sz w:val="22"/>
          <w:szCs w:val="22"/>
        </w:rPr>
        <w:t>dostawy</w:t>
      </w:r>
      <w:r w:rsidR="00101E2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</w:t>
      </w:r>
      <w:r w:rsidRPr="00894A44">
        <w:rPr>
          <w:rFonts w:ascii="Arial" w:eastAsia="Times New Roman" w:hAnsi="Arial" w:cs="Arial"/>
          <w:color w:val="000000" w:themeColor="text1"/>
          <w:sz w:val="22"/>
          <w:szCs w:val="22"/>
        </w:rPr>
        <w:t>zawartych na okres dłuższy niż 6 miesięcy, uregulowane zostały w art. 439 ustawy Pzp</w:t>
      </w:r>
      <w:r w:rsidRPr="00894A44">
        <w:rPr>
          <w:rStyle w:val="Odwoanieprzypisudolnego"/>
          <w:rFonts w:ascii="Arial" w:eastAsia="Times New Roman" w:hAnsi="Arial" w:cs="Arial"/>
          <w:color w:val="000000" w:themeColor="text1"/>
          <w:sz w:val="22"/>
          <w:szCs w:val="22"/>
        </w:rPr>
        <w:footnoteReference w:id="1"/>
      </w:r>
      <w:r w:rsidRPr="00894A44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W dniu 26 października 2022 r. została ogłoszona ustawa z dnia 7 października 2022 r. </w:t>
      </w:r>
      <w:r w:rsidRPr="00894A44">
        <w:rPr>
          <w:rFonts w:ascii="Arial" w:eastAsia="Times New Roman" w:hAnsi="Arial" w:cs="Arial"/>
          <w:i/>
          <w:iCs/>
          <w:color w:val="000000" w:themeColor="text1"/>
          <w:sz w:val="22"/>
          <w:szCs w:val="22"/>
        </w:rPr>
        <w:t>o zmianie niektórych ustaw w celu uproszczenia procedur administracyjnych dla obywateli i przedsiębiorców</w:t>
      </w:r>
      <w:r w:rsidRPr="00894A44">
        <w:rPr>
          <w:rFonts w:ascii="Arial" w:eastAsia="Times New Roman" w:hAnsi="Arial" w:cs="Arial"/>
          <w:color w:val="000000" w:themeColor="text1"/>
          <w:sz w:val="22"/>
          <w:szCs w:val="22"/>
        </w:rPr>
        <w:t> </w:t>
      </w:r>
      <w:hyperlink r:id="rId9" w:history="1">
        <w:r w:rsidRPr="00196339">
          <w:rPr>
            <w:rFonts w:ascii="Arial" w:eastAsia="Times New Roman" w:hAnsi="Arial" w:cs="Arial"/>
            <w:color w:val="000000" w:themeColor="text1"/>
            <w:sz w:val="22"/>
            <w:szCs w:val="22"/>
          </w:rPr>
          <w:t>(Dz.U. poz. 2185, dalej jako: „ustawa”)</w:t>
        </w:r>
      </w:hyperlink>
      <w:r w:rsidRPr="00894A44">
        <w:rPr>
          <w:rFonts w:ascii="Arial" w:eastAsia="Times New Roman" w:hAnsi="Arial" w:cs="Arial"/>
          <w:color w:val="000000" w:themeColor="text1"/>
          <w:sz w:val="22"/>
          <w:szCs w:val="22"/>
        </w:rPr>
        <w:t>, która wprowadz</w:t>
      </w:r>
      <w:r w:rsidR="001F2960">
        <w:rPr>
          <w:rFonts w:ascii="Arial" w:eastAsia="Times New Roman" w:hAnsi="Arial" w:cs="Arial"/>
          <w:color w:val="000000" w:themeColor="text1"/>
          <w:sz w:val="22"/>
          <w:szCs w:val="22"/>
        </w:rPr>
        <w:t>iła</w:t>
      </w:r>
      <w:r w:rsidRPr="00894A44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zmiany w ustawie Pzp. Na podstawie art. 44 </w:t>
      </w:r>
      <w:r w:rsidR="008040DB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pkt 1 lit. </w:t>
      </w:r>
      <w:r w:rsidR="0061498F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a) </w:t>
      </w:r>
      <w:r w:rsidRPr="00894A44">
        <w:rPr>
          <w:rFonts w:ascii="Arial" w:eastAsia="Times New Roman" w:hAnsi="Arial" w:cs="Arial"/>
          <w:color w:val="000000" w:themeColor="text1"/>
          <w:sz w:val="22"/>
          <w:szCs w:val="22"/>
        </w:rPr>
        <w:t>ustawy</w:t>
      </w:r>
      <w:r w:rsidR="006477A0">
        <w:rPr>
          <w:rFonts w:ascii="Arial" w:eastAsia="Times New Roman" w:hAnsi="Arial" w:cs="Arial"/>
          <w:color w:val="000000" w:themeColor="text1"/>
          <w:sz w:val="22"/>
          <w:szCs w:val="22"/>
        </w:rPr>
        <w:t>,</w:t>
      </w:r>
      <w:r w:rsidRPr="00894A44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zmianie uległ m.in. art. 439 ust. 1 ustawy Pzp. Zgodnie z nowym jego brzmieniem: „Umowa, której przedmiotem są roboty budowlane, dostawy lub usługi, zawarta na okres dłuższy niż 6 miesięcy, zawiera postanowienia dotyczące zasad wprowadzania zmian wysokości wynagrodzenia należnego wykonawcy, w przypadku zmiany ceny materiałów lub kosztów związanych z realizacją zamówienia”. Powyższa zmiana weszła w życie </w:t>
      </w:r>
      <w:r w:rsidR="003F6FC4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od dnia </w:t>
      </w:r>
      <w:r w:rsidRPr="00894A44">
        <w:rPr>
          <w:rFonts w:ascii="Arial" w:eastAsia="Times New Roman" w:hAnsi="Arial" w:cs="Arial"/>
          <w:color w:val="000000" w:themeColor="text1"/>
          <w:sz w:val="22"/>
          <w:szCs w:val="22"/>
        </w:rPr>
        <w:t>10 listopada 2022 r.</w:t>
      </w:r>
    </w:p>
    <w:p w14:paraId="53C8395F" w14:textId="5AB52420" w:rsidR="00894A44" w:rsidRPr="00894A44" w:rsidRDefault="00894A44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 w:line="360" w:lineRule="auto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894A44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Należy </w:t>
      </w:r>
      <w:r w:rsidR="006477A0">
        <w:rPr>
          <w:rFonts w:ascii="Arial" w:eastAsia="Times New Roman" w:hAnsi="Arial" w:cs="Arial"/>
          <w:color w:val="000000" w:themeColor="text1"/>
          <w:sz w:val="22"/>
          <w:szCs w:val="22"/>
        </w:rPr>
        <w:t>przy tym</w:t>
      </w:r>
      <w:r w:rsidRPr="00894A44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podkreślić, że istnieje możliwość wprowadzenia do projektowanej umowy postanowień określających zasady zmian wysokości wynagrodzenia należnego wykonawcy także do umów na roboty budowlane, dostawy lub usługi zawarte na okres krótszy niż 6 miesięcy.</w:t>
      </w:r>
    </w:p>
    <w:p w14:paraId="434DCD60" w14:textId="434DAEAC" w:rsidR="00894A44" w:rsidRPr="00894A44" w:rsidRDefault="00894A44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94A44">
        <w:rPr>
          <w:rFonts w:ascii="Arial" w:hAnsi="Arial" w:cs="Arial"/>
          <w:color w:val="000000" w:themeColor="text1"/>
          <w:sz w:val="22"/>
          <w:szCs w:val="22"/>
        </w:rPr>
        <w:t xml:space="preserve">W obecnej sytuacji rynkowej w sektorze budownictwa, charakteryzującej się m.in. dynamicznymi </w:t>
      </w:r>
      <w:r w:rsidR="009F7501" w:rsidRPr="00894A44">
        <w:rPr>
          <w:rFonts w:ascii="Arial" w:hAnsi="Arial" w:cs="Arial"/>
          <w:color w:val="000000" w:themeColor="text1"/>
          <w:sz w:val="22"/>
          <w:szCs w:val="22"/>
        </w:rPr>
        <w:t>zmianami cen</w:t>
      </w:r>
      <w:r w:rsidRPr="00894A44">
        <w:rPr>
          <w:rFonts w:ascii="Arial" w:hAnsi="Arial" w:cs="Arial"/>
          <w:color w:val="000000" w:themeColor="text1"/>
          <w:sz w:val="22"/>
          <w:szCs w:val="22"/>
        </w:rPr>
        <w:t xml:space="preserve"> towarów i usług, problemami z realizacją dostaw produktów i ich komponentów, a także brakami kadrowymi, prawidłowe kształtowanie oraz stosowanie waloryzacji umownej nabiera szczególnego znaczenia i jest niezwykle istotne dla uczestników rynku zamówień publicznych. </w:t>
      </w:r>
    </w:p>
    <w:p w14:paraId="1ACCA9E1" w14:textId="62455433" w:rsidR="00894A44" w:rsidRPr="00894A44" w:rsidRDefault="00894A44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94A44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W związku z wskazanymi wyżej okolicznościami, Prezes Urzędu Zamówień Publicznych podjął inicjatywę, polegającą na utworzeniu grupy roboczej, w skład której, obok przedstawicieli Urzędu Zamówień Publicznych i Prokuratorii Generalnej Rzeczypospolitej Polskiej, weszli przedstawiciele zamawiających, wykonawców oraz organizacji branżowych, którzy zgłosili chęć udziału w tym przedsięwzięciu. Celem grupy roboczej było wypracowanie klauzul waloryzacyjnych, które mogą być wykorzystywane w umowach na roboty budowlane. </w:t>
      </w:r>
    </w:p>
    <w:p w14:paraId="389DD396" w14:textId="18BC02D2" w:rsidR="00894A44" w:rsidRPr="00894A44" w:rsidRDefault="00894A44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94A44">
        <w:rPr>
          <w:rFonts w:ascii="Arial" w:hAnsi="Arial" w:cs="Arial"/>
          <w:color w:val="000000" w:themeColor="text1"/>
          <w:sz w:val="22"/>
          <w:szCs w:val="22"/>
        </w:rPr>
        <w:t xml:space="preserve">W wyniku prac powstały </w:t>
      </w:r>
      <w:r w:rsidRPr="00BB0330">
        <w:rPr>
          <w:rFonts w:ascii="Arial" w:hAnsi="Arial" w:cs="Arial"/>
          <w:color w:val="000000" w:themeColor="text1"/>
          <w:sz w:val="22"/>
          <w:szCs w:val="22"/>
        </w:rPr>
        <w:t>przykładowe</w:t>
      </w:r>
      <w:r w:rsidRPr="00894A44">
        <w:rPr>
          <w:rFonts w:ascii="Arial" w:hAnsi="Arial" w:cs="Arial"/>
          <w:color w:val="000000" w:themeColor="text1"/>
          <w:sz w:val="22"/>
          <w:szCs w:val="22"/>
        </w:rPr>
        <w:t xml:space="preserve"> klauzule, bazujące na różnych mechanizmach.</w:t>
      </w:r>
    </w:p>
    <w:p w14:paraId="19CAF9D6" w14:textId="77777777" w:rsidR="00894A44" w:rsidRPr="00894A44" w:rsidRDefault="00894A44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94A44">
        <w:rPr>
          <w:rFonts w:ascii="Arial" w:hAnsi="Arial" w:cs="Arial"/>
          <w:color w:val="000000" w:themeColor="text1"/>
          <w:sz w:val="22"/>
          <w:szCs w:val="22"/>
        </w:rPr>
        <w:t xml:space="preserve">Pierwsza klauzula oparta jest o jeden wskaźnik waloryzacji, którym jest wskaźnik cen produkcji budowlano-montażowej, publikowany przez Główny Urząd Statystyczny. Wskaźnik ma charakter przykładowy, zamawiający może oprzeć klauzulę na innym wskaźniku, który będzie adekwatny do planowanej inwestycji. </w:t>
      </w:r>
    </w:p>
    <w:p w14:paraId="1ADF4024" w14:textId="464558A5" w:rsidR="00894A44" w:rsidRPr="00894A44" w:rsidRDefault="00894A44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94A44">
        <w:rPr>
          <w:rFonts w:ascii="Arial" w:hAnsi="Arial" w:cs="Arial"/>
          <w:color w:val="000000" w:themeColor="text1"/>
          <w:sz w:val="22"/>
          <w:szCs w:val="22"/>
        </w:rPr>
        <w:t>Druga klauzula bazuje na tzw. koszyku waloryzacyjnym i polega na tym, że waloryzacja odbywać się będzie w oparciu o wskaźniki produkcji sprzedanej wyrobów przemysłowych, wynagrodzenia oraz cen towarów i usług konsumpcyjnych publikowane przez Główny Urząd Statystyczny, a także dane wskazane w tabeli Koszyk Waloryzacyjny. Elementy składowe koszyka</w:t>
      </w:r>
      <w:r w:rsidR="00BB0330">
        <w:rPr>
          <w:rFonts w:ascii="Arial" w:hAnsi="Arial" w:cs="Arial"/>
          <w:color w:val="000000" w:themeColor="text1"/>
          <w:sz w:val="22"/>
          <w:szCs w:val="22"/>
        </w:rPr>
        <w:t>, przedziały wagowe</w:t>
      </w:r>
      <w:r w:rsidRPr="00894A44">
        <w:rPr>
          <w:rFonts w:ascii="Arial" w:hAnsi="Arial" w:cs="Arial"/>
          <w:color w:val="000000" w:themeColor="text1"/>
          <w:sz w:val="22"/>
          <w:szCs w:val="22"/>
        </w:rPr>
        <w:t xml:space="preserve"> mają </w:t>
      </w:r>
      <w:r w:rsidR="00BB0330">
        <w:rPr>
          <w:rFonts w:ascii="Arial" w:hAnsi="Arial" w:cs="Arial"/>
          <w:color w:val="000000" w:themeColor="text1"/>
          <w:sz w:val="22"/>
          <w:szCs w:val="22"/>
        </w:rPr>
        <w:t xml:space="preserve">jedynie </w:t>
      </w:r>
      <w:r w:rsidRPr="00894A44">
        <w:rPr>
          <w:rFonts w:ascii="Arial" w:hAnsi="Arial" w:cs="Arial"/>
          <w:color w:val="000000" w:themeColor="text1"/>
          <w:sz w:val="22"/>
          <w:szCs w:val="22"/>
        </w:rPr>
        <w:t>charakter przykładowy. Zamawiający konstruując klauzulę waloryzacyjną samodzielnie decyduje o wskaźnikach uwzględnionych w koszyku oraz o wagach im nadanych.</w:t>
      </w:r>
    </w:p>
    <w:p w14:paraId="01AC5DCE" w14:textId="6FB7295B" w:rsidR="00894A44" w:rsidRPr="00894A44" w:rsidRDefault="00DB3E80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D</w:t>
      </w:r>
      <w:r w:rsidR="00894A44" w:rsidRPr="00894A44">
        <w:rPr>
          <w:rFonts w:ascii="Arial" w:hAnsi="Arial" w:cs="Arial"/>
          <w:color w:val="000000" w:themeColor="text1"/>
          <w:sz w:val="22"/>
          <w:szCs w:val="22"/>
        </w:rPr>
        <w:t xml:space="preserve">o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powyższych </w:t>
      </w:r>
      <w:r w:rsidR="00894A44" w:rsidRPr="00894A44">
        <w:rPr>
          <w:rFonts w:ascii="Arial" w:hAnsi="Arial" w:cs="Arial"/>
          <w:color w:val="000000" w:themeColor="text1"/>
          <w:sz w:val="22"/>
          <w:szCs w:val="22"/>
        </w:rPr>
        <w:t>dwóch klauzul, Główny Urząd Statystyczny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  <w:r w:rsidR="00894A44" w:rsidRPr="00894A44">
        <w:rPr>
          <w:rFonts w:ascii="Arial" w:hAnsi="Arial" w:cs="Arial"/>
          <w:color w:val="000000" w:themeColor="text1"/>
          <w:sz w:val="22"/>
          <w:szCs w:val="22"/>
        </w:rPr>
        <w:t xml:space="preserve"> we współpracy z grupą roboczą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  <w:r w:rsidR="00894A44" w:rsidRPr="00894A44">
        <w:rPr>
          <w:rFonts w:ascii="Arial" w:hAnsi="Arial" w:cs="Arial"/>
          <w:color w:val="000000" w:themeColor="text1"/>
          <w:sz w:val="22"/>
          <w:szCs w:val="22"/>
        </w:rPr>
        <w:t xml:space="preserve"> opracow</w:t>
      </w:r>
      <w:r w:rsidR="005C7A15">
        <w:rPr>
          <w:rFonts w:ascii="Arial" w:hAnsi="Arial" w:cs="Arial"/>
          <w:color w:val="000000" w:themeColor="text1"/>
          <w:sz w:val="22"/>
          <w:szCs w:val="22"/>
        </w:rPr>
        <w:t>uje</w:t>
      </w:r>
      <w:r w:rsidR="00894A44" w:rsidRPr="00894A44">
        <w:rPr>
          <w:rFonts w:ascii="Arial" w:hAnsi="Arial" w:cs="Arial"/>
          <w:color w:val="000000" w:themeColor="text1"/>
          <w:sz w:val="22"/>
          <w:szCs w:val="22"/>
        </w:rPr>
        <w:t xml:space="preserve"> kalkulatory waloryzacyjne, umożliwiające automatyczne wyliczanie wynagrodzenia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wykonawcy </w:t>
      </w:r>
      <w:r w:rsidR="00894A44" w:rsidRPr="00894A44">
        <w:rPr>
          <w:rFonts w:ascii="Arial" w:hAnsi="Arial" w:cs="Arial"/>
          <w:color w:val="000000" w:themeColor="text1"/>
          <w:sz w:val="22"/>
          <w:szCs w:val="22"/>
        </w:rPr>
        <w:t xml:space="preserve">po dokonanej waloryzacji. </w:t>
      </w:r>
      <w:r w:rsidR="0015098E">
        <w:rPr>
          <w:rFonts w:ascii="Arial" w:hAnsi="Arial" w:cs="Arial"/>
          <w:color w:val="000000" w:themeColor="text1"/>
          <w:sz w:val="22"/>
          <w:szCs w:val="22"/>
        </w:rPr>
        <w:t xml:space="preserve">Kalkulatory zostaną udostępnione przez Urząd niezwłocznie po </w:t>
      </w:r>
      <w:r w:rsidR="000105B7">
        <w:rPr>
          <w:rFonts w:ascii="Arial" w:hAnsi="Arial" w:cs="Arial"/>
          <w:color w:val="000000" w:themeColor="text1"/>
          <w:sz w:val="22"/>
          <w:szCs w:val="22"/>
        </w:rPr>
        <w:t xml:space="preserve">ich przygotowaniu. </w:t>
      </w:r>
      <w:r w:rsidR="0015098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5C7A1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A34A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C974834" w14:textId="65695F64" w:rsidR="00894A44" w:rsidRPr="00894A44" w:rsidRDefault="00894A44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94A44">
        <w:rPr>
          <w:rFonts w:ascii="Arial" w:hAnsi="Arial" w:cs="Arial"/>
          <w:color w:val="000000" w:themeColor="text1"/>
          <w:sz w:val="22"/>
          <w:szCs w:val="22"/>
        </w:rPr>
        <w:t xml:space="preserve">Kolejne prezentowane w niniejszym opracowaniu klauzule to postanowienia stosowane przez </w:t>
      </w:r>
      <w:bookmarkStart w:id="0" w:name="_Hlk114126881"/>
      <w:r w:rsidRPr="00894A44">
        <w:rPr>
          <w:rFonts w:ascii="Arial" w:hAnsi="Arial" w:cs="Arial"/>
          <w:color w:val="000000" w:themeColor="text1"/>
          <w:sz w:val="22"/>
          <w:szCs w:val="22"/>
        </w:rPr>
        <w:t>Generalną Dyrekcję Dróg Krajowych i Autostrad i PKP Polskie Linie Kolejowe S.A</w:t>
      </w:r>
      <w:bookmarkEnd w:id="0"/>
      <w:r w:rsidRPr="00894A4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1305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24D60">
        <w:rPr>
          <w:rFonts w:ascii="Arial" w:hAnsi="Arial" w:cs="Arial"/>
          <w:color w:val="000000" w:themeColor="text1"/>
          <w:sz w:val="22"/>
          <w:szCs w:val="22"/>
        </w:rPr>
        <w:t>C</w:t>
      </w:r>
      <w:r w:rsidR="00B1305F">
        <w:rPr>
          <w:rFonts w:ascii="Arial" w:hAnsi="Arial" w:cs="Arial"/>
          <w:color w:val="000000" w:themeColor="text1"/>
          <w:sz w:val="22"/>
          <w:szCs w:val="22"/>
        </w:rPr>
        <w:t>elem niniejszego dokumentu jest prezentowanie jedynie przykładowych postanowień</w:t>
      </w:r>
      <w:r w:rsidR="00624D60">
        <w:rPr>
          <w:rFonts w:ascii="Arial" w:hAnsi="Arial" w:cs="Arial"/>
          <w:color w:val="000000" w:themeColor="text1"/>
          <w:sz w:val="22"/>
          <w:szCs w:val="22"/>
        </w:rPr>
        <w:t xml:space="preserve">, dlatego </w:t>
      </w:r>
      <w:r w:rsidR="00B1305F">
        <w:rPr>
          <w:rFonts w:ascii="Arial" w:hAnsi="Arial" w:cs="Arial"/>
          <w:color w:val="000000" w:themeColor="text1"/>
          <w:sz w:val="22"/>
          <w:szCs w:val="22"/>
        </w:rPr>
        <w:t>z</w:t>
      </w:r>
      <w:r w:rsidRPr="00894A44">
        <w:rPr>
          <w:rFonts w:ascii="Arial" w:hAnsi="Arial" w:cs="Arial"/>
          <w:color w:val="000000" w:themeColor="text1"/>
          <w:sz w:val="22"/>
          <w:szCs w:val="22"/>
        </w:rPr>
        <w:t xml:space="preserve"> klauzul tych usunięto wagi, limity i wskaźnik określający podział ryzyk. Inni zamawiający, którzy będą chcieli wykorzystać ww. przykładowe klauzule w swojej praktyce udzielania zamówień, powinni określić i dostosować wpisywane </w:t>
      </w:r>
      <w:r w:rsidR="009F7501" w:rsidRPr="00894A44">
        <w:rPr>
          <w:rFonts w:ascii="Arial" w:hAnsi="Arial" w:cs="Arial"/>
          <w:color w:val="000000" w:themeColor="text1"/>
          <w:sz w:val="22"/>
          <w:szCs w:val="22"/>
        </w:rPr>
        <w:t xml:space="preserve">wartości </w:t>
      </w:r>
      <w:r w:rsidR="009F7501">
        <w:rPr>
          <w:rFonts w:ascii="Arial" w:hAnsi="Arial" w:cs="Arial"/>
          <w:color w:val="000000" w:themeColor="text1"/>
          <w:sz w:val="22"/>
          <w:szCs w:val="22"/>
        </w:rPr>
        <w:t>do</w:t>
      </w:r>
      <w:r w:rsidR="00D50D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94A44">
        <w:rPr>
          <w:rFonts w:ascii="Arial" w:hAnsi="Arial" w:cs="Arial"/>
          <w:color w:val="000000" w:themeColor="text1"/>
          <w:sz w:val="22"/>
          <w:szCs w:val="22"/>
        </w:rPr>
        <w:t>realiów danego kontraktu, aby stworzona w taki sposób klauzula mogła być efektywnie wykorzystana w danym stanie faktycznym</w:t>
      </w:r>
      <w:r w:rsidR="00BD5DF5">
        <w:rPr>
          <w:rFonts w:ascii="Arial" w:hAnsi="Arial" w:cs="Arial"/>
          <w:color w:val="000000" w:themeColor="text1"/>
          <w:sz w:val="22"/>
          <w:szCs w:val="22"/>
        </w:rPr>
        <w:t xml:space="preserve"> obejmującym również aktualną sytuację rynkową</w:t>
      </w:r>
      <w:r w:rsidRPr="00894A44">
        <w:rPr>
          <w:rFonts w:ascii="Arial" w:hAnsi="Arial" w:cs="Arial"/>
          <w:color w:val="000000" w:themeColor="text1"/>
          <w:sz w:val="22"/>
          <w:szCs w:val="22"/>
        </w:rPr>
        <w:t xml:space="preserve">. Niezbędne jest zatem dokonanie całościowej analizy stanu faktycznego, warunków umowy, do której wprowadzona będzie klauzula, co wymaga także kompleksowego spojrzenia na wszystkie </w:t>
      </w:r>
      <w:r w:rsidR="003D7E20">
        <w:rPr>
          <w:rFonts w:ascii="Arial" w:hAnsi="Arial" w:cs="Arial"/>
          <w:color w:val="000000" w:themeColor="text1"/>
          <w:sz w:val="22"/>
          <w:szCs w:val="22"/>
        </w:rPr>
        <w:t>postanowienia</w:t>
      </w:r>
      <w:r w:rsidRPr="00894A44">
        <w:rPr>
          <w:rFonts w:ascii="Arial" w:hAnsi="Arial" w:cs="Arial"/>
          <w:color w:val="000000" w:themeColor="text1"/>
          <w:sz w:val="22"/>
          <w:szCs w:val="22"/>
        </w:rPr>
        <w:t xml:space="preserve"> umowy.  Dla ułatwienia, w celu zaprezentowania mechanizmu działania ww. klauzul, w przypisach wskazano, jakie wartości stosują </w:t>
      </w:r>
      <w:r w:rsidR="0084155A" w:rsidRPr="00894A44">
        <w:rPr>
          <w:rFonts w:ascii="Arial" w:hAnsi="Arial" w:cs="Arial"/>
          <w:color w:val="000000" w:themeColor="text1"/>
          <w:sz w:val="22"/>
          <w:szCs w:val="22"/>
        </w:rPr>
        <w:t xml:space="preserve">w swoich umowach </w:t>
      </w:r>
      <w:r w:rsidRPr="00894A44">
        <w:rPr>
          <w:rFonts w:ascii="Arial" w:hAnsi="Arial" w:cs="Arial"/>
          <w:color w:val="000000" w:themeColor="text1"/>
          <w:sz w:val="22"/>
          <w:szCs w:val="22"/>
        </w:rPr>
        <w:t xml:space="preserve">zamawiający: Generalna Dyrekcja Dróg Krajowych i Autostrad i PKP Polskie Linie Kolejowe </w:t>
      </w:r>
      <w:r w:rsidR="009F7501" w:rsidRPr="00894A44">
        <w:rPr>
          <w:rFonts w:ascii="Arial" w:hAnsi="Arial" w:cs="Arial"/>
          <w:color w:val="000000" w:themeColor="text1"/>
          <w:sz w:val="22"/>
          <w:szCs w:val="22"/>
        </w:rPr>
        <w:t>S.A.</w:t>
      </w:r>
      <w:r w:rsidRPr="00894A44">
        <w:rPr>
          <w:rFonts w:ascii="Arial" w:hAnsi="Arial" w:cs="Arial"/>
          <w:color w:val="000000" w:themeColor="text1"/>
          <w:sz w:val="22"/>
          <w:szCs w:val="22"/>
        </w:rPr>
        <w:t xml:space="preserve"> Przy dostosowywaniu klauzul i wpisywaniu poszczególnych wartości należy zadbać o to, aby wartości by</w:t>
      </w:r>
      <w:r w:rsidR="00872A6E">
        <w:rPr>
          <w:rFonts w:ascii="Arial" w:hAnsi="Arial" w:cs="Arial"/>
          <w:color w:val="000000" w:themeColor="text1"/>
          <w:sz w:val="22"/>
          <w:szCs w:val="22"/>
        </w:rPr>
        <w:t>ły</w:t>
      </w:r>
      <w:r w:rsidRPr="00894A44">
        <w:rPr>
          <w:rFonts w:ascii="Arial" w:hAnsi="Arial" w:cs="Arial"/>
          <w:color w:val="000000" w:themeColor="text1"/>
          <w:sz w:val="22"/>
          <w:szCs w:val="22"/>
        </w:rPr>
        <w:t xml:space="preserve"> zgodne (w tym matematycznie) z mechanizmem zawartym w klauzuli. </w:t>
      </w:r>
    </w:p>
    <w:p w14:paraId="7936FF46" w14:textId="298C302E" w:rsidR="003A7F1A" w:rsidRDefault="00894A44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94A44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Wszystkie przedstawione klauzule mają charakter przykładowy, </w:t>
      </w:r>
      <w:r w:rsidR="00E71C3B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F43E1F">
        <w:rPr>
          <w:rFonts w:ascii="Arial" w:hAnsi="Arial" w:cs="Arial"/>
          <w:color w:val="000000" w:themeColor="text1"/>
          <w:sz w:val="22"/>
          <w:szCs w:val="22"/>
        </w:rPr>
        <w:t xml:space="preserve">niniejszy </w:t>
      </w:r>
      <w:r w:rsidRPr="00894A44">
        <w:rPr>
          <w:rFonts w:ascii="Arial" w:hAnsi="Arial" w:cs="Arial"/>
          <w:color w:val="000000" w:themeColor="text1"/>
          <w:sz w:val="22"/>
          <w:szCs w:val="22"/>
        </w:rPr>
        <w:t xml:space="preserve">dokument ma na celu zaprezentowanie różnych mechanizmów waloryzacji w praktyce udzielania zamówień publicznych, co powinno ułatwić konstruowanie klauzul waloryzacyjnych w projektowanych umowach. Posługiwanie się przez strony umowy </w:t>
      </w:r>
      <w:r w:rsidR="00F43E1F">
        <w:rPr>
          <w:rFonts w:ascii="Arial" w:hAnsi="Arial" w:cs="Arial"/>
          <w:color w:val="000000" w:themeColor="text1"/>
          <w:sz w:val="22"/>
          <w:szCs w:val="22"/>
        </w:rPr>
        <w:t xml:space="preserve">w sprawie </w:t>
      </w:r>
      <w:r w:rsidRPr="00894A44">
        <w:rPr>
          <w:rFonts w:ascii="Arial" w:hAnsi="Arial" w:cs="Arial"/>
          <w:color w:val="000000" w:themeColor="text1"/>
          <w:sz w:val="22"/>
          <w:szCs w:val="22"/>
        </w:rPr>
        <w:t>zamówieni</w:t>
      </w:r>
      <w:r w:rsidR="00F43E1F">
        <w:rPr>
          <w:rFonts w:ascii="Arial" w:hAnsi="Arial" w:cs="Arial"/>
          <w:color w:val="000000" w:themeColor="text1"/>
          <w:sz w:val="22"/>
          <w:szCs w:val="22"/>
        </w:rPr>
        <w:t>a</w:t>
      </w:r>
      <w:r w:rsidRPr="00894A44">
        <w:rPr>
          <w:rFonts w:ascii="Arial" w:hAnsi="Arial" w:cs="Arial"/>
          <w:color w:val="000000" w:themeColor="text1"/>
          <w:sz w:val="22"/>
          <w:szCs w:val="22"/>
        </w:rPr>
        <w:t xml:space="preserve"> publiczne</w:t>
      </w:r>
      <w:r w:rsidR="0040668E">
        <w:rPr>
          <w:rFonts w:ascii="Arial" w:hAnsi="Arial" w:cs="Arial"/>
          <w:color w:val="000000" w:themeColor="text1"/>
          <w:sz w:val="22"/>
          <w:szCs w:val="22"/>
        </w:rPr>
        <w:t>go</w:t>
      </w:r>
      <w:r w:rsidRPr="00894A44">
        <w:rPr>
          <w:rFonts w:ascii="Arial" w:hAnsi="Arial" w:cs="Arial"/>
          <w:color w:val="000000" w:themeColor="text1"/>
          <w:sz w:val="22"/>
          <w:szCs w:val="22"/>
        </w:rPr>
        <w:t xml:space="preserve"> klauzulami o innej treści jest w pełni dopuszczalne. </w:t>
      </w:r>
    </w:p>
    <w:p w14:paraId="62B9DEB7" w14:textId="6E710D90" w:rsidR="00894A44" w:rsidRPr="00894A44" w:rsidRDefault="00894A44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94A44">
        <w:rPr>
          <w:rFonts w:ascii="Arial" w:hAnsi="Arial" w:cs="Arial"/>
          <w:color w:val="000000" w:themeColor="text1"/>
          <w:sz w:val="22"/>
          <w:szCs w:val="22"/>
        </w:rPr>
        <w:t>Klauzule nie wyczerpują wszystkich zagadnień związanych</w:t>
      </w:r>
      <w:r w:rsidR="00095703">
        <w:rPr>
          <w:rFonts w:ascii="Arial" w:hAnsi="Arial" w:cs="Arial"/>
          <w:color w:val="000000" w:themeColor="text1"/>
          <w:sz w:val="22"/>
          <w:szCs w:val="22"/>
        </w:rPr>
        <w:t xml:space="preserve"> z waloryzacją</w:t>
      </w:r>
      <w:r w:rsidR="008576E9">
        <w:rPr>
          <w:rFonts w:ascii="Arial" w:hAnsi="Arial" w:cs="Arial"/>
          <w:color w:val="000000" w:themeColor="text1"/>
          <w:sz w:val="22"/>
          <w:szCs w:val="22"/>
        </w:rPr>
        <w:t>,</w:t>
      </w:r>
      <w:r w:rsidR="008A57AA" w:rsidRPr="008A57A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E50DD">
        <w:rPr>
          <w:rFonts w:ascii="Arial" w:hAnsi="Arial" w:cs="Arial"/>
          <w:color w:val="000000" w:themeColor="text1"/>
          <w:sz w:val="22"/>
          <w:szCs w:val="22"/>
        </w:rPr>
        <w:t>koncentrując</w:t>
      </w:r>
      <w:r w:rsidR="008A57AA" w:rsidRPr="00894A44">
        <w:rPr>
          <w:rFonts w:ascii="Arial" w:hAnsi="Arial" w:cs="Arial"/>
          <w:color w:val="000000" w:themeColor="text1"/>
          <w:sz w:val="22"/>
          <w:szCs w:val="22"/>
        </w:rPr>
        <w:t xml:space="preserve"> się na prezentacji </w:t>
      </w:r>
      <w:r w:rsidR="008A57AA">
        <w:rPr>
          <w:rFonts w:ascii="Arial" w:hAnsi="Arial" w:cs="Arial"/>
          <w:color w:val="000000" w:themeColor="text1"/>
          <w:sz w:val="22"/>
          <w:szCs w:val="22"/>
        </w:rPr>
        <w:t xml:space="preserve">przykładowych </w:t>
      </w:r>
      <w:r w:rsidR="008A57AA" w:rsidRPr="00894A44">
        <w:rPr>
          <w:rFonts w:ascii="Arial" w:hAnsi="Arial" w:cs="Arial"/>
          <w:color w:val="000000" w:themeColor="text1"/>
          <w:sz w:val="22"/>
          <w:szCs w:val="22"/>
        </w:rPr>
        <w:t>mechanizm</w:t>
      </w:r>
      <w:r w:rsidR="008A57AA">
        <w:rPr>
          <w:rFonts w:ascii="Arial" w:hAnsi="Arial" w:cs="Arial"/>
          <w:color w:val="000000" w:themeColor="text1"/>
          <w:sz w:val="22"/>
          <w:szCs w:val="22"/>
        </w:rPr>
        <w:t>ów</w:t>
      </w:r>
      <w:r w:rsidR="008A57AA" w:rsidRPr="00894A44">
        <w:rPr>
          <w:rFonts w:ascii="Arial" w:hAnsi="Arial" w:cs="Arial"/>
          <w:color w:val="000000" w:themeColor="text1"/>
          <w:sz w:val="22"/>
          <w:szCs w:val="22"/>
        </w:rPr>
        <w:t xml:space="preserve"> waloryzacji</w:t>
      </w:r>
      <w:r w:rsidR="008A57AA">
        <w:rPr>
          <w:rFonts w:ascii="Arial" w:hAnsi="Arial" w:cs="Arial"/>
          <w:color w:val="000000" w:themeColor="text1"/>
          <w:sz w:val="22"/>
          <w:szCs w:val="22"/>
        </w:rPr>
        <w:t>. Tym samym</w:t>
      </w:r>
      <w:r w:rsidR="00E71C3B">
        <w:rPr>
          <w:rFonts w:ascii="Arial" w:hAnsi="Arial" w:cs="Arial"/>
          <w:color w:val="000000" w:themeColor="text1"/>
          <w:sz w:val="22"/>
          <w:szCs w:val="22"/>
        </w:rPr>
        <w:t>,</w:t>
      </w:r>
      <w:r w:rsidR="008A57AA">
        <w:rPr>
          <w:rFonts w:ascii="Arial" w:hAnsi="Arial" w:cs="Arial"/>
          <w:color w:val="000000" w:themeColor="text1"/>
          <w:sz w:val="22"/>
          <w:szCs w:val="22"/>
        </w:rPr>
        <w:t xml:space="preserve"> w opracowaniu nie uwzględniono takich przykładowych zagadnień jak: </w:t>
      </w:r>
      <w:r w:rsidR="00095703">
        <w:rPr>
          <w:rFonts w:ascii="Arial" w:hAnsi="Arial" w:cs="Arial"/>
          <w:color w:val="000000" w:themeColor="text1"/>
          <w:sz w:val="22"/>
          <w:szCs w:val="22"/>
        </w:rPr>
        <w:t>zasad</w:t>
      </w:r>
      <w:r w:rsidR="008A57AA">
        <w:rPr>
          <w:rFonts w:ascii="Arial" w:hAnsi="Arial" w:cs="Arial"/>
          <w:color w:val="000000" w:themeColor="text1"/>
          <w:sz w:val="22"/>
          <w:szCs w:val="22"/>
        </w:rPr>
        <w:t>y</w:t>
      </w:r>
      <w:r w:rsidR="00095703">
        <w:rPr>
          <w:rFonts w:ascii="Arial" w:hAnsi="Arial" w:cs="Arial"/>
          <w:color w:val="000000" w:themeColor="text1"/>
          <w:sz w:val="22"/>
          <w:szCs w:val="22"/>
        </w:rPr>
        <w:t xml:space="preserve"> waloryzacji lub brak</w:t>
      </w:r>
      <w:r w:rsidR="003A7F1A">
        <w:rPr>
          <w:rFonts w:ascii="Arial" w:hAnsi="Arial" w:cs="Arial"/>
          <w:color w:val="000000" w:themeColor="text1"/>
          <w:sz w:val="22"/>
          <w:szCs w:val="22"/>
        </w:rPr>
        <w:t>u</w:t>
      </w:r>
      <w:r w:rsidR="00095703">
        <w:rPr>
          <w:rFonts w:ascii="Arial" w:hAnsi="Arial" w:cs="Arial"/>
          <w:color w:val="000000" w:themeColor="text1"/>
          <w:sz w:val="22"/>
          <w:szCs w:val="22"/>
        </w:rPr>
        <w:t xml:space="preserve"> waloryzacji robót zamiennych lub dodatkowych</w:t>
      </w:r>
      <w:r w:rsidR="003A7F1A">
        <w:rPr>
          <w:rFonts w:ascii="Arial" w:hAnsi="Arial" w:cs="Arial"/>
          <w:color w:val="000000" w:themeColor="text1"/>
          <w:sz w:val="22"/>
          <w:szCs w:val="22"/>
        </w:rPr>
        <w:t>, zasad</w:t>
      </w:r>
      <w:r w:rsidR="008A57AA">
        <w:rPr>
          <w:rFonts w:ascii="Arial" w:hAnsi="Arial" w:cs="Arial"/>
          <w:color w:val="000000" w:themeColor="text1"/>
          <w:sz w:val="22"/>
          <w:szCs w:val="22"/>
        </w:rPr>
        <w:t>y</w:t>
      </w:r>
      <w:r w:rsidR="003A7F1A">
        <w:rPr>
          <w:rFonts w:ascii="Arial" w:hAnsi="Arial" w:cs="Arial"/>
          <w:color w:val="000000" w:themeColor="text1"/>
          <w:sz w:val="22"/>
          <w:szCs w:val="22"/>
        </w:rPr>
        <w:t xml:space="preserve"> waloryzacji </w:t>
      </w:r>
      <w:r w:rsidR="002E5BE6">
        <w:rPr>
          <w:rFonts w:ascii="Arial" w:hAnsi="Arial" w:cs="Arial"/>
          <w:color w:val="000000" w:themeColor="text1"/>
          <w:sz w:val="22"/>
          <w:szCs w:val="22"/>
        </w:rPr>
        <w:t xml:space="preserve">lub braku waloryzacji </w:t>
      </w:r>
      <w:r w:rsidR="003A34AD">
        <w:rPr>
          <w:rFonts w:ascii="Arial" w:hAnsi="Arial" w:cs="Arial"/>
          <w:color w:val="000000" w:themeColor="text1"/>
          <w:sz w:val="22"/>
          <w:szCs w:val="22"/>
        </w:rPr>
        <w:t xml:space="preserve">w </w:t>
      </w:r>
      <w:r w:rsidR="003A7F1A">
        <w:rPr>
          <w:rFonts w:ascii="Arial" w:hAnsi="Arial" w:cs="Arial"/>
          <w:color w:val="000000" w:themeColor="text1"/>
          <w:sz w:val="22"/>
          <w:szCs w:val="22"/>
        </w:rPr>
        <w:t>okres</w:t>
      </w:r>
      <w:r w:rsidR="003A34AD">
        <w:rPr>
          <w:rFonts w:ascii="Arial" w:hAnsi="Arial" w:cs="Arial"/>
          <w:color w:val="000000" w:themeColor="text1"/>
          <w:sz w:val="22"/>
          <w:szCs w:val="22"/>
        </w:rPr>
        <w:t>ie</w:t>
      </w:r>
      <w:r w:rsidR="003A7F1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A34AD">
        <w:rPr>
          <w:rFonts w:ascii="Arial" w:hAnsi="Arial" w:cs="Arial"/>
          <w:color w:val="000000" w:themeColor="text1"/>
          <w:sz w:val="22"/>
          <w:szCs w:val="22"/>
        </w:rPr>
        <w:t xml:space="preserve">niezawinionego przez wykonawcę </w:t>
      </w:r>
      <w:r w:rsidR="003A7F1A">
        <w:rPr>
          <w:rFonts w:ascii="Arial" w:hAnsi="Arial" w:cs="Arial"/>
          <w:color w:val="000000" w:themeColor="text1"/>
          <w:sz w:val="22"/>
          <w:szCs w:val="22"/>
        </w:rPr>
        <w:t>przedłużenia realizacji umowy, zasad waloryzacji lub braku</w:t>
      </w:r>
      <w:r w:rsidR="003A34AD">
        <w:rPr>
          <w:rFonts w:ascii="Arial" w:hAnsi="Arial" w:cs="Arial"/>
          <w:color w:val="000000" w:themeColor="text1"/>
          <w:sz w:val="22"/>
          <w:szCs w:val="22"/>
        </w:rPr>
        <w:t xml:space="preserve"> waloryzacji uzasadnionych </w:t>
      </w:r>
      <w:r w:rsidR="003A7F1A">
        <w:rPr>
          <w:rFonts w:ascii="Arial" w:hAnsi="Arial" w:cs="Arial"/>
          <w:color w:val="000000" w:themeColor="text1"/>
          <w:sz w:val="22"/>
          <w:szCs w:val="22"/>
        </w:rPr>
        <w:t>roszczeń wykonawcy. Powyższe kwestie</w:t>
      </w:r>
      <w:r w:rsidR="00E71C3B">
        <w:rPr>
          <w:rFonts w:ascii="Arial" w:hAnsi="Arial" w:cs="Arial"/>
          <w:color w:val="000000" w:themeColor="text1"/>
          <w:sz w:val="22"/>
          <w:szCs w:val="22"/>
        </w:rPr>
        <w:t>,</w:t>
      </w:r>
      <w:r w:rsidR="003A7F1A">
        <w:rPr>
          <w:rFonts w:ascii="Arial" w:hAnsi="Arial" w:cs="Arial"/>
          <w:color w:val="000000" w:themeColor="text1"/>
          <w:sz w:val="22"/>
          <w:szCs w:val="22"/>
        </w:rPr>
        <w:t xml:space="preserve"> z uwagi na </w:t>
      </w:r>
      <w:r w:rsidR="008A57AA">
        <w:rPr>
          <w:rFonts w:ascii="Arial" w:hAnsi="Arial" w:cs="Arial"/>
          <w:color w:val="000000" w:themeColor="text1"/>
          <w:sz w:val="22"/>
          <w:szCs w:val="22"/>
        </w:rPr>
        <w:t xml:space="preserve">różnorodność przedmiotów zamówienia oraz </w:t>
      </w:r>
      <w:r w:rsidR="003A7F1A">
        <w:rPr>
          <w:rFonts w:ascii="Arial" w:hAnsi="Arial" w:cs="Arial"/>
          <w:color w:val="000000" w:themeColor="text1"/>
          <w:sz w:val="22"/>
          <w:szCs w:val="22"/>
        </w:rPr>
        <w:t>zindywidualizowan</w:t>
      </w:r>
      <w:r w:rsidR="008A57AA">
        <w:rPr>
          <w:rFonts w:ascii="Arial" w:hAnsi="Arial" w:cs="Arial"/>
          <w:color w:val="000000" w:themeColor="text1"/>
          <w:sz w:val="22"/>
          <w:szCs w:val="22"/>
        </w:rPr>
        <w:t xml:space="preserve">ie </w:t>
      </w:r>
      <w:r w:rsidR="003A7F1A">
        <w:rPr>
          <w:rFonts w:ascii="Arial" w:hAnsi="Arial" w:cs="Arial"/>
          <w:color w:val="000000" w:themeColor="text1"/>
          <w:sz w:val="22"/>
          <w:szCs w:val="22"/>
        </w:rPr>
        <w:t>stanów faktycznych</w:t>
      </w:r>
      <w:r w:rsidR="009653A8">
        <w:rPr>
          <w:rFonts w:ascii="Arial" w:hAnsi="Arial" w:cs="Arial"/>
          <w:color w:val="000000" w:themeColor="text1"/>
          <w:sz w:val="22"/>
          <w:szCs w:val="22"/>
        </w:rPr>
        <w:t>,</w:t>
      </w:r>
      <w:r w:rsidR="003A7F1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61E3E">
        <w:rPr>
          <w:rFonts w:ascii="Arial" w:hAnsi="Arial" w:cs="Arial"/>
          <w:color w:val="000000" w:themeColor="text1"/>
          <w:sz w:val="22"/>
          <w:szCs w:val="22"/>
        </w:rPr>
        <w:t xml:space="preserve">zamawiający </w:t>
      </w:r>
      <w:r w:rsidR="009F7501">
        <w:rPr>
          <w:rFonts w:ascii="Arial" w:hAnsi="Arial" w:cs="Arial"/>
          <w:color w:val="000000" w:themeColor="text1"/>
          <w:sz w:val="22"/>
          <w:szCs w:val="22"/>
        </w:rPr>
        <w:t>powinni rozważyć</w:t>
      </w:r>
      <w:r w:rsidR="003A7F1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A34AD">
        <w:rPr>
          <w:rFonts w:ascii="Arial" w:hAnsi="Arial" w:cs="Arial"/>
          <w:color w:val="000000" w:themeColor="text1"/>
          <w:sz w:val="22"/>
          <w:szCs w:val="22"/>
        </w:rPr>
        <w:t>wprowadz</w:t>
      </w:r>
      <w:r w:rsidR="000339A2">
        <w:rPr>
          <w:rFonts w:ascii="Arial" w:hAnsi="Arial" w:cs="Arial"/>
          <w:color w:val="000000" w:themeColor="text1"/>
          <w:sz w:val="22"/>
          <w:szCs w:val="22"/>
        </w:rPr>
        <w:t>ając</w:t>
      </w:r>
      <w:r w:rsidR="003A34AD">
        <w:rPr>
          <w:rFonts w:ascii="Arial" w:hAnsi="Arial" w:cs="Arial"/>
          <w:color w:val="000000" w:themeColor="text1"/>
          <w:sz w:val="22"/>
          <w:szCs w:val="22"/>
        </w:rPr>
        <w:t xml:space="preserve"> do umowy </w:t>
      </w:r>
      <w:r w:rsidR="003A7F1A">
        <w:rPr>
          <w:rFonts w:ascii="Arial" w:hAnsi="Arial" w:cs="Arial"/>
          <w:color w:val="000000" w:themeColor="text1"/>
          <w:sz w:val="22"/>
          <w:szCs w:val="22"/>
        </w:rPr>
        <w:t>odpowiedni</w:t>
      </w:r>
      <w:r w:rsidR="000339A2">
        <w:rPr>
          <w:rFonts w:ascii="Arial" w:hAnsi="Arial" w:cs="Arial"/>
          <w:color w:val="000000" w:themeColor="text1"/>
          <w:sz w:val="22"/>
          <w:szCs w:val="22"/>
        </w:rPr>
        <w:t>e</w:t>
      </w:r>
      <w:r w:rsidR="003A7F1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A34AD">
        <w:rPr>
          <w:rFonts w:ascii="Arial" w:hAnsi="Arial" w:cs="Arial"/>
          <w:color w:val="000000" w:themeColor="text1"/>
          <w:sz w:val="22"/>
          <w:szCs w:val="22"/>
        </w:rPr>
        <w:t>klauzul</w:t>
      </w:r>
      <w:r w:rsidR="000339A2">
        <w:rPr>
          <w:rFonts w:ascii="Arial" w:hAnsi="Arial" w:cs="Arial"/>
          <w:color w:val="000000" w:themeColor="text1"/>
          <w:sz w:val="22"/>
          <w:szCs w:val="22"/>
        </w:rPr>
        <w:t>e</w:t>
      </w:r>
      <w:r w:rsidR="003A34A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A7F1A">
        <w:rPr>
          <w:rFonts w:ascii="Arial" w:hAnsi="Arial" w:cs="Arial"/>
          <w:color w:val="000000" w:themeColor="text1"/>
          <w:sz w:val="22"/>
          <w:szCs w:val="22"/>
        </w:rPr>
        <w:t>umown</w:t>
      </w:r>
      <w:r w:rsidR="000339A2">
        <w:rPr>
          <w:rFonts w:ascii="Arial" w:hAnsi="Arial" w:cs="Arial"/>
          <w:color w:val="000000" w:themeColor="text1"/>
          <w:sz w:val="22"/>
          <w:szCs w:val="22"/>
        </w:rPr>
        <w:t>e</w:t>
      </w:r>
      <w:r w:rsidR="003A34AD">
        <w:rPr>
          <w:rFonts w:ascii="Arial" w:hAnsi="Arial" w:cs="Arial"/>
          <w:color w:val="000000" w:themeColor="text1"/>
          <w:sz w:val="22"/>
          <w:szCs w:val="22"/>
        </w:rPr>
        <w:t xml:space="preserve">. W przypadku braku takich </w:t>
      </w:r>
      <w:r w:rsidR="00552E33">
        <w:rPr>
          <w:rFonts w:ascii="Arial" w:hAnsi="Arial" w:cs="Arial"/>
          <w:color w:val="000000" w:themeColor="text1"/>
          <w:sz w:val="22"/>
          <w:szCs w:val="22"/>
        </w:rPr>
        <w:t>postanowień</w:t>
      </w:r>
      <w:r w:rsidR="003A34AD">
        <w:rPr>
          <w:rFonts w:ascii="Arial" w:hAnsi="Arial" w:cs="Arial"/>
          <w:color w:val="000000" w:themeColor="text1"/>
          <w:sz w:val="22"/>
          <w:szCs w:val="22"/>
        </w:rPr>
        <w:t xml:space="preserve">, w zależności od stanu </w:t>
      </w:r>
      <w:r w:rsidR="009F7501">
        <w:rPr>
          <w:rFonts w:ascii="Arial" w:hAnsi="Arial" w:cs="Arial"/>
          <w:color w:val="000000" w:themeColor="text1"/>
          <w:sz w:val="22"/>
          <w:szCs w:val="22"/>
        </w:rPr>
        <w:t>faktycznego mogą</w:t>
      </w:r>
      <w:r w:rsidR="003A34AD">
        <w:rPr>
          <w:rFonts w:ascii="Arial" w:hAnsi="Arial" w:cs="Arial"/>
          <w:color w:val="000000" w:themeColor="text1"/>
          <w:sz w:val="22"/>
          <w:szCs w:val="22"/>
        </w:rPr>
        <w:t xml:space="preserve"> znaleźć </w:t>
      </w:r>
      <w:r w:rsidR="00D868E6">
        <w:rPr>
          <w:rFonts w:ascii="Arial" w:hAnsi="Arial" w:cs="Arial"/>
          <w:color w:val="000000" w:themeColor="text1"/>
          <w:sz w:val="22"/>
          <w:szCs w:val="22"/>
        </w:rPr>
        <w:t xml:space="preserve">zastosowanie </w:t>
      </w:r>
      <w:r w:rsidR="00552E33">
        <w:rPr>
          <w:rFonts w:ascii="Arial" w:hAnsi="Arial" w:cs="Arial"/>
          <w:color w:val="000000" w:themeColor="text1"/>
          <w:sz w:val="22"/>
          <w:szCs w:val="22"/>
        </w:rPr>
        <w:t>regulacje</w:t>
      </w:r>
      <w:r w:rsidR="008A57AA">
        <w:rPr>
          <w:rFonts w:ascii="Arial" w:hAnsi="Arial" w:cs="Arial"/>
          <w:color w:val="000000" w:themeColor="text1"/>
          <w:sz w:val="22"/>
          <w:szCs w:val="22"/>
        </w:rPr>
        <w:t xml:space="preserve"> ustawy P</w:t>
      </w:r>
      <w:r w:rsidR="00ED032E">
        <w:rPr>
          <w:rFonts w:ascii="Arial" w:hAnsi="Arial" w:cs="Arial"/>
          <w:color w:val="000000" w:themeColor="text1"/>
          <w:sz w:val="22"/>
          <w:szCs w:val="22"/>
        </w:rPr>
        <w:t>zp</w:t>
      </w:r>
      <w:r w:rsidR="008A57AA">
        <w:rPr>
          <w:rFonts w:ascii="Arial" w:hAnsi="Arial" w:cs="Arial"/>
          <w:color w:val="000000" w:themeColor="text1"/>
          <w:sz w:val="22"/>
          <w:szCs w:val="22"/>
        </w:rPr>
        <w:t xml:space="preserve"> dotycząc</w:t>
      </w:r>
      <w:r w:rsidR="003A34AD">
        <w:rPr>
          <w:rFonts w:ascii="Arial" w:hAnsi="Arial" w:cs="Arial"/>
          <w:color w:val="000000" w:themeColor="text1"/>
          <w:sz w:val="22"/>
          <w:szCs w:val="22"/>
        </w:rPr>
        <w:t>e</w:t>
      </w:r>
      <w:r w:rsidR="008A57AA">
        <w:rPr>
          <w:rFonts w:ascii="Arial" w:hAnsi="Arial" w:cs="Arial"/>
          <w:color w:val="000000" w:themeColor="text1"/>
          <w:sz w:val="22"/>
          <w:szCs w:val="22"/>
        </w:rPr>
        <w:t xml:space="preserve"> wystąpienia okoliczności nieprzewidzianych (art. 455 ust. 1 pkt </w:t>
      </w:r>
      <w:r w:rsidR="00A25E0B">
        <w:rPr>
          <w:rFonts w:ascii="Arial" w:hAnsi="Arial" w:cs="Arial"/>
          <w:color w:val="000000" w:themeColor="text1"/>
          <w:sz w:val="22"/>
          <w:szCs w:val="22"/>
        </w:rPr>
        <w:t>4</w:t>
      </w:r>
      <w:r w:rsidR="008A57AA">
        <w:rPr>
          <w:rFonts w:ascii="Arial" w:hAnsi="Arial" w:cs="Arial"/>
          <w:color w:val="000000" w:themeColor="text1"/>
          <w:sz w:val="22"/>
          <w:szCs w:val="22"/>
        </w:rPr>
        <w:t xml:space="preserve"> ustawy Pzp)</w:t>
      </w:r>
      <w:r w:rsidR="000339A2">
        <w:rPr>
          <w:rFonts w:ascii="Arial" w:hAnsi="Arial" w:cs="Arial"/>
          <w:color w:val="000000" w:themeColor="text1"/>
          <w:sz w:val="22"/>
          <w:szCs w:val="22"/>
        </w:rPr>
        <w:t xml:space="preserve"> czy</w:t>
      </w:r>
      <w:r w:rsidR="008A57A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F7501">
        <w:rPr>
          <w:rFonts w:ascii="Arial" w:hAnsi="Arial" w:cs="Arial"/>
          <w:color w:val="000000" w:themeColor="text1"/>
          <w:sz w:val="22"/>
          <w:szCs w:val="22"/>
        </w:rPr>
        <w:t>postanowienia Kodeksu</w:t>
      </w:r>
      <w:r w:rsidR="008A57AA">
        <w:rPr>
          <w:rFonts w:ascii="Arial" w:hAnsi="Arial" w:cs="Arial"/>
          <w:color w:val="000000" w:themeColor="text1"/>
          <w:sz w:val="22"/>
          <w:szCs w:val="22"/>
        </w:rPr>
        <w:t xml:space="preserve"> cywilnego</w:t>
      </w:r>
      <w:r w:rsidR="0022006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8A57A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A2CA0A7" w14:textId="784D96AA" w:rsidR="00F71364" w:rsidRDefault="00894A44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94A44">
        <w:rPr>
          <w:rFonts w:ascii="Arial" w:hAnsi="Arial" w:cs="Arial"/>
          <w:color w:val="000000" w:themeColor="text1"/>
          <w:sz w:val="22"/>
          <w:szCs w:val="22"/>
        </w:rPr>
        <w:t xml:space="preserve">Konstruując klauzulę waloryzacyjną, należy wszechstronnie rozważyć i przeanalizować stan faktyczny danej sprawy, w celu wybrania odpowiedniej klauzuli i adekwatnego dostosowania jej parametrów do warunków danego zamówienia. W przypadku klauzul waloryzacyjnych bazujących na koszyku waloryzacyjnym szczególną rolę </w:t>
      </w:r>
      <w:r w:rsidR="00563BD8">
        <w:rPr>
          <w:rFonts w:ascii="Arial" w:hAnsi="Arial" w:cs="Arial"/>
          <w:color w:val="000000" w:themeColor="text1"/>
          <w:sz w:val="22"/>
          <w:szCs w:val="22"/>
        </w:rPr>
        <w:t xml:space="preserve">odgrywają </w:t>
      </w:r>
      <w:r w:rsidRPr="00894A44">
        <w:rPr>
          <w:rFonts w:ascii="Arial" w:hAnsi="Arial" w:cs="Arial"/>
          <w:color w:val="000000" w:themeColor="text1"/>
          <w:sz w:val="22"/>
          <w:szCs w:val="22"/>
        </w:rPr>
        <w:t>kosztorysan</w:t>
      </w:r>
      <w:r w:rsidR="00563BD8">
        <w:rPr>
          <w:rFonts w:ascii="Arial" w:hAnsi="Arial" w:cs="Arial"/>
          <w:color w:val="000000" w:themeColor="text1"/>
          <w:sz w:val="22"/>
          <w:szCs w:val="22"/>
        </w:rPr>
        <w:t>ci</w:t>
      </w:r>
      <w:r w:rsidRPr="00894A44">
        <w:rPr>
          <w:rFonts w:ascii="Arial" w:hAnsi="Arial" w:cs="Arial"/>
          <w:color w:val="000000" w:themeColor="text1"/>
          <w:sz w:val="22"/>
          <w:szCs w:val="22"/>
        </w:rPr>
        <w:t>, których wiedza i doświadczenie pozwolą, na etapie przygotowania zamówienia, dokonać oceny, które parametry zamówienia mogą w danym przypadku podlegać waloryzacji, a także umożliwią odpowiedni dobór elementów wchodzących w skład koszyka waloryzacyjnego.</w:t>
      </w:r>
      <w:r w:rsidRPr="00EE4F6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D536342" w14:textId="43139CEA" w:rsidR="00894A44" w:rsidRPr="00894A44" w:rsidRDefault="00894A44">
      <w:pPr>
        <w:rPr>
          <w:vanish/>
          <w:specVanish/>
        </w:rPr>
      </w:pPr>
    </w:p>
    <w:p w14:paraId="3E31F0D0" w14:textId="77777777" w:rsidR="00894A44" w:rsidRPr="00894A44" w:rsidRDefault="00894A44">
      <w:pPr>
        <w:rPr>
          <w:vanish/>
          <w:specVanish/>
        </w:rPr>
      </w:pPr>
      <w:r>
        <w:t xml:space="preserve"> </w:t>
      </w:r>
    </w:p>
    <w:p w14:paraId="6D30F2E0" w14:textId="13510B8E" w:rsidR="00894A44" w:rsidRDefault="00894A44" w:rsidP="00894A44">
      <w:r>
        <w:t xml:space="preserve"> </w:t>
      </w:r>
    </w:p>
    <w:p w14:paraId="273502D5" w14:textId="37BA5A5B" w:rsidR="00894A44" w:rsidRDefault="00894A44" w:rsidP="00894A44"/>
    <w:p w14:paraId="032918A6" w14:textId="5AA345A3" w:rsidR="00894A44" w:rsidRDefault="00894A44" w:rsidP="00894A44"/>
    <w:p w14:paraId="44B353EF" w14:textId="2EA7E0E0" w:rsidR="00894A44" w:rsidRDefault="00894A44" w:rsidP="00894A44"/>
    <w:p w14:paraId="796ABE2C" w14:textId="0F0EA529" w:rsidR="00894A44" w:rsidRDefault="00894A44" w:rsidP="00894A44"/>
    <w:p w14:paraId="3FE2BD15" w14:textId="787CA864" w:rsidR="00894A44" w:rsidRDefault="00894A44" w:rsidP="00894A44"/>
    <w:p w14:paraId="6154F565" w14:textId="607CF0BD" w:rsidR="00894A44" w:rsidRDefault="00894A44" w:rsidP="00894A44"/>
    <w:p w14:paraId="342C59A7" w14:textId="77777777" w:rsidR="00BC4F70" w:rsidRDefault="00BC4F70" w:rsidP="00894A44"/>
    <w:p w14:paraId="0BD8D59E" w14:textId="1F189067" w:rsidR="00894A44" w:rsidRDefault="00894A44" w:rsidP="00894A44"/>
    <w:p w14:paraId="0C688255" w14:textId="205CB239" w:rsidR="0049196F" w:rsidRDefault="0049196F" w:rsidP="00894A44"/>
    <w:p w14:paraId="1F2E0927" w14:textId="77777777" w:rsidR="0049196F" w:rsidRDefault="0049196F" w:rsidP="00894A44"/>
    <w:p w14:paraId="05A01FD4" w14:textId="5399EF31" w:rsidR="00894A44" w:rsidRPr="00BC4F70" w:rsidRDefault="001F0921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 w:after="0" w:line="288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BC4F70">
        <w:rPr>
          <w:rFonts w:ascii="Arial" w:hAnsi="Arial" w:cs="Arial"/>
          <w:b/>
          <w:bCs/>
          <w:color w:val="000000" w:themeColor="text1"/>
        </w:rPr>
        <w:lastRenderedPageBreak/>
        <w:t>Postanowienia</w:t>
      </w:r>
      <w:r w:rsidR="00894A44" w:rsidRPr="00BC4F70">
        <w:rPr>
          <w:rFonts w:ascii="Arial" w:hAnsi="Arial" w:cs="Arial"/>
          <w:b/>
          <w:bCs/>
          <w:color w:val="000000" w:themeColor="text1"/>
        </w:rPr>
        <w:t xml:space="preserve"> umowne dotyczące waloryzacji wynagrodzenia Wykonawcy </w:t>
      </w:r>
    </w:p>
    <w:p w14:paraId="65922963" w14:textId="1C18FC9F" w:rsidR="00894A44" w:rsidRPr="00BC4F70" w:rsidRDefault="00894A44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 w:after="0" w:line="288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BC4F70">
        <w:rPr>
          <w:rFonts w:ascii="Arial" w:hAnsi="Arial" w:cs="Arial"/>
          <w:b/>
          <w:bCs/>
          <w:color w:val="000000" w:themeColor="text1"/>
        </w:rPr>
        <w:t>(jeden wskaźnik waloryzacji)</w:t>
      </w:r>
    </w:p>
    <w:p w14:paraId="03ADF8F4" w14:textId="6AF1C71A" w:rsidR="00894A44" w:rsidRDefault="00894A44" w:rsidP="00894A44"/>
    <w:p w14:paraId="53130A85" w14:textId="1E3BC3F8" w:rsidR="00894A44" w:rsidRPr="007C35D4" w:rsidRDefault="00894A44" w:rsidP="00894A44">
      <w:pPr>
        <w:spacing w:line="360" w:lineRule="auto"/>
        <w:ind w:left="12" w:hanging="12"/>
        <w:jc w:val="both"/>
        <w:rPr>
          <w:rFonts w:ascii="Arial" w:hAnsi="Arial" w:cs="Arial"/>
          <w:i/>
          <w:iCs/>
        </w:rPr>
      </w:pPr>
      <w:bookmarkStart w:id="1" w:name="_Hlk118289541"/>
      <w:r w:rsidRPr="007C35D4">
        <w:rPr>
          <w:rFonts w:ascii="Arial" w:hAnsi="Arial" w:cs="Arial"/>
          <w:i/>
          <w:iCs/>
        </w:rPr>
        <w:t>Wskazana poniżej klauzula waloryzacyjna ma  na celu ułatwienie opracowania umowy w zakresie waloryzacji wynagrodzenia</w:t>
      </w:r>
      <w:r w:rsidR="005F0DB0">
        <w:rPr>
          <w:rFonts w:ascii="Arial" w:hAnsi="Arial" w:cs="Arial"/>
          <w:i/>
          <w:iCs/>
        </w:rPr>
        <w:t xml:space="preserve"> i</w:t>
      </w:r>
      <w:r w:rsidRPr="007C35D4">
        <w:rPr>
          <w:rFonts w:ascii="Arial" w:hAnsi="Arial" w:cs="Arial"/>
          <w:i/>
          <w:iCs/>
        </w:rPr>
        <w:t xml:space="preserve">   </w:t>
      </w:r>
      <w:r w:rsidR="005F0DB0">
        <w:rPr>
          <w:rFonts w:ascii="Arial" w:hAnsi="Arial" w:cs="Arial"/>
          <w:i/>
          <w:iCs/>
        </w:rPr>
        <w:t xml:space="preserve">ma </w:t>
      </w:r>
      <w:r w:rsidRPr="007C35D4">
        <w:rPr>
          <w:rFonts w:ascii="Arial" w:hAnsi="Arial" w:cs="Arial"/>
          <w:i/>
          <w:iCs/>
        </w:rPr>
        <w:t xml:space="preserve">charakter przykładowy. W każdym przypadku klauzula waloryzacyjna powinna zostać dostosowana do warunków zamówienia i innych postanowień umownych. Posługiwanie się przez strony umowy </w:t>
      </w:r>
      <w:r w:rsidR="00F10F63">
        <w:rPr>
          <w:rFonts w:ascii="Arial" w:hAnsi="Arial" w:cs="Arial"/>
          <w:i/>
          <w:iCs/>
        </w:rPr>
        <w:t>w sprawie</w:t>
      </w:r>
      <w:r w:rsidRPr="007C35D4">
        <w:rPr>
          <w:rFonts w:ascii="Arial" w:hAnsi="Arial" w:cs="Arial"/>
          <w:i/>
          <w:iCs/>
        </w:rPr>
        <w:t xml:space="preserve"> zamówieni</w:t>
      </w:r>
      <w:r w:rsidR="00F10F63">
        <w:rPr>
          <w:rFonts w:ascii="Arial" w:hAnsi="Arial" w:cs="Arial"/>
          <w:i/>
          <w:iCs/>
        </w:rPr>
        <w:t>a</w:t>
      </w:r>
      <w:r w:rsidRPr="007C35D4">
        <w:rPr>
          <w:rFonts w:ascii="Arial" w:hAnsi="Arial" w:cs="Arial"/>
          <w:i/>
          <w:iCs/>
        </w:rPr>
        <w:t xml:space="preserve"> publiczne</w:t>
      </w:r>
      <w:r w:rsidR="00F10F63">
        <w:rPr>
          <w:rFonts w:ascii="Arial" w:hAnsi="Arial" w:cs="Arial"/>
          <w:i/>
          <w:iCs/>
        </w:rPr>
        <w:t>go</w:t>
      </w:r>
      <w:r w:rsidRPr="007C35D4">
        <w:rPr>
          <w:rFonts w:ascii="Arial" w:hAnsi="Arial" w:cs="Arial"/>
          <w:i/>
          <w:iCs/>
        </w:rPr>
        <w:t xml:space="preserve"> klauzulami waloryzacyjnymi o innej treści jest w pełni dopuszczalne.</w:t>
      </w:r>
      <w:bookmarkEnd w:id="1"/>
    </w:p>
    <w:p w14:paraId="1C876C42" w14:textId="77777777" w:rsidR="00894A44" w:rsidRPr="00894A44" w:rsidRDefault="00894A44" w:rsidP="00894A44">
      <w:pPr>
        <w:pStyle w:val="numerowanie"/>
        <w:spacing w:after="260" w:line="360" w:lineRule="auto"/>
        <w:rPr>
          <w:sz w:val="22"/>
          <w:szCs w:val="22"/>
        </w:rPr>
      </w:pPr>
      <w:r w:rsidRPr="00894A44">
        <w:rPr>
          <w:sz w:val="22"/>
          <w:szCs w:val="22"/>
        </w:rPr>
        <w:t xml:space="preserve">Kwoty płatne Wykonawcy będą korygowane dla oddania wzrostów lub spadków cen zgodnie z poniższymi zapisami. </w:t>
      </w:r>
    </w:p>
    <w:p w14:paraId="1250CE96" w14:textId="4B776E9B" w:rsidR="00894A44" w:rsidRPr="00894A44" w:rsidRDefault="00894A44" w:rsidP="00894A44">
      <w:pPr>
        <w:pStyle w:val="numerowanie"/>
        <w:spacing w:after="260" w:line="360" w:lineRule="auto"/>
        <w:rPr>
          <w:sz w:val="22"/>
          <w:szCs w:val="22"/>
        </w:rPr>
      </w:pPr>
      <w:r w:rsidRPr="00894A44">
        <w:rPr>
          <w:sz w:val="22"/>
          <w:szCs w:val="22"/>
        </w:rPr>
        <w:t xml:space="preserve">Waloryzacja będzie  odbywać </w:t>
      </w:r>
      <w:r w:rsidR="00AF1182">
        <w:rPr>
          <w:sz w:val="22"/>
          <w:szCs w:val="22"/>
        </w:rPr>
        <w:t xml:space="preserve">się </w:t>
      </w:r>
      <w:r w:rsidRPr="00894A44">
        <w:rPr>
          <w:sz w:val="22"/>
          <w:szCs w:val="22"/>
        </w:rPr>
        <w:t xml:space="preserve">w oparciu o  wskaźnik </w:t>
      </w:r>
      <w:r w:rsidRPr="00894A44">
        <w:rPr>
          <w:rFonts w:eastAsia="Times New Roman"/>
          <w:sz w:val="22"/>
          <w:szCs w:val="22"/>
        </w:rPr>
        <w:t>cen produkcji budowlano-montażowej, pozycja …..</w:t>
      </w:r>
      <w:r w:rsidRPr="00894A44">
        <w:rPr>
          <w:rStyle w:val="Odwoanieprzypisudolnego"/>
          <w:sz w:val="22"/>
          <w:szCs w:val="22"/>
        </w:rPr>
        <w:footnoteReference w:id="2"/>
      </w:r>
      <w:r w:rsidRPr="00894A44">
        <w:rPr>
          <w:sz w:val="22"/>
          <w:szCs w:val="22"/>
        </w:rPr>
        <w:t xml:space="preserve"> publikowany przez Główny Urząd Statystyczny (zwany dalej GUS), dostępny w Dziedzinowej Bazie Wiedzy  pod linkiem</w:t>
      </w:r>
      <w:r w:rsidR="0049196F">
        <w:rPr>
          <w:sz w:val="22"/>
          <w:szCs w:val="22"/>
        </w:rPr>
        <w:t>:</w:t>
      </w:r>
      <w:r w:rsidRPr="00894A44">
        <w:rPr>
          <w:sz w:val="22"/>
          <w:szCs w:val="22"/>
        </w:rPr>
        <w:t xml:space="preserve">  </w:t>
      </w:r>
      <w:hyperlink r:id="rId10" w:history="1">
        <w:r w:rsidRPr="00894A44">
          <w:rPr>
            <w:rStyle w:val="Hipercze"/>
            <w:sz w:val="22"/>
            <w:szCs w:val="22"/>
          </w:rPr>
          <w:t>http://swaid.stat.gov.pl/Ceny_dashboards/Raporty_predefiniowane/RAP_DBD_CEN_30.aspx</w:t>
        </w:r>
      </w:hyperlink>
      <w:r w:rsidRPr="00894A44">
        <w:rPr>
          <w:rStyle w:val="Hipercze"/>
          <w:sz w:val="22"/>
          <w:szCs w:val="22"/>
        </w:rPr>
        <w:t>,</w:t>
      </w:r>
      <w:r w:rsidRPr="00894A44">
        <w:rPr>
          <w:sz w:val="22"/>
          <w:szCs w:val="22"/>
        </w:rPr>
        <w:t xml:space="preserve"> lub w Biuletynie Statystycznym, w układzie miesiąc poprzedni = 100, dotyczący kolejnych miesięcy kalendarzowych począwszy od miesiąca otwarcia oferty, do miesiąca za który została wystawiona faktura VAT. W przypadku, gdyby w/w wskaźnik przestał być dostępny, strony uzgodnią inny, najbardziej zbliżony wskaźnik publikowany przez GUS.</w:t>
      </w:r>
    </w:p>
    <w:p w14:paraId="41120338" w14:textId="5D9081AC" w:rsidR="00894A44" w:rsidRPr="00894A44" w:rsidRDefault="00894A44" w:rsidP="00894A44">
      <w:pPr>
        <w:pStyle w:val="numerowanie"/>
        <w:spacing w:after="260" w:line="360" w:lineRule="auto"/>
        <w:rPr>
          <w:sz w:val="22"/>
          <w:szCs w:val="22"/>
        </w:rPr>
      </w:pPr>
      <w:r w:rsidRPr="00894A44">
        <w:rPr>
          <w:sz w:val="22"/>
          <w:szCs w:val="22"/>
        </w:rPr>
        <w:t>Wskaźnik waloryzacji W</w:t>
      </w:r>
      <w:r w:rsidRPr="00894A44">
        <w:rPr>
          <w:sz w:val="22"/>
          <w:szCs w:val="22"/>
          <w:vertAlign w:val="subscript"/>
        </w:rPr>
        <w:t>w (n)</w:t>
      </w:r>
      <w:r w:rsidRPr="00894A44">
        <w:rPr>
          <w:sz w:val="22"/>
          <w:szCs w:val="22"/>
        </w:rPr>
        <w:t xml:space="preserve"> przez który należy każdorazowo przemnożyć wartość faktury VAT za n-ty miesiąc powstaje poprzez przemnożenie przez siebie wskaźników cen produkcji budowlano-montażowej dla kolejnych miesięcy począwszy od miesiąca w którym nastąpiło otwarcie oferty (miesiąc 0 gdy wskaźnik jest równy 100) do miesiąca za który nastąpi wystawienie faktury (miesiąc n-</w:t>
      </w:r>
      <w:r w:rsidR="009F7501" w:rsidRPr="00894A44">
        <w:rPr>
          <w:sz w:val="22"/>
          <w:szCs w:val="22"/>
        </w:rPr>
        <w:t>ty) wg</w:t>
      </w:r>
      <w:r w:rsidRPr="00894A44">
        <w:rPr>
          <w:sz w:val="22"/>
          <w:szCs w:val="22"/>
        </w:rPr>
        <w:t xml:space="preserve"> poniższego wzoru:</w:t>
      </w:r>
    </w:p>
    <w:p w14:paraId="6B12540E" w14:textId="77777777" w:rsidR="00894A44" w:rsidRPr="00894A44" w:rsidRDefault="00000000" w:rsidP="00894A44">
      <w:pPr>
        <w:pStyle w:val="numerowanie"/>
        <w:spacing w:after="260" w:line="360" w:lineRule="auto"/>
        <w:rPr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W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w (n)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=a+</m:t>
          </m:r>
          <m:d>
            <m:dPr>
              <m:ctrl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1-a</m:t>
              </m:r>
            </m:e>
          </m:d>
          <m:r>
            <w:rPr>
              <w:rFonts w:ascii="Cambria Math" w:hAnsi="Cambria Math"/>
              <w:color w:val="000000" w:themeColor="text1"/>
              <w:sz w:val="22"/>
              <w:szCs w:val="22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×</m:t>
          </m:r>
          <m:r>
            <w:rPr>
              <w:rFonts w:ascii="Cambria Math" w:hAnsi="Cambria Math"/>
              <w:color w:val="000000" w:themeColor="text1"/>
              <w:sz w:val="22"/>
              <w:szCs w:val="22"/>
            </w:rPr>
            <m:t xml:space="preserve"> (</m:t>
          </m:r>
          <m:f>
            <m:fPr>
              <m:ctrl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×………….×</m:t>
          </m:r>
          <m:f>
            <m:fPr>
              <m:ctrl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n-1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n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100</m:t>
              </m:r>
            </m:den>
          </m:f>
          <m:r>
            <w:rPr>
              <w:rFonts w:ascii="Cambria Math" w:hAnsi="Cambria Math"/>
              <w:color w:val="000000" w:themeColor="text1"/>
              <w:sz w:val="22"/>
              <w:szCs w:val="22"/>
            </w:rPr>
            <m:t>)</m:t>
          </m:r>
        </m:oMath>
      </m:oMathPara>
    </w:p>
    <w:p w14:paraId="392F9FB0" w14:textId="77777777" w:rsidR="00894A44" w:rsidRPr="00894A44" w:rsidRDefault="00894A44" w:rsidP="00894A44">
      <w:pPr>
        <w:spacing w:line="360" w:lineRule="auto"/>
        <w:jc w:val="both"/>
        <w:rPr>
          <w:rFonts w:ascii="Arial" w:hAnsi="Arial" w:cs="Arial"/>
          <w:spacing w:val="4"/>
          <w:lang w:eastAsia="pl-PL"/>
        </w:rPr>
      </w:pPr>
      <w:r w:rsidRPr="00894A44">
        <w:rPr>
          <w:rFonts w:ascii="Arial" w:hAnsi="Arial" w:cs="Arial"/>
          <w:spacing w:val="4"/>
          <w:lang w:eastAsia="pl-PL"/>
        </w:rPr>
        <w:t>gdzie:</w:t>
      </w:r>
    </w:p>
    <w:p w14:paraId="730DED7D" w14:textId="77777777" w:rsidR="00894A44" w:rsidRPr="00894A44" w:rsidRDefault="00894A44" w:rsidP="00894A44">
      <w:pPr>
        <w:spacing w:line="360" w:lineRule="auto"/>
        <w:jc w:val="both"/>
        <w:rPr>
          <w:rFonts w:ascii="Arial" w:hAnsi="Arial" w:cs="Arial"/>
          <w:spacing w:val="4"/>
          <w:lang w:eastAsia="pl-PL"/>
        </w:rPr>
      </w:pPr>
      <w:r w:rsidRPr="00894A44">
        <w:rPr>
          <w:rFonts w:ascii="Arial" w:hAnsi="Arial" w:cs="Arial"/>
          <w:spacing w:val="4"/>
          <w:lang w:eastAsia="pl-PL"/>
        </w:rPr>
        <w:t>„W</w:t>
      </w:r>
      <w:r w:rsidRPr="00894A44">
        <w:rPr>
          <w:rFonts w:ascii="Arial" w:hAnsi="Arial" w:cs="Arial"/>
          <w:spacing w:val="4"/>
          <w:vertAlign w:val="subscript"/>
          <w:lang w:eastAsia="pl-PL"/>
        </w:rPr>
        <w:t>w (n)</w:t>
      </w:r>
      <w:r w:rsidRPr="00894A44">
        <w:rPr>
          <w:rFonts w:ascii="Arial" w:hAnsi="Arial" w:cs="Arial"/>
          <w:spacing w:val="4"/>
          <w:lang w:eastAsia="pl-PL"/>
        </w:rPr>
        <w:t>" –wskaźnik waloryzacji dla n-tego miesiąca;</w:t>
      </w:r>
    </w:p>
    <w:p w14:paraId="785CCA58" w14:textId="4C804A3E" w:rsidR="00894A44" w:rsidRPr="00894A44" w:rsidRDefault="00894A44" w:rsidP="00894A44">
      <w:pPr>
        <w:spacing w:line="360" w:lineRule="auto"/>
        <w:jc w:val="both"/>
        <w:rPr>
          <w:rFonts w:ascii="Arial" w:hAnsi="Arial" w:cs="Arial"/>
          <w:spacing w:val="4"/>
          <w:lang w:eastAsia="pl-PL"/>
        </w:rPr>
      </w:pPr>
      <w:r w:rsidRPr="00894A44">
        <w:rPr>
          <w:rFonts w:ascii="Arial" w:hAnsi="Arial" w:cs="Arial"/>
          <w:spacing w:val="4"/>
          <w:lang w:eastAsia="pl-PL"/>
        </w:rPr>
        <w:t xml:space="preserve">„a" - stały współczynnik o </w:t>
      </w:r>
      <w:r w:rsidR="009F7501" w:rsidRPr="00894A44">
        <w:rPr>
          <w:rFonts w:ascii="Arial" w:hAnsi="Arial" w:cs="Arial"/>
          <w:spacing w:val="4"/>
          <w:lang w:eastAsia="pl-PL"/>
        </w:rPr>
        <w:t>wartości [●]</w:t>
      </w:r>
      <w:r w:rsidRPr="00894A44">
        <w:rPr>
          <w:rFonts w:ascii="Arial" w:hAnsi="Arial" w:cs="Arial"/>
          <w:spacing w:val="4"/>
          <w:lang w:eastAsia="pl-PL"/>
        </w:rPr>
        <w:t xml:space="preserve"> </w:t>
      </w:r>
      <w:r w:rsidRPr="00894A44">
        <w:rPr>
          <w:rStyle w:val="Odwoanieprzypisudolnego"/>
          <w:rFonts w:ascii="Arial" w:hAnsi="Arial" w:cs="Arial"/>
          <w:spacing w:val="4"/>
          <w:lang w:eastAsia="pl-PL"/>
        </w:rPr>
        <w:footnoteReference w:id="3"/>
      </w:r>
      <w:r w:rsidRPr="00894A44">
        <w:rPr>
          <w:rFonts w:ascii="Arial" w:hAnsi="Arial" w:cs="Arial"/>
          <w:spacing w:val="4"/>
          <w:lang w:eastAsia="pl-PL"/>
        </w:rPr>
        <w:t>obrazujący część wynagrodzenia, które nie podlega waloryzacji (element niewaloryzowany).</w:t>
      </w:r>
    </w:p>
    <w:p w14:paraId="1ACB8E94" w14:textId="77777777" w:rsidR="00894A44" w:rsidRPr="00894A44" w:rsidRDefault="00894A44" w:rsidP="00894A44">
      <w:pPr>
        <w:spacing w:line="360" w:lineRule="auto"/>
        <w:ind w:left="708" w:hanging="708"/>
        <w:jc w:val="both"/>
        <w:rPr>
          <w:rFonts w:ascii="Arial" w:hAnsi="Arial" w:cs="Arial"/>
        </w:rPr>
      </w:pPr>
      <w:r w:rsidRPr="00894A44">
        <w:rPr>
          <w:rFonts w:ascii="Arial" w:hAnsi="Arial" w:cs="Arial"/>
          <w:spacing w:val="4"/>
          <w:lang w:eastAsia="pl-PL"/>
        </w:rPr>
        <w:t>„W</w:t>
      </w:r>
      <w:r w:rsidRPr="00894A44">
        <w:rPr>
          <w:rFonts w:ascii="Arial" w:hAnsi="Arial" w:cs="Arial"/>
          <w:spacing w:val="4"/>
          <w:vertAlign w:val="subscript"/>
          <w:lang w:eastAsia="pl-PL"/>
        </w:rPr>
        <w:t>0</w:t>
      </w:r>
      <w:r w:rsidRPr="00894A44">
        <w:rPr>
          <w:rFonts w:ascii="Arial" w:hAnsi="Arial" w:cs="Arial"/>
          <w:spacing w:val="4"/>
          <w:lang w:eastAsia="pl-PL"/>
        </w:rPr>
        <w:t xml:space="preserve">" – </w:t>
      </w:r>
      <w:bookmarkStart w:id="2" w:name="_Hlk115193629"/>
      <w:r w:rsidRPr="00894A44">
        <w:rPr>
          <w:rFonts w:ascii="Arial" w:hAnsi="Arial" w:cs="Arial"/>
        </w:rPr>
        <w:t>wskaźnik „0” z miesiąca otwarcia oferty = 100</w:t>
      </w:r>
      <w:bookmarkEnd w:id="2"/>
    </w:p>
    <w:p w14:paraId="0E2979F1" w14:textId="739F10D1" w:rsidR="00894A44" w:rsidRPr="00894A44" w:rsidRDefault="00894A44" w:rsidP="00894A44">
      <w:pPr>
        <w:spacing w:line="360" w:lineRule="auto"/>
        <w:ind w:left="708" w:hanging="708"/>
        <w:jc w:val="both"/>
        <w:rPr>
          <w:rFonts w:ascii="Arial" w:hAnsi="Arial" w:cs="Arial"/>
          <w:spacing w:val="4"/>
          <w:lang w:eastAsia="pl-PL"/>
        </w:rPr>
      </w:pPr>
      <w:r w:rsidRPr="00894A44">
        <w:rPr>
          <w:rFonts w:ascii="Arial" w:hAnsi="Arial" w:cs="Arial"/>
          <w:spacing w:val="4"/>
          <w:lang w:eastAsia="pl-PL"/>
        </w:rPr>
        <w:lastRenderedPageBreak/>
        <w:t>„W</w:t>
      </w:r>
      <w:r w:rsidRPr="00894A44">
        <w:rPr>
          <w:rFonts w:ascii="Arial" w:hAnsi="Arial" w:cs="Arial"/>
          <w:spacing w:val="4"/>
          <w:vertAlign w:val="subscript"/>
          <w:lang w:eastAsia="pl-PL"/>
        </w:rPr>
        <w:t>1</w:t>
      </w:r>
      <w:r w:rsidRPr="00894A44">
        <w:rPr>
          <w:rFonts w:ascii="Arial" w:hAnsi="Arial" w:cs="Arial"/>
          <w:spacing w:val="4"/>
          <w:lang w:eastAsia="pl-PL"/>
        </w:rPr>
        <w:t xml:space="preserve">" – </w:t>
      </w:r>
      <w:bookmarkStart w:id="3" w:name="_Hlk115193657"/>
      <w:r w:rsidRPr="00894A44">
        <w:rPr>
          <w:rFonts w:ascii="Arial" w:hAnsi="Arial" w:cs="Arial"/>
        </w:rPr>
        <w:t xml:space="preserve">wskaźnik „1” </w:t>
      </w:r>
      <w:r w:rsidR="009F7501" w:rsidRPr="00894A44">
        <w:rPr>
          <w:rFonts w:ascii="Arial" w:hAnsi="Arial" w:cs="Arial"/>
        </w:rPr>
        <w:t>z następnego</w:t>
      </w:r>
      <w:r w:rsidRPr="00894A44">
        <w:rPr>
          <w:rFonts w:ascii="Arial" w:hAnsi="Arial" w:cs="Arial"/>
        </w:rPr>
        <w:t xml:space="preserve"> miesiąca po miesiącu otwarcia oferty </w:t>
      </w:r>
      <w:bookmarkEnd w:id="3"/>
      <w:r w:rsidRPr="00894A44">
        <w:rPr>
          <w:rFonts w:ascii="Arial" w:hAnsi="Arial" w:cs="Arial"/>
        </w:rPr>
        <w:t xml:space="preserve">(wskaźnik </w:t>
      </w:r>
      <w:r w:rsidRPr="00894A44">
        <w:rPr>
          <w:rFonts w:ascii="Arial" w:eastAsia="Times New Roman" w:hAnsi="Arial" w:cs="Arial"/>
        </w:rPr>
        <w:t>cen produkcji budowlano-montażowej</w:t>
      </w:r>
      <w:r w:rsidRPr="00894A44">
        <w:rPr>
          <w:rFonts w:ascii="Arial" w:hAnsi="Arial" w:cs="Arial"/>
        </w:rPr>
        <w:t xml:space="preserve"> publikowany przez GUS, w układzie miesiąc poprzedni = 100)</w:t>
      </w:r>
    </w:p>
    <w:p w14:paraId="6837D28A" w14:textId="3B919029" w:rsidR="00894A44" w:rsidRPr="00894A44" w:rsidRDefault="00894A44" w:rsidP="00894A44">
      <w:pPr>
        <w:spacing w:line="360" w:lineRule="auto"/>
        <w:ind w:left="708" w:hanging="708"/>
        <w:jc w:val="both"/>
        <w:rPr>
          <w:rFonts w:ascii="Arial" w:hAnsi="Arial" w:cs="Arial"/>
        </w:rPr>
      </w:pPr>
      <w:r w:rsidRPr="00894A44">
        <w:rPr>
          <w:rFonts w:ascii="Arial" w:hAnsi="Arial" w:cs="Arial"/>
          <w:spacing w:val="4"/>
          <w:lang w:eastAsia="pl-PL"/>
        </w:rPr>
        <w:t>„W</w:t>
      </w:r>
      <w:r w:rsidRPr="00894A44">
        <w:rPr>
          <w:rFonts w:ascii="Arial" w:hAnsi="Arial" w:cs="Arial"/>
          <w:spacing w:val="4"/>
          <w:vertAlign w:val="subscript"/>
          <w:lang w:eastAsia="pl-PL"/>
        </w:rPr>
        <w:t>2</w:t>
      </w:r>
      <w:r w:rsidR="009F7501" w:rsidRPr="00894A44">
        <w:rPr>
          <w:rFonts w:ascii="Arial" w:hAnsi="Arial" w:cs="Arial"/>
          <w:spacing w:val="4"/>
          <w:lang w:eastAsia="pl-PL"/>
        </w:rPr>
        <w:t>”, „</w:t>
      </w:r>
      <w:r w:rsidRPr="00894A44">
        <w:rPr>
          <w:rFonts w:ascii="Arial" w:hAnsi="Arial" w:cs="Arial"/>
          <w:spacing w:val="4"/>
          <w:lang w:eastAsia="pl-PL"/>
        </w:rPr>
        <w:t>W</w:t>
      </w:r>
      <w:r w:rsidRPr="00894A44">
        <w:rPr>
          <w:rFonts w:ascii="Arial" w:hAnsi="Arial" w:cs="Arial"/>
          <w:spacing w:val="4"/>
          <w:vertAlign w:val="subscript"/>
          <w:lang w:eastAsia="pl-PL"/>
        </w:rPr>
        <w:t>3</w:t>
      </w:r>
      <w:r w:rsidRPr="00894A44">
        <w:rPr>
          <w:rFonts w:ascii="Arial" w:hAnsi="Arial" w:cs="Arial"/>
          <w:spacing w:val="4"/>
          <w:lang w:eastAsia="pl-PL"/>
        </w:rPr>
        <w:t xml:space="preserve">",… – </w:t>
      </w:r>
      <w:r w:rsidRPr="00894A44">
        <w:rPr>
          <w:rFonts w:ascii="Arial" w:hAnsi="Arial" w:cs="Arial"/>
        </w:rPr>
        <w:t xml:space="preserve">wskaźniki „2”, „3”, … </w:t>
      </w:r>
      <w:r w:rsidR="009F7501" w:rsidRPr="00894A44">
        <w:rPr>
          <w:rFonts w:ascii="Arial" w:hAnsi="Arial" w:cs="Arial"/>
        </w:rPr>
        <w:t>z kolejnych</w:t>
      </w:r>
      <w:r w:rsidRPr="00894A44">
        <w:rPr>
          <w:rFonts w:ascii="Arial" w:hAnsi="Arial" w:cs="Arial"/>
        </w:rPr>
        <w:t xml:space="preserve"> miesięcy po miesiącu otwarcia oferty (wskaźnik </w:t>
      </w:r>
      <w:r w:rsidRPr="00894A44">
        <w:rPr>
          <w:rFonts w:ascii="Arial" w:eastAsia="Times New Roman" w:hAnsi="Arial" w:cs="Arial"/>
        </w:rPr>
        <w:t>cen produkcji budowlano-montażowej</w:t>
      </w:r>
      <w:r w:rsidRPr="00894A44">
        <w:rPr>
          <w:rFonts w:ascii="Arial" w:hAnsi="Arial" w:cs="Arial"/>
        </w:rPr>
        <w:t xml:space="preserve"> publikowany przez GUS, w układzie miesiąc poprzedni = 100)</w:t>
      </w:r>
    </w:p>
    <w:p w14:paraId="4094D69E" w14:textId="346A30C5" w:rsidR="00894A44" w:rsidRPr="00894A44" w:rsidRDefault="00894A44" w:rsidP="00894A44">
      <w:pPr>
        <w:spacing w:line="360" w:lineRule="auto"/>
        <w:ind w:left="708" w:hanging="708"/>
        <w:jc w:val="both"/>
        <w:rPr>
          <w:rFonts w:ascii="Arial" w:hAnsi="Arial" w:cs="Arial"/>
        </w:rPr>
      </w:pPr>
      <w:r w:rsidRPr="00894A44">
        <w:rPr>
          <w:rFonts w:ascii="Arial" w:hAnsi="Arial" w:cs="Arial"/>
          <w:spacing w:val="4"/>
          <w:lang w:eastAsia="pl-PL"/>
        </w:rPr>
        <w:t>W</w:t>
      </w:r>
      <w:r w:rsidRPr="00894A44">
        <w:rPr>
          <w:rFonts w:ascii="Arial" w:hAnsi="Arial" w:cs="Arial"/>
          <w:spacing w:val="4"/>
          <w:vertAlign w:val="subscript"/>
          <w:lang w:eastAsia="pl-PL"/>
        </w:rPr>
        <w:t>n-1</w:t>
      </w:r>
      <w:r w:rsidRPr="00894A44">
        <w:rPr>
          <w:rFonts w:ascii="Arial" w:hAnsi="Arial" w:cs="Arial"/>
          <w:spacing w:val="4"/>
          <w:lang w:eastAsia="pl-PL"/>
        </w:rPr>
        <w:t xml:space="preserve">– </w:t>
      </w:r>
      <w:r w:rsidRPr="00894A44">
        <w:rPr>
          <w:rFonts w:ascii="Arial" w:hAnsi="Arial" w:cs="Arial"/>
        </w:rPr>
        <w:t xml:space="preserve">wskaźnik „n-1” </w:t>
      </w:r>
      <w:r w:rsidR="009F7501" w:rsidRPr="00894A44">
        <w:rPr>
          <w:rFonts w:ascii="Arial" w:hAnsi="Arial" w:cs="Arial"/>
        </w:rPr>
        <w:t>z miesiąca</w:t>
      </w:r>
      <w:r w:rsidRPr="00894A44">
        <w:rPr>
          <w:rFonts w:ascii="Arial" w:hAnsi="Arial" w:cs="Arial"/>
        </w:rPr>
        <w:t xml:space="preserve"> poprzedzającego miesiąc za który nastąpi wystawienie faktury (wskaźnik </w:t>
      </w:r>
      <w:r w:rsidRPr="00894A44">
        <w:rPr>
          <w:rFonts w:ascii="Arial" w:eastAsia="Times New Roman" w:hAnsi="Arial" w:cs="Arial"/>
        </w:rPr>
        <w:t>cen produkcji budowlano-montażowej</w:t>
      </w:r>
      <w:r w:rsidRPr="00894A44">
        <w:rPr>
          <w:rFonts w:ascii="Arial" w:hAnsi="Arial" w:cs="Arial"/>
        </w:rPr>
        <w:t xml:space="preserve"> publikowany przez GUS, w układzie miesiąc poprzedni = 100)</w:t>
      </w:r>
    </w:p>
    <w:p w14:paraId="28FA471D" w14:textId="1DC9F8B8" w:rsidR="00894A44" w:rsidRPr="00894A44" w:rsidRDefault="00894A44" w:rsidP="00894A44">
      <w:pPr>
        <w:spacing w:line="360" w:lineRule="auto"/>
        <w:ind w:left="708" w:hanging="708"/>
        <w:jc w:val="both"/>
        <w:rPr>
          <w:rFonts w:ascii="Arial" w:hAnsi="Arial" w:cs="Arial"/>
        </w:rPr>
      </w:pPr>
      <w:r w:rsidRPr="00894A44">
        <w:rPr>
          <w:rFonts w:ascii="Arial" w:hAnsi="Arial" w:cs="Arial"/>
          <w:spacing w:val="4"/>
          <w:lang w:eastAsia="pl-PL"/>
        </w:rPr>
        <w:t>„W</w:t>
      </w:r>
      <w:r w:rsidRPr="00894A44">
        <w:rPr>
          <w:rFonts w:ascii="Arial" w:hAnsi="Arial" w:cs="Arial"/>
          <w:spacing w:val="4"/>
          <w:vertAlign w:val="subscript"/>
          <w:lang w:eastAsia="pl-PL"/>
        </w:rPr>
        <w:t>n</w:t>
      </w:r>
      <w:r w:rsidRPr="00894A44">
        <w:rPr>
          <w:rFonts w:ascii="Arial" w:hAnsi="Arial" w:cs="Arial"/>
          <w:spacing w:val="4"/>
          <w:lang w:eastAsia="pl-PL"/>
        </w:rPr>
        <w:t xml:space="preserve">" – </w:t>
      </w:r>
      <w:r w:rsidRPr="00894A44">
        <w:rPr>
          <w:rFonts w:ascii="Arial" w:hAnsi="Arial" w:cs="Arial"/>
        </w:rPr>
        <w:t xml:space="preserve">wskaźnik „n” </w:t>
      </w:r>
      <w:r w:rsidR="009F7501" w:rsidRPr="00894A44">
        <w:rPr>
          <w:rFonts w:ascii="Arial" w:hAnsi="Arial" w:cs="Arial"/>
        </w:rPr>
        <w:t>z miesiąca</w:t>
      </w:r>
      <w:r w:rsidRPr="00894A44">
        <w:rPr>
          <w:rFonts w:ascii="Arial" w:hAnsi="Arial" w:cs="Arial"/>
        </w:rPr>
        <w:t xml:space="preserve"> za który nastąpi wystawienie faktury (wskaźnik </w:t>
      </w:r>
      <w:r w:rsidRPr="00894A44">
        <w:rPr>
          <w:rFonts w:ascii="Arial" w:eastAsia="Times New Roman" w:hAnsi="Arial" w:cs="Arial"/>
        </w:rPr>
        <w:t>cen produkcji budowlano-montażowej</w:t>
      </w:r>
      <w:r w:rsidRPr="00894A44">
        <w:rPr>
          <w:rFonts w:ascii="Arial" w:hAnsi="Arial" w:cs="Arial"/>
        </w:rPr>
        <w:t xml:space="preserve"> publikowany przez GUS, w układzie miesiąc poprzedni = 100)</w:t>
      </w:r>
    </w:p>
    <w:p w14:paraId="2486E39A" w14:textId="7B82392E" w:rsidR="00894A44" w:rsidRPr="00894A44" w:rsidRDefault="00894A44" w:rsidP="00894A44">
      <w:pPr>
        <w:spacing w:line="360" w:lineRule="auto"/>
        <w:ind w:left="708" w:hanging="708"/>
        <w:jc w:val="both"/>
        <w:rPr>
          <w:rFonts w:ascii="Arial" w:hAnsi="Arial" w:cs="Arial"/>
        </w:rPr>
      </w:pPr>
      <w:r w:rsidRPr="00894A44">
        <w:rPr>
          <w:rFonts w:ascii="Arial" w:hAnsi="Arial" w:cs="Arial"/>
        </w:rPr>
        <w:t xml:space="preserve">W praktyce wskaźnik </w:t>
      </w:r>
      <w:r w:rsidR="000171AB" w:rsidRPr="00894A44">
        <w:rPr>
          <w:rFonts w:ascii="Arial" w:hAnsi="Arial" w:cs="Arial"/>
          <w:spacing w:val="4"/>
          <w:lang w:eastAsia="pl-PL"/>
        </w:rPr>
        <w:t>„W</w:t>
      </w:r>
      <w:r w:rsidR="000171AB" w:rsidRPr="00894A44">
        <w:rPr>
          <w:rFonts w:ascii="Arial" w:hAnsi="Arial" w:cs="Arial"/>
          <w:spacing w:val="4"/>
          <w:vertAlign w:val="subscript"/>
          <w:lang w:eastAsia="pl-PL"/>
        </w:rPr>
        <w:t>w (n)</w:t>
      </w:r>
      <w:r w:rsidR="000171AB" w:rsidRPr="00894A44">
        <w:rPr>
          <w:rFonts w:ascii="Arial" w:hAnsi="Arial" w:cs="Arial"/>
          <w:spacing w:val="4"/>
          <w:lang w:eastAsia="pl-PL"/>
        </w:rPr>
        <w:t>"</w:t>
      </w:r>
      <w:r w:rsidR="00600BA6">
        <w:rPr>
          <w:rFonts w:ascii="Arial" w:hAnsi="Arial" w:cs="Arial"/>
          <w:spacing w:val="4"/>
          <w:lang w:eastAsia="pl-PL"/>
        </w:rPr>
        <w:t xml:space="preserve"> </w:t>
      </w:r>
      <w:r w:rsidRPr="00894A44">
        <w:rPr>
          <w:rFonts w:ascii="Arial" w:hAnsi="Arial" w:cs="Arial"/>
        </w:rPr>
        <w:t xml:space="preserve">powstaje poprzez przemnożenie poprzednio obliczonego wskaźnika dla miesiąca n-1 </w:t>
      </w:r>
      <w:r w:rsidR="009F7501" w:rsidRPr="00894A44">
        <w:rPr>
          <w:rFonts w:ascii="Arial" w:hAnsi="Arial" w:cs="Arial"/>
        </w:rPr>
        <w:t>przez wskaźnik</w:t>
      </w:r>
      <w:r w:rsidRPr="00894A44">
        <w:rPr>
          <w:rFonts w:ascii="Arial" w:hAnsi="Arial" w:cs="Arial"/>
        </w:rPr>
        <w:t xml:space="preserve"> dla miesiąca bieżącego n</w:t>
      </w:r>
    </w:p>
    <w:p w14:paraId="65D64A08" w14:textId="77777777" w:rsidR="00894A44" w:rsidRPr="00894A44" w:rsidRDefault="00000000" w:rsidP="00894A44">
      <w:pPr>
        <w:pStyle w:val="numerowanie"/>
        <w:spacing w:after="260" w:line="360" w:lineRule="auto"/>
        <w:jc w:val="center"/>
        <w:rPr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color w:val="000000" w:themeColor="text1"/>
                <w:sz w:val="22"/>
                <w:szCs w:val="22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2"/>
              </w:rPr>
              <m:t>W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2"/>
              </w:rPr>
              <m:t>w(n)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  <w:sz w:val="22"/>
            <w:szCs w:val="22"/>
          </w:rPr>
          <m:t>=a+(1-a) × (</m:t>
        </m:r>
        <m:sSub>
          <m:sSubPr>
            <m:ctrlPr>
              <w:rPr>
                <w:rFonts w:ascii="Cambria Math" w:hAnsi="Cambria Math"/>
                <w:color w:val="000000" w:themeColor="text1"/>
                <w:sz w:val="22"/>
                <w:szCs w:val="22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2"/>
              </w:rPr>
              <m:t>W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2"/>
              </w:rPr>
              <m:t>w (n-1)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  <w:sz w:val="22"/>
            <w:szCs w:val="22"/>
          </w:rPr>
          <m:t>×</m:t>
        </m:r>
        <m:f>
          <m:fPr>
            <m:ctrlPr>
              <w:rPr>
                <w:rFonts w:ascii="Cambria Math" w:hAnsi="Cambria Math"/>
                <w:color w:val="000000" w:themeColor="text1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  <m:t>W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  <m:t>n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2"/>
                <w:szCs w:val="22"/>
              </w:rPr>
              <m:t>100</m:t>
            </m:r>
          </m:den>
        </m:f>
      </m:oMath>
      <w:r w:rsidR="00894A44" w:rsidRPr="00894A44">
        <w:rPr>
          <w:rFonts w:eastAsiaTheme="minorEastAsia"/>
          <w:color w:val="000000" w:themeColor="text1"/>
          <w:sz w:val="22"/>
          <w:szCs w:val="22"/>
        </w:rPr>
        <w:t>)</w:t>
      </w:r>
    </w:p>
    <w:p w14:paraId="68E312DC" w14:textId="77777777" w:rsidR="00894A44" w:rsidRPr="00894A44" w:rsidRDefault="00894A44" w:rsidP="00894A44">
      <w:pPr>
        <w:spacing w:line="360" w:lineRule="auto"/>
        <w:jc w:val="both"/>
        <w:rPr>
          <w:rFonts w:ascii="Arial" w:hAnsi="Arial" w:cs="Arial"/>
          <w:spacing w:val="4"/>
          <w:lang w:eastAsia="pl-PL"/>
        </w:rPr>
      </w:pPr>
      <w:r w:rsidRPr="00894A44">
        <w:rPr>
          <w:rFonts w:ascii="Arial" w:hAnsi="Arial" w:cs="Arial"/>
          <w:spacing w:val="4"/>
          <w:lang w:eastAsia="pl-PL"/>
        </w:rPr>
        <w:t>gdzie:</w:t>
      </w:r>
    </w:p>
    <w:p w14:paraId="6A5768B9" w14:textId="77777777" w:rsidR="00894A44" w:rsidRPr="00894A44" w:rsidRDefault="00894A44" w:rsidP="00894A44">
      <w:pPr>
        <w:spacing w:line="360" w:lineRule="auto"/>
        <w:jc w:val="both"/>
        <w:rPr>
          <w:rFonts w:ascii="Arial" w:hAnsi="Arial" w:cs="Arial"/>
          <w:spacing w:val="4"/>
          <w:lang w:eastAsia="pl-PL"/>
        </w:rPr>
      </w:pPr>
      <w:r w:rsidRPr="00894A44">
        <w:rPr>
          <w:rFonts w:ascii="Arial" w:hAnsi="Arial" w:cs="Arial"/>
          <w:spacing w:val="4"/>
          <w:lang w:eastAsia="pl-PL"/>
        </w:rPr>
        <w:t>„W</w:t>
      </w:r>
      <w:r w:rsidRPr="00894A44">
        <w:rPr>
          <w:rFonts w:ascii="Arial" w:hAnsi="Arial" w:cs="Arial"/>
          <w:spacing w:val="4"/>
          <w:vertAlign w:val="subscript"/>
          <w:lang w:eastAsia="pl-PL"/>
        </w:rPr>
        <w:t>w (n)</w:t>
      </w:r>
      <w:r w:rsidRPr="00894A44">
        <w:rPr>
          <w:rFonts w:ascii="Arial" w:hAnsi="Arial" w:cs="Arial"/>
          <w:spacing w:val="4"/>
          <w:lang w:eastAsia="pl-PL"/>
        </w:rPr>
        <w:t>" – wskaźnik waloryzacji dla n-tego miesiąca;</w:t>
      </w:r>
    </w:p>
    <w:p w14:paraId="36596324" w14:textId="77777777" w:rsidR="00894A44" w:rsidRPr="00894A44" w:rsidRDefault="00894A44" w:rsidP="00894A44">
      <w:pPr>
        <w:spacing w:line="360" w:lineRule="auto"/>
        <w:ind w:left="708" w:hanging="708"/>
        <w:jc w:val="both"/>
        <w:rPr>
          <w:rFonts w:ascii="Arial" w:hAnsi="Arial" w:cs="Arial"/>
        </w:rPr>
      </w:pPr>
      <w:r w:rsidRPr="00894A44">
        <w:rPr>
          <w:rFonts w:ascii="Arial" w:hAnsi="Arial" w:cs="Arial"/>
          <w:spacing w:val="4"/>
          <w:lang w:eastAsia="pl-PL"/>
        </w:rPr>
        <w:t>„W</w:t>
      </w:r>
      <w:r w:rsidRPr="00894A44">
        <w:rPr>
          <w:rFonts w:ascii="Arial" w:hAnsi="Arial" w:cs="Arial"/>
          <w:spacing w:val="4"/>
          <w:vertAlign w:val="subscript"/>
          <w:lang w:eastAsia="pl-PL"/>
        </w:rPr>
        <w:t>w (n-1)</w:t>
      </w:r>
      <w:r w:rsidRPr="00894A44">
        <w:rPr>
          <w:rFonts w:ascii="Arial" w:hAnsi="Arial" w:cs="Arial"/>
          <w:spacing w:val="4"/>
          <w:lang w:eastAsia="pl-PL"/>
        </w:rPr>
        <w:t xml:space="preserve">" – wskaźnik waloryzacji </w:t>
      </w:r>
      <w:r w:rsidRPr="00894A44">
        <w:rPr>
          <w:rFonts w:ascii="Arial" w:hAnsi="Arial" w:cs="Arial"/>
        </w:rPr>
        <w:t>z miesiąca poprzedzającego miesiąc za który nastąpiło wystawienie faktury</w:t>
      </w:r>
    </w:p>
    <w:p w14:paraId="1E3D1F11" w14:textId="4DD89E42" w:rsidR="00894A44" w:rsidRPr="00894A44" w:rsidRDefault="00894A44" w:rsidP="00894A44">
      <w:pPr>
        <w:spacing w:line="360" w:lineRule="auto"/>
        <w:ind w:left="708" w:hanging="708"/>
        <w:jc w:val="both"/>
        <w:rPr>
          <w:rFonts w:ascii="Arial" w:hAnsi="Arial" w:cs="Arial"/>
        </w:rPr>
      </w:pPr>
      <w:r w:rsidRPr="00894A44">
        <w:rPr>
          <w:rFonts w:ascii="Arial" w:hAnsi="Arial" w:cs="Arial"/>
          <w:spacing w:val="4"/>
          <w:lang w:eastAsia="pl-PL"/>
        </w:rPr>
        <w:t>„W</w:t>
      </w:r>
      <w:r w:rsidRPr="00894A44">
        <w:rPr>
          <w:rFonts w:ascii="Arial" w:hAnsi="Arial" w:cs="Arial"/>
          <w:spacing w:val="4"/>
          <w:vertAlign w:val="subscript"/>
          <w:lang w:eastAsia="pl-PL"/>
        </w:rPr>
        <w:t>n</w:t>
      </w:r>
      <w:r w:rsidRPr="00894A44">
        <w:rPr>
          <w:rFonts w:ascii="Arial" w:hAnsi="Arial" w:cs="Arial"/>
          <w:spacing w:val="4"/>
          <w:lang w:eastAsia="pl-PL"/>
        </w:rPr>
        <w:t xml:space="preserve">" – </w:t>
      </w:r>
      <w:r w:rsidRPr="00894A44">
        <w:rPr>
          <w:rFonts w:ascii="Arial" w:hAnsi="Arial" w:cs="Arial"/>
        </w:rPr>
        <w:t xml:space="preserve">wskaźnik „n” z miesiąca za który nastąpiło wystawienie faktury (wskaźnik </w:t>
      </w:r>
      <w:r w:rsidRPr="00894A44">
        <w:rPr>
          <w:rFonts w:ascii="Arial" w:eastAsia="Times New Roman" w:hAnsi="Arial" w:cs="Arial"/>
        </w:rPr>
        <w:t>cen produkcji budowlano-montażowej</w:t>
      </w:r>
      <w:r w:rsidRPr="00894A44">
        <w:rPr>
          <w:rFonts w:ascii="Arial" w:hAnsi="Arial" w:cs="Arial"/>
        </w:rPr>
        <w:t xml:space="preserve"> publikowany przez GUS, w układzie miesiąc poprzedni = 100)</w:t>
      </w:r>
    </w:p>
    <w:p w14:paraId="29DD917D" w14:textId="77777777" w:rsidR="00894A44" w:rsidRPr="00894A44" w:rsidRDefault="00894A44" w:rsidP="00894A44">
      <w:pPr>
        <w:spacing w:line="360" w:lineRule="auto"/>
        <w:jc w:val="both"/>
        <w:rPr>
          <w:rFonts w:ascii="Arial" w:hAnsi="Arial" w:cs="Arial"/>
          <w:spacing w:val="4"/>
          <w:lang w:eastAsia="pl-PL"/>
        </w:rPr>
      </w:pPr>
    </w:p>
    <w:p w14:paraId="342338BC" w14:textId="1515A2D3" w:rsidR="00894A44" w:rsidRPr="00894A44" w:rsidRDefault="00894A44" w:rsidP="00894A44">
      <w:pPr>
        <w:pStyle w:val="numerowanie"/>
        <w:spacing w:after="260" w:line="360" w:lineRule="auto"/>
        <w:rPr>
          <w:sz w:val="22"/>
          <w:szCs w:val="22"/>
        </w:rPr>
      </w:pPr>
      <w:bookmarkStart w:id="4" w:name="_Hlk115194943"/>
      <w:r w:rsidRPr="00894A44">
        <w:rPr>
          <w:sz w:val="22"/>
          <w:szCs w:val="22"/>
        </w:rPr>
        <w:t xml:space="preserve">Ilorazy wskaźników cen (np. </w:t>
      </w:r>
      <m:oMath>
        <m:f>
          <m:fPr>
            <m:ctrlPr>
              <w:rPr>
                <w:rFonts w:ascii="Cambria Math" w:hAnsi="Cambria Math"/>
                <w:color w:val="000000" w:themeColor="text1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  <m:t>W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2"/>
                <w:szCs w:val="22"/>
              </w:rPr>
              <m:t>100</m:t>
            </m:r>
          </m:den>
        </m:f>
      </m:oMath>
      <w:r w:rsidRPr="00894A44">
        <w:rPr>
          <w:rFonts w:eastAsiaTheme="minorEastAsia"/>
          <w:color w:val="000000" w:themeColor="text1"/>
          <w:sz w:val="22"/>
          <w:szCs w:val="22"/>
        </w:rPr>
        <w:t xml:space="preserve">) </w:t>
      </w:r>
      <w:r w:rsidRPr="00894A44">
        <w:rPr>
          <w:sz w:val="22"/>
          <w:szCs w:val="22"/>
        </w:rPr>
        <w:t>należy obliczać z dokładnością do trzech miejsc po przecinku. Natomiast wynik iloczynów tj. wskaźnik waloryzacji W</w:t>
      </w:r>
      <w:r w:rsidRPr="00894A44">
        <w:rPr>
          <w:sz w:val="22"/>
          <w:szCs w:val="22"/>
          <w:vertAlign w:val="subscript"/>
        </w:rPr>
        <w:t>w (</w:t>
      </w:r>
      <w:r w:rsidR="009F7501" w:rsidRPr="00894A44">
        <w:rPr>
          <w:sz w:val="22"/>
          <w:szCs w:val="22"/>
          <w:vertAlign w:val="subscript"/>
        </w:rPr>
        <w:t>n)</w:t>
      </w:r>
      <w:r w:rsidR="009F7501" w:rsidRPr="00894A44">
        <w:rPr>
          <w:sz w:val="22"/>
          <w:szCs w:val="22"/>
        </w:rPr>
        <w:t xml:space="preserve"> należy</w:t>
      </w:r>
      <w:r w:rsidRPr="00894A44">
        <w:rPr>
          <w:sz w:val="22"/>
          <w:szCs w:val="22"/>
        </w:rPr>
        <w:t xml:space="preserve"> obliczać z dokładnością do 4 miejsc po przecinku. </w:t>
      </w:r>
    </w:p>
    <w:p w14:paraId="46445359" w14:textId="5CB3FC09" w:rsidR="00894A44" w:rsidRPr="00894A44" w:rsidRDefault="00894A44" w:rsidP="00894A44">
      <w:pPr>
        <w:pStyle w:val="numerowanie"/>
        <w:spacing w:after="260" w:line="360" w:lineRule="auto"/>
        <w:rPr>
          <w:sz w:val="22"/>
          <w:szCs w:val="22"/>
        </w:rPr>
      </w:pPr>
      <w:r w:rsidRPr="00894A44">
        <w:rPr>
          <w:sz w:val="22"/>
          <w:szCs w:val="22"/>
        </w:rPr>
        <w:t xml:space="preserve">Kwoty netto płatne Wykonawcy będą waloryzowane miesięcznie począwszy od </w:t>
      </w:r>
      <w:r w:rsidR="002D6B4F">
        <w:rPr>
          <w:sz w:val="22"/>
          <w:szCs w:val="22"/>
        </w:rPr>
        <w:t>………</w:t>
      </w:r>
      <w:r w:rsidR="005A3AEE">
        <w:rPr>
          <w:rStyle w:val="Odwoanieprzypisudolnego"/>
          <w:sz w:val="22"/>
          <w:szCs w:val="22"/>
        </w:rPr>
        <w:footnoteReference w:id="4"/>
      </w:r>
      <w:r w:rsidR="002D6B4F" w:rsidRPr="00894A44">
        <w:rPr>
          <w:sz w:val="22"/>
          <w:szCs w:val="22"/>
        </w:rPr>
        <w:t xml:space="preserve"> </w:t>
      </w:r>
      <w:r w:rsidRPr="00894A44">
        <w:rPr>
          <w:sz w:val="22"/>
          <w:szCs w:val="22"/>
        </w:rPr>
        <w:t>miesiąca po podpisaniu Umowy do osiągnięcia limitu waloryzacji +/- [●</w:t>
      </w:r>
      <w:r w:rsidRPr="00894A44">
        <w:rPr>
          <w:rStyle w:val="Odwoanieprzypisudolnego"/>
          <w:sz w:val="22"/>
          <w:szCs w:val="22"/>
        </w:rPr>
        <w:footnoteReference w:id="5"/>
      </w:r>
      <w:r w:rsidRPr="00894A44">
        <w:rPr>
          <w:sz w:val="22"/>
          <w:szCs w:val="22"/>
        </w:rPr>
        <w:t xml:space="preserve">]% wynagrodzenia umownego netto. Z powodu braku aktualnego wskaźnika (publikacja wskaźników w biuletynach GUS odbywa się z opóźnieniem) waloryzacja z bieżącego okresu rozliczeniowego zostanie wyliczona ostatecznie, gdy GUS opublikuje wskaźnik dla danego miesiąca objętego rozliczeniem </w:t>
      </w:r>
      <w:r w:rsidRPr="00894A44">
        <w:rPr>
          <w:sz w:val="22"/>
          <w:szCs w:val="22"/>
        </w:rPr>
        <w:lastRenderedPageBreak/>
        <w:t xml:space="preserve">wynagrodzenia Wykonawcy. Występując o rozliczenie wynagrodzenia za dany miesiąc realizacji świadczeń, Wykonawca obliczy wstępne wartości zwaloryzowanych kwot dla świadczeń zrealizowanych w każdym miesiącu, używając ostatnich z wyliczonych wskaźników waloryzacji. Ustalone w ten sposób wartości będą skorygowane z zastosowaniem wskaźnika waloryzacji właściwego dla </w:t>
      </w:r>
      <w:r w:rsidR="009F7501" w:rsidRPr="00894A44">
        <w:rPr>
          <w:sz w:val="22"/>
          <w:szCs w:val="22"/>
        </w:rPr>
        <w:t>miesiąca,</w:t>
      </w:r>
      <w:r w:rsidRPr="00894A44">
        <w:rPr>
          <w:sz w:val="22"/>
          <w:szCs w:val="22"/>
        </w:rPr>
        <w:t xml:space="preserve"> którego dotyczyło dane rozliczenie wynagrodzenia Wykonawcy, niezwłocznie po ich publikacji. </w:t>
      </w:r>
    </w:p>
    <w:p w14:paraId="463E4902" w14:textId="77777777" w:rsidR="00894A44" w:rsidRPr="00894A44" w:rsidRDefault="00894A44" w:rsidP="00894A44">
      <w:pPr>
        <w:pStyle w:val="numerowanie"/>
        <w:spacing w:after="260" w:line="360" w:lineRule="auto"/>
        <w:rPr>
          <w:sz w:val="22"/>
          <w:szCs w:val="22"/>
        </w:rPr>
      </w:pPr>
      <w:r w:rsidRPr="00894A44">
        <w:rPr>
          <w:sz w:val="22"/>
          <w:szCs w:val="22"/>
        </w:rPr>
        <w:t>W sytuacji gdy rozliczenie wynagrodzenia Wykonawcy będzie dotyczyło okresu rozliczeniowego w skład którego będą wchodziły dwa lub więcej miesięcy, jako właściwy wskaźnik waloryzacji należy przyjmować średnią arytmetyczną ze wskaźników waloryzacji wyliczonych dla kolejnych miesięcy objętych okresem rozliczeniowym.</w:t>
      </w:r>
    </w:p>
    <w:p w14:paraId="7C86609B" w14:textId="330C6205" w:rsidR="00894A44" w:rsidRDefault="00894A44" w:rsidP="00BC4F70">
      <w:pPr>
        <w:pStyle w:val="numerowanie"/>
        <w:spacing w:after="240" w:line="360" w:lineRule="auto"/>
        <w:rPr>
          <w:sz w:val="22"/>
          <w:szCs w:val="22"/>
        </w:rPr>
      </w:pPr>
      <w:r w:rsidRPr="00894A44">
        <w:rPr>
          <w:sz w:val="22"/>
          <w:szCs w:val="22"/>
        </w:rPr>
        <w:t xml:space="preserve">Jeżeli wynagrodzenie Wykonawcy zostanie zwaloryzowane zgodnie z art. 439 ust. 1-3 ustawy </w:t>
      </w:r>
      <w:proofErr w:type="spellStart"/>
      <w:r w:rsidRPr="00894A44">
        <w:rPr>
          <w:sz w:val="22"/>
          <w:szCs w:val="22"/>
        </w:rPr>
        <w:t>P</w:t>
      </w:r>
      <w:r w:rsidR="00BA3CDE">
        <w:rPr>
          <w:sz w:val="22"/>
          <w:szCs w:val="22"/>
        </w:rPr>
        <w:t>zp</w:t>
      </w:r>
      <w:proofErr w:type="spellEnd"/>
      <w:r w:rsidRPr="00894A44">
        <w:rPr>
          <w:sz w:val="22"/>
          <w:szCs w:val="22"/>
        </w:rPr>
        <w:t xml:space="preserve">, Wykonawca zobowiązany jest do zmiany wynagrodzenia przysługującego Podwykonawcy i odpowiednio Podwykonawca dalszemu Podwykonawcy, z którym zawarł umowę, jeżeli łącznie spełnione są następujące warunki: przedmiotem umowy są roboty budowlane, dostawy lub usługi oraz okres obowiązywania umowy </w:t>
      </w:r>
      <w:r w:rsidRPr="00BA3CDE">
        <w:rPr>
          <w:sz w:val="22"/>
          <w:szCs w:val="22"/>
        </w:rPr>
        <w:t>wraz z aneksami</w:t>
      </w:r>
      <w:r w:rsidRPr="00894A44">
        <w:rPr>
          <w:sz w:val="22"/>
          <w:szCs w:val="22"/>
        </w:rPr>
        <w:t xml:space="preserve"> przekracza 6 miesięcy. Waloryzacja będzie się odbywać na analogicznych zasadach jak waloryzacja wynagrodzenia Wykonawcy</w:t>
      </w:r>
      <w:r w:rsidR="00037153">
        <w:rPr>
          <w:sz w:val="22"/>
          <w:szCs w:val="22"/>
        </w:rPr>
        <w:t xml:space="preserve"> </w:t>
      </w:r>
      <w:r w:rsidRPr="00894A44">
        <w:rPr>
          <w:sz w:val="22"/>
          <w:szCs w:val="22"/>
        </w:rPr>
        <w:t xml:space="preserve">z zastrzeżeniem, że wskaźniki waloryzacji wynagrodzenia będą kalkulowane w odniesieniu do dnia zawarcia umowy pomiędzy Wykonawcą a Podwykonawcą, lub Podwykonawcą, a dalszym Podwykonawcą. </w:t>
      </w:r>
    </w:p>
    <w:p w14:paraId="63E63C07" w14:textId="1299CE7C" w:rsidR="00BC4F70" w:rsidRDefault="00BC4F70" w:rsidP="00BC4F70">
      <w:pPr>
        <w:pStyle w:val="numerowanie"/>
        <w:spacing w:after="240" w:line="360" w:lineRule="auto"/>
        <w:rPr>
          <w:sz w:val="22"/>
          <w:szCs w:val="22"/>
        </w:rPr>
      </w:pPr>
    </w:p>
    <w:p w14:paraId="31931AC7" w14:textId="737712D1" w:rsidR="00BC4F70" w:rsidRDefault="00BC4F70" w:rsidP="00BC4F70">
      <w:pPr>
        <w:pStyle w:val="numerowanie"/>
        <w:spacing w:after="240" w:line="360" w:lineRule="auto"/>
        <w:rPr>
          <w:sz w:val="22"/>
          <w:szCs w:val="22"/>
        </w:rPr>
      </w:pPr>
    </w:p>
    <w:p w14:paraId="3A19C38D" w14:textId="096FDA28" w:rsidR="00BC4F70" w:rsidRDefault="00BC4F70" w:rsidP="00BC4F70">
      <w:pPr>
        <w:pStyle w:val="numerowanie"/>
        <w:spacing w:after="240" w:line="360" w:lineRule="auto"/>
        <w:rPr>
          <w:sz w:val="22"/>
          <w:szCs w:val="22"/>
        </w:rPr>
      </w:pPr>
    </w:p>
    <w:p w14:paraId="2310F385" w14:textId="5C5AF7A0" w:rsidR="00BC4F70" w:rsidRDefault="00BC4F70" w:rsidP="00BC4F70">
      <w:pPr>
        <w:pStyle w:val="numerowanie"/>
        <w:spacing w:after="240" w:line="360" w:lineRule="auto"/>
        <w:rPr>
          <w:sz w:val="22"/>
          <w:szCs w:val="22"/>
        </w:rPr>
      </w:pPr>
    </w:p>
    <w:p w14:paraId="28DAABD0" w14:textId="67FE199C" w:rsidR="00BC4F70" w:rsidRDefault="00BC4F70" w:rsidP="00BC4F70">
      <w:pPr>
        <w:pStyle w:val="numerowanie"/>
        <w:spacing w:after="240" w:line="360" w:lineRule="auto"/>
        <w:rPr>
          <w:sz w:val="22"/>
          <w:szCs w:val="22"/>
        </w:rPr>
      </w:pPr>
    </w:p>
    <w:p w14:paraId="1A2967B7" w14:textId="417C9C7D" w:rsidR="00BC4F70" w:rsidRDefault="00BC4F70" w:rsidP="00BC4F70">
      <w:pPr>
        <w:pStyle w:val="numerowanie"/>
        <w:spacing w:after="240" w:line="360" w:lineRule="auto"/>
        <w:rPr>
          <w:sz w:val="22"/>
          <w:szCs w:val="22"/>
        </w:rPr>
      </w:pPr>
    </w:p>
    <w:p w14:paraId="648C4C69" w14:textId="3FDB0427" w:rsidR="00BC4F70" w:rsidRDefault="00BC4F70" w:rsidP="00BC4F70">
      <w:pPr>
        <w:pStyle w:val="numerowanie"/>
        <w:spacing w:after="240" w:line="360" w:lineRule="auto"/>
        <w:rPr>
          <w:sz w:val="22"/>
          <w:szCs w:val="22"/>
        </w:rPr>
      </w:pPr>
    </w:p>
    <w:p w14:paraId="503B2FD2" w14:textId="77777777" w:rsidR="0049196F" w:rsidRDefault="0049196F" w:rsidP="00BC4F70">
      <w:pPr>
        <w:pStyle w:val="numerowanie"/>
        <w:spacing w:after="240" w:line="360" w:lineRule="auto"/>
        <w:rPr>
          <w:sz w:val="22"/>
          <w:szCs w:val="22"/>
        </w:rPr>
      </w:pPr>
    </w:p>
    <w:p w14:paraId="71DBA9D4" w14:textId="130F3037" w:rsidR="00BC4F70" w:rsidRDefault="00BC4F70" w:rsidP="00BC4F70">
      <w:pPr>
        <w:pStyle w:val="numerowanie"/>
        <w:spacing w:after="240" w:line="360" w:lineRule="auto"/>
        <w:rPr>
          <w:sz w:val="22"/>
          <w:szCs w:val="22"/>
        </w:rPr>
      </w:pPr>
    </w:p>
    <w:p w14:paraId="48B96DBF" w14:textId="77777777" w:rsidR="00BC4F70" w:rsidRPr="004A3FA0" w:rsidRDefault="00BC4F70" w:rsidP="00BC4F70">
      <w:pPr>
        <w:pStyle w:val="numerowanie"/>
        <w:spacing w:after="240" w:line="360" w:lineRule="auto"/>
        <w:rPr>
          <w:color w:val="000000" w:themeColor="text1"/>
        </w:rPr>
      </w:pPr>
    </w:p>
    <w:p w14:paraId="18B91841" w14:textId="403A936A" w:rsidR="00894A44" w:rsidRPr="00BC4F70" w:rsidRDefault="001F0921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 w:after="0" w:line="288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BC4F70">
        <w:rPr>
          <w:rFonts w:ascii="Arial" w:hAnsi="Arial" w:cs="Arial"/>
          <w:b/>
          <w:bCs/>
          <w:color w:val="000000" w:themeColor="text1"/>
        </w:rPr>
        <w:lastRenderedPageBreak/>
        <w:t>Postanowienia</w:t>
      </w:r>
      <w:r w:rsidR="00894A44" w:rsidRPr="00BC4F70">
        <w:rPr>
          <w:rFonts w:ascii="Arial" w:hAnsi="Arial" w:cs="Arial"/>
          <w:b/>
          <w:bCs/>
          <w:color w:val="000000" w:themeColor="text1"/>
        </w:rPr>
        <w:t xml:space="preserve"> umowne dotyczące waloryzacji wynagrodzenia Wykonawcy </w:t>
      </w:r>
    </w:p>
    <w:p w14:paraId="0FE42E1D" w14:textId="3BE0078C" w:rsidR="00894A44" w:rsidRPr="00BC4F70" w:rsidRDefault="00894A44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 w:after="0" w:line="288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BC4F70">
        <w:rPr>
          <w:rFonts w:ascii="Arial" w:hAnsi="Arial" w:cs="Arial"/>
          <w:b/>
          <w:bCs/>
          <w:color w:val="000000" w:themeColor="text1"/>
        </w:rPr>
        <w:t>(„Koszyk waloryzacyjny</w:t>
      </w:r>
      <w:r w:rsidR="009F7501" w:rsidRPr="00BC4F70">
        <w:rPr>
          <w:rFonts w:ascii="Arial" w:hAnsi="Arial" w:cs="Arial"/>
          <w:b/>
          <w:bCs/>
          <w:color w:val="000000" w:themeColor="text1"/>
        </w:rPr>
        <w:t>”)</w:t>
      </w:r>
    </w:p>
    <w:p w14:paraId="09D703CA" w14:textId="77777777" w:rsidR="00894A44" w:rsidRDefault="00894A44" w:rsidP="00894A44">
      <w:pPr>
        <w:jc w:val="both"/>
        <w:rPr>
          <w:rFonts w:ascii="Arial" w:hAnsi="Arial" w:cs="Arial"/>
          <w:i/>
          <w:iCs/>
          <w:color w:val="000000" w:themeColor="text1"/>
        </w:rPr>
      </w:pPr>
    </w:p>
    <w:p w14:paraId="6FF3E008" w14:textId="5B08B721" w:rsidR="00894A44" w:rsidRPr="00894A44" w:rsidRDefault="00894A44" w:rsidP="00894A44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894A44">
        <w:rPr>
          <w:rFonts w:ascii="Arial" w:hAnsi="Arial" w:cs="Arial"/>
          <w:i/>
          <w:iCs/>
          <w:color w:val="000000" w:themeColor="text1"/>
        </w:rPr>
        <w:t>Wskazana poniżej klauzula waloryzacyjna ma na celu ułatwienie opracowania umowy w zakresie waloryzacji wynagrodzenia</w:t>
      </w:r>
      <w:r w:rsidR="002B27F2">
        <w:rPr>
          <w:rFonts w:ascii="Arial" w:hAnsi="Arial" w:cs="Arial"/>
          <w:i/>
          <w:iCs/>
          <w:color w:val="000000" w:themeColor="text1"/>
        </w:rPr>
        <w:t xml:space="preserve"> i</w:t>
      </w:r>
      <w:r w:rsidRPr="00894A44">
        <w:rPr>
          <w:rFonts w:ascii="Arial" w:hAnsi="Arial" w:cs="Arial"/>
          <w:i/>
          <w:iCs/>
          <w:color w:val="000000" w:themeColor="text1"/>
        </w:rPr>
        <w:t xml:space="preserve"> </w:t>
      </w:r>
      <w:r w:rsidR="002B27F2">
        <w:rPr>
          <w:rFonts w:ascii="Arial" w:hAnsi="Arial" w:cs="Arial"/>
          <w:i/>
          <w:iCs/>
          <w:color w:val="000000" w:themeColor="text1"/>
        </w:rPr>
        <w:t>m</w:t>
      </w:r>
      <w:r w:rsidRPr="00894A44">
        <w:rPr>
          <w:rFonts w:ascii="Arial" w:hAnsi="Arial" w:cs="Arial"/>
          <w:i/>
          <w:iCs/>
          <w:color w:val="000000" w:themeColor="text1"/>
        </w:rPr>
        <w:t xml:space="preserve">a  charakter przykładowy. W każdym przypadku klauzula waloryzacyjna powinna zostać dostosowana do warunków zamówienia i innych postanowień umownych.  </w:t>
      </w:r>
      <w:r w:rsidR="00EB411A">
        <w:rPr>
          <w:rFonts w:ascii="Arial" w:hAnsi="Arial" w:cs="Arial"/>
          <w:i/>
          <w:iCs/>
          <w:color w:val="000000" w:themeColor="text1"/>
        </w:rPr>
        <w:t>P</w:t>
      </w:r>
      <w:r w:rsidRPr="00894A44">
        <w:rPr>
          <w:rFonts w:ascii="Arial" w:hAnsi="Arial" w:cs="Arial"/>
          <w:i/>
          <w:iCs/>
          <w:color w:val="000000" w:themeColor="text1"/>
        </w:rPr>
        <w:t xml:space="preserve">osługiwanie się przez strony umowy </w:t>
      </w:r>
      <w:r w:rsidR="00571E9D">
        <w:rPr>
          <w:rFonts w:ascii="Arial" w:hAnsi="Arial" w:cs="Arial"/>
          <w:i/>
          <w:iCs/>
          <w:color w:val="000000" w:themeColor="text1"/>
        </w:rPr>
        <w:t>w sprawie</w:t>
      </w:r>
      <w:r w:rsidRPr="00894A44">
        <w:rPr>
          <w:rFonts w:ascii="Arial" w:hAnsi="Arial" w:cs="Arial"/>
          <w:i/>
          <w:iCs/>
          <w:color w:val="000000" w:themeColor="text1"/>
        </w:rPr>
        <w:t xml:space="preserve"> zamówieni</w:t>
      </w:r>
      <w:r w:rsidR="00571E9D">
        <w:rPr>
          <w:rFonts w:ascii="Arial" w:hAnsi="Arial" w:cs="Arial"/>
          <w:i/>
          <w:iCs/>
          <w:color w:val="000000" w:themeColor="text1"/>
        </w:rPr>
        <w:t>a</w:t>
      </w:r>
      <w:r w:rsidRPr="00894A44">
        <w:rPr>
          <w:rFonts w:ascii="Arial" w:hAnsi="Arial" w:cs="Arial"/>
          <w:i/>
          <w:iCs/>
          <w:color w:val="000000" w:themeColor="text1"/>
        </w:rPr>
        <w:t xml:space="preserve"> publiczne</w:t>
      </w:r>
      <w:r w:rsidR="00571E9D">
        <w:rPr>
          <w:rFonts w:ascii="Arial" w:hAnsi="Arial" w:cs="Arial"/>
          <w:i/>
          <w:iCs/>
          <w:color w:val="000000" w:themeColor="text1"/>
        </w:rPr>
        <w:t>go</w:t>
      </w:r>
      <w:r w:rsidRPr="00894A44">
        <w:rPr>
          <w:rFonts w:ascii="Arial" w:hAnsi="Arial" w:cs="Arial"/>
          <w:i/>
          <w:iCs/>
          <w:color w:val="000000" w:themeColor="text1"/>
        </w:rPr>
        <w:t xml:space="preserve"> klauzulami waloryzacyjnymi o innej treści jest w pełni dopuszczalne. </w:t>
      </w:r>
      <w:r w:rsidRPr="00BC4F70">
        <w:rPr>
          <w:rFonts w:ascii="Arial" w:hAnsi="Arial" w:cs="Arial"/>
          <w:i/>
          <w:iCs/>
          <w:color w:val="000000" w:themeColor="text1"/>
        </w:rPr>
        <w:t xml:space="preserve">Załącznikiem </w:t>
      </w:r>
      <w:r w:rsidR="007C35D4" w:rsidRPr="00BC4F70">
        <w:rPr>
          <w:rFonts w:ascii="Arial" w:hAnsi="Arial" w:cs="Arial"/>
          <w:i/>
          <w:iCs/>
          <w:color w:val="000000" w:themeColor="text1"/>
        </w:rPr>
        <w:t xml:space="preserve">do niniejszej klauzuli jest koszyk waloryzacyjny </w:t>
      </w:r>
      <w:r w:rsidR="000339A2" w:rsidRPr="00BC4F70">
        <w:rPr>
          <w:rFonts w:ascii="Arial" w:hAnsi="Arial" w:cs="Arial"/>
          <w:i/>
          <w:iCs/>
          <w:color w:val="000000" w:themeColor="text1"/>
        </w:rPr>
        <w:t xml:space="preserve">ułatwiający uwzględnienie w </w:t>
      </w:r>
      <w:r w:rsidR="0041792F">
        <w:rPr>
          <w:rFonts w:ascii="Arial" w:hAnsi="Arial" w:cs="Arial"/>
          <w:i/>
          <w:iCs/>
          <w:color w:val="000000" w:themeColor="text1"/>
        </w:rPr>
        <w:t xml:space="preserve">danym </w:t>
      </w:r>
      <w:r w:rsidR="000339A2" w:rsidRPr="00BC4F70">
        <w:rPr>
          <w:rFonts w:ascii="Arial" w:hAnsi="Arial" w:cs="Arial"/>
          <w:i/>
          <w:iCs/>
          <w:color w:val="000000" w:themeColor="text1"/>
        </w:rPr>
        <w:t xml:space="preserve"> stanie faktycznym </w:t>
      </w:r>
      <w:r w:rsidR="007C35D4" w:rsidRPr="00BC4F70">
        <w:rPr>
          <w:rFonts w:ascii="Arial" w:hAnsi="Arial" w:cs="Arial"/>
          <w:i/>
          <w:iCs/>
          <w:color w:val="000000" w:themeColor="text1"/>
        </w:rPr>
        <w:t>konkretn</w:t>
      </w:r>
      <w:r w:rsidR="000339A2" w:rsidRPr="00BC4F70">
        <w:rPr>
          <w:rFonts w:ascii="Arial" w:hAnsi="Arial" w:cs="Arial"/>
          <w:i/>
          <w:iCs/>
          <w:color w:val="000000" w:themeColor="text1"/>
        </w:rPr>
        <w:t>ego</w:t>
      </w:r>
      <w:r w:rsidR="007C35D4" w:rsidRPr="00BC4F70">
        <w:rPr>
          <w:rFonts w:ascii="Arial" w:hAnsi="Arial" w:cs="Arial"/>
          <w:i/>
          <w:iCs/>
          <w:color w:val="000000" w:themeColor="text1"/>
        </w:rPr>
        <w:t xml:space="preserve"> zakres</w:t>
      </w:r>
      <w:r w:rsidR="000339A2" w:rsidRPr="00BC4F70">
        <w:rPr>
          <w:rFonts w:ascii="Arial" w:hAnsi="Arial" w:cs="Arial"/>
          <w:i/>
          <w:iCs/>
          <w:color w:val="000000" w:themeColor="text1"/>
        </w:rPr>
        <w:t>u</w:t>
      </w:r>
      <w:r w:rsidR="007C35D4" w:rsidRPr="00BC4F70">
        <w:rPr>
          <w:rFonts w:ascii="Arial" w:hAnsi="Arial" w:cs="Arial"/>
          <w:i/>
          <w:iCs/>
          <w:color w:val="000000" w:themeColor="text1"/>
        </w:rPr>
        <w:t xml:space="preserve"> robót </w:t>
      </w:r>
      <w:r w:rsidR="000339A2" w:rsidRPr="00BC4F70">
        <w:rPr>
          <w:rFonts w:ascii="Arial" w:hAnsi="Arial" w:cs="Arial"/>
          <w:i/>
          <w:iCs/>
          <w:color w:val="000000" w:themeColor="text1"/>
        </w:rPr>
        <w:t xml:space="preserve">objętego </w:t>
      </w:r>
      <w:r w:rsidR="007C35D4" w:rsidRPr="00BC4F70">
        <w:rPr>
          <w:rFonts w:ascii="Arial" w:hAnsi="Arial" w:cs="Arial"/>
          <w:i/>
          <w:iCs/>
          <w:color w:val="000000" w:themeColor="text1"/>
        </w:rPr>
        <w:t>umow</w:t>
      </w:r>
      <w:r w:rsidR="000339A2" w:rsidRPr="00BC4F70">
        <w:rPr>
          <w:rFonts w:ascii="Arial" w:hAnsi="Arial" w:cs="Arial"/>
          <w:i/>
          <w:iCs/>
          <w:color w:val="000000" w:themeColor="text1"/>
        </w:rPr>
        <w:t>ą o zamówienie publiczne</w:t>
      </w:r>
      <w:r w:rsidR="007C35D4" w:rsidRPr="00BC4F70">
        <w:rPr>
          <w:rFonts w:ascii="Arial" w:hAnsi="Arial" w:cs="Arial"/>
          <w:i/>
          <w:iCs/>
          <w:color w:val="000000" w:themeColor="text1"/>
        </w:rPr>
        <w:t>.</w:t>
      </w:r>
    </w:p>
    <w:p w14:paraId="79E6755C" w14:textId="2CC04F6C" w:rsidR="00894A44" w:rsidRPr="00894A44" w:rsidRDefault="000C2D20" w:rsidP="00894A4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Postanowienia</w:t>
      </w:r>
      <w:r w:rsidR="00894A44" w:rsidRPr="00894A44">
        <w:rPr>
          <w:rFonts w:ascii="Arial" w:hAnsi="Arial" w:cs="Arial"/>
          <w:b/>
          <w:bCs/>
          <w:color w:val="000000" w:themeColor="text1"/>
        </w:rPr>
        <w:t xml:space="preserve"> umowne dotyczące waloryzacji wynagrodzenia Wykonawcy</w:t>
      </w:r>
    </w:p>
    <w:p w14:paraId="19313E57" w14:textId="68B3A6B7" w:rsidR="00894A44" w:rsidRPr="00894A44" w:rsidRDefault="00894A44" w:rsidP="00894A4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94A44">
        <w:rPr>
          <w:rFonts w:ascii="Arial" w:hAnsi="Arial" w:cs="Arial"/>
          <w:color w:val="000000" w:themeColor="text1"/>
        </w:rPr>
        <w:t>Kwoty wynagrodzenia płatne Wykonawcy na podstawie paragrafu [●</w:t>
      </w:r>
      <w:bookmarkStart w:id="5" w:name="_Ref111041955"/>
      <w:r w:rsidRPr="00894A44">
        <w:rPr>
          <w:rStyle w:val="Odwoanieprzypisudolnego"/>
          <w:rFonts w:ascii="Arial" w:hAnsi="Arial" w:cs="Arial"/>
          <w:color w:val="000000" w:themeColor="text1"/>
        </w:rPr>
        <w:footnoteReference w:id="6"/>
      </w:r>
      <w:bookmarkEnd w:id="5"/>
      <w:r w:rsidRPr="00894A44">
        <w:rPr>
          <w:rFonts w:ascii="Arial" w:hAnsi="Arial" w:cs="Arial"/>
          <w:color w:val="000000" w:themeColor="text1"/>
        </w:rPr>
        <w:t xml:space="preserve">] Umowy będą korygowane dla oddania wzrostów lub spadków cen zgodnie z poniższymi </w:t>
      </w:r>
      <w:r w:rsidR="00740A50">
        <w:rPr>
          <w:rFonts w:ascii="Arial" w:hAnsi="Arial" w:cs="Arial"/>
          <w:color w:val="000000" w:themeColor="text1"/>
        </w:rPr>
        <w:t>postanowieniami.</w:t>
      </w:r>
    </w:p>
    <w:p w14:paraId="29E74E4D" w14:textId="77777777" w:rsidR="00894A44" w:rsidRPr="00894A44" w:rsidRDefault="00894A44" w:rsidP="00894A4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94A44">
        <w:rPr>
          <w:rFonts w:ascii="Arial" w:hAnsi="Arial" w:cs="Arial"/>
          <w:color w:val="000000" w:themeColor="text1"/>
        </w:rPr>
        <w:t xml:space="preserve">Waloryzacja będzie się odbywać w oparciu o wskaźniki cen produkcji sprzedanej wyrobów przemysłowych, wynagrodzenia oraz cen towarów i usług konsumpcyjnych publikowane przez Główny Urząd Statystyczny, (zwany dalej GUS) w Dziedzinowej Bazie Wiedzy dostępnej pod linkiem </w:t>
      </w:r>
      <w:hyperlink r:id="rId11" w:history="1">
        <w:r w:rsidRPr="00894A44">
          <w:rPr>
            <w:rStyle w:val="Hipercze"/>
            <w:rFonts w:ascii="Arial" w:hAnsi="Arial" w:cs="Arial"/>
          </w:rPr>
          <w:t>www.swaid.stat.gov.pl</w:t>
        </w:r>
      </w:hyperlink>
      <w:r w:rsidRPr="00894A44">
        <w:rPr>
          <w:rFonts w:ascii="Arial" w:hAnsi="Arial" w:cs="Arial"/>
          <w:color w:val="000000" w:themeColor="text1"/>
        </w:rPr>
        <w:t xml:space="preserve"> lub w Biuletynach Statystycznych a także dane (wagi) wskazane w poniższej tabeli Koszyk Waloryzacyjny: </w:t>
      </w:r>
    </w:p>
    <w:p w14:paraId="29B3B95D" w14:textId="77777777" w:rsidR="00894A44" w:rsidRPr="00894A44" w:rsidRDefault="00894A44" w:rsidP="00894A44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894A44">
        <w:rPr>
          <w:rFonts w:ascii="Arial" w:hAnsi="Arial" w:cs="Arial"/>
          <w:i/>
          <w:iCs/>
          <w:color w:val="000000" w:themeColor="text1"/>
        </w:rPr>
        <w:t>……………………………………………………………………..</w:t>
      </w:r>
      <w:r w:rsidRPr="00894A44">
        <w:rPr>
          <w:rStyle w:val="Odwoanieprzypisudolnego"/>
          <w:rFonts w:ascii="Arial" w:hAnsi="Arial" w:cs="Arial"/>
          <w:i/>
          <w:iCs/>
          <w:color w:val="000000" w:themeColor="text1"/>
        </w:rPr>
        <w:footnoteReference w:id="7"/>
      </w:r>
    </w:p>
    <w:p w14:paraId="6EDAF302" w14:textId="5362BA95" w:rsidR="00894A44" w:rsidRPr="00894A44" w:rsidRDefault="00894A44" w:rsidP="00894A4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94A44">
        <w:rPr>
          <w:rFonts w:ascii="Arial" w:hAnsi="Arial" w:cs="Arial"/>
          <w:color w:val="000000" w:themeColor="text1"/>
        </w:rPr>
        <w:t>W przypadku, gdyby którykolwiek ze wskaźników przestał być dostępny, wówczas strony uzgodnią inne, najbardziej zbliżone, wskaźniki publikowane przez GUS.</w:t>
      </w:r>
    </w:p>
    <w:p w14:paraId="60A985D7" w14:textId="1CEEA838" w:rsidR="00894A44" w:rsidRPr="00894A44" w:rsidRDefault="00894A44" w:rsidP="00894A44">
      <w:pPr>
        <w:spacing w:line="360" w:lineRule="auto"/>
        <w:jc w:val="both"/>
        <w:rPr>
          <w:rFonts w:ascii="Arial" w:hAnsi="Arial" w:cs="Arial"/>
        </w:rPr>
      </w:pPr>
      <w:r w:rsidRPr="00894A44">
        <w:rPr>
          <w:rFonts w:ascii="Arial" w:hAnsi="Arial" w:cs="Arial"/>
          <w:color w:val="000000" w:themeColor="text1"/>
        </w:rPr>
        <w:t xml:space="preserve">Kwoty netto płatne Wykonawcy na podstawie Umowy będą waloryzowane miesięcznie, w odniesieniu do Daty </w:t>
      </w:r>
      <w:r w:rsidR="009F7501" w:rsidRPr="00894A44">
        <w:rPr>
          <w:rFonts w:ascii="Arial" w:hAnsi="Arial" w:cs="Arial"/>
          <w:color w:val="000000" w:themeColor="text1"/>
        </w:rPr>
        <w:t>odniesienia, począwszy</w:t>
      </w:r>
      <w:r w:rsidRPr="00894A44">
        <w:rPr>
          <w:rFonts w:ascii="Arial" w:hAnsi="Arial" w:cs="Arial"/>
          <w:color w:val="000000" w:themeColor="text1"/>
        </w:rPr>
        <w:t xml:space="preserve"> od </w:t>
      </w:r>
      <w:r w:rsidR="00096868">
        <w:rPr>
          <w:rFonts w:ascii="Arial" w:hAnsi="Arial" w:cs="Arial"/>
          <w:color w:val="000000" w:themeColor="text1"/>
        </w:rPr>
        <w:t>……..</w:t>
      </w:r>
      <w:r w:rsidR="004C7DE8">
        <w:rPr>
          <w:rStyle w:val="Odwoanieprzypisudolnego"/>
          <w:rFonts w:ascii="Arial" w:hAnsi="Arial" w:cs="Arial"/>
          <w:color w:val="000000" w:themeColor="text1"/>
        </w:rPr>
        <w:footnoteReference w:id="8"/>
      </w:r>
      <w:r w:rsidR="004C7DE8">
        <w:rPr>
          <w:rFonts w:ascii="Arial" w:hAnsi="Arial" w:cs="Arial"/>
          <w:color w:val="000000" w:themeColor="text1"/>
        </w:rPr>
        <w:t xml:space="preserve"> </w:t>
      </w:r>
      <w:r w:rsidRPr="00894A44">
        <w:rPr>
          <w:rFonts w:ascii="Arial" w:hAnsi="Arial" w:cs="Arial"/>
          <w:color w:val="000000" w:themeColor="text1"/>
        </w:rPr>
        <w:t>miesiąca realizacji Umowy do osiągnięcia limitu waloryzacji stanowiącego +/- [●</w:t>
      </w:r>
      <w:r w:rsidRPr="00894A44">
        <w:rPr>
          <w:rStyle w:val="Odwoanieprzypisudolnego"/>
          <w:rFonts w:ascii="Arial" w:hAnsi="Arial" w:cs="Arial"/>
          <w:color w:val="000000" w:themeColor="text1"/>
        </w:rPr>
        <w:footnoteReference w:id="9"/>
      </w:r>
      <w:r w:rsidRPr="00894A44">
        <w:rPr>
          <w:rFonts w:ascii="Arial" w:hAnsi="Arial" w:cs="Arial"/>
          <w:color w:val="000000" w:themeColor="text1"/>
        </w:rPr>
        <w:t xml:space="preserve">]% wynagrodzenia Umownego netto. </w:t>
      </w:r>
    </w:p>
    <w:p w14:paraId="62807B85" w14:textId="0A35FC79" w:rsidR="00894A44" w:rsidRPr="00894A44" w:rsidRDefault="00894A44" w:rsidP="00894A4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7C0850">
        <w:rPr>
          <w:rFonts w:ascii="Arial" w:hAnsi="Arial" w:cs="Arial"/>
          <w:color w:val="000000" w:themeColor="text1"/>
        </w:rPr>
        <w:t>Data odniesienia oznacza datę</w:t>
      </w:r>
      <w:r w:rsidR="007C0850">
        <w:rPr>
          <w:rFonts w:ascii="Arial" w:hAnsi="Arial" w:cs="Arial"/>
          <w:color w:val="000000" w:themeColor="text1"/>
        </w:rPr>
        <w:t>…..</w:t>
      </w:r>
      <w:r w:rsidR="007C0850">
        <w:rPr>
          <w:rStyle w:val="Odwoanieprzypisudolnego"/>
          <w:rFonts w:ascii="Arial" w:hAnsi="Arial" w:cs="Arial"/>
          <w:color w:val="000000" w:themeColor="text1"/>
        </w:rPr>
        <w:footnoteReference w:id="10"/>
      </w:r>
    </w:p>
    <w:p w14:paraId="760F852A" w14:textId="77777777" w:rsidR="00894A44" w:rsidRPr="00894A44" w:rsidRDefault="00894A44" w:rsidP="00894A4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94A44">
        <w:rPr>
          <w:rFonts w:ascii="Arial" w:hAnsi="Arial" w:cs="Arial"/>
          <w:color w:val="000000" w:themeColor="text1"/>
        </w:rPr>
        <w:t>Kwoty netto płatne Wykonawcy podlegać będą waloryzacji poprzez przemnożenie kwoty należnej Wykonawcy w każdym miesiącu przez Wskaźnik waloryzacji (W</w:t>
      </w:r>
      <w:r w:rsidRPr="00894A44">
        <w:rPr>
          <w:rFonts w:ascii="Arial" w:hAnsi="Arial" w:cs="Arial"/>
          <w:color w:val="000000" w:themeColor="text1"/>
          <w:vertAlign w:val="subscript"/>
        </w:rPr>
        <w:t>k n</w:t>
      </w:r>
      <w:r w:rsidRPr="00894A44">
        <w:rPr>
          <w:rFonts w:ascii="Arial" w:hAnsi="Arial" w:cs="Arial"/>
          <w:color w:val="000000" w:themeColor="text1"/>
        </w:rPr>
        <w:t>) wyliczony według wzoru:</w:t>
      </w:r>
    </w:p>
    <w:p w14:paraId="4C749305" w14:textId="77777777" w:rsidR="00894A44" w:rsidRPr="00894A44" w:rsidRDefault="00000000" w:rsidP="00894A44">
      <w:pPr>
        <w:spacing w:line="360" w:lineRule="auto"/>
        <w:ind w:left="-993" w:right="-1039"/>
        <w:jc w:val="both"/>
        <w:rPr>
          <w:rFonts w:ascii="Arial" w:hAnsi="Arial" w:cs="Arial"/>
        </w:rPr>
      </w:pPr>
      <m:oMathPara>
        <m:oMath>
          <m:sSub>
            <m:sSubPr>
              <m:ctrlPr>
                <w:rPr>
                  <w:rFonts w:ascii="Cambria Math" w:hAnsi="Cambria Math" w:cs="Arial"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</w:rPr>
                <m:t>W</m:t>
              </m:r>
              <m:ctrlPr>
                <w:rPr>
                  <w:rFonts w:ascii="Cambria Math" w:hAnsi="Cambria Math" w:cs="Arial"/>
                  <w:b/>
                  <w:sz w:val="20"/>
                  <w:szCs w:val="20"/>
                </w:rPr>
              </m:ctrlPr>
            </m:e>
            <m:sub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</w:rPr>
                <m:t>k n</m:t>
              </m:r>
            </m:sub>
          </m:sSub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m:t>=</m:t>
          </m:r>
          <m:r>
            <m:rPr>
              <m:sty m:val="b"/>
            </m:rPr>
            <w:rPr>
              <w:rFonts w:ascii="Cambria Math" w:hAnsi="Cambria Math" w:cs="Arial"/>
              <w:sz w:val="20"/>
              <w:szCs w:val="20"/>
            </w:rPr>
            <m:t>a</m:t>
          </m:r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m:t>+</m:t>
          </m:r>
          <m:d>
            <m:dPr>
              <m:ctrlPr>
                <w:rPr>
                  <w:rFonts w:ascii="Cambria Math" w:hAnsi="Cambria Math" w:cs="Arial"/>
                  <w:b/>
                  <w:bCs/>
                  <w:sz w:val="20"/>
                  <w:szCs w:val="20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</w:rPr>
                <m:t>1-a</m:t>
              </m:r>
            </m:e>
          </m:d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m:t>*(</m:t>
          </m:r>
          <m:r>
            <m:rPr>
              <m:sty m:val="b"/>
            </m:rPr>
            <w:rPr>
              <w:rFonts w:ascii="Cambria Math" w:hAnsi="Cambria Math" w:cs="Arial"/>
              <w:sz w:val="20"/>
              <w:szCs w:val="20"/>
            </w:rPr>
            <m:t>b</m:t>
          </m:r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Arial"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</w:rPr>
                <m:t>CPI</m:t>
              </m:r>
            </m:e>
            <m:sub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m:t>+</m:t>
          </m:r>
          <m:r>
            <m:rPr>
              <m:sty m:val="b"/>
            </m:rPr>
            <w:rPr>
              <w:rFonts w:ascii="Cambria Math" w:hAnsi="Cambria Math" w:cs="Arial"/>
              <w:sz w:val="20"/>
              <w:szCs w:val="20"/>
            </w:rPr>
            <m:t>c</m:t>
          </m:r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Arial"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m:t>+</m:t>
          </m:r>
          <m:r>
            <m:rPr>
              <m:sty m:val="b"/>
            </m:rPr>
            <w:rPr>
              <w:rFonts w:ascii="Cambria Math" w:hAnsi="Cambria Math" w:cs="Arial"/>
              <w:sz w:val="20"/>
              <w:szCs w:val="20"/>
            </w:rPr>
            <m:t>d</m:t>
          </m:r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Arial"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</w:rPr>
                <m:t>R</m:t>
              </m:r>
            </m:e>
            <m:sub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m:t>+</m:t>
          </m:r>
          <m:r>
            <m:rPr>
              <m:sty m:val="b"/>
            </m:rPr>
            <w:rPr>
              <w:rFonts w:ascii="Cambria Math" w:hAnsi="Cambria Math" w:cs="Arial"/>
              <w:sz w:val="20"/>
              <w:szCs w:val="20"/>
            </w:rPr>
            <m:t>e</m:t>
          </m:r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Arial"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m:t>+</m:t>
          </m:r>
          <m:r>
            <m:rPr>
              <m:sty m:val="b"/>
            </m:rPr>
            <w:rPr>
              <w:rFonts w:ascii="Cambria Math" w:hAnsi="Cambria Math" w:cs="Arial"/>
              <w:sz w:val="20"/>
              <w:szCs w:val="20"/>
            </w:rPr>
            <m:t>f</m:t>
          </m:r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Arial"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e>
            <m:sub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m:t>+</m:t>
          </m:r>
          <m:r>
            <m:rPr>
              <m:sty m:val="b"/>
            </m:rPr>
            <w:rPr>
              <w:rFonts w:ascii="Cambria Math" w:hAnsi="Cambria Math" w:cs="Arial"/>
              <w:sz w:val="20"/>
              <w:szCs w:val="20"/>
            </w:rPr>
            <m:t>g</m:t>
          </m:r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Arial"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</w:rPr>
                <m:t>S</m:t>
              </m:r>
            </m:e>
            <m:sub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m:t>+</m:t>
          </m:r>
          <m:r>
            <m:rPr>
              <m:sty m:val="b"/>
            </m:rPr>
            <w:rPr>
              <w:rFonts w:ascii="Cambria Math" w:hAnsi="Cambria Math" w:cs="Arial"/>
              <w:sz w:val="20"/>
              <w:szCs w:val="20"/>
            </w:rPr>
            <m:t>h</m:t>
          </m:r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Arial"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</w:rPr>
                <m:t>K</m:t>
              </m:r>
            </m:e>
            <m:sub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m:t>+</m:t>
          </m:r>
          <m:r>
            <m:rPr>
              <m:sty m:val="b"/>
            </m:rPr>
            <w:rPr>
              <w:rFonts w:ascii="Cambria Math" w:hAnsi="Cambria Math" w:cs="Arial"/>
              <w:sz w:val="20"/>
              <w:szCs w:val="20"/>
            </w:rPr>
            <m:t>i</m:t>
          </m:r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Arial"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</w:rPr>
                <m:t>T</m:t>
              </m:r>
            </m:e>
            <m:sub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</w:rPr>
                <m:t>n</m:t>
              </m:r>
            </m:sub>
          </m:sSub>
          <m:r>
            <m:rPr>
              <m:sty m:val="b"/>
            </m:rPr>
            <w:rPr>
              <w:rFonts w:ascii="Cambria Math" w:hAnsi="Cambria Math" w:cs="Arial"/>
              <w:sz w:val="20"/>
              <w:szCs w:val="20"/>
            </w:rPr>
            <m:t>+j</m:t>
          </m:r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Arial"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</w:rPr>
                <m:t>SZ</m:t>
              </m:r>
            </m:e>
            <m:sub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</w:rPr>
                <m:t>n</m:t>
              </m:r>
            </m:sub>
          </m:sSub>
          <m:r>
            <m:rPr>
              <m:sty m:val="b"/>
            </m:rPr>
            <w:rPr>
              <w:rFonts w:ascii="Cambria Math" w:hAnsi="Cambria Math" w:cs="Arial"/>
              <w:sz w:val="20"/>
              <w:szCs w:val="20"/>
            </w:rPr>
            <m:t>+k</m:t>
          </m:r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Arial"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</w:rPr>
                <m:t>M</m:t>
              </m:r>
            </m:e>
            <m:sub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m:t>)</m:t>
          </m:r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w:br/>
          </m:r>
        </m:oMath>
      </m:oMathPara>
    </w:p>
    <w:p w14:paraId="2F38FCE9" w14:textId="77777777" w:rsidR="00894A44" w:rsidRPr="00894A44" w:rsidRDefault="00894A44" w:rsidP="00894A44">
      <w:pPr>
        <w:spacing w:line="360" w:lineRule="auto"/>
        <w:jc w:val="both"/>
        <w:rPr>
          <w:rFonts w:ascii="Arial" w:hAnsi="Arial" w:cs="Arial"/>
        </w:rPr>
      </w:pPr>
      <w:r w:rsidRPr="00894A44">
        <w:rPr>
          <w:rFonts w:ascii="Arial" w:hAnsi="Arial" w:cs="Arial"/>
        </w:rPr>
        <w:t>gdzie:</w:t>
      </w:r>
    </w:p>
    <w:p w14:paraId="384B452C" w14:textId="77777777" w:rsidR="00894A44" w:rsidRPr="00894A44" w:rsidRDefault="00894A44" w:rsidP="00894A44">
      <w:pPr>
        <w:spacing w:line="360" w:lineRule="auto"/>
        <w:jc w:val="both"/>
        <w:rPr>
          <w:rFonts w:ascii="Arial" w:hAnsi="Arial" w:cs="Arial"/>
        </w:rPr>
      </w:pPr>
      <w:r w:rsidRPr="00894A44">
        <w:rPr>
          <w:rFonts w:ascii="Arial" w:hAnsi="Arial" w:cs="Arial"/>
          <w:b/>
          <w:bCs/>
        </w:rPr>
        <w:t>„W</w:t>
      </w:r>
      <w:r w:rsidRPr="00894A44">
        <w:rPr>
          <w:rFonts w:ascii="Arial" w:hAnsi="Arial" w:cs="Arial"/>
          <w:b/>
          <w:bCs/>
          <w:vertAlign w:val="subscript"/>
        </w:rPr>
        <w:t>k n</w:t>
      </w:r>
      <w:r w:rsidRPr="00894A44">
        <w:rPr>
          <w:rFonts w:ascii="Arial" w:hAnsi="Arial" w:cs="Arial"/>
          <w:b/>
          <w:bCs/>
        </w:rPr>
        <w:t>"</w:t>
      </w:r>
      <w:r w:rsidRPr="00894A44">
        <w:rPr>
          <w:rFonts w:ascii="Arial" w:hAnsi="Arial" w:cs="Arial"/>
        </w:rPr>
        <w:t xml:space="preserve"> – Wskaźnik waloryzacji dla n-tego miesiąca;</w:t>
      </w:r>
    </w:p>
    <w:p w14:paraId="3AA96A3F" w14:textId="5710B149" w:rsidR="00894A44" w:rsidRPr="00894A44" w:rsidRDefault="00894A44" w:rsidP="00894A44">
      <w:pPr>
        <w:spacing w:line="360" w:lineRule="auto"/>
        <w:jc w:val="both"/>
        <w:rPr>
          <w:rFonts w:ascii="Arial" w:hAnsi="Arial" w:cs="Arial"/>
        </w:rPr>
      </w:pPr>
      <w:r w:rsidRPr="00894A44">
        <w:rPr>
          <w:rFonts w:ascii="Arial" w:hAnsi="Arial" w:cs="Arial"/>
          <w:b/>
          <w:bCs/>
        </w:rPr>
        <w:t>„a"</w:t>
      </w:r>
      <w:r w:rsidRPr="00894A44">
        <w:rPr>
          <w:rFonts w:ascii="Arial" w:hAnsi="Arial" w:cs="Arial"/>
        </w:rPr>
        <w:t xml:space="preserve"> jest stałym współczynnikiem o </w:t>
      </w:r>
      <w:r w:rsidR="009F7501" w:rsidRPr="00894A44">
        <w:rPr>
          <w:rFonts w:ascii="Arial" w:hAnsi="Arial" w:cs="Arial"/>
        </w:rPr>
        <w:t>wartości [</w:t>
      </w:r>
      <w:r w:rsidRPr="00894A44">
        <w:rPr>
          <w:rFonts w:ascii="Arial" w:hAnsi="Arial" w:cs="Arial"/>
        </w:rPr>
        <w:t>●</w:t>
      </w:r>
      <w:r w:rsidRPr="00894A44">
        <w:rPr>
          <w:rStyle w:val="Odwoanieprzypisudolnego"/>
          <w:rFonts w:ascii="Arial" w:hAnsi="Arial" w:cs="Arial"/>
        </w:rPr>
        <w:footnoteReference w:id="11"/>
      </w:r>
      <w:r w:rsidRPr="00894A44">
        <w:rPr>
          <w:rFonts w:ascii="Arial" w:hAnsi="Arial" w:cs="Arial"/>
        </w:rPr>
        <w:t>] obrazującym część wynagrodzenia, które nie podlega waloryzacji (element niewaloryzowany).</w:t>
      </w:r>
    </w:p>
    <w:p w14:paraId="105DD4BF" w14:textId="77777777" w:rsidR="00894A44" w:rsidRPr="00894A44" w:rsidRDefault="00894A44" w:rsidP="00894A44">
      <w:pPr>
        <w:spacing w:line="360" w:lineRule="auto"/>
        <w:jc w:val="both"/>
        <w:rPr>
          <w:rFonts w:ascii="Arial" w:hAnsi="Arial" w:cs="Arial"/>
        </w:rPr>
      </w:pPr>
      <w:r w:rsidRPr="00894A44">
        <w:rPr>
          <w:rFonts w:ascii="Arial" w:hAnsi="Arial" w:cs="Arial"/>
          <w:b/>
          <w:bCs/>
        </w:rPr>
        <w:t>„b", „c", „d", „e”, „f”, „g”, „h”, „i”, „j”, „k”</w:t>
      </w:r>
      <w:r w:rsidRPr="00894A44">
        <w:rPr>
          <w:rFonts w:ascii="Arial" w:hAnsi="Arial" w:cs="Arial"/>
        </w:rPr>
        <w:t xml:space="preserve"> są wagami stałymi określonymi w tabeli Koszyk Waloryzacyjny powyżej; podanymi z dokładnością do dwóch miejsc po przecinku; obrazującymi udział poszczególnych asortymentów w wartości Umowy; z zastrzeżeniem sytuacji gdy Zamawiający stanie się dostawcą któregokolwiek z Elementów robót ujętych w tabeli Koszyk waloryzacyjny, wówczas waga tego elementu zostanie przyjęta jako „0” w wzorze na W</w:t>
      </w:r>
      <w:r w:rsidRPr="00894A44">
        <w:rPr>
          <w:rFonts w:ascii="Arial" w:hAnsi="Arial" w:cs="Arial"/>
          <w:vertAlign w:val="subscript"/>
        </w:rPr>
        <w:t>n</w:t>
      </w:r>
      <w:r w:rsidRPr="00894A44">
        <w:rPr>
          <w:rFonts w:ascii="Arial" w:hAnsi="Arial" w:cs="Arial"/>
        </w:rPr>
        <w:t xml:space="preserve">. W takim przypadku waga CPI zostanie powiększona o wartość wagi, która została przyjęta jako „0”. </w:t>
      </w:r>
    </w:p>
    <w:p w14:paraId="7AB75F67" w14:textId="77777777" w:rsidR="00894A44" w:rsidRPr="00894A44" w:rsidRDefault="00894A44" w:rsidP="00894A44">
      <w:pPr>
        <w:spacing w:line="360" w:lineRule="auto"/>
        <w:jc w:val="both"/>
        <w:rPr>
          <w:rFonts w:ascii="Arial" w:hAnsi="Arial" w:cs="Arial"/>
        </w:rPr>
      </w:pPr>
      <w:r w:rsidRPr="00894A44">
        <w:rPr>
          <w:rFonts w:ascii="Arial" w:hAnsi="Arial" w:cs="Arial"/>
        </w:rPr>
        <w:t xml:space="preserve">Suma wartości wag z Koszyka waloryzacji od „b” do „k” wynosi 1,00.  </w:t>
      </w:r>
    </w:p>
    <w:p w14:paraId="462710EE" w14:textId="1327D01C" w:rsidR="00894A44" w:rsidRPr="00894A44" w:rsidRDefault="00894A44" w:rsidP="00894A4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94A44">
        <w:rPr>
          <w:rFonts w:ascii="Arial" w:hAnsi="Arial" w:cs="Arial"/>
          <w:b/>
          <w:bCs/>
          <w:color w:val="000000" w:themeColor="text1"/>
        </w:rPr>
        <w:t>„CPI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894A44">
        <w:rPr>
          <w:rFonts w:ascii="Arial" w:hAnsi="Arial" w:cs="Arial"/>
          <w:b/>
          <w:bCs/>
          <w:color w:val="000000" w:themeColor="text1"/>
        </w:rPr>
        <w:t>", „P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894A44">
        <w:rPr>
          <w:rFonts w:ascii="Arial" w:hAnsi="Arial" w:cs="Arial"/>
          <w:b/>
          <w:bCs/>
          <w:color w:val="000000" w:themeColor="text1"/>
        </w:rPr>
        <w:t>", „R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894A44">
        <w:rPr>
          <w:rFonts w:ascii="Arial" w:hAnsi="Arial" w:cs="Arial"/>
          <w:b/>
          <w:bCs/>
          <w:color w:val="000000" w:themeColor="text1"/>
        </w:rPr>
        <w:t>", „C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894A44">
        <w:rPr>
          <w:rFonts w:ascii="Arial" w:hAnsi="Arial" w:cs="Arial"/>
          <w:b/>
          <w:bCs/>
          <w:color w:val="000000" w:themeColor="text1"/>
        </w:rPr>
        <w:t>”, „A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894A44">
        <w:rPr>
          <w:rFonts w:ascii="Arial" w:hAnsi="Arial" w:cs="Arial"/>
          <w:b/>
          <w:bCs/>
          <w:color w:val="000000" w:themeColor="text1"/>
        </w:rPr>
        <w:t>”, „S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894A44">
        <w:rPr>
          <w:rFonts w:ascii="Arial" w:hAnsi="Arial" w:cs="Arial"/>
          <w:b/>
          <w:bCs/>
          <w:color w:val="000000" w:themeColor="text1"/>
        </w:rPr>
        <w:t>”, „K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894A44">
        <w:rPr>
          <w:rFonts w:ascii="Arial" w:hAnsi="Arial" w:cs="Arial"/>
          <w:b/>
          <w:bCs/>
          <w:color w:val="000000" w:themeColor="text1"/>
        </w:rPr>
        <w:t>”, „T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894A44">
        <w:rPr>
          <w:rFonts w:ascii="Arial" w:hAnsi="Arial" w:cs="Arial"/>
          <w:b/>
          <w:bCs/>
          <w:color w:val="000000" w:themeColor="text1"/>
        </w:rPr>
        <w:t>”, „SZ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894A44">
        <w:rPr>
          <w:rFonts w:ascii="Arial" w:hAnsi="Arial" w:cs="Arial"/>
          <w:b/>
          <w:bCs/>
          <w:color w:val="000000" w:themeColor="text1"/>
        </w:rPr>
        <w:t>”, „M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894A44">
        <w:rPr>
          <w:rFonts w:ascii="Arial" w:hAnsi="Arial" w:cs="Arial"/>
          <w:b/>
          <w:bCs/>
          <w:color w:val="000000" w:themeColor="text1"/>
        </w:rPr>
        <w:t>”</w:t>
      </w:r>
      <w:r w:rsidRPr="00894A44">
        <w:rPr>
          <w:rFonts w:ascii="Arial" w:hAnsi="Arial" w:cs="Arial"/>
          <w:color w:val="000000" w:themeColor="text1"/>
        </w:rPr>
        <w:t xml:space="preserve"> są wskaźnikami liczonymi przez przemnożenie wszystkich kolejnych wskaźników cen miesiąc do miesiąca (w </w:t>
      </w:r>
      <w:r w:rsidR="009F7501" w:rsidRPr="00894A44">
        <w:rPr>
          <w:rFonts w:ascii="Arial" w:hAnsi="Arial" w:cs="Arial"/>
          <w:color w:val="000000" w:themeColor="text1"/>
        </w:rPr>
        <w:t>układzie,</w:t>
      </w:r>
      <w:r w:rsidRPr="00894A44">
        <w:rPr>
          <w:rFonts w:ascii="Arial" w:hAnsi="Arial" w:cs="Arial"/>
          <w:color w:val="000000" w:themeColor="text1"/>
        </w:rPr>
        <w:t xml:space="preserve"> gdzie poprzedni miesiąc = 100) obliczonymi wg poniższego wzoru:</w:t>
      </w:r>
    </w:p>
    <w:p w14:paraId="09B50C31" w14:textId="77777777" w:rsidR="00894A44" w:rsidRPr="00894A44" w:rsidRDefault="00000000" w:rsidP="00894A44">
      <w:pPr>
        <w:pStyle w:val="numerowanie"/>
        <w:spacing w:after="260" w:line="360" w:lineRule="auto"/>
        <w:rPr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color w:val="000000" w:themeColor="text1"/>
                <w:sz w:val="22"/>
                <w:szCs w:val="22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2"/>
              </w:rPr>
              <m:t>CPI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2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  <w:sz w:val="22"/>
            <w:szCs w:val="22"/>
          </w:rPr>
          <m:t>=</m:t>
        </m:r>
        <m:r>
          <w:rPr>
            <w:rFonts w:ascii="Cambria Math" w:hAnsi="Cambria Math"/>
            <w:color w:val="000000" w:themeColor="text1"/>
            <w:sz w:val="22"/>
            <w:szCs w:val="22"/>
          </w:rPr>
          <m:t xml:space="preserve"> </m:t>
        </m:r>
        <m:f>
          <m:fPr>
            <m:ctrlPr>
              <w:rPr>
                <w:rFonts w:ascii="Cambria Math" w:hAnsi="Cambria Math"/>
                <w:color w:val="000000" w:themeColor="text1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  <m:t>W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  <m:t>CPI(0)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2"/>
                <w:szCs w:val="22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color w:val="000000" w:themeColor="text1"/>
            <w:sz w:val="22"/>
            <w:szCs w:val="22"/>
          </w:rPr>
          <m:t>×</m:t>
        </m:r>
        <m:f>
          <m:fPr>
            <m:ctrlPr>
              <w:rPr>
                <w:rFonts w:ascii="Cambria Math" w:hAnsi="Cambria Math"/>
                <w:color w:val="000000" w:themeColor="text1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  <m:t>W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  <m:t>CPI</m:t>
                </m:r>
                <m:d>
                  <m:dPr>
                    <m:ctrlPr>
                      <w:rPr>
                        <w:rFonts w:ascii="Cambria Math" w:hAnsi="Cambria Math"/>
                        <w:b/>
                        <w:color w:val="000000" w:themeColor="text1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0000" w:themeColor="text1"/>
                        <w:sz w:val="22"/>
                        <w:szCs w:val="22"/>
                      </w:rPr>
                      <m:t>1</m:t>
                    </m:r>
                  </m:e>
                </m:d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2"/>
                <w:szCs w:val="22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color w:val="000000" w:themeColor="text1"/>
            <w:sz w:val="22"/>
            <w:szCs w:val="22"/>
          </w:rPr>
          <m:t>×</m:t>
        </m:r>
        <m:f>
          <m:fPr>
            <m:ctrlPr>
              <w:rPr>
                <w:rFonts w:ascii="Cambria Math" w:hAnsi="Cambria Math"/>
                <w:color w:val="000000" w:themeColor="text1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  <m:t>W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  <m:t>CPI</m:t>
                </m:r>
                <m:d>
                  <m:dPr>
                    <m:ctrlPr>
                      <w:rPr>
                        <w:rFonts w:ascii="Cambria Math" w:hAnsi="Cambria Math"/>
                        <w:b/>
                        <w:color w:val="000000" w:themeColor="text1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0000" w:themeColor="text1"/>
                        <w:sz w:val="22"/>
                        <w:szCs w:val="22"/>
                      </w:rPr>
                      <m:t>2</m:t>
                    </m:r>
                  </m:e>
                </m:d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2"/>
                <w:szCs w:val="22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color w:val="000000" w:themeColor="text1"/>
            <w:sz w:val="22"/>
            <w:szCs w:val="22"/>
          </w:rPr>
          <m:t>×</m:t>
        </m:r>
        <m:f>
          <m:fPr>
            <m:ctrlPr>
              <w:rPr>
                <w:rFonts w:ascii="Cambria Math" w:hAnsi="Cambria Math"/>
                <w:color w:val="000000" w:themeColor="text1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  <m:t>W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  <m:t>CPI</m:t>
                </m:r>
                <m:d>
                  <m:dPr>
                    <m:ctrlPr>
                      <w:rPr>
                        <w:rFonts w:ascii="Cambria Math" w:hAnsi="Cambria Math"/>
                        <w:b/>
                        <w:color w:val="000000" w:themeColor="text1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0000" w:themeColor="text1"/>
                        <w:sz w:val="22"/>
                        <w:szCs w:val="22"/>
                      </w:rPr>
                      <m:t>3</m:t>
                    </m:r>
                  </m:e>
                </m:d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2"/>
                <w:szCs w:val="22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color w:val="000000" w:themeColor="text1"/>
            <w:sz w:val="22"/>
            <w:szCs w:val="22"/>
          </w:rPr>
          <m:t>×………×</m:t>
        </m:r>
        <m:f>
          <m:fPr>
            <m:ctrlPr>
              <w:rPr>
                <w:rFonts w:ascii="Cambria Math" w:hAnsi="Cambria Math"/>
                <w:color w:val="000000" w:themeColor="text1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  <m:t>W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  <m:t>CPI</m:t>
                </m:r>
                <m:d>
                  <m:dPr>
                    <m:ctrlPr>
                      <w:rPr>
                        <w:rFonts w:ascii="Cambria Math" w:hAnsi="Cambria Math"/>
                        <w:b/>
                        <w:color w:val="000000" w:themeColor="text1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0000" w:themeColor="text1"/>
                        <w:sz w:val="22"/>
                        <w:szCs w:val="22"/>
                      </w:rPr>
                      <m:t>n-1</m:t>
                    </m:r>
                  </m:e>
                </m:d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2"/>
                <w:szCs w:val="22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color w:val="000000" w:themeColor="text1"/>
            <w:sz w:val="22"/>
            <w:szCs w:val="22"/>
          </w:rPr>
          <m:t>×</m:t>
        </m:r>
        <m:f>
          <m:fPr>
            <m:ctrlPr>
              <w:rPr>
                <w:rFonts w:ascii="Cambria Math" w:hAnsi="Cambria Math"/>
                <w:color w:val="000000" w:themeColor="text1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  <m:t>W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2"/>
                    <w:szCs w:val="22"/>
                  </w:rPr>
                  <m:t>CPI</m:t>
                </m:r>
                <m:d>
                  <m:dPr>
                    <m:ctrlPr>
                      <w:rPr>
                        <w:rFonts w:ascii="Cambria Math" w:hAnsi="Cambria Math"/>
                        <w:b/>
                        <w:color w:val="000000" w:themeColor="text1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0000" w:themeColor="text1"/>
                        <w:sz w:val="22"/>
                        <w:szCs w:val="22"/>
                      </w:rPr>
                      <m:t>n</m:t>
                    </m:r>
                  </m:e>
                </m:d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2"/>
                <w:szCs w:val="22"/>
              </w:rPr>
              <m:t>100</m:t>
            </m:r>
          </m:den>
        </m:f>
        <m:r>
          <w:rPr>
            <w:rFonts w:ascii="Cambria Math" w:hAnsi="Cambria Math"/>
            <w:color w:val="000000" w:themeColor="text1"/>
            <w:sz w:val="22"/>
            <w:szCs w:val="22"/>
          </w:rPr>
          <m:t xml:space="preserve"> </m:t>
        </m:r>
      </m:oMath>
      <w:r w:rsidR="00894A44" w:rsidRPr="00894A44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14:paraId="01A176F1" w14:textId="77777777" w:rsidR="00894A44" w:rsidRPr="00894A44" w:rsidRDefault="00894A44" w:rsidP="00894A4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94A44">
        <w:rPr>
          <w:rFonts w:ascii="Arial" w:hAnsi="Arial" w:cs="Arial"/>
          <w:color w:val="000000" w:themeColor="text1"/>
        </w:rPr>
        <w:t>gdzie:</w:t>
      </w:r>
    </w:p>
    <w:p w14:paraId="2A5CA570" w14:textId="56F72540" w:rsidR="00894A44" w:rsidRPr="00894A44" w:rsidRDefault="00894A44" w:rsidP="00894A4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94A44">
        <w:rPr>
          <w:rFonts w:ascii="Arial" w:hAnsi="Arial" w:cs="Arial"/>
          <w:b/>
          <w:bCs/>
          <w:color w:val="000000" w:themeColor="text1"/>
        </w:rPr>
        <w:t xml:space="preserve">„CPI 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894A44">
        <w:rPr>
          <w:rFonts w:ascii="Arial" w:hAnsi="Arial" w:cs="Arial"/>
          <w:b/>
          <w:bCs/>
          <w:color w:val="000000" w:themeColor="text1"/>
        </w:rPr>
        <w:t>"</w:t>
      </w:r>
      <w:r w:rsidRPr="00894A44">
        <w:rPr>
          <w:rFonts w:ascii="Arial" w:hAnsi="Arial" w:cs="Arial"/>
          <w:color w:val="000000" w:themeColor="text1"/>
        </w:rPr>
        <w:t xml:space="preserve"> – wskaźnik wyliczony dla n-tego </w:t>
      </w:r>
      <w:r w:rsidR="009F7501" w:rsidRPr="00894A44">
        <w:rPr>
          <w:rFonts w:ascii="Arial" w:hAnsi="Arial" w:cs="Arial"/>
          <w:color w:val="000000" w:themeColor="text1"/>
        </w:rPr>
        <w:t>miesiąca,</w:t>
      </w:r>
      <w:r w:rsidRPr="00894A44">
        <w:rPr>
          <w:rFonts w:ascii="Arial" w:hAnsi="Arial" w:cs="Arial"/>
          <w:color w:val="000000" w:themeColor="text1"/>
        </w:rPr>
        <w:t xml:space="preserve"> czyli miesiąca wystawienia kolejnej faktury;</w:t>
      </w:r>
    </w:p>
    <w:p w14:paraId="1BD63DDE" w14:textId="77777777" w:rsidR="00894A44" w:rsidRPr="00894A44" w:rsidRDefault="00894A44" w:rsidP="00894A44">
      <w:pPr>
        <w:spacing w:line="360" w:lineRule="auto"/>
        <w:ind w:left="708" w:hanging="708"/>
        <w:jc w:val="both"/>
        <w:rPr>
          <w:rFonts w:ascii="Arial" w:hAnsi="Arial" w:cs="Arial"/>
          <w:color w:val="000000" w:themeColor="text1"/>
        </w:rPr>
      </w:pPr>
      <w:r w:rsidRPr="00894A44">
        <w:rPr>
          <w:rFonts w:ascii="Arial" w:hAnsi="Arial" w:cs="Arial"/>
          <w:b/>
          <w:bCs/>
          <w:color w:val="000000" w:themeColor="text1"/>
        </w:rPr>
        <w:t>„W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CPI(0)</w:t>
      </w:r>
      <w:r w:rsidRPr="00894A44">
        <w:rPr>
          <w:rFonts w:ascii="Arial" w:hAnsi="Arial" w:cs="Arial"/>
          <w:b/>
          <w:bCs/>
          <w:color w:val="000000" w:themeColor="text1"/>
        </w:rPr>
        <w:t>"</w:t>
      </w:r>
      <w:r w:rsidRPr="00894A44">
        <w:rPr>
          <w:rFonts w:ascii="Arial" w:hAnsi="Arial" w:cs="Arial"/>
          <w:color w:val="000000" w:themeColor="text1"/>
        </w:rPr>
        <w:t xml:space="preserve"> – wskaźnik „0” z miesiąca Daty odniesienia = 100 (odczytany z odpowiedniej tabeli w Biuletynie Statystycznym lub w Dziedzinowej Bazie Wiedzy, w przypadku CPI to wskaźnik cen towarów i usług konsumpcyjnych ogółem, w układzie gdzie miesiąc poprzedni = 100)</w:t>
      </w:r>
    </w:p>
    <w:p w14:paraId="5B994355" w14:textId="1EC84950" w:rsidR="00894A44" w:rsidRPr="00894A44" w:rsidRDefault="00894A44" w:rsidP="00894A44">
      <w:pPr>
        <w:spacing w:line="360" w:lineRule="auto"/>
        <w:ind w:left="708" w:hanging="708"/>
        <w:jc w:val="both"/>
        <w:rPr>
          <w:rFonts w:ascii="Arial" w:hAnsi="Arial" w:cs="Arial"/>
          <w:color w:val="000000" w:themeColor="text1"/>
        </w:rPr>
      </w:pPr>
      <w:r w:rsidRPr="00894A44">
        <w:rPr>
          <w:rFonts w:ascii="Arial" w:hAnsi="Arial" w:cs="Arial"/>
          <w:b/>
          <w:bCs/>
          <w:color w:val="000000" w:themeColor="text1"/>
        </w:rPr>
        <w:t>„W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CPI(1)</w:t>
      </w:r>
      <w:r w:rsidRPr="00894A44">
        <w:rPr>
          <w:rFonts w:ascii="Arial" w:hAnsi="Arial" w:cs="Arial"/>
          <w:b/>
          <w:bCs/>
          <w:color w:val="000000" w:themeColor="text1"/>
        </w:rPr>
        <w:t xml:space="preserve">" </w:t>
      </w:r>
      <w:r w:rsidRPr="00894A44">
        <w:rPr>
          <w:rFonts w:ascii="Arial" w:hAnsi="Arial" w:cs="Arial"/>
          <w:color w:val="000000" w:themeColor="text1"/>
        </w:rPr>
        <w:t xml:space="preserve">– wskaźnik „1” </w:t>
      </w:r>
      <w:r w:rsidR="009F7501" w:rsidRPr="00894A44">
        <w:rPr>
          <w:rFonts w:ascii="Arial" w:hAnsi="Arial" w:cs="Arial"/>
          <w:color w:val="000000" w:themeColor="text1"/>
        </w:rPr>
        <w:t>z następnego</w:t>
      </w:r>
      <w:r w:rsidRPr="00894A44">
        <w:rPr>
          <w:rFonts w:ascii="Arial" w:hAnsi="Arial" w:cs="Arial"/>
          <w:color w:val="000000" w:themeColor="text1"/>
        </w:rPr>
        <w:t xml:space="preserve"> miesiąca po Dacie odniesienia (odczytany z odpowiedniej tabeli w Biuletynie Statystycznym lub w Dziedzinowej Bazie Wiedzy, w przypadku CPI to wskaźnik cen towarów i usług konsumpcyjnych ogółem, w układzie gdzie miesiąc poprzedni = 100)</w:t>
      </w:r>
    </w:p>
    <w:p w14:paraId="21B8FA88" w14:textId="4235B263" w:rsidR="00894A44" w:rsidRPr="00894A44" w:rsidRDefault="00894A44" w:rsidP="00894A44">
      <w:pPr>
        <w:spacing w:line="360" w:lineRule="auto"/>
        <w:ind w:left="851" w:hanging="851"/>
        <w:jc w:val="both"/>
        <w:rPr>
          <w:rFonts w:ascii="Arial" w:hAnsi="Arial" w:cs="Arial"/>
          <w:color w:val="000000" w:themeColor="text1"/>
        </w:rPr>
      </w:pPr>
      <w:r w:rsidRPr="00894A44">
        <w:rPr>
          <w:rFonts w:ascii="Arial" w:hAnsi="Arial" w:cs="Arial"/>
          <w:b/>
          <w:bCs/>
          <w:color w:val="000000" w:themeColor="text1"/>
        </w:rPr>
        <w:t>„W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CPI(2)</w:t>
      </w:r>
      <w:r w:rsidRPr="00894A44">
        <w:rPr>
          <w:rFonts w:ascii="Arial" w:hAnsi="Arial" w:cs="Arial"/>
          <w:b/>
          <w:bCs/>
          <w:color w:val="000000" w:themeColor="text1"/>
        </w:rPr>
        <w:t>"</w:t>
      </w:r>
      <w:r w:rsidRPr="00894A44">
        <w:rPr>
          <w:rFonts w:ascii="Arial" w:hAnsi="Arial" w:cs="Arial"/>
          <w:color w:val="000000" w:themeColor="text1"/>
        </w:rPr>
        <w:t xml:space="preserve"> ,„W</w:t>
      </w:r>
      <w:r w:rsidRPr="00894A44">
        <w:rPr>
          <w:rFonts w:ascii="Arial" w:hAnsi="Arial" w:cs="Arial"/>
          <w:color w:val="000000" w:themeColor="text1"/>
          <w:vertAlign w:val="subscript"/>
        </w:rPr>
        <w:t>CPI(3)</w:t>
      </w:r>
      <w:r w:rsidRPr="00894A44">
        <w:rPr>
          <w:rFonts w:ascii="Arial" w:hAnsi="Arial" w:cs="Arial"/>
          <w:color w:val="000000" w:themeColor="text1"/>
        </w:rPr>
        <w:t xml:space="preserve">"… – wskaźniki „2”, „3”… dla miesiąca drugiego, trzeciego, … po Dacie odniesienia (odczytany z odpowiedniej tabeli w Biuletynie Statystycznym lub w Dziedzinowej Bazie Wiedzy, w przypadku CPI to wskaźnik cen towarów i usług konsumpcyjnych ogółem, w </w:t>
      </w:r>
      <w:r w:rsidR="009F7501" w:rsidRPr="00894A44">
        <w:rPr>
          <w:rFonts w:ascii="Arial" w:hAnsi="Arial" w:cs="Arial"/>
          <w:color w:val="000000" w:themeColor="text1"/>
        </w:rPr>
        <w:t>układzie,</w:t>
      </w:r>
      <w:r w:rsidRPr="00894A44">
        <w:rPr>
          <w:rFonts w:ascii="Arial" w:hAnsi="Arial" w:cs="Arial"/>
          <w:color w:val="000000" w:themeColor="text1"/>
        </w:rPr>
        <w:t xml:space="preserve"> gdzie miesiąc poprzedni = 100)</w:t>
      </w:r>
    </w:p>
    <w:p w14:paraId="74D8C5A5" w14:textId="3A7B6358" w:rsidR="00894A44" w:rsidRPr="00894A44" w:rsidRDefault="00894A44" w:rsidP="00894A44">
      <w:pPr>
        <w:spacing w:line="360" w:lineRule="auto"/>
        <w:ind w:left="851" w:hanging="851"/>
        <w:jc w:val="both"/>
        <w:rPr>
          <w:rFonts w:ascii="Arial" w:hAnsi="Arial" w:cs="Arial"/>
          <w:color w:val="000000" w:themeColor="text1"/>
        </w:rPr>
      </w:pPr>
      <w:r w:rsidRPr="00894A44">
        <w:rPr>
          <w:rFonts w:ascii="Arial" w:hAnsi="Arial" w:cs="Arial"/>
          <w:b/>
          <w:bCs/>
          <w:color w:val="000000" w:themeColor="text1"/>
        </w:rPr>
        <w:lastRenderedPageBreak/>
        <w:t>„W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CPI(n-1)</w:t>
      </w:r>
      <w:r w:rsidRPr="00894A44">
        <w:rPr>
          <w:rFonts w:ascii="Arial" w:hAnsi="Arial" w:cs="Arial"/>
          <w:b/>
          <w:bCs/>
          <w:color w:val="000000" w:themeColor="text1"/>
        </w:rPr>
        <w:t>"</w:t>
      </w:r>
      <w:r w:rsidRPr="00894A44">
        <w:rPr>
          <w:rFonts w:ascii="Arial" w:hAnsi="Arial" w:cs="Arial"/>
          <w:color w:val="000000" w:themeColor="text1"/>
        </w:rPr>
        <w:t xml:space="preserve"> – wskaźnik „n-1” dla miesiąca poprzedzającego miesiąc za który nastąpi wystawienie faktury (odczytany z odpowiedniej tabeli w Biuletynie Statystycznym lub w Dziedzinowej Bazie Wiedzy, w przypadku CPI to wskaźnik cen towarów i usług konsumpcyjnych ogółem, w </w:t>
      </w:r>
      <w:r w:rsidR="009F7501" w:rsidRPr="00894A44">
        <w:rPr>
          <w:rFonts w:ascii="Arial" w:hAnsi="Arial" w:cs="Arial"/>
          <w:color w:val="000000" w:themeColor="text1"/>
        </w:rPr>
        <w:t>układzie,</w:t>
      </w:r>
      <w:r w:rsidRPr="00894A44">
        <w:rPr>
          <w:rFonts w:ascii="Arial" w:hAnsi="Arial" w:cs="Arial"/>
          <w:color w:val="000000" w:themeColor="text1"/>
        </w:rPr>
        <w:t xml:space="preserve"> gdzie miesiąc poprzedni = 100)</w:t>
      </w:r>
    </w:p>
    <w:p w14:paraId="50634617" w14:textId="4A4CAA05" w:rsidR="00894A44" w:rsidRPr="00894A44" w:rsidRDefault="00894A44" w:rsidP="00894A44">
      <w:pPr>
        <w:spacing w:line="360" w:lineRule="auto"/>
        <w:ind w:left="708" w:hanging="708"/>
        <w:jc w:val="both"/>
        <w:rPr>
          <w:rFonts w:ascii="Arial" w:hAnsi="Arial" w:cs="Arial"/>
          <w:color w:val="000000" w:themeColor="text1"/>
        </w:rPr>
      </w:pPr>
      <w:r w:rsidRPr="00894A44">
        <w:rPr>
          <w:rFonts w:ascii="Arial" w:hAnsi="Arial" w:cs="Arial"/>
          <w:b/>
          <w:bCs/>
          <w:color w:val="000000" w:themeColor="text1"/>
        </w:rPr>
        <w:t>„W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CPI(n)</w:t>
      </w:r>
      <w:r w:rsidRPr="00894A44">
        <w:rPr>
          <w:rFonts w:ascii="Arial" w:hAnsi="Arial" w:cs="Arial"/>
          <w:b/>
          <w:bCs/>
          <w:color w:val="000000" w:themeColor="text1"/>
        </w:rPr>
        <w:t>"</w:t>
      </w:r>
      <w:r w:rsidRPr="00894A44">
        <w:rPr>
          <w:rFonts w:ascii="Arial" w:hAnsi="Arial" w:cs="Arial"/>
          <w:color w:val="000000" w:themeColor="text1"/>
          <w:vertAlign w:val="subscript"/>
        </w:rPr>
        <w:t xml:space="preserve"> </w:t>
      </w:r>
      <w:r w:rsidRPr="00894A44">
        <w:rPr>
          <w:rFonts w:ascii="Arial" w:hAnsi="Arial" w:cs="Arial"/>
          <w:color w:val="000000" w:themeColor="text1"/>
        </w:rPr>
        <w:t xml:space="preserve">– wskaźnik „n” dla miesiąca za który nastąpi wystawienie faktury (odczytany z odpowiedniej tabeli w Biuletynie Statystycznym lub w Dziedzinowej Bazie Wiedzy, w przypadku CPI to wskaźnik cen towarów i usług konsumpcyjnych ogółem, w </w:t>
      </w:r>
      <w:r w:rsidR="009F7501" w:rsidRPr="00894A44">
        <w:rPr>
          <w:rFonts w:ascii="Arial" w:hAnsi="Arial" w:cs="Arial"/>
          <w:color w:val="000000" w:themeColor="text1"/>
        </w:rPr>
        <w:t>układzie,</w:t>
      </w:r>
      <w:r w:rsidRPr="00894A44">
        <w:rPr>
          <w:rFonts w:ascii="Arial" w:hAnsi="Arial" w:cs="Arial"/>
          <w:color w:val="000000" w:themeColor="text1"/>
        </w:rPr>
        <w:t xml:space="preserve"> gdzie miesiąc poprzedni = 100)</w:t>
      </w:r>
    </w:p>
    <w:p w14:paraId="7DC28384" w14:textId="372188FE" w:rsidR="00894A44" w:rsidRPr="00894A44" w:rsidRDefault="00894A44" w:rsidP="00894A44">
      <w:pPr>
        <w:pStyle w:val="numerowanie"/>
        <w:spacing w:after="260" w:line="360" w:lineRule="auto"/>
        <w:rPr>
          <w:color w:val="000000" w:themeColor="text1"/>
          <w:spacing w:val="0"/>
          <w:sz w:val="22"/>
          <w:szCs w:val="22"/>
          <w:lang w:eastAsia="en-US"/>
        </w:rPr>
      </w:pPr>
      <w:r w:rsidRPr="00894A44">
        <w:rPr>
          <w:color w:val="000000" w:themeColor="text1"/>
          <w:spacing w:val="0"/>
          <w:sz w:val="22"/>
          <w:szCs w:val="22"/>
          <w:lang w:eastAsia="en-US"/>
        </w:rPr>
        <w:t xml:space="preserve">W praktyce dany wskaźnik powstaje poprzez przemnożenie poprzednio obliczonego wskaźnika dla miesiąca n-1 </w:t>
      </w:r>
      <w:r w:rsidR="009F7501" w:rsidRPr="00894A44">
        <w:rPr>
          <w:color w:val="000000" w:themeColor="text1"/>
          <w:spacing w:val="0"/>
          <w:sz w:val="22"/>
          <w:szCs w:val="22"/>
          <w:lang w:eastAsia="en-US"/>
        </w:rPr>
        <w:t>przez wskaźnik</w:t>
      </w:r>
      <w:r w:rsidRPr="00894A44">
        <w:rPr>
          <w:color w:val="000000" w:themeColor="text1"/>
          <w:spacing w:val="0"/>
          <w:sz w:val="22"/>
          <w:szCs w:val="22"/>
          <w:lang w:eastAsia="en-US"/>
        </w:rPr>
        <w:t xml:space="preserve"> dla miesiąca bieżącego.</w:t>
      </w:r>
    </w:p>
    <w:p w14:paraId="2A3C478E" w14:textId="77777777" w:rsidR="00894A44" w:rsidRPr="00894A44" w:rsidRDefault="00000000" w:rsidP="00894A44">
      <w:pPr>
        <w:pStyle w:val="numerowanie"/>
        <w:spacing w:after="260" w:line="360" w:lineRule="auto"/>
        <w:rPr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CPI</m:t>
              </m:r>
            </m:e>
            <m:sub>
              <m:d>
                <m:dPr>
                  <m:ctrlPr>
                    <w:rPr>
                      <w:rFonts w:ascii="Cambria Math" w:hAnsi="Cambria Math"/>
                      <w:b/>
                      <w:color w:val="000000" w:themeColor="text1"/>
                      <w:sz w:val="22"/>
                      <w:szCs w:val="22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n</m:t>
                  </m:r>
                </m:e>
              </m:d>
            </m:sub>
          </m:sSub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CPI</m:t>
              </m:r>
            </m:e>
            <m:sub>
              <m:d>
                <m:dPr>
                  <m:ctrlPr>
                    <w:rPr>
                      <w:rFonts w:ascii="Cambria Math" w:hAnsi="Cambria Math"/>
                      <w:b/>
                      <w:color w:val="000000" w:themeColor="text1"/>
                      <w:sz w:val="22"/>
                      <w:szCs w:val="22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n-1</m:t>
                  </m:r>
                </m:e>
              </m:d>
            </m:sub>
          </m:sSub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CPI</m:t>
                  </m:r>
                  <m:d>
                    <m:dPr>
                      <m:ctrlPr>
                        <w:rPr>
                          <w:rFonts w:ascii="Cambria Math" w:hAnsi="Cambria Math"/>
                          <w:b/>
                          <w:color w:val="000000" w:themeColor="text1"/>
                          <w:sz w:val="22"/>
                          <w:szCs w:val="22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color w:val="000000" w:themeColor="text1"/>
                          <w:sz w:val="22"/>
                          <w:szCs w:val="22"/>
                        </w:rPr>
                        <m:t>n</m:t>
                      </m:r>
                    </m:e>
                  </m:d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100</m:t>
              </m:r>
            </m:den>
          </m:f>
        </m:oMath>
      </m:oMathPara>
    </w:p>
    <w:p w14:paraId="6591DBF0" w14:textId="77777777" w:rsidR="00894A44" w:rsidRPr="00894A44" w:rsidRDefault="00894A44" w:rsidP="00894A4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94A44">
        <w:rPr>
          <w:rFonts w:ascii="Arial" w:hAnsi="Arial" w:cs="Arial"/>
          <w:color w:val="000000" w:themeColor="text1"/>
        </w:rPr>
        <w:t>gdzie:</w:t>
      </w:r>
    </w:p>
    <w:p w14:paraId="27AF7FB9" w14:textId="11C7A1E4" w:rsidR="00894A44" w:rsidRPr="00894A44" w:rsidRDefault="00894A44" w:rsidP="00894A4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94A44">
        <w:rPr>
          <w:rFonts w:ascii="Arial" w:hAnsi="Arial" w:cs="Arial"/>
          <w:b/>
          <w:bCs/>
          <w:color w:val="000000" w:themeColor="text1"/>
        </w:rPr>
        <w:t xml:space="preserve">„CPI 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(n)</w:t>
      </w:r>
      <w:r w:rsidRPr="00894A44">
        <w:rPr>
          <w:rFonts w:ascii="Arial" w:hAnsi="Arial" w:cs="Arial"/>
          <w:b/>
          <w:bCs/>
          <w:color w:val="000000" w:themeColor="text1"/>
        </w:rPr>
        <w:t xml:space="preserve"> "</w:t>
      </w:r>
      <w:r w:rsidRPr="00894A44">
        <w:rPr>
          <w:rFonts w:ascii="Arial" w:hAnsi="Arial" w:cs="Arial"/>
          <w:color w:val="000000" w:themeColor="text1"/>
        </w:rPr>
        <w:t xml:space="preserve"> – wskaźnik wyliczony dla n-tego </w:t>
      </w:r>
      <w:r w:rsidR="009F7501" w:rsidRPr="00894A44">
        <w:rPr>
          <w:rFonts w:ascii="Arial" w:hAnsi="Arial" w:cs="Arial"/>
          <w:color w:val="000000" w:themeColor="text1"/>
        </w:rPr>
        <w:t>miesiąca,</w:t>
      </w:r>
      <w:r w:rsidRPr="00894A44">
        <w:rPr>
          <w:rFonts w:ascii="Arial" w:hAnsi="Arial" w:cs="Arial"/>
          <w:color w:val="000000" w:themeColor="text1"/>
        </w:rPr>
        <w:t xml:space="preserve"> czyli miesiąca wystawienia faktury;</w:t>
      </w:r>
    </w:p>
    <w:p w14:paraId="76FE151E" w14:textId="77777777" w:rsidR="00894A44" w:rsidRPr="00894A44" w:rsidRDefault="00894A44" w:rsidP="00894A4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94A44">
        <w:rPr>
          <w:rFonts w:ascii="Arial" w:hAnsi="Arial" w:cs="Arial"/>
          <w:b/>
          <w:bCs/>
          <w:color w:val="000000" w:themeColor="text1"/>
        </w:rPr>
        <w:t xml:space="preserve">„CPI 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(n-1)</w:t>
      </w:r>
      <w:r w:rsidRPr="00894A44">
        <w:rPr>
          <w:rFonts w:ascii="Arial" w:hAnsi="Arial" w:cs="Arial"/>
          <w:b/>
          <w:bCs/>
          <w:color w:val="000000" w:themeColor="text1"/>
        </w:rPr>
        <w:t xml:space="preserve"> "</w:t>
      </w:r>
      <w:r w:rsidRPr="00894A44">
        <w:rPr>
          <w:rFonts w:ascii="Arial" w:hAnsi="Arial" w:cs="Arial"/>
          <w:color w:val="000000" w:themeColor="text1"/>
        </w:rPr>
        <w:t xml:space="preserve"> – wskaźnik wyliczony dla miesiąca poprzedzającego miesiąc wystawienia faktury</w:t>
      </w:r>
    </w:p>
    <w:p w14:paraId="36486293" w14:textId="6E9A4651" w:rsidR="00894A44" w:rsidRPr="00894A44" w:rsidRDefault="00894A44" w:rsidP="00894A4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94A44">
        <w:rPr>
          <w:rFonts w:ascii="Arial" w:hAnsi="Arial" w:cs="Arial"/>
          <w:b/>
          <w:bCs/>
          <w:color w:val="000000" w:themeColor="text1"/>
        </w:rPr>
        <w:t xml:space="preserve">„W 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CPI(n)</w:t>
      </w:r>
      <w:r w:rsidRPr="00894A44">
        <w:rPr>
          <w:rFonts w:ascii="Arial" w:hAnsi="Arial" w:cs="Arial"/>
          <w:b/>
          <w:bCs/>
          <w:color w:val="000000" w:themeColor="text1"/>
        </w:rPr>
        <w:t xml:space="preserve">” </w:t>
      </w:r>
      <w:r w:rsidRPr="00894A44">
        <w:rPr>
          <w:rFonts w:ascii="Arial" w:hAnsi="Arial" w:cs="Arial"/>
          <w:color w:val="000000" w:themeColor="text1"/>
        </w:rPr>
        <w:t xml:space="preserve">– wskaźnik „n” miesiąca za który nastąpi wystawienie faktury (odczytany z odpowiedniej tabeli w Biuletynie Statystycznym lub w Dziedzinowej Bazie Wiedzy, w przypadku CPI to wskaźnik cen towarów i usług konsumpcyjnych ogółem, w </w:t>
      </w:r>
      <w:r w:rsidR="009F7501" w:rsidRPr="00894A44">
        <w:rPr>
          <w:rFonts w:ascii="Arial" w:hAnsi="Arial" w:cs="Arial"/>
          <w:color w:val="000000" w:themeColor="text1"/>
        </w:rPr>
        <w:t>układzie,</w:t>
      </w:r>
      <w:r w:rsidRPr="00894A44">
        <w:rPr>
          <w:rFonts w:ascii="Arial" w:hAnsi="Arial" w:cs="Arial"/>
          <w:color w:val="000000" w:themeColor="text1"/>
        </w:rPr>
        <w:t xml:space="preserve"> gdzie miesiąc poprzedni = 100)</w:t>
      </w:r>
    </w:p>
    <w:p w14:paraId="4F2C0428" w14:textId="77777777" w:rsidR="00894A44" w:rsidRPr="00894A44" w:rsidRDefault="00894A44" w:rsidP="00894A4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94A44">
        <w:rPr>
          <w:rFonts w:ascii="Arial" w:hAnsi="Arial" w:cs="Arial"/>
          <w:color w:val="000000" w:themeColor="text1"/>
        </w:rPr>
        <w:t>Dla wskaźników „</w:t>
      </w:r>
      <w:r w:rsidRPr="00894A44">
        <w:rPr>
          <w:rFonts w:ascii="Arial" w:hAnsi="Arial" w:cs="Arial"/>
          <w:b/>
          <w:bCs/>
          <w:color w:val="000000" w:themeColor="text1"/>
        </w:rPr>
        <w:t>P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894A44">
        <w:rPr>
          <w:rFonts w:ascii="Arial" w:hAnsi="Arial" w:cs="Arial"/>
          <w:b/>
          <w:bCs/>
          <w:color w:val="000000" w:themeColor="text1"/>
        </w:rPr>
        <w:t>", „R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894A44">
        <w:rPr>
          <w:rFonts w:ascii="Arial" w:hAnsi="Arial" w:cs="Arial"/>
          <w:b/>
          <w:bCs/>
          <w:color w:val="000000" w:themeColor="text1"/>
        </w:rPr>
        <w:t>", „C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894A44">
        <w:rPr>
          <w:rFonts w:ascii="Arial" w:hAnsi="Arial" w:cs="Arial"/>
          <w:b/>
          <w:bCs/>
          <w:color w:val="000000" w:themeColor="text1"/>
        </w:rPr>
        <w:t>”, „A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894A44">
        <w:rPr>
          <w:rFonts w:ascii="Arial" w:hAnsi="Arial" w:cs="Arial"/>
          <w:b/>
          <w:bCs/>
          <w:color w:val="000000" w:themeColor="text1"/>
        </w:rPr>
        <w:t>”, „S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894A44">
        <w:rPr>
          <w:rFonts w:ascii="Arial" w:hAnsi="Arial" w:cs="Arial"/>
          <w:b/>
          <w:bCs/>
          <w:color w:val="000000" w:themeColor="text1"/>
        </w:rPr>
        <w:t>”, „K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894A44">
        <w:rPr>
          <w:rFonts w:ascii="Arial" w:hAnsi="Arial" w:cs="Arial"/>
          <w:b/>
          <w:bCs/>
          <w:color w:val="000000" w:themeColor="text1"/>
        </w:rPr>
        <w:t>”, „T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894A44">
        <w:rPr>
          <w:rFonts w:ascii="Arial" w:hAnsi="Arial" w:cs="Arial"/>
          <w:b/>
          <w:bCs/>
          <w:color w:val="000000" w:themeColor="text1"/>
        </w:rPr>
        <w:t>”, „SZ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894A44">
        <w:rPr>
          <w:rFonts w:ascii="Arial" w:hAnsi="Arial" w:cs="Arial"/>
          <w:b/>
          <w:bCs/>
          <w:color w:val="000000" w:themeColor="text1"/>
        </w:rPr>
        <w:t>”, „M</w:t>
      </w:r>
      <w:r w:rsidRPr="00894A44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894A44">
        <w:rPr>
          <w:rFonts w:ascii="Arial" w:hAnsi="Arial" w:cs="Arial"/>
          <w:color w:val="000000" w:themeColor="text1"/>
        </w:rPr>
        <w:t>” obliczenia analogiczne.</w:t>
      </w:r>
    </w:p>
    <w:p w14:paraId="66A841A7" w14:textId="77777777" w:rsidR="00894A44" w:rsidRPr="00894A44" w:rsidRDefault="00894A44" w:rsidP="00894A44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FEB9CAD" w14:textId="77777777" w:rsidR="00894A44" w:rsidRPr="00894A44" w:rsidRDefault="00894A44" w:rsidP="00894A4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6" w:name="_Hlk115195934"/>
      <w:r w:rsidRPr="00894A44">
        <w:rPr>
          <w:rFonts w:ascii="Arial" w:hAnsi="Arial" w:cs="Arial"/>
          <w:color w:val="000000" w:themeColor="text1"/>
        </w:rPr>
        <w:t xml:space="preserve">Ilorazy wskaźników cen (np. </w:t>
      </w:r>
      <m:oMath>
        <m:f>
          <m:fPr>
            <m:ctrlPr>
              <w:rPr>
                <w:rFonts w:ascii="Cambria Math" w:hAnsi="Cambria Math" w:cs="Arial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color w:val="000000" w:themeColor="text1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Arial"/>
                    <w:color w:val="000000" w:themeColor="text1"/>
                  </w:rPr>
                  <m:t>W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Arial"/>
                    <w:color w:val="000000" w:themeColor="text1"/>
                  </w:rPr>
                  <m:t>CPI</m:t>
                </m:r>
                <m:d>
                  <m:dPr>
                    <m:ctrlPr>
                      <w:rPr>
                        <w:rFonts w:ascii="Cambria Math" w:hAnsi="Cambria Math" w:cs="Arial"/>
                        <w:b/>
                        <w:color w:val="000000" w:themeColor="text1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color w:val="000000" w:themeColor="text1"/>
                      </w:rPr>
                      <m:t>1</m:t>
                    </m:r>
                  </m:e>
                </m:d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</w:rPr>
              <m:t>100</m:t>
            </m:r>
          </m:den>
        </m:f>
        <m:r>
          <w:rPr>
            <w:rFonts w:ascii="Cambria Math" w:hAnsi="Cambria Math" w:cs="Arial"/>
            <w:color w:val="000000" w:themeColor="text1"/>
          </w:rPr>
          <m:t xml:space="preserve">) </m:t>
        </m:r>
      </m:oMath>
      <w:r w:rsidRPr="00894A44">
        <w:rPr>
          <w:rFonts w:ascii="Arial" w:hAnsi="Arial" w:cs="Arial"/>
          <w:color w:val="000000" w:themeColor="text1"/>
        </w:rPr>
        <w:t xml:space="preserve">dla poszczególnych zmiennych należy obliczać z dokładnością do trzech miejsc po przecinku. Iloczyny wskaźników cen i wag (np. </w:t>
      </w:r>
      <m:oMath>
        <m:r>
          <m:rPr>
            <m:sty m:val="b"/>
          </m:rPr>
          <w:rPr>
            <w:rFonts w:ascii="Cambria Math" w:hAnsi="Cambria Math" w:cs="Arial"/>
            <w:color w:val="000000" w:themeColor="text1"/>
          </w:rPr>
          <m:t>b</m:t>
        </m:r>
        <m:r>
          <m:rPr>
            <m:sty m:val="p"/>
          </m:rPr>
          <w:rPr>
            <w:rFonts w:ascii="Cambria Math" w:hAnsi="Cambria Math" w:cs="Arial"/>
            <w:color w:val="000000" w:themeColor="text1"/>
          </w:rPr>
          <m:t>×</m:t>
        </m:r>
        <m:sSub>
          <m:sSubPr>
            <m:ctrlPr>
              <w:rPr>
                <w:rFonts w:ascii="Cambria Math" w:hAnsi="Cambria Math" w:cs="Arial"/>
                <w:color w:val="000000" w:themeColor="text1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color w:val="000000" w:themeColor="text1"/>
              </w:rPr>
              <m:t>CPI</m:t>
            </m:r>
          </m:e>
          <m:sub>
            <m:r>
              <m:rPr>
                <m:sty m:val="b"/>
              </m:rPr>
              <w:rPr>
                <w:rFonts w:ascii="Cambria Math" w:hAnsi="Cambria Math" w:cs="Arial"/>
                <w:color w:val="000000" w:themeColor="text1"/>
              </w:rPr>
              <m:t>n</m:t>
            </m:r>
          </m:sub>
        </m:sSub>
      </m:oMath>
      <w:r w:rsidRPr="00894A44">
        <w:rPr>
          <w:rFonts w:ascii="Arial" w:hAnsi="Arial" w:cs="Arial"/>
          <w:color w:val="000000" w:themeColor="text1"/>
        </w:rPr>
        <w:t xml:space="preserve"> ) należy obliczać z dokładnością do 6 miejsc po przecinku. Natomiast wyniki tj.</w:t>
      </w:r>
      <m:oMath>
        <m:r>
          <m:rPr>
            <m:sty m:val="p"/>
          </m:rPr>
          <w:rPr>
            <w:rFonts w:ascii="Cambria Math" w:hAnsi="Cambria Math" w:cs="Arial"/>
            <w:color w:val="000000" w:themeColor="text1"/>
          </w:rPr>
          <m:t xml:space="preserve"> </m:t>
        </m:r>
        <m:sSub>
          <m:sSubPr>
            <m:ctrlPr>
              <w:rPr>
                <w:rFonts w:ascii="Cambria Math" w:hAnsi="Cambria Math" w:cs="Arial"/>
                <w:color w:val="000000" w:themeColor="text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</w:rPr>
              <m:t>k n</m:t>
            </m:r>
          </m:sub>
        </m:sSub>
      </m:oMath>
      <w:r w:rsidRPr="00894A44">
        <w:rPr>
          <w:rFonts w:ascii="Arial" w:hAnsi="Arial" w:cs="Arial"/>
          <w:color w:val="000000" w:themeColor="text1"/>
        </w:rPr>
        <w:t>,</w:t>
      </w:r>
      <m:oMath>
        <m:r>
          <m:rPr>
            <m:sty m:val="p"/>
          </m:rPr>
          <w:rPr>
            <w:rFonts w:ascii="Cambria Math" w:hAnsi="Cambria Math" w:cs="Arial"/>
            <w:color w:val="000000" w:themeColor="text1"/>
          </w:rPr>
          <m:t xml:space="preserve"> </m:t>
        </m:r>
      </m:oMath>
      <w:r w:rsidRPr="00894A44">
        <w:rPr>
          <w:rFonts w:ascii="Arial" w:hAnsi="Arial" w:cs="Arial"/>
          <w:color w:val="000000" w:themeColor="text1"/>
        </w:rPr>
        <w:t xml:space="preserve"> należy obliczać z dokładnością do 4 miejsc po przecinku. </w:t>
      </w:r>
    </w:p>
    <w:bookmarkEnd w:id="6"/>
    <w:p w14:paraId="6CE68019" w14:textId="77777777" w:rsidR="00894A44" w:rsidRPr="00894A44" w:rsidRDefault="00894A44" w:rsidP="00894A4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94A44">
        <w:rPr>
          <w:rFonts w:ascii="Arial" w:hAnsi="Arial" w:cs="Arial"/>
          <w:color w:val="000000" w:themeColor="text1"/>
        </w:rPr>
        <w:br/>
        <w:t xml:space="preserve">Z powodu braku aktualnego wskaźnika waloryzacji (publikacja wskaźników w biuletynach GUS odbywa się z opóźnieniem) waloryzacja z bieżącego okresu rozliczeniowego zostanie wyliczona ostatecznie, gdy Prezes GUS ogłosi wskaźniki cen dla danego miesiąca objętego rozliczeniem wynagrodzenia Wykonawcy. Występując o rozliczenie wynagrodzenia za dany miesiąc realizacji świadczeń, Wykonawca obliczy wstępne wartości zwaloryzowanych kwot dla świadczeń zrealizowanych w każdym miesiącu, używając ostatnich z wyliczonych wskaźników waloryzacji. </w:t>
      </w:r>
      <w:r w:rsidRPr="00894A44">
        <w:rPr>
          <w:rFonts w:ascii="Arial" w:hAnsi="Arial" w:cs="Arial"/>
          <w:color w:val="000000" w:themeColor="text1"/>
        </w:rPr>
        <w:lastRenderedPageBreak/>
        <w:t xml:space="preserve">Ustalone w ten sposób wartości będą skorygowane z zastosowaniem wskaźnika waloryzacji właściwego dla miesiąca którego dotyczyło dane rozliczenie wynagrodzenia Wykonawcy, niezwłocznie po ich publikacji. </w:t>
      </w:r>
    </w:p>
    <w:p w14:paraId="61CD2475" w14:textId="77777777" w:rsidR="00894A44" w:rsidRPr="00894A44" w:rsidRDefault="00894A44" w:rsidP="00894A4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94A44">
        <w:rPr>
          <w:rFonts w:ascii="Arial" w:hAnsi="Arial" w:cs="Arial"/>
          <w:color w:val="000000" w:themeColor="text1"/>
        </w:rPr>
        <w:t>W sytuacji gdy rozliczenie wynagrodzenia Wykonawcy będzie dotyczyło okresu rozliczeniowego w skład którego będą wchodziły dwa lub więcej miesięcy, należy przyjmować średnią arytmetyczną ze wskaźników waloryzacji wyliczonych dla kolejnych miesięcy objętych okresem rozliczeniowym.</w:t>
      </w:r>
    </w:p>
    <w:p w14:paraId="48BCD86D" w14:textId="77777777" w:rsidR="00037153" w:rsidRDefault="00037153" w:rsidP="00037153">
      <w:pPr>
        <w:pStyle w:val="numerowanie"/>
        <w:spacing w:after="240" w:line="360" w:lineRule="auto"/>
        <w:rPr>
          <w:sz w:val="22"/>
          <w:szCs w:val="22"/>
        </w:rPr>
      </w:pPr>
      <w:r w:rsidRPr="00894A44">
        <w:rPr>
          <w:sz w:val="22"/>
          <w:szCs w:val="22"/>
        </w:rPr>
        <w:t xml:space="preserve">Jeżeli wynagrodzenie Wykonawcy zostanie zwaloryzowane zgodnie z art. 439 ust. 1-3 ustawy </w:t>
      </w:r>
      <w:proofErr w:type="spellStart"/>
      <w:r w:rsidRPr="00894A44">
        <w:rPr>
          <w:sz w:val="22"/>
          <w:szCs w:val="22"/>
        </w:rPr>
        <w:t>P</w:t>
      </w:r>
      <w:r>
        <w:rPr>
          <w:sz w:val="22"/>
          <w:szCs w:val="22"/>
        </w:rPr>
        <w:t>zp</w:t>
      </w:r>
      <w:proofErr w:type="spellEnd"/>
      <w:r w:rsidRPr="00894A44">
        <w:rPr>
          <w:sz w:val="22"/>
          <w:szCs w:val="22"/>
        </w:rPr>
        <w:t xml:space="preserve">, Wykonawca zobowiązany jest do zmiany wynagrodzenia przysługującego Podwykonawcy i odpowiednio Podwykonawca dalszemu Podwykonawcy, z którym zawarł umowę, jeżeli łącznie spełnione są następujące warunki: przedmiotem umowy są roboty budowlane, dostawy lub usługi oraz okres obowiązywania umowy </w:t>
      </w:r>
      <w:r w:rsidRPr="00BA3CDE">
        <w:rPr>
          <w:sz w:val="22"/>
          <w:szCs w:val="22"/>
        </w:rPr>
        <w:t>wraz z aneksami</w:t>
      </w:r>
      <w:r w:rsidRPr="00894A44">
        <w:rPr>
          <w:sz w:val="22"/>
          <w:szCs w:val="22"/>
        </w:rPr>
        <w:t xml:space="preserve"> przekracza 6 miesięcy. Waloryzacja będzie się odbywać na analogicznych zasadach jak waloryzacja wynagrodzenia Wykonawcy</w:t>
      </w:r>
      <w:r>
        <w:rPr>
          <w:sz w:val="22"/>
          <w:szCs w:val="22"/>
        </w:rPr>
        <w:t xml:space="preserve"> </w:t>
      </w:r>
      <w:r w:rsidRPr="00894A44">
        <w:rPr>
          <w:sz w:val="22"/>
          <w:szCs w:val="22"/>
        </w:rPr>
        <w:t xml:space="preserve">z zastrzeżeniem, że wskaźniki waloryzacji wynagrodzenia będą kalkulowane w odniesieniu do dnia zawarcia umowy pomiędzy Wykonawcą a Podwykonawcą, lub Podwykonawcą, a dalszym Podwykonawcą. </w:t>
      </w:r>
    </w:p>
    <w:p w14:paraId="489A9C21" w14:textId="77777777" w:rsidR="00037153" w:rsidRDefault="00037153" w:rsidP="0049196F">
      <w:pPr>
        <w:spacing w:line="360" w:lineRule="auto"/>
        <w:jc w:val="both"/>
      </w:pPr>
    </w:p>
    <w:p w14:paraId="5F0F5DC6" w14:textId="6B8D5E0D" w:rsidR="00BC4F70" w:rsidRDefault="00BC4F70" w:rsidP="00894A44"/>
    <w:p w14:paraId="295E12DC" w14:textId="213B5397" w:rsidR="00BC4F70" w:rsidRDefault="00BC4F70" w:rsidP="00894A44"/>
    <w:p w14:paraId="7C027EB3" w14:textId="6A100541" w:rsidR="00BC4F70" w:rsidRDefault="00BC4F70" w:rsidP="00894A44"/>
    <w:p w14:paraId="03A67798" w14:textId="0BDB2ED4" w:rsidR="00BC4F70" w:rsidRDefault="00BC4F70" w:rsidP="00894A44"/>
    <w:p w14:paraId="72A031EF" w14:textId="0930FD64" w:rsidR="00BC4F70" w:rsidRDefault="00BC4F70" w:rsidP="00894A44"/>
    <w:p w14:paraId="3775A88A" w14:textId="193DF235" w:rsidR="00BC4F70" w:rsidRDefault="00BC4F70" w:rsidP="00894A44"/>
    <w:p w14:paraId="78819C5D" w14:textId="28992228" w:rsidR="00BC4F70" w:rsidRDefault="00BC4F70" w:rsidP="00894A44"/>
    <w:p w14:paraId="15C02F87" w14:textId="654187C0" w:rsidR="00BC4F70" w:rsidRDefault="00BC4F70" w:rsidP="00894A44"/>
    <w:p w14:paraId="1E01AF3D" w14:textId="346BF51F" w:rsidR="00BC4F70" w:rsidRDefault="00BC4F70" w:rsidP="00894A44"/>
    <w:p w14:paraId="2CA77DDB" w14:textId="7C03A606" w:rsidR="00BC4F70" w:rsidRDefault="00BC4F70" w:rsidP="00894A44"/>
    <w:p w14:paraId="33051CDB" w14:textId="0DA5DBBD" w:rsidR="00BC4F70" w:rsidRDefault="00BC4F70" w:rsidP="00894A44"/>
    <w:p w14:paraId="2EEBA71F" w14:textId="74AEADF2" w:rsidR="00BC4F70" w:rsidRDefault="00BC4F70" w:rsidP="00894A44"/>
    <w:p w14:paraId="6C540DD4" w14:textId="5FC49DA8" w:rsidR="00BC4F70" w:rsidRDefault="00BC4F70" w:rsidP="00894A44"/>
    <w:p w14:paraId="14E120F5" w14:textId="0BBD3131" w:rsidR="00BC4F70" w:rsidRDefault="00BC4F70" w:rsidP="00894A44"/>
    <w:p w14:paraId="7414CCE2" w14:textId="04C80DE9" w:rsidR="00BC4F70" w:rsidRDefault="00BC4F70" w:rsidP="00894A44"/>
    <w:p w14:paraId="250DE8CC" w14:textId="77777777" w:rsidR="00BC4F70" w:rsidRDefault="00BC4F70" w:rsidP="00BC4F70">
      <w:pPr>
        <w:pStyle w:val="Tekstpodstawowy"/>
        <w:spacing w:before="0" w:after="0" w:line="288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7" w:name="_Hlk118434995"/>
    </w:p>
    <w:p w14:paraId="2E85177C" w14:textId="110D67EA" w:rsidR="00894A44" w:rsidRPr="00BC4F70" w:rsidRDefault="00894A44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 w:after="0" w:line="288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BC4F70">
        <w:rPr>
          <w:rFonts w:ascii="Arial" w:hAnsi="Arial" w:cs="Arial"/>
          <w:b/>
          <w:bCs/>
          <w:color w:val="000000" w:themeColor="text1"/>
        </w:rPr>
        <w:lastRenderedPageBreak/>
        <w:t xml:space="preserve">Klauzula waloryzacyjna w umowach </w:t>
      </w:r>
      <w:r w:rsidRPr="00BC4F70">
        <w:rPr>
          <w:rFonts w:ascii="Arial" w:hAnsi="Arial" w:cs="Arial"/>
          <w:b/>
          <w:bCs/>
          <w:color w:val="000000" w:themeColor="text1"/>
        </w:rPr>
        <w:br/>
        <w:t>przygotowanych w oparciu o Warunki Kontraktowe FIDIC,</w:t>
      </w:r>
    </w:p>
    <w:p w14:paraId="42E2C0E5" w14:textId="77777777" w:rsidR="00894A44" w:rsidRPr="00BC4F70" w:rsidRDefault="00894A44" w:rsidP="00894A4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before="0" w:after="0" w:line="288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BC4F70">
        <w:rPr>
          <w:rFonts w:ascii="Arial" w:hAnsi="Arial" w:cs="Arial"/>
          <w:b/>
          <w:bCs/>
          <w:color w:val="000000" w:themeColor="text1"/>
        </w:rPr>
        <w:t>stosowana przez Generalną Dyrekcję Dróg Krajowych i Autostrad dla kontraktów realizowanych w systemie “projektuj i buduj”</w:t>
      </w:r>
    </w:p>
    <w:bookmarkEnd w:id="7"/>
    <w:p w14:paraId="100EEAA9" w14:textId="77777777" w:rsidR="00894A44" w:rsidRPr="00D426F9" w:rsidRDefault="00894A44" w:rsidP="00D426F9">
      <w:pPr>
        <w:pStyle w:val="Tekstpodstawowy"/>
        <w:spacing w:before="24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426F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Korekty wynikające ze zmian w Koszcie  </w:t>
      </w:r>
    </w:p>
    <w:p w14:paraId="50A7ECB3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  <w:r w:rsidRPr="00D426F9">
        <w:rPr>
          <w:color w:val="000000" w:themeColor="text1"/>
          <w:sz w:val="22"/>
          <w:szCs w:val="22"/>
        </w:rPr>
        <w:t>I. Waloryzacja</w:t>
      </w:r>
    </w:p>
    <w:p w14:paraId="40EE3362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  <w:r w:rsidRPr="00D426F9">
        <w:rPr>
          <w:color w:val="000000" w:themeColor="text1"/>
          <w:sz w:val="22"/>
          <w:szCs w:val="22"/>
        </w:rPr>
        <w:t>Kwoty płatne Wykonawcy na podstawie Subklauzuli 14.3 [Występowanie o Przejściowe Płatności] podpunkt (i) oraz podpunkt (v) będą korygowane dla oddania wzrostów lub spadków cen zgodnie z niniejszą Subklauzulą. W zakresie, w jakim rekompensata za wzrost lub spadek cen, nie jest objęta postanowieniami niniejszej lub innych Klauzul, będzie się uważało, że Zaakceptowana Kwota Kontraktowa uwzględnia wzrosty lub spadki cen.</w:t>
      </w:r>
    </w:p>
    <w:p w14:paraId="0D361CE2" w14:textId="22EBFA65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  <w:r w:rsidRPr="00D426F9">
        <w:rPr>
          <w:color w:val="000000" w:themeColor="text1"/>
          <w:sz w:val="22"/>
          <w:szCs w:val="22"/>
        </w:rPr>
        <w:t xml:space="preserve">Waloryzacji – zgodnie z postanowieniami niniejszej Subklauzuli - nie podlegają wartości </w:t>
      </w:r>
      <w:r w:rsidR="009F7501" w:rsidRPr="00D426F9">
        <w:rPr>
          <w:color w:val="000000" w:themeColor="text1"/>
          <w:sz w:val="22"/>
          <w:szCs w:val="22"/>
        </w:rPr>
        <w:t>wprowadzone do</w:t>
      </w:r>
      <w:r w:rsidRPr="00D426F9">
        <w:rPr>
          <w:color w:val="000000" w:themeColor="text1"/>
          <w:sz w:val="22"/>
          <w:szCs w:val="22"/>
        </w:rPr>
        <w:t xml:space="preserve"> Kontraktu na podstawie Subklauzuli 20.1 [</w:t>
      </w:r>
      <w:r w:rsidRPr="00D426F9">
        <w:rPr>
          <w:rStyle w:val="TeksttreciKursywa"/>
          <w:color w:val="000000" w:themeColor="text1"/>
          <w:sz w:val="22"/>
          <w:szCs w:val="22"/>
        </w:rPr>
        <w:t>Roszczenia Wykonawcy</w:t>
      </w:r>
      <w:r w:rsidRPr="00D426F9">
        <w:rPr>
          <w:color w:val="000000" w:themeColor="text1"/>
          <w:sz w:val="22"/>
          <w:szCs w:val="22"/>
        </w:rPr>
        <w:t>] niniejszych Warunków Kontraktu.</w:t>
      </w:r>
    </w:p>
    <w:p w14:paraId="6FFEBB40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1A628C73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  <w:r w:rsidRPr="00D426F9">
        <w:rPr>
          <w:color w:val="000000" w:themeColor="text1"/>
          <w:sz w:val="22"/>
          <w:szCs w:val="22"/>
        </w:rPr>
        <w:t>Waloryzacja będzie się odbywać w oparciu o podane w niniejszej Subklauzuli wskaźniki</w:t>
      </w:r>
      <w:r w:rsidRPr="00D426F9">
        <w:rPr>
          <w:rStyle w:val="Odwoanieprzypisudolnego"/>
          <w:color w:val="000000" w:themeColor="text1"/>
          <w:sz w:val="22"/>
          <w:szCs w:val="22"/>
        </w:rPr>
        <w:footnoteReference w:id="12"/>
      </w:r>
      <w:r w:rsidRPr="00D426F9">
        <w:rPr>
          <w:color w:val="000000" w:themeColor="text1"/>
          <w:sz w:val="22"/>
          <w:szCs w:val="22"/>
        </w:rPr>
        <w:t xml:space="preserve"> cen wyrobów publikowane przez Prezesa Głównego Urzędu Statystycznego, zwanego dalej Prezesem GUS w Dziedzinowej Bazie Wiedzy: </w:t>
      </w:r>
    </w:p>
    <w:p w14:paraId="51B2D78A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5503B913" w14:textId="77777777" w:rsidR="00894A44" w:rsidRPr="00D426F9" w:rsidRDefault="00894A44" w:rsidP="00D426F9">
      <w:pPr>
        <w:pStyle w:val="numerowanie"/>
        <w:numPr>
          <w:ilvl w:val="0"/>
          <w:numId w:val="1"/>
        </w:numPr>
        <w:spacing w:line="360" w:lineRule="auto"/>
        <w:rPr>
          <w:rFonts w:eastAsia="Times New Roman"/>
          <w:color w:val="000000" w:themeColor="text1"/>
          <w:sz w:val="22"/>
          <w:szCs w:val="22"/>
        </w:rPr>
      </w:pPr>
      <w:r w:rsidRPr="00D426F9">
        <w:rPr>
          <w:rFonts w:eastAsia="Times New Roman"/>
          <w:color w:val="000000" w:themeColor="text1"/>
          <w:sz w:val="22"/>
          <w:szCs w:val="22"/>
        </w:rPr>
        <w:t>Wskaźnik P - symbol 19.2 według PKWIU Brykiety, brykietki i podobne paliwa stałe z węgla i torfu oraz produkty rafinacji ropy naftowej (jako paliwo),</w:t>
      </w:r>
    </w:p>
    <w:p w14:paraId="0ADFF5FB" w14:textId="77777777" w:rsidR="00894A44" w:rsidRPr="00D426F9" w:rsidRDefault="00894A44" w:rsidP="00D426F9">
      <w:pPr>
        <w:pStyle w:val="numerowanie"/>
        <w:numPr>
          <w:ilvl w:val="0"/>
          <w:numId w:val="1"/>
        </w:numPr>
        <w:spacing w:line="360" w:lineRule="auto"/>
        <w:rPr>
          <w:rFonts w:eastAsia="Times New Roman"/>
          <w:color w:val="000000" w:themeColor="text1"/>
          <w:sz w:val="22"/>
          <w:szCs w:val="22"/>
        </w:rPr>
      </w:pPr>
      <w:r w:rsidRPr="00D426F9">
        <w:rPr>
          <w:rFonts w:eastAsia="Times New Roman"/>
          <w:color w:val="000000" w:themeColor="text1"/>
          <w:sz w:val="22"/>
          <w:szCs w:val="22"/>
        </w:rPr>
        <w:t>Wskaźnik C – symbol 23.5 według PKWIU Cement, wapno i gips (jako cement,)</w:t>
      </w:r>
    </w:p>
    <w:p w14:paraId="4CEC5D1F" w14:textId="77777777" w:rsidR="00894A44" w:rsidRPr="00D426F9" w:rsidRDefault="00894A44" w:rsidP="00D426F9">
      <w:pPr>
        <w:pStyle w:val="numerowanie"/>
        <w:numPr>
          <w:ilvl w:val="0"/>
          <w:numId w:val="1"/>
        </w:numPr>
        <w:spacing w:line="360" w:lineRule="auto"/>
        <w:rPr>
          <w:rFonts w:eastAsia="Times New Roman"/>
          <w:color w:val="000000" w:themeColor="text1"/>
          <w:sz w:val="22"/>
          <w:szCs w:val="22"/>
        </w:rPr>
      </w:pPr>
      <w:r w:rsidRPr="00D426F9">
        <w:rPr>
          <w:rFonts w:eastAsia="Times New Roman"/>
          <w:color w:val="000000" w:themeColor="text1"/>
          <w:sz w:val="22"/>
          <w:szCs w:val="22"/>
        </w:rPr>
        <w:t>Wskaźnik A – symbol 08.9 według PKWIU Produkty górnictwa i wydobywania, gdzie indziej niesklasyfikowanych (jako asfalt),</w:t>
      </w:r>
    </w:p>
    <w:p w14:paraId="22BD5E48" w14:textId="77777777" w:rsidR="00894A44" w:rsidRPr="00D426F9" w:rsidRDefault="00894A44" w:rsidP="00D426F9">
      <w:pPr>
        <w:pStyle w:val="numerowanie"/>
        <w:numPr>
          <w:ilvl w:val="0"/>
          <w:numId w:val="1"/>
        </w:numPr>
        <w:spacing w:line="360" w:lineRule="auto"/>
        <w:rPr>
          <w:rFonts w:eastAsia="Times New Roman"/>
          <w:color w:val="000000" w:themeColor="text1"/>
          <w:sz w:val="22"/>
          <w:szCs w:val="22"/>
        </w:rPr>
      </w:pPr>
      <w:r w:rsidRPr="00D426F9">
        <w:rPr>
          <w:rFonts w:eastAsia="Times New Roman"/>
          <w:color w:val="000000" w:themeColor="text1"/>
          <w:sz w:val="22"/>
          <w:szCs w:val="22"/>
        </w:rPr>
        <w:t>Wskaźnik S – symbol 24.1 według PKWIU Żeliwo, stal i żelazostopy (jako stal),</w:t>
      </w:r>
    </w:p>
    <w:p w14:paraId="55D6B8D6" w14:textId="77777777" w:rsidR="00894A44" w:rsidRPr="00D426F9" w:rsidRDefault="00894A44" w:rsidP="00D426F9">
      <w:pPr>
        <w:pStyle w:val="numerowanie"/>
        <w:numPr>
          <w:ilvl w:val="0"/>
          <w:numId w:val="1"/>
        </w:numPr>
        <w:spacing w:line="360" w:lineRule="auto"/>
        <w:rPr>
          <w:rFonts w:eastAsia="Times New Roman"/>
          <w:color w:val="000000" w:themeColor="text1"/>
          <w:sz w:val="22"/>
          <w:szCs w:val="22"/>
        </w:rPr>
      </w:pPr>
      <w:r w:rsidRPr="00D426F9">
        <w:rPr>
          <w:rFonts w:eastAsia="Times New Roman"/>
          <w:color w:val="000000" w:themeColor="text1"/>
          <w:sz w:val="22"/>
          <w:szCs w:val="22"/>
        </w:rPr>
        <w:t>Wskaźnik K - symbol 08.1 według PKWIU Kamienia, piasku i gliny (jako kruszywo),</w:t>
      </w:r>
    </w:p>
    <w:p w14:paraId="297DCAED" w14:textId="77777777" w:rsidR="00894A44" w:rsidRPr="00D426F9" w:rsidRDefault="00894A44" w:rsidP="00D426F9">
      <w:pPr>
        <w:pStyle w:val="numerowanie"/>
        <w:numPr>
          <w:ilvl w:val="0"/>
          <w:numId w:val="1"/>
        </w:numPr>
        <w:spacing w:line="360" w:lineRule="auto"/>
        <w:rPr>
          <w:rFonts w:eastAsia="Times New Roman"/>
          <w:color w:val="000000" w:themeColor="text1"/>
          <w:sz w:val="22"/>
          <w:szCs w:val="22"/>
        </w:rPr>
      </w:pPr>
      <w:r w:rsidRPr="00D426F9">
        <w:rPr>
          <w:rFonts w:eastAsia="Times New Roman"/>
          <w:color w:val="000000" w:themeColor="text1"/>
          <w:sz w:val="22"/>
          <w:szCs w:val="22"/>
        </w:rPr>
        <w:t>Wskaźnik CPI - Cen towarów i usług konsumpcyjnych (jako CPI),</w:t>
      </w:r>
    </w:p>
    <w:p w14:paraId="59DEB020" w14:textId="77777777" w:rsidR="00894A44" w:rsidRPr="00D426F9" w:rsidRDefault="00894A44" w:rsidP="00D426F9">
      <w:pPr>
        <w:pStyle w:val="numerowanie"/>
        <w:numPr>
          <w:ilvl w:val="0"/>
          <w:numId w:val="1"/>
        </w:numPr>
        <w:spacing w:line="360" w:lineRule="auto"/>
        <w:rPr>
          <w:rFonts w:eastAsia="Times New Roman"/>
          <w:color w:val="000000" w:themeColor="text1"/>
          <w:sz w:val="22"/>
          <w:szCs w:val="22"/>
        </w:rPr>
      </w:pPr>
      <w:r w:rsidRPr="00D426F9">
        <w:rPr>
          <w:rFonts w:eastAsia="Times New Roman"/>
          <w:color w:val="000000" w:themeColor="text1"/>
          <w:sz w:val="22"/>
          <w:szCs w:val="22"/>
        </w:rPr>
        <w:t>Wskaźnik R – symbol 42 zgodnie z klasyfikacją PKD przeciętne wynagrodzenie miesięczne brutto w sektorze przedsiębiorstw - budowa obiektów inżynierii lądowej i wodnej (jako robocizna),</w:t>
      </w:r>
    </w:p>
    <w:p w14:paraId="4F17A726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  <w:r w:rsidRPr="00D426F9">
        <w:rPr>
          <w:color w:val="000000" w:themeColor="text1"/>
          <w:sz w:val="22"/>
          <w:szCs w:val="22"/>
        </w:rPr>
        <w:br/>
        <w:t>W przypadku, gdyby te wskaźniki przestały być dostępne, zastosowanie znajdą inne, najbardziej zbliżone, wskaźniki publikowane przez Prezesa GUS.</w:t>
      </w:r>
    </w:p>
    <w:p w14:paraId="59742961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58646081" w14:textId="42FD7B0E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  <w:r w:rsidRPr="00D426F9">
        <w:rPr>
          <w:color w:val="000000" w:themeColor="text1"/>
          <w:sz w:val="22"/>
          <w:szCs w:val="22"/>
        </w:rPr>
        <w:lastRenderedPageBreak/>
        <w:t>Kwoty płatne Wykonawcy na podstawie Subklauzuli 14.3 [Występowanie o Przejściowe Płatności] podpunkt (i) oraz podpunkt (v) będą waloryzowane miesięcznie począwszy od pierwszego Przejściowego Świadectwa Płatności wystawionego po …… miesiącach</w:t>
      </w:r>
      <w:r w:rsidRPr="00D426F9">
        <w:rPr>
          <w:rStyle w:val="Odwoanieprzypisudolnego"/>
          <w:color w:val="000000" w:themeColor="text1"/>
          <w:sz w:val="22"/>
          <w:szCs w:val="22"/>
        </w:rPr>
        <w:footnoteReference w:id="13"/>
      </w:r>
      <w:r w:rsidRPr="00D426F9">
        <w:rPr>
          <w:color w:val="000000" w:themeColor="text1"/>
          <w:sz w:val="22"/>
          <w:szCs w:val="22"/>
        </w:rPr>
        <w:t xml:space="preserve"> od Daty rozpoczęcia do wystawienia Przejściowego Świadectwa Płatności, w którym łączna wartość korekt dla oddania wzrostu lub spadku cen, wynikających z niniejszej Subklauzuli, osiągnie limit +/- ……%</w:t>
      </w:r>
      <w:r w:rsidRPr="00D426F9">
        <w:rPr>
          <w:rStyle w:val="Odwoanieprzypisudolnego"/>
          <w:color w:val="000000" w:themeColor="text1"/>
          <w:sz w:val="22"/>
          <w:szCs w:val="22"/>
        </w:rPr>
        <w:footnoteReference w:id="14"/>
      </w:r>
      <w:r w:rsidRPr="00D426F9">
        <w:rPr>
          <w:color w:val="000000" w:themeColor="text1"/>
          <w:sz w:val="22"/>
          <w:szCs w:val="22"/>
        </w:rPr>
        <w:t xml:space="preserve"> Zaakceptowanej Kwoty Kontraktowej netto. Waloryzacji będą podlegać jedynie kwoty poświadczone w Przejściowych Świadectwach Płatności wystawionych za okresy rozliczeniowe mieszczące </w:t>
      </w:r>
      <w:r w:rsidR="009F7501" w:rsidRPr="00D426F9">
        <w:rPr>
          <w:color w:val="000000" w:themeColor="text1"/>
          <w:sz w:val="22"/>
          <w:szCs w:val="22"/>
        </w:rPr>
        <w:t>się w</w:t>
      </w:r>
      <w:r w:rsidRPr="00D426F9">
        <w:rPr>
          <w:color w:val="000000" w:themeColor="text1"/>
          <w:sz w:val="22"/>
          <w:szCs w:val="22"/>
        </w:rPr>
        <w:t xml:space="preserve"> Czasie na Ukończenie. Od  </w:t>
      </w:r>
      <w:r w:rsidRPr="00D426F9">
        <w:rPr>
          <w:rStyle w:val="Odwoanieprzypisudolnego"/>
          <w:color w:val="000000" w:themeColor="text1"/>
          <w:sz w:val="22"/>
          <w:szCs w:val="22"/>
        </w:rPr>
        <w:footnoteReference w:id="15"/>
      </w:r>
      <w:r w:rsidRPr="00D426F9">
        <w:rPr>
          <w:color w:val="000000" w:themeColor="text1"/>
          <w:sz w:val="22"/>
          <w:szCs w:val="22"/>
        </w:rPr>
        <w:t xml:space="preserve"> dnia przed upływem Czasu na Ukończenie waloryzacja będzie dokonywana przy zastosowaniu wskaźników obowiązujących na </w:t>
      </w:r>
      <w:r w:rsidRPr="00D426F9">
        <w:rPr>
          <w:rStyle w:val="Odwoanieprzypisudolnego"/>
          <w:color w:val="000000" w:themeColor="text1"/>
          <w:sz w:val="22"/>
          <w:szCs w:val="22"/>
        </w:rPr>
        <w:footnoteReference w:id="16"/>
      </w:r>
      <w:r w:rsidRPr="00D426F9">
        <w:rPr>
          <w:color w:val="000000" w:themeColor="text1"/>
          <w:sz w:val="22"/>
          <w:szCs w:val="22"/>
        </w:rPr>
        <w:t xml:space="preserve"> dni przed upływem Czasu na Ukończenie i pochodzących z tego samego miesiąca.  Po tym terminie wskaźniki z tabeli Koszyk waloryzacyjny nie będą podlegały dalszym zmianom. Kwoty płatne Wykonawcy podlegać będą waloryzacji o Współczynnik zmiany cen (W</w:t>
      </w:r>
      <w:r w:rsidRPr="00D426F9">
        <w:rPr>
          <w:color w:val="000000" w:themeColor="text1"/>
          <w:spacing w:val="0"/>
          <w:sz w:val="22"/>
          <w:szCs w:val="22"/>
          <w:vertAlign w:val="subscript"/>
          <w:lang w:eastAsia="en-US"/>
        </w:rPr>
        <w:t>n</w:t>
      </w:r>
      <w:r w:rsidRPr="00D426F9">
        <w:rPr>
          <w:color w:val="000000" w:themeColor="text1"/>
          <w:sz w:val="22"/>
          <w:szCs w:val="22"/>
        </w:rPr>
        <w:t>) wyliczony według wzoru:</w:t>
      </w:r>
    </w:p>
    <w:p w14:paraId="1DD70EC8" w14:textId="77777777" w:rsidR="00894A44" w:rsidRPr="00D426F9" w:rsidRDefault="00000000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W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=</m:t>
          </m:r>
          <m:r>
            <m:rPr>
              <m:sty m:val="b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a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+</m:t>
          </m:r>
          <m:r>
            <m:rPr>
              <m:sty m:val="b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b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CPI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CPI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o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+</m:t>
          </m:r>
          <m:r>
            <m:rPr>
              <m:sty m:val="b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c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o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+</m:t>
          </m:r>
          <m:r>
            <m:rPr>
              <m:sty m:val="b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d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R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R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o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+</m:t>
          </m:r>
          <m:r>
            <m:rPr>
              <m:sty m:val="b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e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o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+</m:t>
          </m:r>
          <m:r>
            <m:rPr>
              <m:sty m:val="b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f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o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+</m:t>
          </m:r>
          <m:r>
            <m:rPr>
              <m:sty m:val="b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g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S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S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o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+</m:t>
          </m:r>
          <m:r>
            <m:rPr>
              <m:sty m:val="b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h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o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w:br/>
          </m:r>
        </m:oMath>
      </m:oMathPara>
      <w:r w:rsidR="00894A44" w:rsidRPr="00D426F9">
        <w:rPr>
          <w:color w:val="000000" w:themeColor="text1"/>
          <w:sz w:val="22"/>
          <w:szCs w:val="22"/>
        </w:rPr>
        <w:t>gdzie:</w:t>
      </w:r>
    </w:p>
    <w:p w14:paraId="5E5EC0EE" w14:textId="77777777" w:rsidR="00894A44" w:rsidRPr="00D426F9" w:rsidRDefault="00894A44" w:rsidP="00D426F9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741C6617" w14:textId="77777777" w:rsidR="00894A44" w:rsidRPr="00D426F9" w:rsidRDefault="00894A44" w:rsidP="00D426F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426F9">
        <w:rPr>
          <w:rFonts w:ascii="Arial" w:hAnsi="Arial" w:cs="Arial"/>
          <w:b/>
          <w:bCs/>
          <w:color w:val="000000" w:themeColor="text1"/>
        </w:rPr>
        <w:t>„W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D426F9">
        <w:rPr>
          <w:rFonts w:ascii="Arial" w:hAnsi="Arial" w:cs="Arial"/>
          <w:b/>
          <w:bCs/>
          <w:color w:val="000000" w:themeColor="text1"/>
        </w:rPr>
        <w:t>"</w:t>
      </w:r>
      <w:r w:rsidRPr="00D426F9">
        <w:rPr>
          <w:rFonts w:ascii="Arial" w:hAnsi="Arial" w:cs="Arial"/>
          <w:color w:val="000000" w:themeColor="text1"/>
        </w:rPr>
        <w:t xml:space="preserve"> jest mnożnikiem korygującym, obliczanym na podstawie wzoru powyżej, do zastosowania w stosunku do wszystkich kwot;</w:t>
      </w:r>
    </w:p>
    <w:p w14:paraId="1AF29319" w14:textId="77777777" w:rsidR="00894A44" w:rsidRPr="00D426F9" w:rsidRDefault="00894A44" w:rsidP="00D426F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426F9">
        <w:rPr>
          <w:rFonts w:ascii="Arial" w:hAnsi="Arial" w:cs="Arial"/>
          <w:b/>
          <w:bCs/>
          <w:color w:val="000000" w:themeColor="text1"/>
        </w:rPr>
        <w:t>„a"</w:t>
      </w:r>
      <w:r w:rsidRPr="00D426F9">
        <w:rPr>
          <w:rFonts w:ascii="Arial" w:hAnsi="Arial" w:cs="Arial"/>
          <w:color w:val="000000" w:themeColor="text1"/>
        </w:rPr>
        <w:t xml:space="preserve"> jest stałym współczynnikiem o wartości: ……</w:t>
      </w:r>
      <w:r w:rsidRPr="00D426F9">
        <w:rPr>
          <w:rStyle w:val="Odwoanieprzypisudolnego"/>
          <w:rFonts w:ascii="Arial" w:hAnsi="Arial" w:cs="Arial"/>
          <w:color w:val="000000" w:themeColor="text1"/>
        </w:rPr>
        <w:footnoteReference w:id="17"/>
      </w:r>
    </w:p>
    <w:p w14:paraId="4EA4ED5F" w14:textId="77777777" w:rsidR="00894A44" w:rsidRPr="00D426F9" w:rsidRDefault="00894A44" w:rsidP="00D426F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426F9">
        <w:rPr>
          <w:rFonts w:ascii="Arial" w:hAnsi="Arial" w:cs="Arial"/>
          <w:b/>
          <w:bCs/>
          <w:color w:val="000000" w:themeColor="text1"/>
        </w:rPr>
        <w:t>„b", „c", „d", „e”, „f”, „g”, „h”</w:t>
      </w:r>
      <w:r w:rsidRPr="00D426F9">
        <w:rPr>
          <w:rFonts w:ascii="Arial" w:hAnsi="Arial" w:cs="Arial"/>
          <w:color w:val="000000" w:themeColor="text1"/>
        </w:rPr>
        <w:t xml:space="preserve"> są wagami stałymi określonymi w tabeli Koszyk waloryzacyjny; z zastrzeżeniem sytuacji gdy Zamawiający stanie się dostawcą któregokolwiek z Elementów robót ujętych w tabeli Koszyk waloryzacyjny, wówczas waga tego elementu zostanie przyjęta jako „0” w wzorze na W</w:t>
      </w:r>
      <w:r w:rsidRPr="00D426F9">
        <w:rPr>
          <w:rFonts w:ascii="Arial" w:hAnsi="Arial" w:cs="Arial"/>
          <w:color w:val="000000" w:themeColor="text1"/>
          <w:vertAlign w:val="subscript"/>
        </w:rPr>
        <w:t>n</w:t>
      </w:r>
      <w:r w:rsidRPr="00D426F9">
        <w:rPr>
          <w:rFonts w:ascii="Arial" w:hAnsi="Arial" w:cs="Arial"/>
          <w:color w:val="000000" w:themeColor="text1"/>
        </w:rPr>
        <w:t>. W takim przypadku waga CPI zostanie powiększona o wartość wagi, która została przyjęta jako „0”, tak aby suma wartości wszystkich wag z Koszyka waloryzacji wynosiła …..</w:t>
      </w:r>
      <w:r w:rsidRPr="00D426F9">
        <w:rPr>
          <w:rStyle w:val="Odwoanieprzypisudolnego"/>
          <w:rFonts w:ascii="Arial" w:hAnsi="Arial" w:cs="Arial"/>
          <w:color w:val="000000" w:themeColor="text1"/>
        </w:rPr>
        <w:footnoteReference w:id="18"/>
      </w:r>
      <w:r w:rsidRPr="00D426F9">
        <w:rPr>
          <w:rFonts w:ascii="Arial" w:hAnsi="Arial" w:cs="Arial"/>
          <w:color w:val="000000" w:themeColor="text1"/>
        </w:rPr>
        <w:t xml:space="preserve">.  </w:t>
      </w:r>
    </w:p>
    <w:p w14:paraId="4D7E8EF2" w14:textId="77777777" w:rsidR="00894A44" w:rsidRPr="00D426F9" w:rsidRDefault="00894A44" w:rsidP="00D426F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426F9">
        <w:rPr>
          <w:rFonts w:ascii="Arial" w:hAnsi="Arial" w:cs="Arial"/>
          <w:b/>
          <w:bCs/>
          <w:color w:val="000000" w:themeColor="text1"/>
        </w:rPr>
        <w:t>„CPI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D426F9">
        <w:rPr>
          <w:rFonts w:ascii="Arial" w:hAnsi="Arial" w:cs="Arial"/>
          <w:b/>
          <w:bCs/>
          <w:color w:val="000000" w:themeColor="text1"/>
        </w:rPr>
        <w:t>", „P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D426F9">
        <w:rPr>
          <w:rFonts w:ascii="Arial" w:hAnsi="Arial" w:cs="Arial"/>
          <w:b/>
          <w:bCs/>
          <w:color w:val="000000" w:themeColor="text1"/>
        </w:rPr>
        <w:t>", „R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D426F9">
        <w:rPr>
          <w:rFonts w:ascii="Arial" w:hAnsi="Arial" w:cs="Arial"/>
          <w:b/>
          <w:bCs/>
          <w:color w:val="000000" w:themeColor="text1"/>
        </w:rPr>
        <w:t>", „C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D426F9">
        <w:rPr>
          <w:rFonts w:ascii="Arial" w:hAnsi="Arial" w:cs="Arial"/>
          <w:b/>
          <w:bCs/>
          <w:color w:val="000000" w:themeColor="text1"/>
        </w:rPr>
        <w:t>”, „A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D426F9">
        <w:rPr>
          <w:rFonts w:ascii="Arial" w:hAnsi="Arial" w:cs="Arial"/>
          <w:b/>
          <w:bCs/>
          <w:color w:val="000000" w:themeColor="text1"/>
        </w:rPr>
        <w:t>”, „S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D426F9">
        <w:rPr>
          <w:rFonts w:ascii="Arial" w:hAnsi="Arial" w:cs="Arial"/>
          <w:b/>
          <w:bCs/>
          <w:color w:val="000000" w:themeColor="text1"/>
        </w:rPr>
        <w:t>”, „K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n</w:t>
      </w:r>
      <w:r w:rsidRPr="00D426F9">
        <w:rPr>
          <w:rFonts w:ascii="Arial" w:hAnsi="Arial" w:cs="Arial"/>
          <w:b/>
          <w:bCs/>
          <w:color w:val="000000" w:themeColor="text1"/>
        </w:rPr>
        <w:t>”</w:t>
      </w:r>
      <w:r w:rsidRPr="00D426F9">
        <w:rPr>
          <w:rFonts w:ascii="Arial" w:hAnsi="Arial" w:cs="Arial"/>
          <w:color w:val="000000" w:themeColor="text1"/>
        </w:rPr>
        <w:t xml:space="preserve"> są narastającymi wskaźnikami cen publikowanymi przez Prezesa GUS w Dziedzinowej Bazie Wiedzy obowiązującymi w danym okresie rozliczeniowym.</w:t>
      </w:r>
    </w:p>
    <w:p w14:paraId="0B3EBE06" w14:textId="77777777" w:rsidR="00894A44" w:rsidRPr="00D426F9" w:rsidRDefault="00894A44" w:rsidP="00D426F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426F9">
        <w:rPr>
          <w:rFonts w:ascii="Arial" w:hAnsi="Arial" w:cs="Arial"/>
          <w:color w:val="000000" w:themeColor="text1"/>
        </w:rPr>
        <w:lastRenderedPageBreak/>
        <w:t>W przypadku korygowania obliczonej wstępnej wartości zwaloryzowanych kwot, wskaźnikami tymi są wskaźniki GUS dotyczące tego samego miesiąca za który wystawione było Przejściowe Świadectwo Płatności.</w:t>
      </w:r>
    </w:p>
    <w:p w14:paraId="5A72D76E" w14:textId="77777777" w:rsidR="00894A44" w:rsidRPr="00D426F9" w:rsidRDefault="00894A44" w:rsidP="00D426F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426F9">
        <w:rPr>
          <w:rFonts w:ascii="Arial" w:hAnsi="Arial" w:cs="Arial"/>
          <w:b/>
          <w:bCs/>
          <w:color w:val="000000" w:themeColor="text1"/>
        </w:rPr>
        <w:t>CPI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o</w:t>
      </w:r>
      <w:r w:rsidRPr="00D426F9">
        <w:rPr>
          <w:rFonts w:ascii="Arial" w:hAnsi="Arial" w:cs="Arial"/>
          <w:b/>
          <w:bCs/>
          <w:color w:val="000000" w:themeColor="text1"/>
        </w:rPr>
        <w:t>", „P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o</w:t>
      </w:r>
      <w:r w:rsidRPr="00D426F9">
        <w:rPr>
          <w:rFonts w:ascii="Arial" w:hAnsi="Arial" w:cs="Arial"/>
          <w:b/>
          <w:bCs/>
          <w:color w:val="000000" w:themeColor="text1"/>
        </w:rPr>
        <w:t>", „R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o</w:t>
      </w:r>
      <w:r w:rsidRPr="00D426F9">
        <w:rPr>
          <w:rFonts w:ascii="Arial" w:hAnsi="Arial" w:cs="Arial"/>
          <w:b/>
          <w:bCs/>
          <w:color w:val="000000" w:themeColor="text1"/>
        </w:rPr>
        <w:t>", „C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o</w:t>
      </w:r>
      <w:r w:rsidRPr="00D426F9">
        <w:rPr>
          <w:rFonts w:ascii="Arial" w:hAnsi="Arial" w:cs="Arial"/>
          <w:b/>
          <w:bCs/>
          <w:color w:val="000000" w:themeColor="text1"/>
        </w:rPr>
        <w:t>”, „A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o</w:t>
      </w:r>
      <w:r w:rsidRPr="00D426F9">
        <w:rPr>
          <w:rFonts w:ascii="Arial" w:hAnsi="Arial" w:cs="Arial"/>
          <w:b/>
          <w:bCs/>
          <w:color w:val="000000" w:themeColor="text1"/>
        </w:rPr>
        <w:t>”, „S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o</w:t>
      </w:r>
      <w:r w:rsidRPr="00D426F9">
        <w:rPr>
          <w:rFonts w:ascii="Arial" w:hAnsi="Arial" w:cs="Arial"/>
          <w:b/>
          <w:bCs/>
          <w:color w:val="000000" w:themeColor="text1"/>
        </w:rPr>
        <w:t>”, „K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o</w:t>
      </w:r>
      <w:r w:rsidRPr="00D426F9">
        <w:rPr>
          <w:rFonts w:ascii="Arial" w:hAnsi="Arial" w:cs="Arial"/>
          <w:color w:val="000000" w:themeColor="text1"/>
        </w:rPr>
        <w:t xml:space="preserve">” są narastającymi wskaźnikami cen opublikowanymi przez Prezesa GUS w Dziedzinowej Bazie Wiedzy w Dacie Odniesienia zgodnie </w:t>
      </w:r>
      <w:r w:rsidRPr="00D426F9">
        <w:rPr>
          <w:rFonts w:ascii="Arial" w:hAnsi="Arial" w:cs="Arial"/>
          <w:color w:val="000000" w:themeColor="text1"/>
        </w:rPr>
        <w:br/>
        <w:t>z Subklauzulą 1.1.4 Szczególnych Warunków Kontraktu. W przypadku wartości Zmian wprowadzonych do Kontraktu na podstawie Klauzuli 13 [Zmiany i korekty] są one narastającymi wskaźnikami cen opublikowanymi przez Prezesa GUS w Dziedzinowej Bazie Wiedzy w dacie ustalenia wartości robót objętych Poleceniem Zmiany na podstawie Klauzuli 13.</w:t>
      </w:r>
    </w:p>
    <w:p w14:paraId="058B0349" w14:textId="77777777" w:rsidR="00894A44" w:rsidRPr="00D426F9" w:rsidRDefault="00894A44" w:rsidP="00D426F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426F9">
        <w:rPr>
          <w:rFonts w:ascii="Arial" w:hAnsi="Arial" w:cs="Arial"/>
          <w:color w:val="000000" w:themeColor="text1"/>
        </w:rPr>
        <w:t xml:space="preserve">Ilorazy wskaźników cen (tj. </w:t>
      </w:r>
      <m:oMath>
        <m:f>
          <m:fPr>
            <m:ctrlPr>
              <w:rPr>
                <w:rFonts w:ascii="Cambria Math" w:hAnsi="Cambria Math" w:cs="Arial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</w:rPr>
              <m:t>o</m:t>
            </m:r>
          </m:den>
        </m:f>
      </m:oMath>
      <w:r w:rsidRPr="00D426F9">
        <w:rPr>
          <w:rFonts w:ascii="Arial" w:hAnsi="Arial" w:cs="Arial"/>
          <w:color w:val="000000" w:themeColor="text1"/>
        </w:rPr>
        <w:t>)  dla poszczególnych zmiennych należy obliczać z dokładnością do dwóch miejsc po przecinku. Iloczyny wskaźników cen i wag (np.</w:t>
      </w:r>
      <m:oMath>
        <m:r>
          <m:rPr>
            <m:sty m:val="p"/>
          </m:rPr>
          <w:rPr>
            <w:rFonts w:ascii="Cambria Math" w:hAnsi="Cambria Math" w:cs="Arial"/>
            <w:color w:val="000000" w:themeColor="text1"/>
          </w:rPr>
          <m:t xml:space="preserve"> b×</m:t>
        </m:r>
        <m:f>
          <m:fPr>
            <m:ctrlPr>
              <w:rPr>
                <w:rFonts w:ascii="Cambria Math" w:hAnsi="Cambria Math" w:cs="Arial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</w:rPr>
                  <m:t>CPI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Arial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</w:rPr>
                  <m:t>CPI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</w:rPr>
                  <m:t>o</m:t>
                </m:r>
              </m:sub>
            </m:sSub>
          </m:den>
        </m:f>
      </m:oMath>
      <w:r w:rsidRPr="00D426F9">
        <w:rPr>
          <w:rFonts w:ascii="Arial" w:hAnsi="Arial" w:cs="Arial"/>
          <w:color w:val="000000" w:themeColor="text1"/>
        </w:rPr>
        <w:t>) należy obliczać z dokładnością do 6 miejsc po przecinku. Natomiast wyniki tj.</w:t>
      </w:r>
      <m:oMath>
        <m:r>
          <m:rPr>
            <m:sty m:val="p"/>
          </m:rPr>
          <w:rPr>
            <w:rFonts w:ascii="Cambria Math" w:hAnsi="Cambria Math" w:cs="Arial"/>
            <w:color w:val="000000" w:themeColor="text1"/>
          </w:rPr>
          <m:t xml:space="preserve"> </m:t>
        </m:r>
        <m:sSub>
          <m:sSubPr>
            <m:ctrlPr>
              <w:rPr>
                <w:rFonts w:ascii="Cambria Math" w:hAnsi="Cambria Math" w:cs="Arial"/>
                <w:color w:val="000000" w:themeColor="text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</w:rPr>
              <m:t>n</m:t>
            </m:r>
          </m:sub>
        </m:sSub>
      </m:oMath>
      <w:r w:rsidRPr="00D426F9">
        <w:rPr>
          <w:rFonts w:ascii="Arial" w:hAnsi="Arial" w:cs="Arial"/>
          <w:color w:val="000000" w:themeColor="text1"/>
        </w:rPr>
        <w:t>,</w:t>
      </w:r>
      <m:oMath>
        <m:r>
          <m:rPr>
            <m:sty m:val="p"/>
          </m:rPr>
          <w:rPr>
            <w:rFonts w:ascii="Cambria Math" w:hAnsi="Cambria Math" w:cs="Arial"/>
            <w:color w:val="000000" w:themeColor="text1"/>
          </w:rPr>
          <m:t xml:space="preserve"> </m:t>
        </m:r>
        <m:sSub>
          <m:sSubPr>
            <m:ctrlPr>
              <w:rPr>
                <w:rFonts w:ascii="Cambria Math" w:hAnsi="Cambria Math" w:cs="Arial"/>
                <w:color w:val="000000" w:themeColor="text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</w:rPr>
              <m:t>np</m:t>
            </m:r>
          </m:sub>
        </m:sSub>
      </m:oMath>
      <w:r w:rsidRPr="00D426F9">
        <w:rPr>
          <w:rFonts w:ascii="Arial" w:hAnsi="Arial" w:cs="Arial"/>
          <w:color w:val="000000" w:themeColor="text1"/>
        </w:rPr>
        <w:t xml:space="preserve"> należy obliczać z dokładnością do 4 miejsc po przecinku. </w:t>
      </w:r>
    </w:p>
    <w:p w14:paraId="4109B514" w14:textId="6E38EB1E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  <w:r w:rsidRPr="00D426F9">
        <w:rPr>
          <w:color w:val="000000" w:themeColor="text1"/>
          <w:sz w:val="22"/>
          <w:szCs w:val="22"/>
        </w:rPr>
        <w:t>Do wyliczania wartości waloryzacji zastosowanie będzie miała:</w:t>
      </w:r>
    </w:p>
    <w:p w14:paraId="2C749B85" w14:textId="77777777" w:rsidR="00894A44" w:rsidRPr="00D426F9" w:rsidRDefault="00894A44" w:rsidP="00D426F9">
      <w:pPr>
        <w:pStyle w:val="numerowanie"/>
        <w:numPr>
          <w:ilvl w:val="0"/>
          <w:numId w:val="2"/>
        </w:numPr>
        <w:spacing w:line="360" w:lineRule="auto"/>
        <w:rPr>
          <w:rFonts w:eastAsia="Times New Roman"/>
          <w:color w:val="000000" w:themeColor="text1"/>
          <w:sz w:val="22"/>
          <w:szCs w:val="22"/>
        </w:rPr>
      </w:pPr>
      <w:r w:rsidRPr="00D426F9">
        <w:rPr>
          <w:rFonts w:eastAsia="Times New Roman"/>
          <w:color w:val="000000" w:themeColor="text1"/>
          <w:sz w:val="22"/>
          <w:szCs w:val="22"/>
        </w:rPr>
        <w:t>Tabela Koszyk waloryzacyjny BITUM w przypadku wyboru przez Wykonawcę konstrukcji nawierzchni podatnej dla ciągu głównego, lub</w:t>
      </w:r>
    </w:p>
    <w:p w14:paraId="75BC75CE" w14:textId="0A08F127" w:rsidR="00894A44" w:rsidRPr="00D426F9" w:rsidRDefault="00894A44" w:rsidP="00D426F9">
      <w:pPr>
        <w:pStyle w:val="numerowanie"/>
        <w:numPr>
          <w:ilvl w:val="0"/>
          <w:numId w:val="2"/>
        </w:numPr>
        <w:spacing w:line="360" w:lineRule="auto"/>
        <w:rPr>
          <w:color w:val="000000" w:themeColor="text1"/>
          <w:sz w:val="22"/>
          <w:szCs w:val="22"/>
        </w:rPr>
      </w:pPr>
      <w:r w:rsidRPr="00D426F9">
        <w:rPr>
          <w:rFonts w:eastAsia="Times New Roman"/>
          <w:color w:val="000000" w:themeColor="text1"/>
          <w:sz w:val="22"/>
          <w:szCs w:val="22"/>
        </w:rPr>
        <w:t>Tabela Koszyk waloryzacyjny BETON w przypadku wyboru przez Wykonawcę konstrukcji nawierzchni sztywnej dla ciągu głównego.</w:t>
      </w:r>
    </w:p>
    <w:p w14:paraId="14181E19" w14:textId="7C476234" w:rsidR="00CD7161" w:rsidRDefault="00CD7161" w:rsidP="00CD7161">
      <w:pPr>
        <w:pStyle w:val="numerowanie"/>
        <w:rPr>
          <w:rFonts w:eastAsia="Times New Roman"/>
          <w:color w:val="000000" w:themeColor="text1"/>
          <w:sz w:val="22"/>
          <w:szCs w:val="22"/>
        </w:rPr>
      </w:pPr>
    </w:p>
    <w:p w14:paraId="598F4EF8" w14:textId="77777777" w:rsidR="00CD7161" w:rsidRPr="004B525E" w:rsidRDefault="00CD7161" w:rsidP="00CD7161">
      <w:pPr>
        <w:pStyle w:val="numerowanie"/>
        <w:rPr>
          <w:color w:val="000000" w:themeColor="text1"/>
          <w:sz w:val="22"/>
          <w:szCs w:val="22"/>
        </w:rPr>
      </w:pPr>
    </w:p>
    <w:tbl>
      <w:tblPr>
        <w:tblW w:w="924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9"/>
        <w:gridCol w:w="1797"/>
        <w:gridCol w:w="3060"/>
        <w:gridCol w:w="11"/>
      </w:tblGrid>
      <w:tr w:rsidR="00CD7161" w:rsidRPr="004A3FA0" w14:paraId="3C2BE508" w14:textId="77777777" w:rsidTr="00D426F9">
        <w:trPr>
          <w:trHeight w:val="337"/>
        </w:trPr>
        <w:tc>
          <w:tcPr>
            <w:tcW w:w="92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01416D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Tabela Koszyk waloryzacyjny BITUM</w:t>
            </w: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a)</w:t>
            </w:r>
          </w:p>
        </w:tc>
        <w:tc>
          <w:tcPr>
            <w:tcW w:w="10" w:type="dxa"/>
            <w:tcBorders>
              <w:left w:val="single" w:sz="4" w:space="0" w:color="auto"/>
            </w:tcBorders>
            <w:vAlign w:val="center"/>
            <w:hideMark/>
          </w:tcPr>
          <w:p w14:paraId="1F37D67B" w14:textId="77777777" w:rsidR="00CD7161" w:rsidRPr="004A3FA0" w:rsidRDefault="00CD7161" w:rsidP="00D728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CD7161" w:rsidRPr="004A3FA0" w14:paraId="4E5401BB" w14:textId="77777777" w:rsidTr="00D426F9">
        <w:trPr>
          <w:trHeight w:val="37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E2E28" w14:textId="77777777" w:rsidR="00CD7161" w:rsidRPr="00D426F9" w:rsidRDefault="00CD7161" w:rsidP="00D728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  <w:tcBorders>
              <w:left w:val="single" w:sz="4" w:space="0" w:color="auto"/>
            </w:tcBorders>
            <w:vAlign w:val="center"/>
            <w:hideMark/>
          </w:tcPr>
          <w:p w14:paraId="043DB4F6" w14:textId="77777777" w:rsidR="00CD7161" w:rsidRPr="004A3FA0" w:rsidRDefault="00CD7161" w:rsidP="00D72875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</w:p>
        </w:tc>
      </w:tr>
      <w:tr w:rsidR="00CD7161" w:rsidRPr="004A3FA0" w14:paraId="706934E1" w14:textId="77777777" w:rsidTr="00D426F9">
        <w:trPr>
          <w:trHeight w:val="470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D33DE6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Elementy robót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FA67A9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SYMBOL WSKAŻNIKA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67A6B3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Waga</w:t>
            </w:r>
          </w:p>
        </w:tc>
        <w:tc>
          <w:tcPr>
            <w:tcW w:w="10" w:type="dxa"/>
            <w:tcBorders>
              <w:left w:val="single" w:sz="4" w:space="0" w:color="auto"/>
            </w:tcBorders>
            <w:vAlign w:val="center"/>
            <w:hideMark/>
          </w:tcPr>
          <w:p w14:paraId="1572CE83" w14:textId="77777777" w:rsidR="00CD7161" w:rsidRPr="004A3FA0" w:rsidRDefault="00CD7161" w:rsidP="00D728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CD7161" w:rsidRPr="004A3FA0" w14:paraId="5087DCB0" w14:textId="77777777" w:rsidTr="00D426F9">
        <w:trPr>
          <w:trHeight w:val="195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1E8BE9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CPI (b)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EA19FA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CPI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F3455E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….</w:t>
            </w: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b)</w:t>
            </w: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" w:type="dxa"/>
            <w:tcBorders>
              <w:left w:val="single" w:sz="4" w:space="0" w:color="auto"/>
            </w:tcBorders>
            <w:vAlign w:val="center"/>
            <w:hideMark/>
          </w:tcPr>
          <w:p w14:paraId="0BB8EDCF" w14:textId="77777777" w:rsidR="00CD7161" w:rsidRPr="004A3FA0" w:rsidRDefault="00CD7161" w:rsidP="00D728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CD7161" w:rsidRPr="004A3FA0" w14:paraId="2C656949" w14:textId="77777777" w:rsidTr="00D426F9">
        <w:trPr>
          <w:trHeight w:val="195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2A3883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PALIWO (c)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C6B4A1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0C89C9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….</w:t>
            </w: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c)</w:t>
            </w: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" w:type="dxa"/>
            <w:tcBorders>
              <w:left w:val="single" w:sz="4" w:space="0" w:color="auto"/>
            </w:tcBorders>
            <w:vAlign w:val="center"/>
            <w:hideMark/>
          </w:tcPr>
          <w:p w14:paraId="170EC342" w14:textId="77777777" w:rsidR="00CD7161" w:rsidRPr="004A3FA0" w:rsidRDefault="00CD7161" w:rsidP="00D728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CD7161" w:rsidRPr="004A3FA0" w14:paraId="77A85DD9" w14:textId="77777777" w:rsidTr="00D426F9">
        <w:trPr>
          <w:trHeight w:val="195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84D2BC" w14:textId="11669EDB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ROBOCIZNA (d)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955F80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7D65E1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….</w:t>
            </w: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0" w:type="dxa"/>
            <w:tcBorders>
              <w:left w:val="single" w:sz="4" w:space="0" w:color="auto"/>
            </w:tcBorders>
            <w:vAlign w:val="center"/>
            <w:hideMark/>
          </w:tcPr>
          <w:p w14:paraId="4DBA1AF1" w14:textId="77777777" w:rsidR="00CD7161" w:rsidRPr="004A3FA0" w:rsidRDefault="00CD7161" w:rsidP="00D728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CD7161" w:rsidRPr="004A3FA0" w14:paraId="4A1EB6FE" w14:textId="77777777" w:rsidTr="00D426F9">
        <w:trPr>
          <w:trHeight w:val="195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2546EB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CEMENT (e)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1E6D3A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512B54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….</w:t>
            </w: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e)</w:t>
            </w: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" w:type="dxa"/>
            <w:tcBorders>
              <w:left w:val="single" w:sz="4" w:space="0" w:color="auto"/>
            </w:tcBorders>
            <w:vAlign w:val="center"/>
            <w:hideMark/>
          </w:tcPr>
          <w:p w14:paraId="54F80683" w14:textId="77777777" w:rsidR="00CD7161" w:rsidRPr="004A3FA0" w:rsidRDefault="00CD7161" w:rsidP="00D728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CD7161" w:rsidRPr="004A3FA0" w14:paraId="473CE5E8" w14:textId="77777777" w:rsidTr="00D426F9">
        <w:trPr>
          <w:trHeight w:val="195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5EFB3A" w14:textId="0C81B371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ASFALT </w:t>
            </w:r>
            <w:r w:rsidR="009F7501"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(f</w:t>
            </w: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D8A874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C32F73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….</w:t>
            </w: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f)</w:t>
            </w:r>
          </w:p>
        </w:tc>
        <w:tc>
          <w:tcPr>
            <w:tcW w:w="10" w:type="dxa"/>
            <w:tcBorders>
              <w:left w:val="single" w:sz="4" w:space="0" w:color="auto"/>
            </w:tcBorders>
            <w:vAlign w:val="center"/>
            <w:hideMark/>
          </w:tcPr>
          <w:p w14:paraId="5E00294A" w14:textId="77777777" w:rsidR="00CD7161" w:rsidRPr="004A3FA0" w:rsidRDefault="00CD7161" w:rsidP="00D728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CD7161" w:rsidRPr="004A3FA0" w14:paraId="50A82111" w14:textId="77777777" w:rsidTr="00D426F9">
        <w:trPr>
          <w:trHeight w:val="195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4CCFF3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STAL (g)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D24883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 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349C02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….</w:t>
            </w: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g)</w:t>
            </w:r>
          </w:p>
        </w:tc>
        <w:tc>
          <w:tcPr>
            <w:tcW w:w="10" w:type="dxa"/>
            <w:tcBorders>
              <w:left w:val="single" w:sz="4" w:space="0" w:color="auto"/>
            </w:tcBorders>
            <w:vAlign w:val="center"/>
            <w:hideMark/>
          </w:tcPr>
          <w:p w14:paraId="4651F170" w14:textId="77777777" w:rsidR="00CD7161" w:rsidRPr="004A3FA0" w:rsidRDefault="00CD7161" w:rsidP="00D728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CD7161" w:rsidRPr="004A3FA0" w14:paraId="0BA0A80C" w14:textId="77777777" w:rsidTr="00D426F9">
        <w:trPr>
          <w:trHeight w:val="195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0958AC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KRUSZYWO (h)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9BB3F9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542A1A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….</w:t>
            </w: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h)</w:t>
            </w:r>
          </w:p>
        </w:tc>
        <w:tc>
          <w:tcPr>
            <w:tcW w:w="10" w:type="dxa"/>
            <w:tcBorders>
              <w:left w:val="single" w:sz="4" w:space="0" w:color="auto"/>
            </w:tcBorders>
            <w:vAlign w:val="center"/>
            <w:hideMark/>
          </w:tcPr>
          <w:p w14:paraId="01E00EB3" w14:textId="77777777" w:rsidR="00CD7161" w:rsidRPr="004A3FA0" w:rsidRDefault="00CD7161" w:rsidP="00D728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CD7161" w:rsidRPr="004A3FA0" w14:paraId="53761505" w14:textId="77777777" w:rsidTr="00D426F9">
        <w:trPr>
          <w:trHeight w:val="205"/>
        </w:trPr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5B7E9F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color w:val="000000" w:themeColor="text1"/>
                <w:sz w:val="20"/>
                <w:szCs w:val="20"/>
              </w:rPr>
              <w:t>SUMA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157551" w14:textId="77777777" w:rsidR="00CD7161" w:rsidRPr="00D426F9" w:rsidRDefault="00CD7161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….</w:t>
            </w: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i)</w:t>
            </w: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" w:type="dxa"/>
            <w:tcBorders>
              <w:left w:val="single" w:sz="4" w:space="0" w:color="auto"/>
            </w:tcBorders>
            <w:vAlign w:val="center"/>
            <w:hideMark/>
          </w:tcPr>
          <w:p w14:paraId="14426DAC" w14:textId="77777777" w:rsidR="00CD7161" w:rsidRPr="004A3FA0" w:rsidRDefault="00CD7161" w:rsidP="00D728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14:paraId="7411457B" w14:textId="77777777" w:rsidR="00CD7161" w:rsidRPr="004A3FA0" w:rsidRDefault="00CD7161" w:rsidP="00CD7161">
      <w:pPr>
        <w:pStyle w:val="numerowanie"/>
        <w:rPr>
          <w:color w:val="000000" w:themeColor="text1"/>
          <w:sz w:val="22"/>
          <w:szCs w:val="22"/>
        </w:rPr>
      </w:pPr>
    </w:p>
    <w:p w14:paraId="55A36DFA" w14:textId="7470BAD6" w:rsidR="00CD7161" w:rsidRPr="00092F2B" w:rsidRDefault="00CD7161" w:rsidP="00CD7161">
      <w:pPr>
        <w:pStyle w:val="numerowanie"/>
        <w:rPr>
          <w:i/>
          <w:iCs/>
          <w:color w:val="000000" w:themeColor="text1"/>
        </w:rPr>
      </w:pPr>
      <w:r w:rsidRPr="00092F2B">
        <w:rPr>
          <w:i/>
          <w:iCs/>
          <w:color w:val="000000" w:themeColor="text1"/>
        </w:rPr>
        <w:t>Uwagi do koszyka:</w:t>
      </w:r>
    </w:p>
    <w:p w14:paraId="79BEF80B" w14:textId="77777777" w:rsidR="00CD7161" w:rsidRPr="00092F2B" w:rsidRDefault="00CD7161" w:rsidP="00CD7161">
      <w:pPr>
        <w:pStyle w:val="numerowanie"/>
        <w:numPr>
          <w:ilvl w:val="0"/>
          <w:numId w:val="3"/>
        </w:numPr>
        <w:rPr>
          <w:i/>
          <w:iCs/>
          <w:color w:val="000000" w:themeColor="text1"/>
        </w:rPr>
      </w:pPr>
      <w:r w:rsidRPr="00092F2B">
        <w:rPr>
          <w:i/>
          <w:iCs/>
          <w:color w:val="000000" w:themeColor="text1"/>
        </w:rPr>
        <w:t>Przykładowy koszyk waloryzacyjny. Należy określić stosownie do rodzaju robót, jakie ma wykonać wykonawca. Propozycje wskazywane w postępowaniach prowadzonych przez GDDKiA, w których wykorzystywana jest ta klauzula.</w:t>
      </w:r>
    </w:p>
    <w:p w14:paraId="2E3EB13D" w14:textId="77777777" w:rsidR="00CD7161" w:rsidRPr="00092F2B" w:rsidRDefault="00CD7161" w:rsidP="00CD7161">
      <w:pPr>
        <w:pStyle w:val="numerowanie"/>
        <w:numPr>
          <w:ilvl w:val="0"/>
          <w:numId w:val="3"/>
        </w:numPr>
        <w:rPr>
          <w:i/>
          <w:iCs/>
          <w:color w:val="000000" w:themeColor="text1"/>
        </w:rPr>
      </w:pPr>
      <w:r w:rsidRPr="00092F2B">
        <w:rPr>
          <w:i/>
          <w:iCs/>
          <w:color w:val="000000" w:themeColor="text1"/>
        </w:rPr>
        <w:lastRenderedPageBreak/>
        <w:t xml:space="preserve">Zamawiający samodzielnie określa wartość. Przykładowo, GDDKiA w swoich klauzulach wskaźnik ten określa na: 0,2. Suma wszystkich wartości musi wynosić tyle, co określony wcześniej współczynnik podziału ryzyk. </w:t>
      </w:r>
    </w:p>
    <w:p w14:paraId="362232B9" w14:textId="77777777" w:rsidR="00CD7161" w:rsidRPr="00092F2B" w:rsidRDefault="00CD7161" w:rsidP="00CD7161">
      <w:pPr>
        <w:pStyle w:val="numerowanie"/>
        <w:numPr>
          <w:ilvl w:val="0"/>
          <w:numId w:val="3"/>
        </w:numPr>
        <w:rPr>
          <w:i/>
          <w:iCs/>
          <w:color w:val="000000" w:themeColor="text1"/>
        </w:rPr>
      </w:pPr>
      <w:r w:rsidRPr="00092F2B">
        <w:rPr>
          <w:i/>
          <w:iCs/>
          <w:color w:val="000000" w:themeColor="text1"/>
        </w:rPr>
        <w:t>Zamawiający samodzielnie określa wartość. Przykładowo, GDDKiA w swoich klauzulach wskaźnik ten określa na: 0,06. Suma wszystkich wartości musi wynosić tyle, co określony wcześniej współczynnik podziału ryzyk.</w:t>
      </w:r>
    </w:p>
    <w:p w14:paraId="5900BA92" w14:textId="77777777" w:rsidR="00CD7161" w:rsidRPr="00092F2B" w:rsidRDefault="00CD7161" w:rsidP="00CD7161">
      <w:pPr>
        <w:pStyle w:val="numerowanie"/>
        <w:numPr>
          <w:ilvl w:val="0"/>
          <w:numId w:val="3"/>
        </w:numPr>
        <w:rPr>
          <w:i/>
          <w:iCs/>
          <w:color w:val="000000" w:themeColor="text1"/>
        </w:rPr>
      </w:pPr>
      <w:r w:rsidRPr="00092F2B">
        <w:rPr>
          <w:i/>
          <w:iCs/>
          <w:color w:val="000000" w:themeColor="text1"/>
        </w:rPr>
        <w:t>Zamawiający samodzielnie określa wartość. Przykładowo, GDDKiA w swoich klauzulach wskaźnik ten określa na: 0,05. Suma wszystkich wartości musi wynosić tyle, co określony wcześniej współczynnik podziału ryzyk.</w:t>
      </w:r>
    </w:p>
    <w:p w14:paraId="0C026B4D" w14:textId="77777777" w:rsidR="00CD7161" w:rsidRPr="00092F2B" w:rsidRDefault="00CD7161" w:rsidP="00CD7161">
      <w:pPr>
        <w:pStyle w:val="numerowanie"/>
        <w:numPr>
          <w:ilvl w:val="0"/>
          <w:numId w:val="3"/>
        </w:numPr>
        <w:rPr>
          <w:i/>
          <w:iCs/>
          <w:color w:val="000000" w:themeColor="text1"/>
        </w:rPr>
      </w:pPr>
      <w:r w:rsidRPr="00092F2B">
        <w:rPr>
          <w:i/>
          <w:iCs/>
          <w:color w:val="000000" w:themeColor="text1"/>
        </w:rPr>
        <w:t>Zamawiający samodzielnie określa wartość. Przykładowo, GDDKiA w swoich klauzulach wskaźnik ten określa na: 0,04. Suma wszystkich wartości musi wynosić tyle, co określony wcześniej współczynnik podziału ryzyk.</w:t>
      </w:r>
    </w:p>
    <w:p w14:paraId="53DB30E7" w14:textId="77777777" w:rsidR="00CD7161" w:rsidRPr="00092F2B" w:rsidRDefault="00CD7161" w:rsidP="00CD7161">
      <w:pPr>
        <w:pStyle w:val="numerowanie"/>
        <w:numPr>
          <w:ilvl w:val="0"/>
          <w:numId w:val="3"/>
        </w:numPr>
        <w:rPr>
          <w:i/>
          <w:iCs/>
          <w:color w:val="000000" w:themeColor="text1"/>
        </w:rPr>
      </w:pPr>
      <w:r w:rsidRPr="00092F2B">
        <w:rPr>
          <w:i/>
          <w:iCs/>
          <w:color w:val="000000" w:themeColor="text1"/>
        </w:rPr>
        <w:t>Zamawiający samodzielnie określa wartość. Przykładowo, GDDKiA w swoich klauzulach wskaźnik ten określa na: 0,08. Suma wszystkich wartości musi wynosić tyle, co określony wcześniej współczynnik podziału ryzyk.</w:t>
      </w:r>
    </w:p>
    <w:p w14:paraId="556F9D9E" w14:textId="061AB5DB" w:rsidR="000C0931" w:rsidRPr="00092F2B" w:rsidRDefault="000C0931" w:rsidP="000C0931">
      <w:pPr>
        <w:pStyle w:val="numerowanie"/>
        <w:numPr>
          <w:ilvl w:val="0"/>
          <w:numId w:val="3"/>
        </w:numPr>
        <w:rPr>
          <w:i/>
          <w:iCs/>
          <w:color w:val="000000" w:themeColor="text1"/>
        </w:rPr>
      </w:pPr>
      <w:r w:rsidRPr="00092F2B">
        <w:rPr>
          <w:i/>
          <w:iCs/>
          <w:color w:val="000000" w:themeColor="text1"/>
        </w:rPr>
        <w:t>Zamawiający samodzielnie określa wartość. Przykładowo, GDDKiA w swoich klauzulach wskaźnik ten określa na: 0,0</w:t>
      </w:r>
      <w:r>
        <w:rPr>
          <w:i/>
          <w:iCs/>
          <w:color w:val="000000" w:themeColor="text1"/>
        </w:rPr>
        <w:t>3</w:t>
      </w:r>
      <w:r w:rsidRPr="00092F2B">
        <w:rPr>
          <w:i/>
          <w:iCs/>
          <w:color w:val="000000" w:themeColor="text1"/>
        </w:rPr>
        <w:t>. Suma wszystkich wartości musi wynosić tyle, co określony wcześniej współczynnik podziału ryzyk.</w:t>
      </w:r>
    </w:p>
    <w:p w14:paraId="1AEFF625" w14:textId="0792A672" w:rsidR="00CD7161" w:rsidRPr="00092F2B" w:rsidRDefault="00CD7161" w:rsidP="00CD7161">
      <w:pPr>
        <w:pStyle w:val="numerowanie"/>
        <w:numPr>
          <w:ilvl w:val="0"/>
          <w:numId w:val="3"/>
        </w:numPr>
        <w:rPr>
          <w:i/>
          <w:iCs/>
          <w:color w:val="000000" w:themeColor="text1"/>
        </w:rPr>
      </w:pPr>
      <w:r w:rsidRPr="00092F2B">
        <w:rPr>
          <w:i/>
          <w:iCs/>
          <w:color w:val="000000" w:themeColor="text1"/>
        </w:rPr>
        <w:t>Zamawiający samodzielnie określa wartość. Przykładowo, GDDKiA w swoich klauzulach wskaźnik ten określa na: 0,04. Suma wszystkich wartości musi wynosić tyle, co określony wcześniej współczynnik podziału ryzyk.</w:t>
      </w:r>
    </w:p>
    <w:p w14:paraId="02C2B652" w14:textId="77777777" w:rsidR="00CD7161" w:rsidRPr="00092F2B" w:rsidRDefault="00CD7161" w:rsidP="00CD7161">
      <w:pPr>
        <w:pStyle w:val="numerowanie"/>
        <w:numPr>
          <w:ilvl w:val="0"/>
          <w:numId w:val="3"/>
        </w:numPr>
        <w:rPr>
          <w:i/>
          <w:iCs/>
          <w:color w:val="000000" w:themeColor="text1"/>
        </w:rPr>
      </w:pPr>
      <w:r w:rsidRPr="00092F2B">
        <w:rPr>
          <w:i/>
          <w:iCs/>
          <w:color w:val="000000" w:themeColor="text1"/>
        </w:rPr>
        <w:t>Zamawiający samodzielnie określa wartość. Jest to suma wszystkich ww. elementów wskazanych w koszyku waloryzacyjnym BITUM. Suma musi wynosić tyle, co określony wcześniej współczynnik podziału ryzyk. Przykładowo, GDDKiA w swoich klauzulach wskaźnik ten określa na: 0,5.</w:t>
      </w:r>
    </w:p>
    <w:p w14:paraId="346E4CA8" w14:textId="77777777" w:rsidR="004B525E" w:rsidRPr="004B525E" w:rsidRDefault="004B525E" w:rsidP="004B525E">
      <w:pPr>
        <w:pStyle w:val="numerowanie"/>
        <w:rPr>
          <w:color w:val="000000" w:themeColor="text1"/>
          <w:sz w:val="22"/>
          <w:szCs w:val="22"/>
        </w:rPr>
      </w:pPr>
    </w:p>
    <w:p w14:paraId="7AB417C7" w14:textId="77777777" w:rsidR="00894A44" w:rsidRPr="004A3FA0" w:rsidRDefault="00894A44" w:rsidP="00894A44">
      <w:pPr>
        <w:pStyle w:val="numerowanie"/>
        <w:rPr>
          <w:color w:val="000000" w:themeColor="text1"/>
          <w:sz w:val="22"/>
          <w:szCs w:val="22"/>
        </w:rPr>
      </w:pPr>
    </w:p>
    <w:tbl>
      <w:tblPr>
        <w:tblpPr w:leftFromText="141" w:rightFromText="141" w:bottomFromText="70" w:vertAnchor="text"/>
        <w:tblW w:w="92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4"/>
        <w:gridCol w:w="1799"/>
        <w:gridCol w:w="3194"/>
        <w:gridCol w:w="11"/>
      </w:tblGrid>
      <w:tr w:rsidR="00894A44" w:rsidRPr="004A3FA0" w14:paraId="5E7F40F3" w14:textId="77777777" w:rsidTr="00D426F9">
        <w:trPr>
          <w:trHeight w:val="336"/>
        </w:trPr>
        <w:tc>
          <w:tcPr>
            <w:tcW w:w="92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011CB6" w14:textId="176D0D77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bookmarkStart w:id="13" w:name="OLE_LINK3"/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Tabela Koszyk waloryzacyjny BETON</w:t>
            </w:r>
            <w:r w:rsidR="004F3D63"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a)</w:t>
            </w:r>
          </w:p>
        </w:tc>
        <w:tc>
          <w:tcPr>
            <w:tcW w:w="10" w:type="dxa"/>
            <w:tcBorders>
              <w:left w:val="single" w:sz="4" w:space="0" w:color="auto"/>
            </w:tcBorders>
            <w:vAlign w:val="center"/>
            <w:hideMark/>
          </w:tcPr>
          <w:p w14:paraId="47B74FDA" w14:textId="77777777" w:rsidR="00894A44" w:rsidRPr="004A3FA0" w:rsidRDefault="00894A44" w:rsidP="00D728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894A44" w:rsidRPr="004A3FA0" w14:paraId="3654A3E8" w14:textId="77777777" w:rsidTr="00D426F9">
        <w:trPr>
          <w:trHeight w:val="51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938D" w14:textId="77777777" w:rsidR="00894A44" w:rsidRPr="00D426F9" w:rsidRDefault="00894A44" w:rsidP="00D728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dxa"/>
            <w:tcBorders>
              <w:left w:val="single" w:sz="4" w:space="0" w:color="auto"/>
            </w:tcBorders>
            <w:vAlign w:val="center"/>
            <w:hideMark/>
          </w:tcPr>
          <w:p w14:paraId="328869EE" w14:textId="77777777" w:rsidR="00894A44" w:rsidRPr="004A3FA0" w:rsidRDefault="00894A44" w:rsidP="00D72875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</w:p>
        </w:tc>
      </w:tr>
      <w:tr w:rsidR="00894A44" w:rsidRPr="004A3FA0" w14:paraId="18A46C07" w14:textId="77777777" w:rsidTr="00D426F9">
        <w:trPr>
          <w:trHeight w:val="467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20C9F4" w14:textId="77777777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Elementy robót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F08B34" w14:textId="77777777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SYMBOL WSKAŻNIKA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192381" w14:textId="77777777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Waga</w:t>
            </w:r>
          </w:p>
        </w:tc>
        <w:tc>
          <w:tcPr>
            <w:tcW w:w="10" w:type="dxa"/>
            <w:tcBorders>
              <w:left w:val="single" w:sz="4" w:space="0" w:color="auto"/>
            </w:tcBorders>
            <w:vAlign w:val="center"/>
            <w:hideMark/>
          </w:tcPr>
          <w:p w14:paraId="3673EEFF" w14:textId="77777777" w:rsidR="00894A44" w:rsidRPr="004A3FA0" w:rsidRDefault="00894A44" w:rsidP="00D728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894A44" w:rsidRPr="004A3FA0" w14:paraId="0C57C9FB" w14:textId="77777777" w:rsidTr="00D426F9">
        <w:trPr>
          <w:trHeight w:val="194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D115A4" w14:textId="77777777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CPI (b)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383142" w14:textId="77777777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CPI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C69468" w14:textId="1AEEE8AA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….</w:t>
            </w:r>
            <w:r w:rsidR="004F3D63"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b)</w:t>
            </w: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" w:type="dxa"/>
            <w:tcBorders>
              <w:left w:val="single" w:sz="4" w:space="0" w:color="auto"/>
            </w:tcBorders>
            <w:vAlign w:val="center"/>
            <w:hideMark/>
          </w:tcPr>
          <w:p w14:paraId="4938350B" w14:textId="77777777" w:rsidR="00894A44" w:rsidRPr="004A3FA0" w:rsidRDefault="00894A44" w:rsidP="00D728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894A44" w:rsidRPr="004A3FA0" w14:paraId="246C4573" w14:textId="77777777" w:rsidTr="00D426F9">
        <w:trPr>
          <w:trHeight w:val="194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EC53A3" w14:textId="77777777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PALIWO (c)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51698E" w14:textId="77777777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4B6885" w14:textId="45106758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….</w:t>
            </w:r>
            <w:r w:rsidR="004F3D63"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c)</w:t>
            </w:r>
          </w:p>
        </w:tc>
        <w:tc>
          <w:tcPr>
            <w:tcW w:w="10" w:type="dxa"/>
            <w:tcBorders>
              <w:left w:val="single" w:sz="4" w:space="0" w:color="auto"/>
            </w:tcBorders>
            <w:vAlign w:val="center"/>
            <w:hideMark/>
          </w:tcPr>
          <w:p w14:paraId="40F57A94" w14:textId="77777777" w:rsidR="00894A44" w:rsidRPr="004A3FA0" w:rsidRDefault="00894A44" w:rsidP="00D728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894A44" w:rsidRPr="004A3FA0" w14:paraId="56614F8A" w14:textId="77777777" w:rsidTr="00D426F9">
        <w:trPr>
          <w:trHeight w:val="194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B123C4" w14:textId="7CA25E0E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ROBOCIZNA </w:t>
            </w:r>
            <w:r w:rsidR="009F7501"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(d</w:t>
            </w: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B611FB" w14:textId="77777777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DCCD15" w14:textId="35DA70E3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…</w:t>
            </w:r>
            <w:r w:rsidR="00D426F9"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4F3D63"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0" w:type="dxa"/>
            <w:tcBorders>
              <w:left w:val="single" w:sz="4" w:space="0" w:color="auto"/>
            </w:tcBorders>
            <w:vAlign w:val="center"/>
            <w:hideMark/>
          </w:tcPr>
          <w:p w14:paraId="06B4850F" w14:textId="77777777" w:rsidR="00894A44" w:rsidRPr="004A3FA0" w:rsidRDefault="00894A44" w:rsidP="00D728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894A44" w:rsidRPr="004A3FA0" w14:paraId="714A65E9" w14:textId="77777777" w:rsidTr="00D426F9">
        <w:trPr>
          <w:trHeight w:val="194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3538B9" w14:textId="77777777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CEMENT (e)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CDF803" w14:textId="77777777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B046A9" w14:textId="18299533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….</w:t>
            </w:r>
            <w:r w:rsidR="004F3D63"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e)</w:t>
            </w:r>
          </w:p>
        </w:tc>
        <w:tc>
          <w:tcPr>
            <w:tcW w:w="10" w:type="dxa"/>
            <w:tcBorders>
              <w:left w:val="single" w:sz="4" w:space="0" w:color="auto"/>
            </w:tcBorders>
            <w:vAlign w:val="center"/>
            <w:hideMark/>
          </w:tcPr>
          <w:p w14:paraId="77938461" w14:textId="77777777" w:rsidR="00894A44" w:rsidRPr="004A3FA0" w:rsidRDefault="00894A44" w:rsidP="00D728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894A44" w:rsidRPr="004A3FA0" w14:paraId="23BE2992" w14:textId="77777777" w:rsidTr="00D426F9">
        <w:trPr>
          <w:trHeight w:val="194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349268" w14:textId="0837A223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ASFALT </w:t>
            </w:r>
            <w:r w:rsidR="009F7501"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(f</w:t>
            </w: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E175E0" w14:textId="77777777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73E0E6" w14:textId="6F49C80E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…. </w:t>
            </w:r>
            <w:r w:rsidR="004F3D63"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f)</w:t>
            </w:r>
          </w:p>
        </w:tc>
        <w:tc>
          <w:tcPr>
            <w:tcW w:w="10" w:type="dxa"/>
            <w:tcBorders>
              <w:left w:val="single" w:sz="4" w:space="0" w:color="auto"/>
            </w:tcBorders>
            <w:vAlign w:val="center"/>
            <w:hideMark/>
          </w:tcPr>
          <w:p w14:paraId="6587BF2E" w14:textId="77777777" w:rsidR="00894A44" w:rsidRPr="004A3FA0" w:rsidRDefault="00894A44" w:rsidP="00D728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894A44" w:rsidRPr="004A3FA0" w14:paraId="72988787" w14:textId="77777777" w:rsidTr="00D426F9">
        <w:trPr>
          <w:trHeight w:val="194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4D820E" w14:textId="77777777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STAL (g)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833FE2" w14:textId="77777777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36910D" w14:textId="7C81E883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….</w:t>
            </w:r>
            <w:r w:rsidR="004F3D63"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g)</w:t>
            </w:r>
          </w:p>
        </w:tc>
        <w:tc>
          <w:tcPr>
            <w:tcW w:w="10" w:type="dxa"/>
            <w:tcBorders>
              <w:left w:val="single" w:sz="4" w:space="0" w:color="auto"/>
            </w:tcBorders>
            <w:vAlign w:val="center"/>
            <w:hideMark/>
          </w:tcPr>
          <w:p w14:paraId="4367724B" w14:textId="77777777" w:rsidR="00894A44" w:rsidRPr="004A3FA0" w:rsidRDefault="00894A44" w:rsidP="00D728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894A44" w:rsidRPr="004A3FA0" w14:paraId="18A61854" w14:textId="77777777" w:rsidTr="00D426F9">
        <w:trPr>
          <w:trHeight w:val="194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942F8A" w14:textId="77777777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KRUSZYWO (h)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F0B7BF" w14:textId="77777777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C5E278" w14:textId="105840BD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….</w:t>
            </w:r>
            <w:r w:rsidR="004F3D63"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h)</w:t>
            </w: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" w:type="dxa"/>
            <w:tcBorders>
              <w:left w:val="single" w:sz="4" w:space="0" w:color="auto"/>
            </w:tcBorders>
            <w:vAlign w:val="center"/>
            <w:hideMark/>
          </w:tcPr>
          <w:p w14:paraId="028DE565" w14:textId="77777777" w:rsidR="00894A44" w:rsidRPr="004A3FA0" w:rsidRDefault="00894A44" w:rsidP="00D728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894A44" w:rsidRPr="004A3FA0" w14:paraId="3BF419BD" w14:textId="77777777" w:rsidTr="00D426F9">
        <w:trPr>
          <w:trHeight w:val="204"/>
        </w:trPr>
        <w:tc>
          <w:tcPr>
            <w:tcW w:w="6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0010AE" w14:textId="77777777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color w:val="000000" w:themeColor="text1"/>
                <w:sz w:val="20"/>
                <w:szCs w:val="20"/>
              </w:rPr>
              <w:t>SUMA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8CBC9A" w14:textId="4FCE7733" w:rsidR="00894A44" w:rsidRPr="00D426F9" w:rsidRDefault="00894A44" w:rsidP="00D72875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….</w:t>
            </w:r>
            <w:r w:rsidR="004F3D63" w:rsidRPr="00D426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i)</w:t>
            </w:r>
          </w:p>
        </w:tc>
        <w:tc>
          <w:tcPr>
            <w:tcW w:w="10" w:type="dxa"/>
            <w:tcBorders>
              <w:left w:val="single" w:sz="4" w:space="0" w:color="auto"/>
            </w:tcBorders>
            <w:vAlign w:val="center"/>
            <w:hideMark/>
          </w:tcPr>
          <w:p w14:paraId="6A2C2E2B" w14:textId="77777777" w:rsidR="00894A44" w:rsidRPr="004A3FA0" w:rsidRDefault="00894A44" w:rsidP="00D728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bookmarkEnd w:id="13"/>
    </w:tbl>
    <w:p w14:paraId="1E8C33A4" w14:textId="0547EE15" w:rsidR="00894A44" w:rsidRDefault="00894A44" w:rsidP="00894A44">
      <w:pPr>
        <w:pStyle w:val="numerowanie"/>
        <w:rPr>
          <w:color w:val="000000" w:themeColor="text1"/>
          <w:sz w:val="22"/>
          <w:szCs w:val="22"/>
        </w:rPr>
      </w:pPr>
    </w:p>
    <w:p w14:paraId="338544B1" w14:textId="520674B2" w:rsidR="004F3D63" w:rsidRPr="00D426F9" w:rsidRDefault="004F3D63" w:rsidP="00894A44">
      <w:pPr>
        <w:pStyle w:val="numerowanie"/>
        <w:rPr>
          <w:i/>
          <w:iCs/>
          <w:color w:val="000000" w:themeColor="text1"/>
        </w:rPr>
      </w:pPr>
      <w:r w:rsidRPr="00D426F9">
        <w:rPr>
          <w:i/>
          <w:iCs/>
          <w:color w:val="000000" w:themeColor="text1"/>
        </w:rPr>
        <w:t>Uwagi do koszyka:</w:t>
      </w:r>
    </w:p>
    <w:p w14:paraId="2275E2C7" w14:textId="77777777" w:rsidR="004F3D63" w:rsidRPr="00D426F9" w:rsidRDefault="004F3D63" w:rsidP="004F3D63">
      <w:pPr>
        <w:pStyle w:val="numerowanie"/>
        <w:numPr>
          <w:ilvl w:val="0"/>
          <w:numId w:val="4"/>
        </w:numPr>
        <w:rPr>
          <w:i/>
          <w:iCs/>
          <w:color w:val="000000" w:themeColor="text1"/>
        </w:rPr>
      </w:pPr>
      <w:r w:rsidRPr="00D426F9">
        <w:rPr>
          <w:i/>
          <w:iCs/>
          <w:color w:val="000000" w:themeColor="text1"/>
        </w:rPr>
        <w:t>Przykładowy koszyk waloryzacyjny. Należy określić stosownie do rodzaju robót jakie ma wykonać wykonawca. Propozycje wskazywane w postępowaniach prowadzonych przez GDDKiA, w których wykorzystywana jest ta klauzula.</w:t>
      </w:r>
    </w:p>
    <w:p w14:paraId="36CCFA79" w14:textId="77777777" w:rsidR="004F3D63" w:rsidRPr="00D426F9" w:rsidRDefault="004F3D63" w:rsidP="004F3D63">
      <w:pPr>
        <w:pStyle w:val="numerowanie"/>
        <w:numPr>
          <w:ilvl w:val="0"/>
          <w:numId w:val="4"/>
        </w:numPr>
        <w:rPr>
          <w:i/>
          <w:iCs/>
          <w:color w:val="000000" w:themeColor="text1"/>
        </w:rPr>
      </w:pPr>
      <w:r w:rsidRPr="00D426F9">
        <w:rPr>
          <w:i/>
          <w:iCs/>
          <w:color w:val="000000" w:themeColor="text1"/>
        </w:rPr>
        <w:t>Zamawiający samodzielnie określa wartość. Przykładowo, GDDKiA w swoich klauzulach wskaźnik ten określa na: 0,23. Suma wszystkich wartości musi wynosić tyle, co określony wcześniej współczynnik podziału ryzyk.</w:t>
      </w:r>
    </w:p>
    <w:p w14:paraId="11E7E495" w14:textId="77777777" w:rsidR="004F3D63" w:rsidRPr="00D426F9" w:rsidRDefault="004F3D63" w:rsidP="004F3D63">
      <w:pPr>
        <w:pStyle w:val="numerowanie"/>
        <w:numPr>
          <w:ilvl w:val="0"/>
          <w:numId w:val="4"/>
        </w:numPr>
        <w:rPr>
          <w:i/>
          <w:iCs/>
          <w:color w:val="000000" w:themeColor="text1"/>
        </w:rPr>
      </w:pPr>
      <w:r w:rsidRPr="00D426F9">
        <w:rPr>
          <w:i/>
          <w:iCs/>
          <w:color w:val="000000" w:themeColor="text1"/>
        </w:rPr>
        <w:t>Zamawiający samodzielnie określa wartość. Przykładowo, GDDKiA w swoich klauzulach wskaźnik ten określa na: 0,07. Suma wszystkich wartości musi wynosić tyle, co określony wcześniej współczynnik podziału ryzyk.</w:t>
      </w:r>
    </w:p>
    <w:p w14:paraId="3C49FD75" w14:textId="77777777" w:rsidR="004F3D63" w:rsidRPr="00D426F9" w:rsidRDefault="004F3D63" w:rsidP="004F3D63">
      <w:pPr>
        <w:pStyle w:val="numerowanie"/>
        <w:numPr>
          <w:ilvl w:val="0"/>
          <w:numId w:val="4"/>
        </w:numPr>
        <w:rPr>
          <w:i/>
          <w:iCs/>
          <w:color w:val="000000" w:themeColor="text1"/>
        </w:rPr>
      </w:pPr>
      <w:r w:rsidRPr="00D426F9">
        <w:rPr>
          <w:i/>
          <w:iCs/>
          <w:color w:val="000000" w:themeColor="text1"/>
        </w:rPr>
        <w:t>Zamawiający samodzielnie określa wartość. Przykładowo, GDDKiA w swoich klauzulach wskaźnik ten określa na: 0,04. Suma wszystkich wartości musi wynosić tyle, co określony wcześniej współczynnik podziału ryzyk.</w:t>
      </w:r>
    </w:p>
    <w:p w14:paraId="2117777D" w14:textId="77777777" w:rsidR="004F3D63" w:rsidRPr="00D426F9" w:rsidRDefault="004F3D63" w:rsidP="004F3D63">
      <w:pPr>
        <w:pStyle w:val="numerowanie"/>
        <w:numPr>
          <w:ilvl w:val="0"/>
          <w:numId w:val="4"/>
        </w:numPr>
        <w:rPr>
          <w:i/>
          <w:iCs/>
          <w:color w:val="000000" w:themeColor="text1"/>
        </w:rPr>
      </w:pPr>
      <w:r w:rsidRPr="00D426F9">
        <w:rPr>
          <w:i/>
          <w:iCs/>
          <w:color w:val="000000" w:themeColor="text1"/>
        </w:rPr>
        <w:lastRenderedPageBreak/>
        <w:t>Zamawiający samodzielnie określa wartość. Przykładowo, GDDKiA w swoich klauzulach wskaźnik ten określa na: 0,07. Suma wszystkich wartości musi wynosić tyle, co określony wcześniej współczynnik podziału ryzyk.</w:t>
      </w:r>
    </w:p>
    <w:p w14:paraId="667AB0B4" w14:textId="77777777" w:rsidR="004F3D63" w:rsidRPr="00D426F9" w:rsidRDefault="004F3D63" w:rsidP="004F3D63">
      <w:pPr>
        <w:pStyle w:val="numerowanie"/>
        <w:numPr>
          <w:ilvl w:val="0"/>
          <w:numId w:val="4"/>
        </w:numPr>
        <w:rPr>
          <w:i/>
          <w:iCs/>
          <w:color w:val="000000" w:themeColor="text1"/>
        </w:rPr>
      </w:pPr>
      <w:r w:rsidRPr="00D426F9">
        <w:rPr>
          <w:i/>
          <w:iCs/>
          <w:color w:val="000000" w:themeColor="text1"/>
        </w:rPr>
        <w:t>Zamawiający samodzielnie określa wartość. Przykładowo, GDDKiA w swoich klauzulach wskaźnik ten określa na: 0,02. Suma wszystkich wartości musi wynosić tyle, co określony wcześniej współczynnik podziału ryzyk.</w:t>
      </w:r>
    </w:p>
    <w:p w14:paraId="55D4FAB3" w14:textId="77777777" w:rsidR="004F3D63" w:rsidRPr="00D426F9" w:rsidRDefault="004F3D63" w:rsidP="004F3D63">
      <w:pPr>
        <w:pStyle w:val="numerowanie"/>
        <w:numPr>
          <w:ilvl w:val="0"/>
          <w:numId w:val="4"/>
        </w:numPr>
        <w:rPr>
          <w:i/>
          <w:iCs/>
          <w:color w:val="000000" w:themeColor="text1"/>
        </w:rPr>
      </w:pPr>
      <w:r w:rsidRPr="00D426F9">
        <w:rPr>
          <w:i/>
          <w:iCs/>
          <w:color w:val="000000" w:themeColor="text1"/>
        </w:rPr>
        <w:t>Zamawiający samodzielnie określa wartość. Przykładowo, GDDKiA w swoich klauzulach wskaźnik ten określa na: 0,03. Suma wszystkich wartości musi wynosić tyle, co określony wcześniej współczynnik podziału ryzyk.</w:t>
      </w:r>
    </w:p>
    <w:p w14:paraId="17700A54" w14:textId="77777777" w:rsidR="004F3D63" w:rsidRPr="00D426F9" w:rsidRDefault="004F3D63" w:rsidP="004F3D63">
      <w:pPr>
        <w:pStyle w:val="numerowanie"/>
        <w:numPr>
          <w:ilvl w:val="0"/>
          <w:numId w:val="4"/>
        </w:numPr>
        <w:rPr>
          <w:i/>
          <w:iCs/>
          <w:color w:val="000000" w:themeColor="text1"/>
        </w:rPr>
      </w:pPr>
      <w:r w:rsidRPr="00D426F9">
        <w:rPr>
          <w:i/>
          <w:iCs/>
          <w:color w:val="000000" w:themeColor="text1"/>
        </w:rPr>
        <w:t>Zamawiający samodzielnie określa wartość. Przykładowo, GDDKiA w swoich klauzulach wskaźnik ten określa na: 0,04. Suma wszystkich wartości musi wynosić tyle, co określony wcześniej współczynnik podziału ryzyk.</w:t>
      </w:r>
    </w:p>
    <w:p w14:paraId="5CB7B285" w14:textId="11BCEA2A" w:rsidR="004F3D63" w:rsidRPr="00D426F9" w:rsidRDefault="004F3D63" w:rsidP="004F3D63">
      <w:pPr>
        <w:pStyle w:val="numerowanie"/>
        <w:numPr>
          <w:ilvl w:val="0"/>
          <w:numId w:val="4"/>
        </w:numPr>
        <w:rPr>
          <w:i/>
          <w:iCs/>
          <w:color w:val="000000" w:themeColor="text1"/>
        </w:rPr>
      </w:pPr>
      <w:r w:rsidRPr="00D426F9">
        <w:rPr>
          <w:i/>
          <w:iCs/>
          <w:color w:val="000000" w:themeColor="text1"/>
        </w:rPr>
        <w:t>Zamawiający samodzielnie określa wartość. Jest to suma wszystkich ww. elementów wskazanych w koszyku waloryzacyjnym BETON. Suma musi wynosić tyle, co określony wcześniej współczynnik podziału ryzyk. Przykładowo, GDDKiA w swoich klauzulach wskaźnik ten określa na: 0,5.</w:t>
      </w:r>
    </w:p>
    <w:p w14:paraId="03A5D51A" w14:textId="77777777" w:rsidR="00894A44" w:rsidRPr="004A3FA0" w:rsidRDefault="00894A44" w:rsidP="00894A44">
      <w:pPr>
        <w:pStyle w:val="numerowanie"/>
        <w:rPr>
          <w:color w:val="000000" w:themeColor="text1"/>
          <w:sz w:val="22"/>
          <w:szCs w:val="22"/>
        </w:rPr>
      </w:pPr>
    </w:p>
    <w:p w14:paraId="0BECF49B" w14:textId="77777777" w:rsidR="00894A44" w:rsidRPr="004A3FA0" w:rsidRDefault="00894A44" w:rsidP="00894A44">
      <w:pPr>
        <w:pStyle w:val="numerowanie"/>
        <w:rPr>
          <w:color w:val="000000" w:themeColor="text1"/>
          <w:sz w:val="22"/>
          <w:szCs w:val="22"/>
        </w:rPr>
      </w:pPr>
    </w:p>
    <w:p w14:paraId="1C708D97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  <w:r w:rsidRPr="00D426F9">
        <w:rPr>
          <w:color w:val="000000" w:themeColor="text1"/>
          <w:sz w:val="22"/>
          <w:szCs w:val="22"/>
        </w:rPr>
        <w:t xml:space="preserve">Z powodu braku aktualnych wskaźników (publikacja wskaźników w biuletynach GUS odbywa się z opóźnieniem) waloryzacja z bieżącego okresu rozliczeniowego zostanie wyliczona, gdy Prezes GUS ogłosi wskaźniki dla danego miesiąca objętego Przejściowym Świadectwem Płatności. Występując o Przejściowe Świadectwo Płatności Wykonawca obliczy wstępne wartości zwaloryzowanych kwot poświadczonych w każdym Przejściowym Świadectwie Płatności, zrealizowanych w każdym miesiącu, używając ostatnich z opublikowanych dla tego samego miesiąca wskaźników GUS. </w:t>
      </w:r>
    </w:p>
    <w:p w14:paraId="24F4A4F0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58683ED0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  <w:r w:rsidRPr="00D426F9">
        <w:rPr>
          <w:color w:val="000000" w:themeColor="text1"/>
          <w:sz w:val="22"/>
          <w:szCs w:val="22"/>
        </w:rPr>
        <w:t>Ustalone w ten sposób wartości będą skorygowane z zastosowaniem wskaźników GUS właściwych dla miesiąca za który wystawione było Świadectwo Płatności, niezwłocznie po ich publikacji. W sytuacji gdy Przejściowe Świadectwo Płatności będzie dotyczyło okresu rozliczeniowego w skład którego będą wchodziły dwa lub więcej miesięcy, należy przyjmować wskaźniki GUS dla miesiąca będącego ostatnim w danym okresie rozliczeniowym.</w:t>
      </w:r>
    </w:p>
    <w:p w14:paraId="323E912C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25541622" w14:textId="7E040E86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  <w:r w:rsidRPr="00D426F9">
        <w:rPr>
          <w:color w:val="000000" w:themeColor="text1"/>
          <w:sz w:val="22"/>
          <w:szCs w:val="22"/>
        </w:rPr>
        <w:t>Jeżeli wynagrodzenie Wykonawcy zostanie zwaloryzowane zgodnie z art. 439 ust. 1-3 ustawy P</w:t>
      </w:r>
      <w:r w:rsidR="000B79F9">
        <w:rPr>
          <w:color w:val="000000" w:themeColor="text1"/>
          <w:sz w:val="22"/>
          <w:szCs w:val="22"/>
        </w:rPr>
        <w:t>zp</w:t>
      </w:r>
      <w:r w:rsidRPr="00D426F9">
        <w:rPr>
          <w:color w:val="000000" w:themeColor="text1"/>
          <w:sz w:val="22"/>
          <w:szCs w:val="22"/>
        </w:rPr>
        <w:t>, Wykonawca zobowiązany jest do zmiany wynagrodzenia przysługującego Podwykonawcy i odpowiednio Podwykonawca dalszemu Podwykonawcy, z którym zawarł umowę, jeżeli łącznie spełnione są następujące warunki: przedmiotem umowy są roboty budowlane, dostawy</w:t>
      </w:r>
      <w:r w:rsidRPr="00D426F9">
        <w:rPr>
          <w:rStyle w:val="Odwoanieprzypisudolnego"/>
          <w:color w:val="000000" w:themeColor="text1"/>
          <w:sz w:val="22"/>
          <w:szCs w:val="22"/>
        </w:rPr>
        <w:footnoteReference w:id="19"/>
      </w:r>
      <w:r w:rsidRPr="00D426F9">
        <w:rPr>
          <w:color w:val="000000" w:themeColor="text1"/>
          <w:sz w:val="22"/>
          <w:szCs w:val="22"/>
        </w:rPr>
        <w:t xml:space="preserve"> lub usługi oraz okres obowiązywania umowy wraz z aneksami </w:t>
      </w:r>
      <w:r w:rsidR="009F7501" w:rsidRPr="00D426F9">
        <w:rPr>
          <w:color w:val="000000" w:themeColor="text1"/>
          <w:sz w:val="22"/>
          <w:szCs w:val="22"/>
        </w:rPr>
        <w:t>przekracza …</w:t>
      </w:r>
      <w:r w:rsidRPr="00D426F9">
        <w:rPr>
          <w:color w:val="000000" w:themeColor="text1"/>
          <w:sz w:val="22"/>
          <w:szCs w:val="22"/>
        </w:rPr>
        <w:t>…</w:t>
      </w:r>
      <w:r w:rsidRPr="00D426F9">
        <w:rPr>
          <w:rStyle w:val="Odwoanieprzypisudolnego"/>
          <w:color w:val="000000" w:themeColor="text1"/>
          <w:sz w:val="22"/>
          <w:szCs w:val="22"/>
        </w:rPr>
        <w:footnoteReference w:id="20"/>
      </w:r>
      <w:r w:rsidRPr="00D426F9">
        <w:rPr>
          <w:color w:val="000000" w:themeColor="text1"/>
          <w:sz w:val="22"/>
          <w:szCs w:val="22"/>
        </w:rPr>
        <w:t>.</w:t>
      </w:r>
    </w:p>
    <w:p w14:paraId="25E1E554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66278C39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  <w:r w:rsidRPr="00D426F9">
        <w:rPr>
          <w:color w:val="000000" w:themeColor="text1"/>
          <w:sz w:val="22"/>
          <w:szCs w:val="22"/>
        </w:rPr>
        <w:lastRenderedPageBreak/>
        <w:t>W przypadku braku zapłaty albo nieterminowej zapłaty wynagrodzenia należnego Podwykonawcy z tytułu zmiany wysokości wynagrodzenia, zgodnie z Subklauzula 13.7 [Korekty wynikające ze zmian w Koszcie] Wykonawca zobowiązany będzie do zapłaty Kar umownych określonych w Subklauzuli 8.8 [Kary umowne].</w:t>
      </w:r>
    </w:p>
    <w:p w14:paraId="163B5634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7D66C727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  <w:r w:rsidRPr="00D426F9">
        <w:rPr>
          <w:color w:val="000000" w:themeColor="text1"/>
          <w:sz w:val="22"/>
          <w:szCs w:val="22"/>
        </w:rPr>
        <w:t xml:space="preserve">Kwoty płatne Podwykonawcy lub dalszemu Podwykonawcy przez Wykonawcę lub Podwykonawcę będą korygowane dla oddania wzrostów lub spadków cen. </w:t>
      </w:r>
    </w:p>
    <w:p w14:paraId="6AF32132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  <w:r w:rsidRPr="00D426F9">
        <w:rPr>
          <w:color w:val="000000" w:themeColor="text1"/>
          <w:sz w:val="22"/>
          <w:szCs w:val="22"/>
        </w:rPr>
        <w:t>Waloryzacja będzie się odbywać w oparciu o wskaźnik dla: Cen towarów i usług konsumpcyjnych (jako CPI) oraz co najmniej o jeden inny wskaźnik wybrany z tabeli Koszyk waloryzacyjny, publikowany przez Prezesa GUS. Jeżeli kwoty płatne Podwykonawcy lub dalszemu Podwykonawcy zawierają w sobie płatności za materiały należy to uwzględnić przy doborze wskaźników.</w:t>
      </w:r>
    </w:p>
    <w:p w14:paraId="0C4D6916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10C53674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  <w:r w:rsidRPr="00D426F9">
        <w:rPr>
          <w:color w:val="000000" w:themeColor="text1"/>
          <w:sz w:val="22"/>
          <w:szCs w:val="22"/>
        </w:rPr>
        <w:t>Zgodnie z poniższym wzorem:</w:t>
      </w:r>
    </w:p>
    <w:p w14:paraId="78C6C239" w14:textId="14FCC1D2" w:rsidR="00894A44" w:rsidRPr="00D426F9" w:rsidRDefault="00000000" w:rsidP="00D426F9">
      <w:pPr>
        <w:pStyle w:val="numerowanie"/>
        <w:spacing w:line="360" w:lineRule="auto"/>
        <w:rPr>
          <w:b/>
          <w:bCs/>
          <w:color w:val="000000" w:themeColor="text1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color w:val="000000" w:themeColor="text1"/>
                  <w:sz w:val="22"/>
                  <w:szCs w:val="22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W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np</m:t>
              </m:r>
            </m:sub>
          </m:sSub>
          <m:r>
            <m:rPr>
              <m:sty m:val="b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=a+b×</m:t>
          </m:r>
          <m:f>
            <m:fPr>
              <m:ctrlPr>
                <w:rPr>
                  <w:rFonts w:ascii="Cambria Math" w:hAnsi="Cambria Math"/>
                  <w:b/>
                  <w:bCs/>
                  <w:color w:val="000000" w:themeColor="text1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bCs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CPI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np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color w:val="000000" w:themeColor="text1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CPI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op</m:t>
                  </m:r>
                </m:sub>
              </m:sSub>
            </m:den>
          </m:f>
          <m:r>
            <m:rPr>
              <m:sty m:val="b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>+c×X+…+h×Y</m:t>
          </m:r>
        </m:oMath>
      </m:oMathPara>
    </w:p>
    <w:p w14:paraId="7C160CD9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  <w:r w:rsidRPr="00D426F9">
        <w:rPr>
          <w:color w:val="000000" w:themeColor="text1"/>
          <w:sz w:val="22"/>
          <w:szCs w:val="22"/>
        </w:rPr>
        <w:t>gdzie:</w:t>
      </w:r>
    </w:p>
    <w:p w14:paraId="74F7E2AE" w14:textId="7684F8AD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  <w:r w:rsidRPr="00D426F9">
        <w:rPr>
          <w:b/>
          <w:bCs/>
          <w:color w:val="000000" w:themeColor="text1"/>
          <w:sz w:val="22"/>
          <w:szCs w:val="22"/>
        </w:rPr>
        <w:t>„a"</w:t>
      </w:r>
      <w:r w:rsidRPr="00D426F9">
        <w:rPr>
          <w:color w:val="000000" w:themeColor="text1"/>
          <w:sz w:val="22"/>
          <w:szCs w:val="22"/>
        </w:rPr>
        <w:t xml:space="preserve"> jest stałym współczynnikiem o </w:t>
      </w:r>
      <w:r w:rsidR="009F7501" w:rsidRPr="00D426F9">
        <w:rPr>
          <w:color w:val="000000" w:themeColor="text1"/>
          <w:sz w:val="22"/>
          <w:szCs w:val="22"/>
        </w:rPr>
        <w:t>wartości:  ….</w:t>
      </w:r>
      <w:r w:rsidRPr="00D426F9">
        <w:rPr>
          <w:rStyle w:val="Odwoanieprzypisudolnego"/>
          <w:color w:val="000000" w:themeColor="text1"/>
          <w:sz w:val="22"/>
          <w:szCs w:val="22"/>
        </w:rPr>
        <w:footnoteReference w:id="21"/>
      </w:r>
      <w:r w:rsidRPr="00D426F9">
        <w:rPr>
          <w:color w:val="000000" w:themeColor="text1"/>
          <w:sz w:val="22"/>
          <w:szCs w:val="22"/>
        </w:rPr>
        <w:t xml:space="preserve"> </w:t>
      </w:r>
    </w:p>
    <w:p w14:paraId="64C0252B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3A5EDB7B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  <w:r w:rsidRPr="00D426F9">
        <w:rPr>
          <w:b/>
          <w:bCs/>
          <w:color w:val="000000" w:themeColor="text1"/>
          <w:sz w:val="22"/>
          <w:szCs w:val="22"/>
        </w:rPr>
        <w:t>„b”</w:t>
      </w:r>
      <w:r w:rsidRPr="00D426F9">
        <w:rPr>
          <w:color w:val="000000" w:themeColor="text1"/>
          <w:sz w:val="22"/>
          <w:szCs w:val="22"/>
        </w:rPr>
        <w:t xml:space="preserve"> waga z przedziału ……… </w:t>
      </w:r>
      <w:r w:rsidRPr="00D426F9">
        <w:rPr>
          <w:rStyle w:val="Odwoanieprzypisudolnego"/>
          <w:color w:val="000000" w:themeColor="text1"/>
          <w:sz w:val="22"/>
          <w:szCs w:val="22"/>
        </w:rPr>
        <w:footnoteReference w:id="22"/>
      </w:r>
    </w:p>
    <w:p w14:paraId="6416D6FF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5B42E241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  <w:r w:rsidRPr="00D426F9">
        <w:rPr>
          <w:b/>
          <w:bCs/>
          <w:color w:val="000000" w:themeColor="text1"/>
          <w:sz w:val="22"/>
          <w:szCs w:val="22"/>
        </w:rPr>
        <w:t>„c”, … , „h</w:t>
      </w:r>
      <w:r w:rsidRPr="00D426F9">
        <w:rPr>
          <w:color w:val="000000" w:themeColor="text1"/>
          <w:sz w:val="22"/>
          <w:szCs w:val="22"/>
        </w:rPr>
        <w:t>” wagi wybranych poszczególnych Elementów robót ustalone w taki sposób aby ich suma wynosiła wraz z wagami „a” i „b” wynosiła …..</w:t>
      </w:r>
      <w:r w:rsidRPr="00D426F9">
        <w:rPr>
          <w:rStyle w:val="Odwoanieprzypisudolnego"/>
          <w:color w:val="000000" w:themeColor="text1"/>
          <w:sz w:val="22"/>
          <w:szCs w:val="22"/>
        </w:rPr>
        <w:footnoteReference w:id="23"/>
      </w:r>
    </w:p>
    <w:p w14:paraId="2FEECDDA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775BEFCB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  <w:r w:rsidRPr="00D426F9">
        <w:rPr>
          <w:b/>
          <w:bCs/>
          <w:color w:val="000000" w:themeColor="text1"/>
          <w:sz w:val="22"/>
          <w:szCs w:val="22"/>
        </w:rPr>
        <w:t>„X”, …, „Y</w:t>
      </w:r>
      <w:r w:rsidRPr="00D426F9">
        <w:rPr>
          <w:color w:val="000000" w:themeColor="text1"/>
          <w:sz w:val="22"/>
          <w:szCs w:val="22"/>
        </w:rPr>
        <w:t>” minimum jeden z współczynników dla wybranych Elementów robót z Koszyka waloryzacyjnego i każdy odpowiednio wynosi: P</w:t>
      </w:r>
      <w:r w:rsidRPr="00D426F9">
        <w:rPr>
          <w:color w:val="000000" w:themeColor="text1"/>
          <w:sz w:val="22"/>
          <w:szCs w:val="22"/>
          <w:vertAlign w:val="subscript"/>
        </w:rPr>
        <w:t>np</w:t>
      </w:r>
      <w:r w:rsidRPr="00D426F9">
        <w:rPr>
          <w:color w:val="000000" w:themeColor="text1"/>
          <w:sz w:val="22"/>
          <w:szCs w:val="22"/>
        </w:rPr>
        <w:t>/P</w:t>
      </w:r>
      <w:r w:rsidRPr="00D426F9">
        <w:rPr>
          <w:color w:val="000000" w:themeColor="text1"/>
          <w:sz w:val="22"/>
          <w:szCs w:val="22"/>
          <w:vertAlign w:val="subscript"/>
        </w:rPr>
        <w:t>op</w:t>
      </w:r>
      <w:r w:rsidRPr="00D426F9">
        <w:rPr>
          <w:color w:val="000000" w:themeColor="text1"/>
          <w:sz w:val="22"/>
          <w:szCs w:val="22"/>
        </w:rPr>
        <w:t xml:space="preserve"> </w:t>
      </w:r>
      <w:r w:rsidRPr="00D426F9">
        <w:rPr>
          <w:b/>
          <w:bCs/>
          <w:color w:val="000000" w:themeColor="text1"/>
          <w:sz w:val="22"/>
          <w:szCs w:val="22"/>
        </w:rPr>
        <w:t xml:space="preserve">lub </w:t>
      </w:r>
      <w:r w:rsidRPr="00D426F9">
        <w:rPr>
          <w:color w:val="000000" w:themeColor="text1"/>
          <w:sz w:val="22"/>
          <w:szCs w:val="22"/>
        </w:rPr>
        <w:t>R</w:t>
      </w:r>
      <w:r w:rsidRPr="00D426F9">
        <w:rPr>
          <w:color w:val="000000" w:themeColor="text1"/>
          <w:sz w:val="22"/>
          <w:szCs w:val="22"/>
          <w:vertAlign w:val="subscript"/>
        </w:rPr>
        <w:t>np</w:t>
      </w:r>
      <w:r w:rsidRPr="00D426F9">
        <w:rPr>
          <w:color w:val="000000" w:themeColor="text1"/>
          <w:sz w:val="22"/>
          <w:szCs w:val="22"/>
        </w:rPr>
        <w:t>/R</w:t>
      </w:r>
      <w:r w:rsidRPr="00D426F9">
        <w:rPr>
          <w:color w:val="000000" w:themeColor="text1"/>
          <w:sz w:val="22"/>
          <w:szCs w:val="22"/>
          <w:vertAlign w:val="subscript"/>
        </w:rPr>
        <w:t>op</w:t>
      </w:r>
      <w:r w:rsidRPr="00D426F9">
        <w:rPr>
          <w:color w:val="000000" w:themeColor="text1"/>
          <w:sz w:val="22"/>
          <w:szCs w:val="22"/>
        </w:rPr>
        <w:t xml:space="preserve"> </w:t>
      </w:r>
      <w:r w:rsidRPr="00D426F9">
        <w:rPr>
          <w:b/>
          <w:bCs/>
          <w:color w:val="000000" w:themeColor="text1"/>
          <w:sz w:val="22"/>
          <w:szCs w:val="22"/>
        </w:rPr>
        <w:t>lub</w:t>
      </w:r>
      <w:r w:rsidRPr="00D426F9">
        <w:rPr>
          <w:color w:val="000000" w:themeColor="text1"/>
          <w:sz w:val="22"/>
          <w:szCs w:val="22"/>
        </w:rPr>
        <w:t xml:space="preserve"> C</w:t>
      </w:r>
      <w:r w:rsidRPr="00D426F9">
        <w:rPr>
          <w:color w:val="000000" w:themeColor="text1"/>
          <w:sz w:val="22"/>
          <w:szCs w:val="22"/>
          <w:vertAlign w:val="subscript"/>
        </w:rPr>
        <w:t>np</w:t>
      </w:r>
      <w:r w:rsidRPr="00D426F9">
        <w:rPr>
          <w:color w:val="000000" w:themeColor="text1"/>
          <w:sz w:val="22"/>
          <w:szCs w:val="22"/>
        </w:rPr>
        <w:t>/C</w:t>
      </w:r>
      <w:r w:rsidRPr="00D426F9">
        <w:rPr>
          <w:color w:val="000000" w:themeColor="text1"/>
          <w:sz w:val="22"/>
          <w:szCs w:val="22"/>
          <w:vertAlign w:val="subscript"/>
        </w:rPr>
        <w:t>op</w:t>
      </w:r>
      <w:r w:rsidRPr="00D426F9">
        <w:rPr>
          <w:color w:val="000000" w:themeColor="text1"/>
          <w:sz w:val="22"/>
          <w:szCs w:val="22"/>
        </w:rPr>
        <w:t xml:space="preserve"> </w:t>
      </w:r>
      <w:r w:rsidRPr="00D426F9">
        <w:rPr>
          <w:b/>
          <w:bCs/>
          <w:color w:val="000000" w:themeColor="text1"/>
          <w:sz w:val="22"/>
          <w:szCs w:val="22"/>
        </w:rPr>
        <w:t>lub</w:t>
      </w:r>
      <w:r w:rsidRPr="00D426F9">
        <w:rPr>
          <w:color w:val="000000" w:themeColor="text1"/>
          <w:sz w:val="22"/>
          <w:szCs w:val="22"/>
        </w:rPr>
        <w:t xml:space="preserve"> A</w:t>
      </w:r>
      <w:r w:rsidRPr="00D426F9">
        <w:rPr>
          <w:color w:val="000000" w:themeColor="text1"/>
          <w:sz w:val="22"/>
          <w:szCs w:val="22"/>
          <w:vertAlign w:val="subscript"/>
        </w:rPr>
        <w:t>np</w:t>
      </w:r>
      <w:r w:rsidRPr="00D426F9">
        <w:rPr>
          <w:color w:val="000000" w:themeColor="text1"/>
          <w:sz w:val="22"/>
          <w:szCs w:val="22"/>
        </w:rPr>
        <w:t>/A</w:t>
      </w:r>
      <w:r w:rsidRPr="00D426F9">
        <w:rPr>
          <w:color w:val="000000" w:themeColor="text1"/>
          <w:sz w:val="22"/>
          <w:szCs w:val="22"/>
          <w:vertAlign w:val="subscript"/>
        </w:rPr>
        <w:t>op</w:t>
      </w:r>
      <w:r w:rsidRPr="00D426F9">
        <w:rPr>
          <w:color w:val="000000" w:themeColor="text1"/>
          <w:sz w:val="22"/>
          <w:szCs w:val="22"/>
        </w:rPr>
        <w:t xml:space="preserve"> </w:t>
      </w:r>
      <w:r w:rsidRPr="00D426F9">
        <w:rPr>
          <w:b/>
          <w:bCs/>
          <w:color w:val="000000" w:themeColor="text1"/>
          <w:sz w:val="22"/>
          <w:szCs w:val="22"/>
        </w:rPr>
        <w:t>lub</w:t>
      </w:r>
      <w:r w:rsidRPr="00D426F9">
        <w:rPr>
          <w:color w:val="000000" w:themeColor="text1"/>
          <w:sz w:val="22"/>
          <w:szCs w:val="22"/>
        </w:rPr>
        <w:t xml:space="preserve"> S</w:t>
      </w:r>
      <w:r w:rsidRPr="00D426F9">
        <w:rPr>
          <w:color w:val="000000" w:themeColor="text1"/>
          <w:sz w:val="22"/>
          <w:szCs w:val="22"/>
          <w:vertAlign w:val="subscript"/>
        </w:rPr>
        <w:t>np</w:t>
      </w:r>
      <w:r w:rsidRPr="00D426F9">
        <w:rPr>
          <w:color w:val="000000" w:themeColor="text1"/>
          <w:sz w:val="22"/>
          <w:szCs w:val="22"/>
        </w:rPr>
        <w:t>/S</w:t>
      </w:r>
      <w:r w:rsidRPr="00D426F9">
        <w:rPr>
          <w:color w:val="000000" w:themeColor="text1"/>
          <w:sz w:val="22"/>
          <w:szCs w:val="22"/>
          <w:vertAlign w:val="subscript"/>
        </w:rPr>
        <w:t>op</w:t>
      </w:r>
      <w:r w:rsidRPr="00D426F9">
        <w:rPr>
          <w:color w:val="000000" w:themeColor="text1"/>
          <w:sz w:val="22"/>
          <w:szCs w:val="22"/>
        </w:rPr>
        <w:t xml:space="preserve"> </w:t>
      </w:r>
      <w:r w:rsidRPr="00D426F9">
        <w:rPr>
          <w:b/>
          <w:bCs/>
          <w:color w:val="000000" w:themeColor="text1"/>
          <w:sz w:val="22"/>
          <w:szCs w:val="22"/>
        </w:rPr>
        <w:t>lub</w:t>
      </w:r>
      <w:r w:rsidRPr="00D426F9">
        <w:rPr>
          <w:color w:val="000000" w:themeColor="text1"/>
          <w:sz w:val="22"/>
          <w:szCs w:val="22"/>
        </w:rPr>
        <w:t xml:space="preserve"> K</w:t>
      </w:r>
      <w:r w:rsidRPr="00D426F9">
        <w:rPr>
          <w:color w:val="000000" w:themeColor="text1"/>
          <w:sz w:val="22"/>
          <w:szCs w:val="22"/>
          <w:vertAlign w:val="subscript"/>
        </w:rPr>
        <w:t>np</w:t>
      </w:r>
      <w:r w:rsidRPr="00D426F9">
        <w:rPr>
          <w:color w:val="000000" w:themeColor="text1"/>
          <w:sz w:val="22"/>
          <w:szCs w:val="22"/>
        </w:rPr>
        <w:t>/K</w:t>
      </w:r>
      <w:r w:rsidRPr="00D426F9">
        <w:rPr>
          <w:color w:val="000000" w:themeColor="text1"/>
          <w:sz w:val="22"/>
          <w:szCs w:val="22"/>
          <w:vertAlign w:val="subscript"/>
        </w:rPr>
        <w:t>op</w:t>
      </w:r>
      <w:r w:rsidRPr="00D426F9">
        <w:rPr>
          <w:color w:val="000000" w:themeColor="text1"/>
          <w:sz w:val="22"/>
          <w:szCs w:val="22"/>
        </w:rPr>
        <w:t>.</w:t>
      </w:r>
    </w:p>
    <w:p w14:paraId="1D0B4984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55100FB7" w14:textId="77777777" w:rsidR="00894A44" w:rsidRPr="00D426F9" w:rsidRDefault="00894A44" w:rsidP="00D426F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426F9">
        <w:rPr>
          <w:rFonts w:ascii="Arial" w:hAnsi="Arial" w:cs="Arial"/>
          <w:b/>
          <w:bCs/>
          <w:color w:val="000000" w:themeColor="text1"/>
        </w:rPr>
        <w:t>„CPI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np</w:t>
      </w:r>
      <w:r w:rsidRPr="00D426F9">
        <w:rPr>
          <w:rFonts w:ascii="Arial" w:hAnsi="Arial" w:cs="Arial"/>
          <w:b/>
          <w:bCs/>
          <w:color w:val="000000" w:themeColor="text1"/>
        </w:rPr>
        <w:t>", „P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np</w:t>
      </w:r>
      <w:r w:rsidRPr="00D426F9">
        <w:rPr>
          <w:rFonts w:ascii="Arial" w:hAnsi="Arial" w:cs="Arial"/>
          <w:b/>
          <w:bCs/>
          <w:color w:val="000000" w:themeColor="text1"/>
        </w:rPr>
        <w:t>", „R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np</w:t>
      </w:r>
      <w:r w:rsidRPr="00D426F9">
        <w:rPr>
          <w:rFonts w:ascii="Arial" w:hAnsi="Arial" w:cs="Arial"/>
          <w:b/>
          <w:bCs/>
          <w:color w:val="000000" w:themeColor="text1"/>
        </w:rPr>
        <w:t>", „C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np</w:t>
      </w:r>
      <w:r w:rsidRPr="00D426F9">
        <w:rPr>
          <w:rFonts w:ascii="Arial" w:hAnsi="Arial" w:cs="Arial"/>
          <w:b/>
          <w:bCs/>
          <w:color w:val="000000" w:themeColor="text1"/>
        </w:rPr>
        <w:t>”, „A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np</w:t>
      </w:r>
      <w:r w:rsidRPr="00D426F9">
        <w:rPr>
          <w:rFonts w:ascii="Arial" w:hAnsi="Arial" w:cs="Arial"/>
          <w:b/>
          <w:bCs/>
          <w:color w:val="000000" w:themeColor="text1"/>
        </w:rPr>
        <w:t>”, „S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np</w:t>
      </w:r>
      <w:r w:rsidRPr="00D426F9">
        <w:rPr>
          <w:rFonts w:ascii="Arial" w:hAnsi="Arial" w:cs="Arial"/>
          <w:b/>
          <w:bCs/>
          <w:color w:val="000000" w:themeColor="text1"/>
        </w:rPr>
        <w:t>”, „K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np</w:t>
      </w:r>
      <w:r w:rsidRPr="00D426F9">
        <w:rPr>
          <w:rFonts w:ascii="Arial" w:hAnsi="Arial" w:cs="Arial"/>
          <w:b/>
          <w:bCs/>
          <w:color w:val="000000" w:themeColor="text1"/>
        </w:rPr>
        <w:t>”</w:t>
      </w:r>
      <w:r w:rsidRPr="00D426F9">
        <w:rPr>
          <w:rFonts w:ascii="Arial" w:hAnsi="Arial" w:cs="Arial"/>
          <w:color w:val="000000" w:themeColor="text1"/>
        </w:rPr>
        <w:t xml:space="preserve"> są narastającymi wskaźnikami cen publikowanymi przez Prezesa GUS w Dziedzinowej Bazie Wiedzy obowiązującymi w danym okresie rozliczeniowym z Podwykonawcą, oraz</w:t>
      </w:r>
    </w:p>
    <w:p w14:paraId="6437B340" w14:textId="77777777" w:rsidR="00894A44" w:rsidRPr="00D426F9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47E47AF0" w14:textId="77777777" w:rsidR="00894A44" w:rsidRPr="00D426F9" w:rsidRDefault="00894A44" w:rsidP="00D426F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426F9">
        <w:rPr>
          <w:rFonts w:ascii="Arial" w:hAnsi="Arial" w:cs="Arial"/>
          <w:b/>
          <w:bCs/>
          <w:color w:val="000000" w:themeColor="text1"/>
        </w:rPr>
        <w:lastRenderedPageBreak/>
        <w:t>„CPI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op</w:t>
      </w:r>
      <w:r w:rsidRPr="00D426F9">
        <w:rPr>
          <w:rFonts w:ascii="Arial" w:hAnsi="Arial" w:cs="Arial"/>
          <w:b/>
          <w:bCs/>
          <w:color w:val="000000" w:themeColor="text1"/>
        </w:rPr>
        <w:t>”, „P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op</w:t>
      </w:r>
      <w:r w:rsidRPr="00D426F9">
        <w:rPr>
          <w:rFonts w:ascii="Arial" w:hAnsi="Arial" w:cs="Arial"/>
          <w:b/>
          <w:bCs/>
          <w:color w:val="000000" w:themeColor="text1"/>
        </w:rPr>
        <w:t>", „R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op</w:t>
      </w:r>
      <w:r w:rsidRPr="00D426F9">
        <w:rPr>
          <w:rFonts w:ascii="Arial" w:hAnsi="Arial" w:cs="Arial"/>
          <w:b/>
          <w:bCs/>
          <w:color w:val="000000" w:themeColor="text1"/>
        </w:rPr>
        <w:t>", „C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op</w:t>
      </w:r>
      <w:r w:rsidRPr="00D426F9">
        <w:rPr>
          <w:rFonts w:ascii="Arial" w:hAnsi="Arial" w:cs="Arial"/>
          <w:b/>
          <w:bCs/>
          <w:color w:val="000000" w:themeColor="text1"/>
        </w:rPr>
        <w:t>”, „A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op</w:t>
      </w:r>
      <w:r w:rsidRPr="00D426F9">
        <w:rPr>
          <w:rFonts w:ascii="Arial" w:hAnsi="Arial" w:cs="Arial"/>
          <w:b/>
          <w:bCs/>
          <w:color w:val="000000" w:themeColor="text1"/>
        </w:rPr>
        <w:t>”, „S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op</w:t>
      </w:r>
      <w:r w:rsidRPr="00D426F9">
        <w:rPr>
          <w:rFonts w:ascii="Arial" w:hAnsi="Arial" w:cs="Arial"/>
          <w:b/>
          <w:bCs/>
          <w:color w:val="000000" w:themeColor="text1"/>
        </w:rPr>
        <w:t>”, „K</w:t>
      </w:r>
      <w:r w:rsidRPr="00D426F9">
        <w:rPr>
          <w:rFonts w:ascii="Arial" w:hAnsi="Arial" w:cs="Arial"/>
          <w:b/>
          <w:bCs/>
          <w:color w:val="000000" w:themeColor="text1"/>
          <w:vertAlign w:val="subscript"/>
        </w:rPr>
        <w:t>op</w:t>
      </w:r>
      <w:r w:rsidRPr="00D426F9">
        <w:rPr>
          <w:rFonts w:ascii="Arial" w:hAnsi="Arial" w:cs="Arial"/>
          <w:b/>
          <w:bCs/>
          <w:color w:val="000000" w:themeColor="text1"/>
        </w:rPr>
        <w:t>”</w:t>
      </w:r>
      <w:r w:rsidRPr="00D426F9">
        <w:rPr>
          <w:rFonts w:ascii="Arial" w:hAnsi="Arial" w:cs="Arial"/>
          <w:color w:val="000000" w:themeColor="text1"/>
        </w:rPr>
        <w:t xml:space="preserve"> są narastającymi wskaźnikami cen opublikowanymi przez Prezesa GUS w Dziedzinowej Bazie Wiedzy obowiązującymi w dacie zawarcia umowy pomiędzy Wykonawcą a Podwykonawcą lub Podwykonawcą a dalszym Podwykonawcą.</w:t>
      </w:r>
    </w:p>
    <w:p w14:paraId="5F7C89C7" w14:textId="77777777" w:rsidR="00894A44" w:rsidRPr="00D426F9" w:rsidRDefault="00894A44" w:rsidP="00D426F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426F9">
        <w:rPr>
          <w:rFonts w:ascii="Arial" w:hAnsi="Arial" w:cs="Arial"/>
          <w:color w:val="000000" w:themeColor="text1"/>
        </w:rPr>
        <w:t xml:space="preserve">Ilorazy wskaźników cen (tj. </w:t>
      </w:r>
      <m:oMath>
        <m:f>
          <m:fPr>
            <m:ctrlPr>
              <w:rPr>
                <w:rFonts w:ascii="Cambria Math" w:hAnsi="Cambria Math" w:cs="Arial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</w:rPr>
              <m:t>o</m:t>
            </m:r>
          </m:den>
        </m:f>
      </m:oMath>
      <w:r w:rsidRPr="00D426F9">
        <w:rPr>
          <w:rFonts w:ascii="Arial" w:hAnsi="Arial" w:cs="Arial"/>
          <w:color w:val="000000" w:themeColor="text1"/>
        </w:rPr>
        <w:t>)  dla poszczególnych zmiennych należy obliczać z dokładnością do dwóch miejsc po przecinku. Iloczyny wskaźników cen i wag (np.</w:t>
      </w:r>
      <m:oMath>
        <m:r>
          <m:rPr>
            <m:sty m:val="p"/>
          </m:rPr>
          <w:rPr>
            <w:rFonts w:ascii="Cambria Math" w:hAnsi="Cambria Math" w:cs="Arial"/>
            <w:color w:val="000000" w:themeColor="text1"/>
          </w:rPr>
          <m:t xml:space="preserve"> b×</m:t>
        </m:r>
        <m:f>
          <m:fPr>
            <m:ctrlPr>
              <w:rPr>
                <w:rFonts w:ascii="Cambria Math" w:hAnsi="Cambria Math" w:cs="Arial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</w:rPr>
                  <m:t>CPI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Arial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</w:rPr>
                  <m:t>CPI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</w:rPr>
                  <m:t>o</m:t>
                </m:r>
              </m:sub>
            </m:sSub>
          </m:den>
        </m:f>
      </m:oMath>
      <w:r w:rsidRPr="00D426F9">
        <w:rPr>
          <w:rFonts w:ascii="Arial" w:hAnsi="Arial" w:cs="Arial"/>
          <w:color w:val="000000" w:themeColor="text1"/>
        </w:rPr>
        <w:t>) należy obliczać z dokładnością do 6 miejsc po przecinku. Natomiast wyniki tj.</w:t>
      </w:r>
      <m:oMath>
        <m:r>
          <m:rPr>
            <m:sty m:val="p"/>
          </m:rPr>
          <w:rPr>
            <w:rFonts w:ascii="Cambria Math" w:hAnsi="Cambria Math" w:cs="Arial"/>
            <w:color w:val="000000" w:themeColor="text1"/>
          </w:rPr>
          <m:t xml:space="preserve"> </m:t>
        </m:r>
        <m:sSub>
          <m:sSubPr>
            <m:ctrlPr>
              <w:rPr>
                <w:rFonts w:ascii="Cambria Math" w:hAnsi="Cambria Math" w:cs="Arial"/>
                <w:color w:val="000000" w:themeColor="text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</w:rPr>
              <m:t>n</m:t>
            </m:r>
          </m:sub>
        </m:sSub>
      </m:oMath>
      <w:r w:rsidRPr="00D426F9">
        <w:rPr>
          <w:rFonts w:ascii="Arial" w:hAnsi="Arial" w:cs="Arial"/>
          <w:color w:val="000000" w:themeColor="text1"/>
        </w:rPr>
        <w:t>,</w:t>
      </w:r>
      <m:oMath>
        <m:r>
          <m:rPr>
            <m:sty m:val="p"/>
          </m:rPr>
          <w:rPr>
            <w:rFonts w:ascii="Cambria Math" w:hAnsi="Cambria Math" w:cs="Arial"/>
            <w:color w:val="000000" w:themeColor="text1"/>
          </w:rPr>
          <m:t xml:space="preserve"> </m:t>
        </m:r>
        <m:sSub>
          <m:sSubPr>
            <m:ctrlPr>
              <w:rPr>
                <w:rFonts w:ascii="Cambria Math" w:hAnsi="Cambria Math" w:cs="Arial"/>
                <w:color w:val="000000" w:themeColor="text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</w:rPr>
              <m:t>np</m:t>
            </m:r>
          </m:sub>
        </m:sSub>
      </m:oMath>
      <w:r w:rsidRPr="00D426F9">
        <w:rPr>
          <w:rFonts w:ascii="Arial" w:hAnsi="Arial" w:cs="Arial"/>
          <w:color w:val="000000" w:themeColor="text1"/>
        </w:rPr>
        <w:t xml:space="preserve"> należy obliczać z dokładnością do 4 miejsc po przecinku. </w:t>
      </w:r>
    </w:p>
    <w:p w14:paraId="706B927F" w14:textId="57F08A42" w:rsidR="00894A44" w:rsidRDefault="00894A44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  <w:r w:rsidRPr="00D426F9">
        <w:rPr>
          <w:color w:val="000000" w:themeColor="text1"/>
          <w:sz w:val="22"/>
          <w:szCs w:val="22"/>
        </w:rPr>
        <w:t>Jeżeli wynagrodzenie Wykonawcy zostało zwaloryzowane kwoty płatne Podwykonawcy lub dalszemu Podwykonawcy będą waloryzowane comiesięcznie począwszy od pierwszego rozliczenia dokonanego po upływie …..</w:t>
      </w:r>
      <w:r w:rsidRPr="00D426F9">
        <w:rPr>
          <w:rStyle w:val="Odwoanieprzypisudolnego"/>
          <w:color w:val="000000" w:themeColor="text1"/>
          <w:sz w:val="22"/>
          <w:szCs w:val="22"/>
        </w:rPr>
        <w:footnoteReference w:id="24"/>
      </w:r>
      <w:r w:rsidRPr="00D426F9">
        <w:rPr>
          <w:color w:val="000000" w:themeColor="text1"/>
          <w:sz w:val="22"/>
          <w:szCs w:val="22"/>
        </w:rPr>
        <w:t xml:space="preserve">  od daty zawarcia Umowy o podwykonawstwo, której przedmiotem są roboty budowlane</w:t>
      </w:r>
      <w:r w:rsidR="00AD6B40">
        <w:rPr>
          <w:color w:val="000000" w:themeColor="text1"/>
          <w:sz w:val="22"/>
          <w:szCs w:val="22"/>
        </w:rPr>
        <w:t xml:space="preserve">, </w:t>
      </w:r>
      <w:r w:rsidRPr="00D426F9">
        <w:rPr>
          <w:color w:val="000000" w:themeColor="text1"/>
          <w:sz w:val="22"/>
          <w:szCs w:val="22"/>
        </w:rPr>
        <w:t>usługi</w:t>
      </w:r>
      <w:r w:rsidR="00AD6B40">
        <w:rPr>
          <w:color w:val="000000" w:themeColor="text1"/>
          <w:sz w:val="22"/>
          <w:szCs w:val="22"/>
        </w:rPr>
        <w:t xml:space="preserve"> lub dostawy</w:t>
      </w:r>
      <w:r w:rsidRPr="00D426F9">
        <w:rPr>
          <w:color w:val="000000" w:themeColor="text1"/>
          <w:sz w:val="22"/>
          <w:szCs w:val="22"/>
        </w:rPr>
        <w:t>.</w:t>
      </w:r>
    </w:p>
    <w:p w14:paraId="3CC5741B" w14:textId="7E03FC9B" w:rsidR="00AF12D9" w:rsidRDefault="00AF12D9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79FECD7A" w14:textId="3F1DB53C" w:rsidR="00AF12D9" w:rsidRDefault="00AF12D9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71BE98A2" w14:textId="37F276E3" w:rsidR="00AF12D9" w:rsidRDefault="00AF12D9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6BC7BC00" w14:textId="68844E86" w:rsidR="00AF12D9" w:rsidRDefault="00AF12D9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36C554B4" w14:textId="4B4F580E" w:rsidR="00AF12D9" w:rsidRDefault="00AF12D9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3DF1E2AF" w14:textId="03922600" w:rsidR="00AF12D9" w:rsidRDefault="00AF12D9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18C879FC" w14:textId="5DFC83EC" w:rsidR="00AF12D9" w:rsidRDefault="00AF12D9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3B5DEA99" w14:textId="1CFDBEB5" w:rsidR="00AF12D9" w:rsidRDefault="00AF12D9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4D89F866" w14:textId="410B484E" w:rsidR="00AF12D9" w:rsidRDefault="00AF12D9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68E1BDB6" w14:textId="3737E61B" w:rsidR="00AF12D9" w:rsidRDefault="00AF12D9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76835E5D" w14:textId="28C81DB5" w:rsidR="00AF12D9" w:rsidRDefault="00AF12D9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20286F6A" w14:textId="4A46F3FF" w:rsidR="00AF12D9" w:rsidRDefault="00AF12D9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1F0B6A36" w14:textId="13F654AA" w:rsidR="00AF12D9" w:rsidRDefault="00AF12D9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6C1AB654" w14:textId="57D193AC" w:rsidR="00AF12D9" w:rsidRDefault="00AF12D9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1E1B21B3" w14:textId="11E89F4E" w:rsidR="00AF12D9" w:rsidRDefault="00AF12D9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24342D8F" w14:textId="00C47F99" w:rsidR="00AF12D9" w:rsidRDefault="00AF12D9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0D5FD059" w14:textId="2FC8AFEA" w:rsidR="00AF12D9" w:rsidRDefault="00AF12D9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6307DEA3" w14:textId="3FF4FEBD" w:rsidR="00AF12D9" w:rsidRDefault="00AF12D9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34DD653D" w14:textId="2C81A110" w:rsidR="00AF12D9" w:rsidRDefault="00AF12D9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040CBCBB" w14:textId="5061ADBB" w:rsidR="00AF12D9" w:rsidRDefault="00AF12D9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4E52C01D" w14:textId="38DE1F0C" w:rsidR="00BC4F70" w:rsidRDefault="00BC4F70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3C59D5B8" w14:textId="77777777" w:rsidR="00BC4F70" w:rsidRDefault="00BC4F70" w:rsidP="00D426F9">
      <w:pPr>
        <w:pStyle w:val="numerowanie"/>
        <w:spacing w:line="360" w:lineRule="auto"/>
        <w:rPr>
          <w:color w:val="000000" w:themeColor="text1"/>
          <w:sz w:val="22"/>
          <w:szCs w:val="22"/>
        </w:rPr>
      </w:pPr>
    </w:p>
    <w:p w14:paraId="723F9891" w14:textId="08048BC5" w:rsidR="00AF12D9" w:rsidRPr="00BC4F70" w:rsidRDefault="00D426F9" w:rsidP="00AF1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C4F70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Klauzula waloryzacyjna stosowana w umowach </w:t>
      </w:r>
    </w:p>
    <w:p w14:paraId="50AE1945" w14:textId="7BB88E7F" w:rsidR="00D426F9" w:rsidRPr="00BC4F70" w:rsidRDefault="00D426F9" w:rsidP="00AF1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C4F7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zawieranych przez PKP Polskie Linie Kolejowe S.A. </w:t>
      </w:r>
    </w:p>
    <w:p w14:paraId="420C58F0" w14:textId="77777777" w:rsidR="00D426F9" w:rsidRPr="004A3FA0" w:rsidRDefault="00D426F9" w:rsidP="00D426F9">
      <w:pPr>
        <w:jc w:val="both"/>
        <w:rPr>
          <w:rFonts w:ascii="Arial" w:hAnsi="Arial" w:cs="Arial"/>
          <w:color w:val="000000" w:themeColor="text1"/>
        </w:rPr>
      </w:pPr>
    </w:p>
    <w:p w14:paraId="6EBCC61A" w14:textId="77777777" w:rsidR="00D426F9" w:rsidRPr="00AF12D9" w:rsidRDefault="00D426F9" w:rsidP="00AF12D9">
      <w:pPr>
        <w:pStyle w:val="Default"/>
        <w:numPr>
          <w:ilvl w:val="0"/>
          <w:numId w:val="5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t xml:space="preserve">Kwoty płatne Wykonawcy będą korygowane dla oddania wzrostów lub spadków cen zgodnie z niniejszym paragrafem. W zakresie, w jakim rekompensata za wzrost lub spadek cen, nie jest objęta postanowieniami niniejszego lub innych zapisów Umowy, będzie się uważało, że Wynagrodzenie uwzględnia wzrosty lub spadki cen. Waloryzacji – zgodnie z postanowieniami niniejszego paragrafu - nie podlegają wartości wprowadzone do Umowy na podstawie § X Umowy oraz przepisów ustawy Pzp. </w:t>
      </w:r>
    </w:p>
    <w:p w14:paraId="5B08C842" w14:textId="77777777" w:rsidR="00D426F9" w:rsidRPr="00AF12D9" w:rsidRDefault="00D426F9" w:rsidP="00AF12D9">
      <w:pPr>
        <w:pStyle w:val="Default"/>
        <w:numPr>
          <w:ilvl w:val="0"/>
          <w:numId w:val="5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t>Waloryzacja będzie się odbywać w oparciu o podane w niniejszym paragrafie wskaźniki cen</w:t>
      </w:r>
      <w:r w:rsidRPr="00AF12D9">
        <w:rPr>
          <w:rStyle w:val="Odwoanieprzypisudolnego"/>
          <w:color w:val="000000" w:themeColor="text1"/>
          <w:sz w:val="22"/>
          <w:szCs w:val="22"/>
        </w:rPr>
        <w:footnoteReference w:id="25"/>
      </w:r>
      <w:r w:rsidRPr="00AF12D9">
        <w:rPr>
          <w:color w:val="000000" w:themeColor="text1"/>
          <w:sz w:val="22"/>
          <w:szCs w:val="22"/>
        </w:rPr>
        <w:t xml:space="preserve"> wyrobów publikowane przez Prezesa Głównego Urzędu Statystycznego, zwanego dalej „Prezesem GUS” w Dziedzinowej Bazy Wiedzy, tj.: </w:t>
      </w:r>
    </w:p>
    <w:p w14:paraId="7AF76CB5" w14:textId="77777777" w:rsidR="00D426F9" w:rsidRPr="00AF12D9" w:rsidRDefault="00D426F9" w:rsidP="00AF12D9">
      <w:pPr>
        <w:pStyle w:val="Default"/>
        <w:numPr>
          <w:ilvl w:val="0"/>
          <w:numId w:val="6"/>
        </w:numPr>
        <w:spacing w:line="360" w:lineRule="auto"/>
        <w:ind w:left="993" w:hanging="284"/>
        <w:jc w:val="both"/>
        <w:rPr>
          <w:color w:val="000000" w:themeColor="text1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t xml:space="preserve">Cen towarów i usług konsumpcyjnych (jako CPI); </w:t>
      </w:r>
    </w:p>
    <w:p w14:paraId="011248B4" w14:textId="77777777" w:rsidR="00D426F9" w:rsidRPr="00AF12D9" w:rsidRDefault="00D426F9" w:rsidP="00AF12D9">
      <w:pPr>
        <w:pStyle w:val="Default"/>
        <w:numPr>
          <w:ilvl w:val="0"/>
          <w:numId w:val="6"/>
        </w:numPr>
        <w:spacing w:line="360" w:lineRule="auto"/>
        <w:ind w:left="993" w:hanging="284"/>
        <w:jc w:val="both"/>
        <w:rPr>
          <w:color w:val="000000" w:themeColor="text1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t>Przeciętne wynagrodzenia miesięczne brutto w sektorze przedsiębiorstw - budowa obiektów inżynierii lądowej i wodnej (jako robocizna - R);</w:t>
      </w:r>
    </w:p>
    <w:p w14:paraId="357BD910" w14:textId="77777777" w:rsidR="00D426F9" w:rsidRPr="00AF12D9" w:rsidRDefault="00D426F9" w:rsidP="00AF12D9">
      <w:pPr>
        <w:pStyle w:val="Default"/>
        <w:spacing w:line="360" w:lineRule="auto"/>
        <w:ind w:left="709"/>
        <w:jc w:val="both"/>
        <w:rPr>
          <w:color w:val="000000" w:themeColor="text1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t xml:space="preserve">oraz miesięczne Wskaźniki cen produkcji sprzedanej wyrobów przemysłowych: </w:t>
      </w:r>
    </w:p>
    <w:p w14:paraId="6B431314" w14:textId="77777777" w:rsidR="00D426F9" w:rsidRPr="00AF12D9" w:rsidRDefault="00D426F9" w:rsidP="00AF12D9">
      <w:pPr>
        <w:pStyle w:val="Default"/>
        <w:numPr>
          <w:ilvl w:val="0"/>
          <w:numId w:val="7"/>
        </w:numPr>
        <w:spacing w:line="360" w:lineRule="auto"/>
        <w:ind w:left="993" w:hanging="284"/>
        <w:jc w:val="both"/>
        <w:rPr>
          <w:color w:val="000000" w:themeColor="text1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t xml:space="preserve">Brykiety i podobne paliwa stałe z węgla i torfu oraz produkty rafinacji ropy naftowej (jako paliwo - P) – indeks 19.2; </w:t>
      </w:r>
    </w:p>
    <w:p w14:paraId="073FCA86" w14:textId="77777777" w:rsidR="00D426F9" w:rsidRPr="00AF12D9" w:rsidRDefault="00D426F9" w:rsidP="00AF12D9">
      <w:pPr>
        <w:pStyle w:val="Default"/>
        <w:numPr>
          <w:ilvl w:val="0"/>
          <w:numId w:val="7"/>
        </w:numPr>
        <w:spacing w:line="360" w:lineRule="auto"/>
        <w:ind w:left="993" w:hanging="284"/>
        <w:jc w:val="both"/>
        <w:rPr>
          <w:color w:val="000000" w:themeColor="text1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t xml:space="preserve">Cement, wapno i gips (jako cement - C) – indeks 23.5; </w:t>
      </w:r>
    </w:p>
    <w:p w14:paraId="35492BA8" w14:textId="77777777" w:rsidR="00D426F9" w:rsidRPr="00AF12D9" w:rsidRDefault="00D426F9" w:rsidP="00AF12D9">
      <w:pPr>
        <w:pStyle w:val="Default"/>
        <w:numPr>
          <w:ilvl w:val="0"/>
          <w:numId w:val="7"/>
        </w:numPr>
        <w:spacing w:line="360" w:lineRule="auto"/>
        <w:ind w:left="993" w:hanging="284"/>
        <w:jc w:val="both"/>
        <w:rPr>
          <w:color w:val="000000" w:themeColor="text1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t xml:space="preserve">Żeliwa, stal i żelazostopy (jako stal - S) – indeks 24.1; </w:t>
      </w:r>
    </w:p>
    <w:p w14:paraId="531C8F9E" w14:textId="77777777" w:rsidR="00D426F9" w:rsidRPr="00AF12D9" w:rsidRDefault="00D426F9" w:rsidP="00AF12D9">
      <w:pPr>
        <w:pStyle w:val="Default"/>
        <w:numPr>
          <w:ilvl w:val="0"/>
          <w:numId w:val="7"/>
        </w:numPr>
        <w:spacing w:line="360" w:lineRule="auto"/>
        <w:ind w:left="993" w:hanging="284"/>
        <w:jc w:val="both"/>
        <w:rPr>
          <w:color w:val="000000" w:themeColor="text1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t xml:space="preserve">Kamienia, piasku i gliny (jako kruszywo - K) – indeks 08.1; </w:t>
      </w:r>
    </w:p>
    <w:p w14:paraId="09BE7419" w14:textId="77777777" w:rsidR="00D426F9" w:rsidRPr="00AF12D9" w:rsidRDefault="00D426F9" w:rsidP="00AF12D9">
      <w:pPr>
        <w:pStyle w:val="Default"/>
        <w:numPr>
          <w:ilvl w:val="0"/>
          <w:numId w:val="7"/>
        </w:numPr>
        <w:spacing w:line="360" w:lineRule="auto"/>
        <w:ind w:left="993" w:hanging="284"/>
        <w:jc w:val="both"/>
        <w:rPr>
          <w:color w:val="000000" w:themeColor="text1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t xml:space="preserve">Metale szlachetne i pozostałe metale nieżelazne (jako miedź - M) – indeks 24.4. </w:t>
      </w:r>
    </w:p>
    <w:p w14:paraId="6A78926F" w14:textId="77777777" w:rsidR="00D426F9" w:rsidRPr="00AF12D9" w:rsidRDefault="00D426F9" w:rsidP="00AF12D9">
      <w:pPr>
        <w:pStyle w:val="Default"/>
        <w:numPr>
          <w:ilvl w:val="0"/>
          <w:numId w:val="5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t xml:space="preserve">W przypadku, gdyby którykolwiek z wyżej wymienionych wskaźników przestał być dostępny, zastosowanie znajdzie inny, najbardziej zbliżony, wskaźnik publikowany przez Prezesa GUS. </w:t>
      </w:r>
    </w:p>
    <w:p w14:paraId="2E96A4BC" w14:textId="77777777" w:rsidR="00D426F9" w:rsidRPr="00AF12D9" w:rsidRDefault="00D426F9" w:rsidP="00AF12D9">
      <w:pPr>
        <w:pStyle w:val="Default"/>
        <w:numPr>
          <w:ilvl w:val="0"/>
          <w:numId w:val="5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t>Kwoty płatne Wykonawcy będą waloryzowane miesięcznie począwszy od miesiąca, za który dokonano odbioru częściowego za wykonane roboty budowlane oraz w którym dochodzi do zmiany cen lub kosztów wyliczonej zgodnie ze wzorem poniżej do wystawienia faktury, w którym łączna wartość korekt dla oddania wzrostu lub spadku cen, wynikających z niniejszego paragrafu, osiągnie limit +/- ……%</w:t>
      </w:r>
      <w:r w:rsidRPr="00AF12D9">
        <w:rPr>
          <w:rStyle w:val="Odwoanieprzypisudolnego"/>
          <w:color w:val="000000" w:themeColor="text1"/>
          <w:sz w:val="22"/>
          <w:szCs w:val="22"/>
        </w:rPr>
        <w:footnoteReference w:id="26"/>
      </w:r>
      <w:r w:rsidRPr="00AF12D9">
        <w:rPr>
          <w:color w:val="000000" w:themeColor="text1"/>
          <w:sz w:val="22"/>
          <w:szCs w:val="22"/>
        </w:rPr>
        <w:t xml:space="preserve"> wartości Robót netto wskazanej w Umowie w dniu jej zawarcia. Waloryzacji będą podlegać jedynie kwoty poświadczone w protokołach odbioru częściowego wystawionych za Dokumenty i Roboty wykonane w terminie końcowym wykonania Umowy. Od …….</w:t>
      </w:r>
      <w:r w:rsidRPr="00AF12D9">
        <w:rPr>
          <w:rStyle w:val="Odwoanieprzypisudolnego"/>
          <w:color w:val="000000" w:themeColor="text1"/>
          <w:sz w:val="22"/>
          <w:szCs w:val="22"/>
        </w:rPr>
        <w:footnoteReference w:id="27"/>
      </w:r>
      <w:r w:rsidRPr="00AF12D9">
        <w:rPr>
          <w:color w:val="000000" w:themeColor="text1"/>
          <w:sz w:val="22"/>
          <w:szCs w:val="22"/>
        </w:rPr>
        <w:t xml:space="preserve"> dnia przed upływem terminu końcowego wykonania Umowy </w:t>
      </w:r>
      <w:r w:rsidRPr="00AF12D9">
        <w:rPr>
          <w:color w:val="000000" w:themeColor="text1"/>
          <w:sz w:val="22"/>
          <w:szCs w:val="22"/>
        </w:rPr>
        <w:lastRenderedPageBreak/>
        <w:t>waloryzacja będzie dokonywana przy zastosowaniu wskaźników obowiązujących na ……</w:t>
      </w:r>
      <w:r w:rsidRPr="00AF12D9">
        <w:rPr>
          <w:rStyle w:val="Odwoanieprzypisudolnego"/>
          <w:color w:val="000000" w:themeColor="text1"/>
          <w:sz w:val="22"/>
          <w:szCs w:val="22"/>
        </w:rPr>
        <w:footnoteReference w:id="28"/>
      </w:r>
      <w:r w:rsidRPr="00AF12D9">
        <w:rPr>
          <w:color w:val="000000" w:themeColor="text1"/>
          <w:sz w:val="22"/>
          <w:szCs w:val="22"/>
        </w:rPr>
        <w:t xml:space="preserve"> dni przed upływem terminu końcowego wykonania Umowy. Po tym terminie, wskaźniki z tabeli Koszyk Waloryzacyjny nie będą podlegały dalszym zmianom. </w:t>
      </w:r>
    </w:p>
    <w:p w14:paraId="643A962A" w14:textId="77777777" w:rsidR="00D426F9" w:rsidRPr="00AF12D9" w:rsidRDefault="00D426F9" w:rsidP="00AF12D9">
      <w:pPr>
        <w:pStyle w:val="Default"/>
        <w:numPr>
          <w:ilvl w:val="0"/>
          <w:numId w:val="5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t>Kwoty płatne Wykonawcy podlegać będą waloryzacji o współczynnik zmiany cen (</w:t>
      </w:r>
      <w:r w:rsidRPr="00AF12D9">
        <w:rPr>
          <w:rFonts w:ascii="Cambria Math" w:hAnsi="Cambria Math" w:cs="Cambria Math"/>
          <w:color w:val="000000" w:themeColor="text1"/>
          <w:sz w:val="22"/>
          <w:szCs w:val="22"/>
        </w:rPr>
        <w:t>𝑊𝐺𝑛</w:t>
      </w:r>
      <w:r w:rsidRPr="00AF12D9">
        <w:rPr>
          <w:color w:val="000000" w:themeColor="text1"/>
          <w:sz w:val="22"/>
          <w:szCs w:val="22"/>
        </w:rPr>
        <w:t>) wyliczony według wzoru:</w:t>
      </w:r>
    </w:p>
    <w:p w14:paraId="262C7D27" w14:textId="61F3C04E" w:rsidR="00D426F9" w:rsidRPr="00AF12D9" w:rsidRDefault="00D426F9" w:rsidP="007C35D4">
      <w:pPr>
        <w:spacing w:line="360" w:lineRule="auto"/>
        <w:ind w:firstLine="708"/>
        <w:jc w:val="center"/>
        <w:rPr>
          <w:rFonts w:ascii="Arial" w:hAnsi="Arial" w:cs="Arial"/>
          <w:b/>
          <w:bCs/>
          <w:color w:val="000000" w:themeColor="text1"/>
        </w:rPr>
      </w:pPr>
      <w:bookmarkStart w:id="14" w:name="OLE_LINK1"/>
      <w:r w:rsidRPr="00AF12D9">
        <w:rPr>
          <w:rFonts w:ascii="Cambria Math" w:hAnsi="Cambria Math" w:cs="Cambria Math"/>
          <w:b/>
          <w:bCs/>
          <w:color w:val="000000" w:themeColor="text1"/>
        </w:rPr>
        <w:t>𝑊</w:t>
      </w:r>
      <w:r w:rsidRPr="00AF12D9">
        <w:rPr>
          <w:rFonts w:ascii="Cambria Math" w:hAnsi="Cambria Math" w:cs="Cambria Math"/>
          <w:b/>
          <w:bCs/>
          <w:color w:val="000000" w:themeColor="text1"/>
          <w:vertAlign w:val="subscript"/>
        </w:rPr>
        <w:t>𝐺𝑛</w:t>
      </w:r>
      <w:r w:rsidRPr="00AF12D9">
        <w:rPr>
          <w:rFonts w:ascii="Arial" w:hAnsi="Arial" w:cs="Arial"/>
          <w:b/>
          <w:bCs/>
          <w:color w:val="000000" w:themeColor="text1"/>
        </w:rPr>
        <w:t xml:space="preserve"> =</w:t>
      </w:r>
      <w:r w:rsidRPr="00AF12D9">
        <w:rPr>
          <w:rFonts w:ascii="Cambria Math" w:hAnsi="Cambria Math" w:cs="Cambria Math"/>
          <w:b/>
          <w:bCs/>
          <w:color w:val="000000" w:themeColor="text1"/>
        </w:rPr>
        <w:t>𝑎</w:t>
      </w:r>
      <w:r w:rsidRPr="00AF12D9">
        <w:rPr>
          <w:rFonts w:ascii="Arial" w:hAnsi="Arial" w:cs="Arial"/>
          <w:b/>
          <w:bCs/>
          <w:color w:val="000000" w:themeColor="text1"/>
        </w:rPr>
        <w:t xml:space="preserve"> + </w:t>
      </w:r>
      <w:r w:rsidRPr="00AF12D9">
        <w:rPr>
          <w:rFonts w:ascii="Cambria Math" w:hAnsi="Cambria Math" w:cs="Cambria Math"/>
          <w:b/>
          <w:bCs/>
          <w:color w:val="000000" w:themeColor="text1"/>
        </w:rPr>
        <w:t>𝑏</w:t>
      </w:r>
      <w:r w:rsidRPr="00AF12D9">
        <w:rPr>
          <w:rFonts w:ascii="Arial" w:hAnsi="Arial" w:cs="Arial"/>
          <w:b/>
          <w:bCs/>
          <w:color w:val="000000" w:themeColor="text1"/>
        </w:rPr>
        <w:t xml:space="preserve"> </w:t>
      </w:r>
      <m:oMath>
        <m:f>
          <m:fPr>
            <m:ctrlPr>
              <w:rPr>
                <w:rFonts w:ascii="Cambria Math" w:hAnsi="Cambria Math" w:cs="Arial"/>
                <w:b/>
                <w:bCs/>
                <w:color w:val="000000" w:themeColor="text1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Arial"/>
                <w:color w:val="000000" w:themeColor="text1"/>
              </w:rPr>
              <m:t>CPIn</m:t>
            </m:r>
          </m:num>
          <m:den>
            <m:r>
              <m:rPr>
                <m:sty m:val="b"/>
              </m:rPr>
              <w:rPr>
                <w:rFonts w:ascii="Cambria Math" w:hAnsi="Cambria Math" w:cs="Arial"/>
                <w:color w:val="000000" w:themeColor="text1"/>
              </w:rPr>
              <m:t>CPIo</m:t>
            </m:r>
          </m:den>
        </m:f>
      </m:oMath>
      <w:r w:rsidRPr="00AF12D9">
        <w:rPr>
          <w:rFonts w:ascii="Arial" w:hAnsi="Arial" w:cs="Arial"/>
          <w:b/>
          <w:bCs/>
          <w:color w:val="000000" w:themeColor="text1"/>
        </w:rPr>
        <w:t xml:space="preserve"> + </w:t>
      </w:r>
      <w:r w:rsidRPr="00AF12D9">
        <w:rPr>
          <w:rFonts w:ascii="Cambria Math" w:hAnsi="Cambria Math" w:cs="Cambria Math"/>
          <w:b/>
          <w:bCs/>
          <w:color w:val="000000" w:themeColor="text1"/>
        </w:rPr>
        <w:t>𝑐</w:t>
      </w:r>
      <w:r w:rsidRPr="00AF12D9">
        <w:rPr>
          <w:rFonts w:ascii="Arial" w:hAnsi="Arial" w:cs="Arial"/>
          <w:b/>
          <w:bCs/>
          <w:color w:val="000000" w:themeColor="text1"/>
        </w:rPr>
        <w:t xml:space="preserve"> </w:t>
      </w:r>
      <m:oMath>
        <m:f>
          <m:fPr>
            <m:ctrlPr>
              <w:rPr>
                <w:rFonts w:ascii="Cambria Math" w:hAnsi="Cambria Math" w:cs="Arial"/>
                <w:b/>
                <w:bCs/>
                <w:color w:val="000000" w:themeColor="text1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Arial"/>
                <w:color w:val="000000" w:themeColor="text1"/>
              </w:rPr>
              <m:t>Rn</m:t>
            </m:r>
          </m:num>
          <m:den>
            <m:r>
              <m:rPr>
                <m:sty m:val="b"/>
              </m:rPr>
              <w:rPr>
                <w:rFonts w:ascii="Cambria Math" w:hAnsi="Cambria Math" w:cs="Arial"/>
                <w:color w:val="000000" w:themeColor="text1"/>
              </w:rPr>
              <m:t>Ro</m:t>
            </m:r>
          </m:den>
        </m:f>
      </m:oMath>
      <w:r w:rsidRPr="00AF12D9">
        <w:rPr>
          <w:rFonts w:ascii="Arial" w:hAnsi="Arial" w:cs="Arial"/>
          <w:b/>
          <w:bCs/>
          <w:color w:val="000000" w:themeColor="text1"/>
        </w:rPr>
        <w:t xml:space="preserve"> + </w:t>
      </w:r>
      <w:r w:rsidRPr="00AF12D9">
        <w:rPr>
          <w:rFonts w:ascii="Cambria Math" w:hAnsi="Cambria Math" w:cs="Cambria Math"/>
          <w:b/>
          <w:bCs/>
          <w:color w:val="000000" w:themeColor="text1"/>
        </w:rPr>
        <w:t>𝑑</w:t>
      </w:r>
      <w:r w:rsidRPr="00AF12D9">
        <w:rPr>
          <w:rFonts w:ascii="Arial" w:hAnsi="Arial" w:cs="Arial"/>
          <w:b/>
          <w:bCs/>
          <w:color w:val="000000" w:themeColor="text1"/>
        </w:rPr>
        <w:t xml:space="preserve"> </w:t>
      </w:r>
      <m:oMath>
        <m:f>
          <m:fPr>
            <m:ctrlPr>
              <w:rPr>
                <w:rFonts w:ascii="Cambria Math" w:hAnsi="Cambria Math" w:cs="Arial"/>
                <w:b/>
                <w:bCs/>
                <w:color w:val="000000" w:themeColor="text1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Arial"/>
                <w:color w:val="000000" w:themeColor="text1"/>
              </w:rPr>
              <m:t>Pn</m:t>
            </m:r>
          </m:num>
          <m:den>
            <m:r>
              <m:rPr>
                <m:sty m:val="b"/>
              </m:rPr>
              <w:rPr>
                <w:rFonts w:ascii="Cambria Math" w:hAnsi="Cambria Math" w:cs="Arial"/>
                <w:color w:val="000000" w:themeColor="text1"/>
              </w:rPr>
              <m:t>Po</m:t>
            </m:r>
          </m:den>
        </m:f>
      </m:oMath>
      <w:r w:rsidRPr="00AF12D9">
        <w:rPr>
          <w:rFonts w:ascii="Arial" w:hAnsi="Arial" w:cs="Arial"/>
          <w:b/>
          <w:bCs/>
          <w:color w:val="000000" w:themeColor="text1"/>
        </w:rPr>
        <w:t xml:space="preserve"> + </w:t>
      </w:r>
      <w:r w:rsidRPr="00AF12D9">
        <w:rPr>
          <w:rFonts w:ascii="Cambria Math" w:hAnsi="Cambria Math" w:cs="Cambria Math"/>
          <w:b/>
          <w:bCs/>
          <w:color w:val="000000" w:themeColor="text1"/>
        </w:rPr>
        <w:t>𝑒</w:t>
      </w:r>
      <w:r w:rsidRPr="00AF12D9">
        <w:rPr>
          <w:rFonts w:ascii="Arial" w:hAnsi="Arial" w:cs="Arial"/>
          <w:b/>
          <w:bCs/>
          <w:color w:val="000000" w:themeColor="text1"/>
        </w:rPr>
        <w:t xml:space="preserve"> </w:t>
      </w:r>
      <m:oMath>
        <m:f>
          <m:fPr>
            <m:ctrlPr>
              <w:rPr>
                <w:rFonts w:ascii="Cambria Math" w:hAnsi="Cambria Math" w:cs="Arial"/>
                <w:b/>
                <w:bCs/>
                <w:color w:val="000000" w:themeColor="text1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Arial"/>
                <w:color w:val="000000" w:themeColor="text1"/>
              </w:rPr>
              <m:t>Cn</m:t>
            </m:r>
          </m:num>
          <m:den>
            <m:r>
              <m:rPr>
                <m:sty m:val="b"/>
              </m:rPr>
              <w:rPr>
                <w:rFonts w:ascii="Cambria Math" w:hAnsi="Cambria Math" w:cs="Arial"/>
                <w:color w:val="000000" w:themeColor="text1"/>
              </w:rPr>
              <m:t>Co</m:t>
            </m:r>
          </m:den>
        </m:f>
      </m:oMath>
      <w:r w:rsidRPr="00AF12D9">
        <w:rPr>
          <w:rFonts w:ascii="Arial" w:hAnsi="Arial" w:cs="Arial"/>
          <w:b/>
          <w:bCs/>
          <w:color w:val="000000" w:themeColor="text1"/>
        </w:rPr>
        <w:t>+</w:t>
      </w:r>
      <w:r w:rsidRPr="00AF12D9">
        <w:rPr>
          <w:rFonts w:ascii="Cambria Math" w:hAnsi="Cambria Math" w:cs="Cambria Math"/>
          <w:b/>
          <w:bCs/>
          <w:color w:val="000000" w:themeColor="text1"/>
        </w:rPr>
        <w:t>𝑓</w:t>
      </w:r>
      <w:r w:rsidRPr="00AF12D9">
        <w:rPr>
          <w:rFonts w:ascii="Arial" w:hAnsi="Arial" w:cs="Arial"/>
          <w:b/>
          <w:bCs/>
          <w:color w:val="000000" w:themeColor="text1"/>
        </w:rPr>
        <w:t xml:space="preserve"> </w:t>
      </w:r>
      <m:oMath>
        <m:f>
          <m:fPr>
            <m:ctrlPr>
              <w:rPr>
                <w:rFonts w:ascii="Cambria Math" w:hAnsi="Cambria Math" w:cs="Arial"/>
                <w:b/>
                <w:bCs/>
                <w:color w:val="000000" w:themeColor="text1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Arial"/>
                <w:color w:val="000000" w:themeColor="text1"/>
              </w:rPr>
              <m:t>Sn</m:t>
            </m:r>
          </m:num>
          <m:den>
            <m:r>
              <m:rPr>
                <m:sty m:val="b"/>
              </m:rPr>
              <w:rPr>
                <w:rFonts w:ascii="Cambria Math" w:hAnsi="Cambria Math" w:cs="Arial"/>
                <w:color w:val="000000" w:themeColor="text1"/>
              </w:rPr>
              <m:t>So</m:t>
            </m:r>
          </m:den>
        </m:f>
      </m:oMath>
      <w:r w:rsidRPr="00AF12D9">
        <w:rPr>
          <w:rFonts w:ascii="Arial" w:hAnsi="Arial" w:cs="Arial"/>
          <w:b/>
          <w:bCs/>
          <w:color w:val="000000" w:themeColor="text1"/>
        </w:rPr>
        <w:t xml:space="preserve"> + </w:t>
      </w:r>
      <w:r w:rsidRPr="00AF12D9">
        <w:rPr>
          <w:rFonts w:ascii="Cambria Math" w:hAnsi="Cambria Math" w:cs="Cambria Math"/>
          <w:b/>
          <w:bCs/>
          <w:color w:val="000000" w:themeColor="text1"/>
        </w:rPr>
        <w:t>𝑔</w:t>
      </w:r>
      <w:r w:rsidRPr="00AF12D9">
        <w:rPr>
          <w:rFonts w:ascii="Arial" w:hAnsi="Arial" w:cs="Arial"/>
          <w:b/>
          <w:bCs/>
          <w:color w:val="000000" w:themeColor="text1"/>
        </w:rPr>
        <w:t xml:space="preserve"> </w:t>
      </w:r>
      <m:oMath>
        <m:f>
          <m:fPr>
            <m:ctrlPr>
              <w:rPr>
                <w:rFonts w:ascii="Cambria Math" w:hAnsi="Cambria Math" w:cs="Arial"/>
                <w:b/>
                <w:bCs/>
                <w:color w:val="000000" w:themeColor="text1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Arial"/>
                <w:color w:val="000000" w:themeColor="text1"/>
              </w:rPr>
              <m:t>Kn</m:t>
            </m:r>
          </m:num>
          <m:den>
            <m:r>
              <m:rPr>
                <m:sty m:val="b"/>
              </m:rPr>
              <w:rPr>
                <w:rFonts w:ascii="Cambria Math" w:hAnsi="Cambria Math" w:cs="Arial"/>
                <w:color w:val="000000" w:themeColor="text1"/>
              </w:rPr>
              <m:t>Ko</m:t>
            </m:r>
          </m:den>
        </m:f>
      </m:oMath>
      <w:r w:rsidRPr="00AF12D9">
        <w:rPr>
          <w:rFonts w:ascii="Arial" w:hAnsi="Arial" w:cs="Arial"/>
          <w:b/>
          <w:bCs/>
          <w:color w:val="000000" w:themeColor="text1"/>
        </w:rPr>
        <w:t xml:space="preserve"> + </w:t>
      </w:r>
      <w:r w:rsidRPr="00AF12D9">
        <w:rPr>
          <w:rFonts w:ascii="Cambria Math" w:hAnsi="Cambria Math" w:cs="Cambria Math"/>
          <w:b/>
          <w:bCs/>
          <w:color w:val="000000" w:themeColor="text1"/>
        </w:rPr>
        <w:t>ℎ</w:t>
      </w:r>
      <w:r w:rsidRPr="00AF12D9">
        <w:rPr>
          <w:rFonts w:ascii="Arial" w:hAnsi="Arial" w:cs="Arial"/>
          <w:b/>
          <w:bCs/>
          <w:color w:val="000000" w:themeColor="text1"/>
        </w:rPr>
        <w:t xml:space="preserve"> </w:t>
      </w:r>
      <m:oMath>
        <m:f>
          <m:fPr>
            <m:ctrlPr>
              <w:rPr>
                <w:rFonts w:ascii="Cambria Math" w:hAnsi="Cambria Math" w:cs="Arial"/>
                <w:b/>
                <w:bCs/>
                <w:color w:val="000000" w:themeColor="text1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Arial"/>
                <w:color w:val="000000" w:themeColor="text1"/>
              </w:rPr>
              <m:t>Mn</m:t>
            </m:r>
          </m:num>
          <m:den>
            <m:r>
              <m:rPr>
                <m:sty m:val="b"/>
              </m:rPr>
              <w:rPr>
                <w:rFonts w:ascii="Cambria Math" w:hAnsi="Cambria Math" w:cs="Arial"/>
                <w:color w:val="000000" w:themeColor="text1"/>
              </w:rPr>
              <m:t>Mo</m:t>
            </m:r>
          </m:den>
        </m:f>
      </m:oMath>
    </w:p>
    <w:bookmarkEnd w:id="14"/>
    <w:p w14:paraId="13C9FB8A" w14:textId="77777777" w:rsidR="00D426F9" w:rsidRPr="00AF12D9" w:rsidRDefault="00D426F9" w:rsidP="00AF12D9">
      <w:pPr>
        <w:pStyle w:val="Default"/>
        <w:spacing w:line="360" w:lineRule="auto"/>
        <w:ind w:firstLine="708"/>
        <w:jc w:val="both"/>
        <w:rPr>
          <w:color w:val="000000" w:themeColor="text1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t xml:space="preserve">gdzie: </w:t>
      </w:r>
    </w:p>
    <w:p w14:paraId="46C3A3B7" w14:textId="7CD6FF9A" w:rsidR="00D426F9" w:rsidRPr="00AF12D9" w:rsidRDefault="00AF12D9" w:rsidP="00AF12D9">
      <w:pPr>
        <w:pStyle w:val="Default"/>
        <w:spacing w:line="360" w:lineRule="auto"/>
        <w:ind w:left="708"/>
        <w:jc w:val="both"/>
        <w:rPr>
          <w:color w:val="000000" w:themeColor="text1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t>–</w:t>
      </w:r>
      <w:r w:rsidRPr="00AF12D9">
        <w:rPr>
          <w:b/>
          <w:bCs/>
          <w:color w:val="000000" w:themeColor="text1"/>
          <w:sz w:val="22"/>
          <w:szCs w:val="22"/>
        </w:rPr>
        <w:t xml:space="preserve"> </w:t>
      </w:r>
      <w:r w:rsidR="00D426F9" w:rsidRPr="00AF12D9">
        <w:rPr>
          <w:b/>
          <w:bCs/>
          <w:color w:val="000000" w:themeColor="text1"/>
          <w:sz w:val="22"/>
          <w:szCs w:val="22"/>
        </w:rPr>
        <w:t>„</w:t>
      </w:r>
      <w:r w:rsidR="00D426F9" w:rsidRPr="00AF12D9">
        <w:rPr>
          <w:rFonts w:ascii="Cambria Math" w:hAnsi="Cambria Math" w:cs="Cambria Math"/>
          <w:b/>
          <w:bCs/>
          <w:color w:val="000000" w:themeColor="text1"/>
          <w:sz w:val="22"/>
          <w:szCs w:val="22"/>
        </w:rPr>
        <w:t>𝑊</w:t>
      </w:r>
      <w:r w:rsidR="00D426F9" w:rsidRPr="00AF12D9">
        <w:rPr>
          <w:rFonts w:ascii="Cambria Math" w:hAnsi="Cambria Math" w:cs="Cambria Math"/>
          <w:b/>
          <w:bCs/>
          <w:color w:val="000000" w:themeColor="text1"/>
          <w:sz w:val="22"/>
          <w:szCs w:val="22"/>
          <w:vertAlign w:val="subscript"/>
        </w:rPr>
        <w:t>𝐺𝑛</w:t>
      </w:r>
      <w:r w:rsidR="00D426F9" w:rsidRPr="00AF12D9">
        <w:rPr>
          <w:b/>
          <w:bCs/>
          <w:color w:val="000000" w:themeColor="text1"/>
          <w:sz w:val="22"/>
          <w:szCs w:val="22"/>
        </w:rPr>
        <w:t>”</w:t>
      </w:r>
      <w:r w:rsidR="00D426F9" w:rsidRPr="00AF12D9">
        <w:rPr>
          <w:color w:val="000000" w:themeColor="text1"/>
          <w:sz w:val="22"/>
          <w:szCs w:val="22"/>
        </w:rPr>
        <w:t xml:space="preserve"> jest mnożnikiem korygującym, do zastosowania w stosunku do szacunkowej kontraktowej wartości pracy wykonanej w okresie „</w:t>
      </w:r>
      <w:r w:rsidR="00D426F9" w:rsidRPr="00AF12D9">
        <w:rPr>
          <w:rFonts w:ascii="Cambria Math" w:hAnsi="Cambria Math" w:cs="Cambria Math"/>
          <w:color w:val="000000" w:themeColor="text1"/>
          <w:sz w:val="22"/>
          <w:szCs w:val="22"/>
        </w:rPr>
        <w:t>𝑛</w:t>
      </w:r>
      <w:r w:rsidR="00D426F9" w:rsidRPr="00AF12D9">
        <w:rPr>
          <w:color w:val="000000" w:themeColor="text1"/>
          <w:sz w:val="22"/>
          <w:szCs w:val="22"/>
        </w:rPr>
        <w:t xml:space="preserve">”; przy czym okresem tym jest miesiąc, jeśli nie jest inaczej podane w Umowie; </w:t>
      </w:r>
    </w:p>
    <w:p w14:paraId="5A6C815D" w14:textId="538D0F3C" w:rsidR="00D426F9" w:rsidRPr="00AF12D9" w:rsidRDefault="00AF12D9" w:rsidP="00AF12D9">
      <w:pPr>
        <w:pStyle w:val="Default"/>
        <w:spacing w:after="133" w:line="360" w:lineRule="auto"/>
        <w:ind w:firstLine="708"/>
        <w:jc w:val="both"/>
        <w:rPr>
          <w:color w:val="000000" w:themeColor="text1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t>–</w:t>
      </w:r>
      <w:r w:rsidRPr="00AF12D9">
        <w:rPr>
          <w:b/>
          <w:bCs/>
          <w:color w:val="000000" w:themeColor="text1"/>
          <w:sz w:val="22"/>
          <w:szCs w:val="22"/>
        </w:rPr>
        <w:t xml:space="preserve"> </w:t>
      </w:r>
      <w:r w:rsidR="00D426F9" w:rsidRPr="00AF12D9">
        <w:rPr>
          <w:b/>
          <w:bCs/>
          <w:color w:val="000000" w:themeColor="text1"/>
          <w:sz w:val="22"/>
          <w:szCs w:val="22"/>
        </w:rPr>
        <w:t>„</w:t>
      </w:r>
      <w:r w:rsidR="00D426F9" w:rsidRPr="00AF12D9">
        <w:rPr>
          <w:rFonts w:ascii="Cambria Math" w:hAnsi="Cambria Math" w:cs="Cambria Math"/>
          <w:b/>
          <w:bCs/>
          <w:color w:val="000000" w:themeColor="text1"/>
          <w:sz w:val="22"/>
          <w:szCs w:val="22"/>
        </w:rPr>
        <w:t>𝑎</w:t>
      </w:r>
      <w:r w:rsidR="00D426F9" w:rsidRPr="00AF12D9">
        <w:rPr>
          <w:b/>
          <w:bCs/>
          <w:color w:val="000000" w:themeColor="text1"/>
          <w:sz w:val="22"/>
          <w:szCs w:val="22"/>
        </w:rPr>
        <w:t>”</w:t>
      </w:r>
      <w:r w:rsidR="00D426F9" w:rsidRPr="00AF12D9">
        <w:rPr>
          <w:color w:val="000000" w:themeColor="text1"/>
          <w:sz w:val="22"/>
          <w:szCs w:val="22"/>
        </w:rPr>
        <w:t xml:space="preserve"> jest stałym współczynnikiem o wartości: …… (….%)</w:t>
      </w:r>
      <w:r w:rsidR="00D426F9" w:rsidRPr="00AF12D9">
        <w:rPr>
          <w:rStyle w:val="Odwoanieprzypisudolnego"/>
          <w:color w:val="000000" w:themeColor="text1"/>
          <w:sz w:val="22"/>
          <w:szCs w:val="22"/>
        </w:rPr>
        <w:footnoteReference w:id="29"/>
      </w:r>
      <w:r w:rsidR="00D426F9" w:rsidRPr="00AF12D9">
        <w:rPr>
          <w:color w:val="000000" w:themeColor="text1"/>
          <w:sz w:val="22"/>
          <w:szCs w:val="22"/>
        </w:rPr>
        <w:t xml:space="preserve">  niepodlegającym korekcie; </w:t>
      </w:r>
    </w:p>
    <w:p w14:paraId="0FABBD7B" w14:textId="507806EF" w:rsidR="00D426F9" w:rsidRPr="00AF12D9" w:rsidRDefault="00AF12D9" w:rsidP="00AF12D9">
      <w:pPr>
        <w:pStyle w:val="Default"/>
        <w:spacing w:after="133" w:line="360" w:lineRule="auto"/>
        <w:ind w:left="708"/>
        <w:jc w:val="both"/>
        <w:rPr>
          <w:color w:val="000000" w:themeColor="text1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t>–</w:t>
      </w:r>
      <w:r w:rsidRPr="00AF12D9">
        <w:rPr>
          <w:b/>
          <w:bCs/>
          <w:color w:val="000000" w:themeColor="text1"/>
          <w:sz w:val="22"/>
          <w:szCs w:val="22"/>
        </w:rPr>
        <w:t xml:space="preserve"> </w:t>
      </w:r>
      <w:r w:rsidR="00D426F9" w:rsidRPr="00AF12D9">
        <w:rPr>
          <w:b/>
          <w:bCs/>
          <w:color w:val="000000" w:themeColor="text1"/>
          <w:sz w:val="22"/>
          <w:szCs w:val="22"/>
        </w:rPr>
        <w:t>„</w:t>
      </w:r>
      <w:r w:rsidR="00D426F9" w:rsidRPr="00AF12D9">
        <w:rPr>
          <w:rFonts w:ascii="Cambria Math" w:hAnsi="Cambria Math" w:cs="Cambria Math"/>
          <w:b/>
          <w:bCs/>
          <w:color w:val="000000" w:themeColor="text1"/>
          <w:sz w:val="22"/>
          <w:szCs w:val="22"/>
        </w:rPr>
        <w:t>𝑏</w:t>
      </w:r>
      <w:r w:rsidR="00D426F9" w:rsidRPr="00AF12D9">
        <w:rPr>
          <w:b/>
          <w:bCs/>
          <w:color w:val="000000" w:themeColor="text1"/>
          <w:sz w:val="22"/>
          <w:szCs w:val="22"/>
        </w:rPr>
        <w:t>”, „</w:t>
      </w:r>
      <w:r w:rsidR="00D426F9" w:rsidRPr="00AF12D9">
        <w:rPr>
          <w:rFonts w:ascii="Cambria Math" w:hAnsi="Cambria Math" w:cs="Cambria Math"/>
          <w:b/>
          <w:bCs/>
          <w:color w:val="000000" w:themeColor="text1"/>
          <w:sz w:val="22"/>
          <w:szCs w:val="22"/>
        </w:rPr>
        <w:t>𝑐</w:t>
      </w:r>
      <w:r w:rsidR="00D426F9" w:rsidRPr="00AF12D9">
        <w:rPr>
          <w:b/>
          <w:bCs/>
          <w:color w:val="000000" w:themeColor="text1"/>
          <w:sz w:val="22"/>
          <w:szCs w:val="22"/>
        </w:rPr>
        <w:t>”, „</w:t>
      </w:r>
      <w:r w:rsidR="00D426F9" w:rsidRPr="00AF12D9">
        <w:rPr>
          <w:rFonts w:ascii="Cambria Math" w:hAnsi="Cambria Math" w:cs="Cambria Math"/>
          <w:b/>
          <w:bCs/>
          <w:color w:val="000000" w:themeColor="text1"/>
          <w:sz w:val="22"/>
          <w:szCs w:val="22"/>
        </w:rPr>
        <w:t>𝑑</w:t>
      </w:r>
      <w:r w:rsidR="00D426F9" w:rsidRPr="00AF12D9">
        <w:rPr>
          <w:b/>
          <w:bCs/>
          <w:color w:val="000000" w:themeColor="text1"/>
          <w:sz w:val="22"/>
          <w:szCs w:val="22"/>
        </w:rPr>
        <w:t>”, „</w:t>
      </w:r>
      <w:r w:rsidR="00D426F9" w:rsidRPr="00AF12D9">
        <w:rPr>
          <w:rFonts w:ascii="Cambria Math" w:hAnsi="Cambria Math" w:cs="Cambria Math"/>
          <w:b/>
          <w:bCs/>
          <w:color w:val="000000" w:themeColor="text1"/>
          <w:sz w:val="22"/>
          <w:szCs w:val="22"/>
        </w:rPr>
        <w:t>𝑒</w:t>
      </w:r>
      <w:r w:rsidR="00D426F9" w:rsidRPr="00AF12D9">
        <w:rPr>
          <w:b/>
          <w:bCs/>
          <w:color w:val="000000" w:themeColor="text1"/>
          <w:sz w:val="22"/>
          <w:szCs w:val="22"/>
        </w:rPr>
        <w:t>”, „</w:t>
      </w:r>
      <w:r w:rsidR="00D426F9" w:rsidRPr="00AF12D9">
        <w:rPr>
          <w:rFonts w:ascii="Cambria Math" w:hAnsi="Cambria Math" w:cs="Cambria Math"/>
          <w:b/>
          <w:bCs/>
          <w:color w:val="000000" w:themeColor="text1"/>
          <w:sz w:val="22"/>
          <w:szCs w:val="22"/>
        </w:rPr>
        <w:t>𝑓</w:t>
      </w:r>
      <w:r w:rsidR="00D426F9" w:rsidRPr="00AF12D9">
        <w:rPr>
          <w:b/>
          <w:bCs/>
          <w:color w:val="000000" w:themeColor="text1"/>
          <w:sz w:val="22"/>
          <w:szCs w:val="22"/>
        </w:rPr>
        <w:t>”, „</w:t>
      </w:r>
      <w:r w:rsidR="00D426F9" w:rsidRPr="00AF12D9">
        <w:rPr>
          <w:rFonts w:ascii="Cambria Math" w:hAnsi="Cambria Math" w:cs="Cambria Math"/>
          <w:b/>
          <w:bCs/>
          <w:color w:val="000000" w:themeColor="text1"/>
          <w:sz w:val="22"/>
          <w:szCs w:val="22"/>
        </w:rPr>
        <w:t>𝑔</w:t>
      </w:r>
      <w:r w:rsidR="00D426F9" w:rsidRPr="00AF12D9">
        <w:rPr>
          <w:b/>
          <w:bCs/>
          <w:color w:val="000000" w:themeColor="text1"/>
          <w:sz w:val="22"/>
          <w:szCs w:val="22"/>
        </w:rPr>
        <w:t>”, „</w:t>
      </w:r>
      <w:r w:rsidR="00D426F9" w:rsidRPr="00AF12D9">
        <w:rPr>
          <w:rFonts w:ascii="Cambria Math" w:hAnsi="Cambria Math" w:cs="Cambria Math"/>
          <w:b/>
          <w:bCs/>
          <w:color w:val="000000" w:themeColor="text1"/>
          <w:sz w:val="22"/>
          <w:szCs w:val="22"/>
        </w:rPr>
        <w:t>ℎ</w:t>
      </w:r>
      <w:r w:rsidR="00D426F9" w:rsidRPr="00AF12D9">
        <w:rPr>
          <w:b/>
          <w:bCs/>
          <w:color w:val="000000" w:themeColor="text1"/>
          <w:sz w:val="22"/>
          <w:szCs w:val="22"/>
        </w:rPr>
        <w:t>”</w:t>
      </w:r>
      <w:r w:rsidR="00D426F9" w:rsidRPr="00AF12D9">
        <w:rPr>
          <w:color w:val="000000" w:themeColor="text1"/>
          <w:sz w:val="22"/>
          <w:szCs w:val="22"/>
        </w:rPr>
        <w:t xml:space="preserve"> są współczynnikami stałymi określonymi w tabeli Koszyk Waloryzacyjny, niepodlegającymi korekcie, z zastrzeżeniem sytuacji gdy Zamawiający stanie się dostawcą któregokolwiek z elementów robót ujętych w tabeli Koszyk Waloryzacyjny, wówczas waga tego elementu zostanie przyjęta jako „0” we wzorze na </w:t>
      </w:r>
      <w:r w:rsidR="00D426F9" w:rsidRPr="00AF12D9">
        <w:rPr>
          <w:rFonts w:ascii="Cambria Math" w:hAnsi="Cambria Math" w:cs="Cambria Math"/>
          <w:color w:val="000000" w:themeColor="text1"/>
          <w:sz w:val="22"/>
          <w:szCs w:val="22"/>
        </w:rPr>
        <w:t>𝑊</w:t>
      </w:r>
      <w:r w:rsidR="00D426F9" w:rsidRPr="00AF12D9">
        <w:rPr>
          <w:rFonts w:ascii="Cambria Math" w:hAnsi="Cambria Math" w:cs="Cambria Math"/>
          <w:color w:val="000000" w:themeColor="text1"/>
          <w:sz w:val="22"/>
          <w:szCs w:val="22"/>
          <w:vertAlign w:val="subscript"/>
        </w:rPr>
        <w:t>𝐺𝑛</w:t>
      </w:r>
      <w:r w:rsidR="00D426F9" w:rsidRPr="00AF12D9">
        <w:rPr>
          <w:color w:val="000000" w:themeColor="text1"/>
          <w:sz w:val="22"/>
          <w:szCs w:val="22"/>
        </w:rPr>
        <w:t xml:space="preserve">; W takim przypadku waga CPI zostanie powiększona o wartość wagi, która została przyjęta jako „0”, tak aby suma wartości wszystkich wag z Koszyka Waloryzacyjnego wynosiła ……. </w:t>
      </w:r>
      <w:r w:rsidR="00D426F9" w:rsidRPr="00AF12D9">
        <w:rPr>
          <w:rStyle w:val="Odwoanieprzypisudolnego"/>
          <w:color w:val="000000" w:themeColor="text1"/>
          <w:sz w:val="22"/>
          <w:szCs w:val="22"/>
        </w:rPr>
        <w:footnoteReference w:id="30"/>
      </w:r>
      <w:r w:rsidR="00D426F9" w:rsidRPr="00AF12D9">
        <w:rPr>
          <w:color w:val="000000" w:themeColor="text1"/>
          <w:sz w:val="22"/>
          <w:szCs w:val="22"/>
        </w:rPr>
        <w:t xml:space="preserve">; </w:t>
      </w:r>
    </w:p>
    <w:p w14:paraId="4A90D25A" w14:textId="77777777" w:rsidR="00D426F9" w:rsidRPr="00AF12D9" w:rsidRDefault="00D426F9" w:rsidP="00AF12D9">
      <w:pPr>
        <w:pStyle w:val="Default"/>
        <w:spacing w:after="133" w:line="360" w:lineRule="auto"/>
        <w:ind w:left="708"/>
        <w:jc w:val="both"/>
        <w:rPr>
          <w:color w:val="000000" w:themeColor="text1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t>– symbole wskaźnika z indexem dolnym „</w:t>
      </w:r>
      <w:r w:rsidRPr="00AF12D9">
        <w:rPr>
          <w:rFonts w:ascii="Cambria Math" w:hAnsi="Cambria Math" w:cs="Cambria Math"/>
          <w:color w:val="000000" w:themeColor="text1"/>
          <w:sz w:val="22"/>
          <w:szCs w:val="22"/>
        </w:rPr>
        <w:t>𝑛</w:t>
      </w:r>
      <w:r w:rsidRPr="00AF12D9">
        <w:rPr>
          <w:color w:val="000000" w:themeColor="text1"/>
          <w:sz w:val="22"/>
          <w:szCs w:val="22"/>
        </w:rPr>
        <w:t>” są narastającymi wskaźnikami kosztu bieżącego okresu (cenami porównawczymi dla okresu „</w:t>
      </w:r>
      <w:r w:rsidRPr="00AF12D9">
        <w:rPr>
          <w:rFonts w:ascii="Cambria Math" w:hAnsi="Cambria Math" w:cs="Cambria Math"/>
          <w:color w:val="000000" w:themeColor="text1"/>
          <w:sz w:val="22"/>
          <w:szCs w:val="22"/>
        </w:rPr>
        <w:t>𝑛</w:t>
      </w:r>
      <w:r w:rsidRPr="00AF12D9">
        <w:rPr>
          <w:color w:val="000000" w:themeColor="text1"/>
          <w:sz w:val="22"/>
          <w:szCs w:val="22"/>
        </w:rPr>
        <w:t xml:space="preserve">”), publikowanymi przez Prezesa GUS w Dziedzinowej Bazie Wiedzy obowiązującymi w danym okresie rozliczeniowym; </w:t>
      </w:r>
    </w:p>
    <w:p w14:paraId="30E2A927" w14:textId="658E6070" w:rsidR="00D426F9" w:rsidRDefault="00D426F9" w:rsidP="00AF12D9">
      <w:pPr>
        <w:pStyle w:val="Default"/>
        <w:spacing w:line="360" w:lineRule="auto"/>
        <w:ind w:left="708"/>
        <w:jc w:val="both"/>
        <w:rPr>
          <w:color w:val="000000" w:themeColor="text1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t>– symbole wskaźnika z indexem dolnym „</w:t>
      </w:r>
      <w:r w:rsidRPr="00AF12D9">
        <w:rPr>
          <w:rFonts w:ascii="Cambria Math" w:hAnsi="Cambria Math" w:cs="Cambria Math"/>
          <w:color w:val="000000" w:themeColor="text1"/>
          <w:sz w:val="22"/>
          <w:szCs w:val="22"/>
        </w:rPr>
        <w:t>𝑜</w:t>
      </w:r>
      <w:r w:rsidRPr="00AF12D9">
        <w:rPr>
          <w:color w:val="000000" w:themeColor="text1"/>
          <w:sz w:val="22"/>
          <w:szCs w:val="22"/>
        </w:rPr>
        <w:t xml:space="preserve">” są wskaźnikami kosztu odniesienia (cenami odniesienia) na Datę Odniesienia, publikowanymi przez Prezesa GUS w Dziedzinowej Bazie Wiedzy obowiązującymi w danym okresie rozliczeniowym. </w:t>
      </w:r>
    </w:p>
    <w:p w14:paraId="22169B41" w14:textId="584EDC09" w:rsidR="00AF12D9" w:rsidRDefault="00AF12D9" w:rsidP="00AF12D9">
      <w:pPr>
        <w:pStyle w:val="Default"/>
        <w:spacing w:line="360" w:lineRule="auto"/>
        <w:ind w:left="708"/>
        <w:jc w:val="both"/>
        <w:rPr>
          <w:color w:val="000000" w:themeColor="text1"/>
          <w:sz w:val="22"/>
          <w:szCs w:val="22"/>
        </w:rPr>
      </w:pPr>
    </w:p>
    <w:p w14:paraId="4AEECFAE" w14:textId="6B8A667E" w:rsidR="00AF12D9" w:rsidRDefault="00AF12D9" w:rsidP="0049196F">
      <w:pPr>
        <w:pStyle w:val="Default"/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378AF333" w14:textId="64CB87FB" w:rsidR="00B66322" w:rsidRDefault="00B66322" w:rsidP="0049196F">
      <w:pPr>
        <w:pStyle w:val="Default"/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6F2C9D25" w14:textId="77777777" w:rsidR="00B66322" w:rsidRPr="00AF12D9" w:rsidRDefault="00B66322" w:rsidP="0049196F">
      <w:pPr>
        <w:pStyle w:val="Default"/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02800A93" w14:textId="77777777" w:rsidR="00D426F9" w:rsidRPr="00AF12D9" w:rsidRDefault="00D426F9" w:rsidP="00AF12D9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tbl>
      <w:tblPr>
        <w:tblStyle w:val="Tabela-Siatka"/>
        <w:tblW w:w="8257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096"/>
        <w:gridCol w:w="2100"/>
        <w:gridCol w:w="2100"/>
        <w:gridCol w:w="1961"/>
      </w:tblGrid>
      <w:tr w:rsidR="00D426F9" w:rsidRPr="00AF12D9" w14:paraId="10386D9A" w14:textId="77777777" w:rsidTr="00AF12D9">
        <w:trPr>
          <w:trHeight w:val="196"/>
        </w:trPr>
        <w:tc>
          <w:tcPr>
            <w:tcW w:w="8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5224EDF" w14:textId="351305D5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bookmarkStart w:id="15" w:name="OLE_LINK4"/>
            <w:r w:rsidRPr="00AF12D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Tabela </w:t>
            </w:r>
            <w:r w:rsidR="00AF12D9">
              <w:rPr>
                <w:b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Pr="00AF12D9">
              <w:rPr>
                <w:b/>
                <w:bCs/>
                <w:color w:val="000000" w:themeColor="text1"/>
                <w:sz w:val="22"/>
                <w:szCs w:val="22"/>
              </w:rPr>
              <w:t>Koszyk Waloryzacyjny</w:t>
            </w:r>
            <w:r w:rsidRPr="00AF12D9">
              <w:rPr>
                <w:rStyle w:val="Odwoanieprzypisudolnego"/>
                <w:b/>
                <w:bCs/>
                <w:color w:val="000000" w:themeColor="text1"/>
                <w:sz w:val="22"/>
                <w:szCs w:val="22"/>
              </w:rPr>
              <w:footnoteReference w:id="31"/>
            </w:r>
          </w:p>
        </w:tc>
      </w:tr>
      <w:tr w:rsidR="00D426F9" w:rsidRPr="00AF12D9" w14:paraId="56023768" w14:textId="77777777" w:rsidTr="00AF12D9">
        <w:trPr>
          <w:trHeight w:val="263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FD153F9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b/>
                <w:bCs/>
                <w:color w:val="000000" w:themeColor="text1"/>
                <w:sz w:val="22"/>
                <w:szCs w:val="22"/>
              </w:rPr>
              <w:t xml:space="preserve">Wskaźnik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C8F5A65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b/>
                <w:bCs/>
                <w:color w:val="000000" w:themeColor="text1"/>
                <w:sz w:val="22"/>
                <w:szCs w:val="22"/>
              </w:rPr>
              <w:t xml:space="preserve">Symbol / indeks wskaźnika GUS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28BE29C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b/>
                <w:bCs/>
                <w:color w:val="000000" w:themeColor="text1"/>
                <w:sz w:val="22"/>
                <w:szCs w:val="22"/>
              </w:rPr>
              <w:t xml:space="preserve">Współczynnik stały dla danego wskaźnika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B812F58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b/>
                <w:bCs/>
                <w:color w:val="000000" w:themeColor="text1"/>
                <w:sz w:val="22"/>
                <w:szCs w:val="22"/>
              </w:rPr>
              <w:t xml:space="preserve">Wartość współczynnika stałego dla danego wskaźnika [%] </w:t>
            </w:r>
          </w:p>
        </w:tc>
      </w:tr>
      <w:tr w:rsidR="00D426F9" w:rsidRPr="00AF12D9" w14:paraId="213B1B2B" w14:textId="77777777" w:rsidTr="00AF12D9">
        <w:trPr>
          <w:trHeight w:val="59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E14751D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 xml:space="preserve">CPI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1DD9554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>CPI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CB68F69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2A86518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 xml:space="preserve">…. </w:t>
            </w:r>
            <w:r w:rsidRPr="00AF12D9">
              <w:rPr>
                <w:rStyle w:val="Odwoanieprzypisudolnego"/>
                <w:color w:val="000000" w:themeColor="text1"/>
                <w:sz w:val="22"/>
                <w:szCs w:val="22"/>
              </w:rPr>
              <w:footnoteReference w:id="32"/>
            </w:r>
          </w:p>
        </w:tc>
      </w:tr>
      <w:tr w:rsidR="00D426F9" w:rsidRPr="00AF12D9" w14:paraId="4AF408C3" w14:textId="77777777" w:rsidTr="00AF12D9">
        <w:trPr>
          <w:trHeight w:val="59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38E051A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 xml:space="preserve">robocizna - R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A66B766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>R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1968EC2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7EF85FD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 xml:space="preserve">…. </w:t>
            </w:r>
            <w:r w:rsidRPr="00AF12D9">
              <w:rPr>
                <w:rStyle w:val="Odwoanieprzypisudolnego"/>
                <w:color w:val="000000" w:themeColor="text1"/>
                <w:sz w:val="22"/>
                <w:szCs w:val="22"/>
              </w:rPr>
              <w:footnoteReference w:id="33"/>
            </w:r>
          </w:p>
        </w:tc>
      </w:tr>
      <w:tr w:rsidR="00D426F9" w:rsidRPr="00AF12D9" w14:paraId="1B2659BA" w14:textId="77777777" w:rsidTr="00AF12D9">
        <w:trPr>
          <w:trHeight w:val="59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F00F01E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 xml:space="preserve">paliwo- P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208691E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>P / 19.2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7B582E9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96BE468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 xml:space="preserve">…. </w:t>
            </w:r>
            <w:r w:rsidRPr="00AF12D9">
              <w:rPr>
                <w:rStyle w:val="Odwoanieprzypisudolnego"/>
                <w:color w:val="000000" w:themeColor="text1"/>
                <w:sz w:val="22"/>
                <w:szCs w:val="22"/>
              </w:rPr>
              <w:footnoteReference w:id="34"/>
            </w:r>
          </w:p>
        </w:tc>
      </w:tr>
      <w:tr w:rsidR="00D426F9" w:rsidRPr="00AF12D9" w14:paraId="5C5A6C9A" w14:textId="77777777" w:rsidTr="00AF12D9">
        <w:trPr>
          <w:trHeight w:val="59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94CF649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 xml:space="preserve">cement – C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8910D77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>C / 23.5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FBE3186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E7EAA5B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>….</w:t>
            </w:r>
            <w:r w:rsidRPr="00AF12D9">
              <w:rPr>
                <w:rStyle w:val="Odwoanieprzypisudolnego"/>
                <w:color w:val="000000" w:themeColor="text1"/>
                <w:sz w:val="22"/>
                <w:szCs w:val="22"/>
              </w:rPr>
              <w:footnoteReference w:id="35"/>
            </w:r>
            <w:r w:rsidRPr="00AF12D9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D426F9" w:rsidRPr="00AF12D9" w14:paraId="53B95C3B" w14:textId="77777777" w:rsidTr="00AF12D9">
        <w:trPr>
          <w:trHeight w:val="59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405406A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 xml:space="preserve">stal – S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884EEA3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>S / 24.1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EC3ABAD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39DB1C4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 xml:space="preserve">…. </w:t>
            </w:r>
            <w:r w:rsidRPr="00AF12D9">
              <w:rPr>
                <w:rStyle w:val="Odwoanieprzypisudolnego"/>
                <w:color w:val="000000" w:themeColor="text1"/>
                <w:sz w:val="22"/>
                <w:szCs w:val="22"/>
              </w:rPr>
              <w:footnoteReference w:id="36"/>
            </w:r>
          </w:p>
        </w:tc>
      </w:tr>
      <w:tr w:rsidR="00D426F9" w:rsidRPr="00AF12D9" w14:paraId="36214B65" w14:textId="77777777" w:rsidTr="00AF12D9">
        <w:trPr>
          <w:trHeight w:val="59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9142DD6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 xml:space="preserve">kruszywo - K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62F1B85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>K / 08.1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83FA0AC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C03BAC6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 xml:space="preserve">…. </w:t>
            </w:r>
            <w:r w:rsidRPr="00AF12D9">
              <w:rPr>
                <w:rStyle w:val="Odwoanieprzypisudolnego"/>
                <w:color w:val="000000" w:themeColor="text1"/>
                <w:sz w:val="22"/>
                <w:szCs w:val="22"/>
              </w:rPr>
              <w:footnoteReference w:id="37"/>
            </w:r>
          </w:p>
        </w:tc>
      </w:tr>
      <w:tr w:rsidR="00D426F9" w:rsidRPr="00AF12D9" w14:paraId="4F93B4EC" w14:textId="77777777" w:rsidTr="00AF12D9">
        <w:trPr>
          <w:trHeight w:val="59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6563922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 xml:space="preserve">miedź - M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4DAA638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>M / 24.4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3277627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>h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BEC9EC4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>….</w:t>
            </w:r>
            <w:r w:rsidRPr="00AF12D9">
              <w:rPr>
                <w:rStyle w:val="Odwoanieprzypisudolnego"/>
                <w:color w:val="000000" w:themeColor="text1"/>
                <w:sz w:val="22"/>
                <w:szCs w:val="22"/>
              </w:rPr>
              <w:footnoteReference w:id="38"/>
            </w:r>
            <w:r w:rsidRPr="00AF12D9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D426F9" w:rsidRPr="00AF12D9" w14:paraId="156C6A1A" w14:textId="77777777" w:rsidTr="00AF12D9">
        <w:trPr>
          <w:trHeight w:val="59"/>
        </w:trPr>
        <w:tc>
          <w:tcPr>
            <w:tcW w:w="6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09094E7" w14:textId="77777777" w:rsidR="00D426F9" w:rsidRPr="00AF12D9" w:rsidRDefault="00D426F9" w:rsidP="00AF12D9">
            <w:pPr>
              <w:pStyle w:val="Default"/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>SUMA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5AD5395" w14:textId="77777777" w:rsidR="00D426F9" w:rsidRPr="00AF12D9" w:rsidRDefault="00D426F9" w:rsidP="00AF12D9">
            <w:pPr>
              <w:pStyle w:val="Default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F12D9">
              <w:rPr>
                <w:color w:val="000000" w:themeColor="text1"/>
                <w:sz w:val="22"/>
                <w:szCs w:val="22"/>
              </w:rPr>
              <w:t xml:space="preserve">…. </w:t>
            </w:r>
            <w:r w:rsidRPr="00AF12D9">
              <w:rPr>
                <w:rStyle w:val="Odwoanieprzypisudolnego"/>
                <w:color w:val="000000" w:themeColor="text1"/>
                <w:sz w:val="22"/>
                <w:szCs w:val="22"/>
              </w:rPr>
              <w:footnoteReference w:id="39"/>
            </w:r>
          </w:p>
        </w:tc>
      </w:tr>
      <w:bookmarkEnd w:id="15"/>
    </w:tbl>
    <w:p w14:paraId="7B2F1B5E" w14:textId="77777777" w:rsidR="00D426F9" w:rsidRPr="00AF12D9" w:rsidRDefault="00D426F9" w:rsidP="00AF12D9">
      <w:pPr>
        <w:pStyle w:val="Default"/>
        <w:spacing w:line="360" w:lineRule="auto"/>
        <w:ind w:left="720"/>
        <w:jc w:val="both"/>
        <w:rPr>
          <w:color w:val="000000" w:themeColor="text1"/>
          <w:sz w:val="22"/>
          <w:szCs w:val="22"/>
        </w:rPr>
      </w:pPr>
    </w:p>
    <w:p w14:paraId="5939E0A1" w14:textId="77777777" w:rsidR="00D426F9" w:rsidRPr="00AF12D9" w:rsidRDefault="00D426F9" w:rsidP="00AF12D9">
      <w:pPr>
        <w:pStyle w:val="Default"/>
        <w:numPr>
          <w:ilvl w:val="0"/>
          <w:numId w:val="5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t xml:space="preserve">W przypadku braku aktualnych wskaźników (publikacja wskaźników w biuletynach GUS odbywa się z opóźnieniem) waloryzacja z bieżącego okresu rozliczeniowego zostanie wyliczona, gdy Prezes GUS ogłosi wskaźniki dla danego miesiąca objętego protokołem odbioru częściowego. Przygotowując protokół odbioru częściowego, Wykonawca obliczy wstępne wartości zwaloryzowanych kwot poświadczonych w każdym protokole odbioru częściowego, zrealizowanych w każdym miesiącu, używając ostatniego z opublikowanych miesięcznych wskaźników GUS. Ustalone w ten sposób wartości będą skorygowane z zastosowaniem wskaźników GUS dotyczących miesiąca, za który wystawiony był protokół odbioru częściowego, niezwłocznie po ich publikacji. </w:t>
      </w:r>
      <w:r w:rsidRPr="00AF12D9">
        <w:rPr>
          <w:sz w:val="22"/>
          <w:szCs w:val="22"/>
        </w:rPr>
        <w:t>Waloryzacja o współczynnik zmiany cen (</w:t>
      </w:r>
      <w:r w:rsidRPr="00AF12D9">
        <w:rPr>
          <w:rFonts w:ascii="Cambria Math" w:hAnsi="Cambria Math" w:cs="Cambria Math"/>
          <w:sz w:val="22"/>
          <w:szCs w:val="22"/>
        </w:rPr>
        <w:t>𝑊𝐺𝑛</w:t>
      </w:r>
      <w:r w:rsidRPr="00AF12D9">
        <w:rPr>
          <w:sz w:val="22"/>
          <w:szCs w:val="22"/>
        </w:rPr>
        <w:t>) wyliczony według powyższego wzoru uwzględnia wpływ zmian cen materiałów lub kosztów na koszt wykonania zamówienia</w:t>
      </w:r>
    </w:p>
    <w:p w14:paraId="1C6B6784" w14:textId="77777777" w:rsidR="00D426F9" w:rsidRPr="00AF12D9" w:rsidRDefault="00D426F9" w:rsidP="00AF12D9">
      <w:pPr>
        <w:pStyle w:val="Default"/>
        <w:numPr>
          <w:ilvl w:val="0"/>
          <w:numId w:val="5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lastRenderedPageBreak/>
        <w:t>Jeżeli Umowa została zawarta po upływie 180 dni</w:t>
      </w:r>
      <w:r w:rsidRPr="00AF12D9">
        <w:rPr>
          <w:rStyle w:val="Odwoanieprzypisudolnego"/>
          <w:color w:val="000000" w:themeColor="text1"/>
          <w:sz w:val="22"/>
          <w:szCs w:val="22"/>
        </w:rPr>
        <w:footnoteReference w:id="40"/>
      </w:r>
      <w:r w:rsidRPr="00AF12D9">
        <w:rPr>
          <w:color w:val="000000" w:themeColor="text1"/>
          <w:sz w:val="22"/>
          <w:szCs w:val="22"/>
        </w:rPr>
        <w:t xml:space="preserve"> od dnia upływu terminu składania ofert, początkowym terminem ustalenia zmiany wynagrodzenia jest data otwarcia ofert </w:t>
      </w:r>
    </w:p>
    <w:p w14:paraId="5F6F036D" w14:textId="77777777" w:rsidR="00D426F9" w:rsidRPr="00AF12D9" w:rsidRDefault="00D426F9" w:rsidP="00AF12D9">
      <w:pPr>
        <w:pStyle w:val="Default"/>
        <w:numPr>
          <w:ilvl w:val="0"/>
          <w:numId w:val="5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t xml:space="preserve">W umowach zawieranych pomiędzy Wykonawcą a Podwykonawcą lub Podwykonawcą a dalszym Podwykonawcą, których przedmiotem jest wykonanie robót budowlanych, Wykonawca lub Podwykonawca jest zobowiązany zawrzeć postanowienia przewidujące, iż w przypadku gdy umowa o podwykonawstwo lub współpraca pomiędzy stronami przekracza lub przekroczy … </w:t>
      </w:r>
      <w:r w:rsidRPr="00AF12D9">
        <w:rPr>
          <w:rStyle w:val="Odwoanieprzypisudolnego"/>
          <w:color w:val="000000" w:themeColor="text1"/>
          <w:sz w:val="22"/>
          <w:szCs w:val="22"/>
        </w:rPr>
        <w:footnoteReference w:id="41"/>
      </w:r>
      <w:r w:rsidRPr="00AF12D9">
        <w:rPr>
          <w:color w:val="000000" w:themeColor="text1"/>
          <w:sz w:val="22"/>
          <w:szCs w:val="22"/>
        </w:rPr>
        <w:t xml:space="preserve"> (np. w wyniku zawarcia aneksu lub kolejnej umowy z Podwykonawcą lub dalszym Podwykonawcą), kwoty płatne Podwykonawcy lub dalszemu Podwykonawcy będą korygowane dla oddania wzrostów lub spadków cen, zgodnie z niniejszym paragrafem.</w:t>
      </w:r>
    </w:p>
    <w:p w14:paraId="40E34995" w14:textId="77777777" w:rsidR="00D426F9" w:rsidRPr="00AF12D9" w:rsidRDefault="00D426F9" w:rsidP="00AF12D9">
      <w:pPr>
        <w:pStyle w:val="Default"/>
        <w:numPr>
          <w:ilvl w:val="0"/>
          <w:numId w:val="5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t xml:space="preserve">Waloryzacja kwot płatnych Podwykonawcy lub dalszemu Podwykonawcy będzie się odbywać w oparciu o wskaźnik dla: Cen towarów i usług konsumpcyjnych (jako CPI) oraz o minimum jeden inny wskaźnik (adekwatny do zakresu robót Podwykonawcy lub dalszego Podwykonawcy) wybrany z tabeli „Koszyk Waloryzacyjny” publikowany przez Prezesa GUS. </w:t>
      </w:r>
    </w:p>
    <w:p w14:paraId="6A8AC2ED" w14:textId="55A59949" w:rsidR="00D426F9" w:rsidRDefault="00D426F9" w:rsidP="00AF12D9">
      <w:pPr>
        <w:pStyle w:val="numerowanie"/>
        <w:numPr>
          <w:ilvl w:val="0"/>
          <w:numId w:val="5"/>
        </w:numPr>
        <w:spacing w:line="360" w:lineRule="auto"/>
        <w:rPr>
          <w:color w:val="000000"/>
          <w:sz w:val="22"/>
          <w:szCs w:val="22"/>
        </w:rPr>
      </w:pPr>
      <w:r w:rsidRPr="00AF12D9">
        <w:rPr>
          <w:color w:val="000000"/>
          <w:sz w:val="22"/>
          <w:szCs w:val="22"/>
        </w:rPr>
        <w:t>Wskaźnik CPI określony będzie na poziomie od ….. do ….. %</w:t>
      </w:r>
      <w:r w:rsidRPr="00AF12D9">
        <w:rPr>
          <w:rStyle w:val="Odwoanieprzypisudolnego"/>
          <w:color w:val="000000"/>
          <w:sz w:val="22"/>
          <w:szCs w:val="22"/>
        </w:rPr>
        <w:footnoteReference w:id="42"/>
      </w:r>
      <w:r w:rsidRPr="00AF12D9">
        <w:rPr>
          <w:color w:val="000000"/>
          <w:sz w:val="22"/>
          <w:szCs w:val="22"/>
        </w:rPr>
        <w:t>, a wybrane, pozostałe wskaźniki zostaną określone na poziomie od ….. do ….. %</w:t>
      </w:r>
      <w:r w:rsidRPr="00AF12D9">
        <w:rPr>
          <w:rStyle w:val="Odwoanieprzypisudolnego"/>
          <w:color w:val="000000"/>
          <w:sz w:val="22"/>
          <w:szCs w:val="22"/>
        </w:rPr>
        <w:footnoteReference w:id="43"/>
      </w:r>
      <w:r w:rsidRPr="00AF12D9">
        <w:rPr>
          <w:color w:val="000000"/>
          <w:sz w:val="22"/>
          <w:szCs w:val="22"/>
        </w:rPr>
        <w:t xml:space="preserve"> każdy. Suma wszystkich wskaźników powinna wynosić ….. %</w:t>
      </w:r>
      <w:r w:rsidRPr="00AF12D9">
        <w:rPr>
          <w:rStyle w:val="Odwoanieprzypisudolnego"/>
          <w:color w:val="000000"/>
          <w:sz w:val="22"/>
          <w:szCs w:val="22"/>
        </w:rPr>
        <w:footnoteReference w:id="44"/>
      </w:r>
      <w:r w:rsidRPr="00AF12D9">
        <w:rPr>
          <w:color w:val="000000"/>
          <w:sz w:val="22"/>
          <w:szCs w:val="22"/>
        </w:rPr>
        <w:t>. Kwoty płatne Podwykonawcy lub dalszemu Podwykonawcy podlegać będą waloryzacji o współczynnik zmiany cen (</w:t>
      </w:r>
      <w:r w:rsidRPr="00AF12D9">
        <w:rPr>
          <w:rFonts w:ascii="Cambria Math" w:hAnsi="Cambria Math" w:cs="Cambria Math"/>
          <w:color w:val="000000"/>
          <w:sz w:val="22"/>
          <w:szCs w:val="22"/>
        </w:rPr>
        <w:t>𝑊𝑃𝑛</w:t>
      </w:r>
      <w:r w:rsidRPr="00AF12D9">
        <w:rPr>
          <w:color w:val="000000"/>
          <w:sz w:val="22"/>
          <w:szCs w:val="22"/>
        </w:rPr>
        <w:t>) wyliczony według wzoru:</w:t>
      </w:r>
    </w:p>
    <w:p w14:paraId="4CF674F0" w14:textId="4EC9358E" w:rsidR="00AF12D9" w:rsidRPr="007C35D4" w:rsidRDefault="00000000" w:rsidP="001C40B2">
      <w:pPr>
        <w:pStyle w:val="numerowanie"/>
        <w:spacing w:line="360" w:lineRule="auto"/>
        <w:ind w:left="709"/>
        <w:rPr>
          <w:b/>
          <w:bCs/>
          <w:color w:val="000000"/>
          <w:sz w:val="22"/>
          <w:szCs w:val="2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b/>
                  <w:bCs/>
                  <w:i/>
                  <w:color w:val="000000"/>
                  <w:sz w:val="22"/>
                  <w:szCs w:val="22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>W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>Pn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  <w:color w:val="000000"/>
              <w:sz w:val="22"/>
              <w:szCs w:val="22"/>
            </w:rPr>
            <m:t>=a+b</m:t>
          </m:r>
          <m:f>
            <m:fPr>
              <m:ctrlPr>
                <w:rPr>
                  <w:rFonts w:ascii="Cambria Math" w:eastAsiaTheme="minorEastAsia" w:hAnsi="Cambria Math"/>
                  <w:b/>
                  <w:bCs/>
                  <w:i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/>
                      <w:sz w:val="22"/>
                      <w:szCs w:val="22"/>
                    </w:rPr>
                    <m:t>CPI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/>
                      <w:sz w:val="22"/>
                      <w:szCs w:val="22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/>
                      <w:sz w:val="22"/>
                      <w:szCs w:val="22"/>
                    </w:rPr>
                    <m:t>CPI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/>
                      <w:sz w:val="22"/>
                      <w:szCs w:val="22"/>
                    </w:rPr>
                    <m:t>o</m:t>
                  </m:r>
                </m:sub>
              </m:sSub>
            </m:den>
          </m:f>
          <m:r>
            <m:rPr>
              <m:sty m:val="bi"/>
            </m:rPr>
            <w:rPr>
              <w:rFonts w:ascii="Cambria Math" w:eastAsiaTheme="minorEastAsia" w:hAnsi="Cambria Math"/>
              <w:color w:val="000000"/>
              <w:sz w:val="22"/>
              <w:szCs w:val="22"/>
            </w:rPr>
            <m:t>+X+Y+…+Z</m:t>
          </m:r>
        </m:oMath>
      </m:oMathPara>
    </w:p>
    <w:p w14:paraId="279B35A3" w14:textId="77777777" w:rsidR="00D426F9" w:rsidRPr="00AF12D9" w:rsidRDefault="00D426F9" w:rsidP="00AF12D9">
      <w:pPr>
        <w:pStyle w:val="numerowanie"/>
        <w:spacing w:line="360" w:lineRule="auto"/>
        <w:ind w:left="708"/>
        <w:rPr>
          <w:color w:val="000000"/>
          <w:sz w:val="22"/>
          <w:szCs w:val="22"/>
        </w:rPr>
      </w:pPr>
      <w:r w:rsidRPr="00AF12D9">
        <w:rPr>
          <w:color w:val="000000"/>
          <w:sz w:val="22"/>
          <w:szCs w:val="22"/>
        </w:rPr>
        <w:t xml:space="preserve">gdzie: </w:t>
      </w:r>
    </w:p>
    <w:p w14:paraId="086564C5" w14:textId="35DD7C80" w:rsidR="00D426F9" w:rsidRDefault="00D426F9" w:rsidP="00AF12D9">
      <w:pPr>
        <w:pStyle w:val="numerowanie"/>
        <w:spacing w:line="360" w:lineRule="auto"/>
        <w:ind w:left="708"/>
        <w:rPr>
          <w:color w:val="000000"/>
          <w:sz w:val="22"/>
          <w:szCs w:val="22"/>
        </w:rPr>
      </w:pPr>
      <w:r w:rsidRPr="00AF12D9">
        <w:rPr>
          <w:rFonts w:ascii="Cambria Math" w:hAnsi="Cambria Math" w:cs="Cambria Math"/>
          <w:b/>
          <w:bCs/>
          <w:color w:val="000000"/>
          <w:sz w:val="22"/>
          <w:szCs w:val="22"/>
        </w:rPr>
        <w:t>𝑋</w:t>
      </w:r>
      <w:r w:rsidRPr="00AF12D9">
        <w:rPr>
          <w:b/>
          <w:bCs/>
          <w:color w:val="000000"/>
          <w:sz w:val="22"/>
          <w:szCs w:val="22"/>
        </w:rPr>
        <w:t>,</w:t>
      </w:r>
      <w:r w:rsidRPr="00AF12D9">
        <w:rPr>
          <w:rFonts w:ascii="Cambria Math" w:hAnsi="Cambria Math" w:cs="Cambria Math"/>
          <w:b/>
          <w:bCs/>
          <w:color w:val="000000"/>
          <w:sz w:val="22"/>
          <w:szCs w:val="22"/>
        </w:rPr>
        <w:t>𝑌</w:t>
      </w:r>
      <w:r w:rsidRPr="00AF12D9">
        <w:rPr>
          <w:b/>
          <w:bCs/>
          <w:color w:val="000000"/>
          <w:sz w:val="22"/>
          <w:szCs w:val="22"/>
        </w:rPr>
        <w:t>,…,</w:t>
      </w:r>
      <w:r w:rsidRPr="00AF12D9">
        <w:rPr>
          <w:rFonts w:ascii="Cambria Math" w:hAnsi="Cambria Math" w:cs="Cambria Math"/>
          <w:b/>
          <w:bCs/>
          <w:color w:val="000000"/>
          <w:sz w:val="22"/>
          <w:szCs w:val="22"/>
        </w:rPr>
        <w:t>𝑍</w:t>
      </w:r>
      <w:r w:rsidRPr="00AF12D9">
        <w:rPr>
          <w:color w:val="000000"/>
          <w:sz w:val="22"/>
          <w:szCs w:val="22"/>
        </w:rPr>
        <w:t xml:space="preserve"> uzależnione są od wybranych elementów z Koszyka Waloryzacyjnego, składających się z:</w:t>
      </w:r>
    </w:p>
    <w:p w14:paraId="0CFE128B" w14:textId="4CCB46CC" w:rsidR="00AF12D9" w:rsidRPr="007C35D4" w:rsidRDefault="00AF12D9" w:rsidP="001C40B2">
      <w:pPr>
        <w:pStyle w:val="numerowanie"/>
        <w:spacing w:line="360" w:lineRule="auto"/>
        <w:ind w:left="709"/>
        <w:rPr>
          <w:b/>
          <w:bCs/>
          <w:color w:val="000000"/>
          <w:sz w:val="22"/>
          <w:szCs w:val="22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hAnsi="Cambria Math"/>
              <w:color w:val="000000"/>
              <w:sz w:val="22"/>
              <w:szCs w:val="22"/>
            </w:rPr>
            <m:t>c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color w:val="00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color w:val="00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>o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color w:val="000000"/>
              <w:sz w:val="22"/>
              <w:szCs w:val="22"/>
            </w:rPr>
            <m:t xml:space="preserve"> lub d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o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color w:val="000000"/>
              <w:sz w:val="22"/>
              <w:szCs w:val="22"/>
            </w:rPr>
            <m:t xml:space="preserve"> lub e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o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color w:val="000000"/>
              <w:sz w:val="22"/>
              <w:szCs w:val="22"/>
            </w:rPr>
            <m:t xml:space="preserve"> lub f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o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color w:val="000000"/>
              <w:sz w:val="22"/>
              <w:szCs w:val="22"/>
            </w:rPr>
            <m:t xml:space="preserve"> lub g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o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color w:val="000000"/>
              <w:sz w:val="22"/>
              <w:szCs w:val="22"/>
            </w:rPr>
            <m:t xml:space="preserve"> lub h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o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color w:val="000000"/>
              <w:sz w:val="22"/>
              <w:szCs w:val="22"/>
            </w:rPr>
            <m:t xml:space="preserve"> </m:t>
          </m:r>
        </m:oMath>
      </m:oMathPara>
    </w:p>
    <w:p w14:paraId="34D786AD" w14:textId="77777777" w:rsidR="00D426F9" w:rsidRPr="00AF12D9" w:rsidRDefault="00D426F9" w:rsidP="00AF12D9">
      <w:pPr>
        <w:pStyle w:val="numerowanie"/>
        <w:spacing w:line="360" w:lineRule="auto"/>
        <w:ind w:left="708"/>
        <w:rPr>
          <w:color w:val="000000"/>
          <w:sz w:val="22"/>
          <w:szCs w:val="22"/>
        </w:rPr>
      </w:pPr>
    </w:p>
    <w:p w14:paraId="4B565BA9" w14:textId="77777777" w:rsidR="00D426F9" w:rsidRPr="00AF12D9" w:rsidRDefault="00D426F9" w:rsidP="00AF12D9">
      <w:pPr>
        <w:pStyle w:val="numerowanie"/>
        <w:spacing w:line="360" w:lineRule="auto"/>
        <w:ind w:left="708"/>
        <w:rPr>
          <w:noProof/>
          <w:color w:val="000000"/>
          <w:sz w:val="22"/>
          <w:szCs w:val="22"/>
        </w:rPr>
      </w:pPr>
    </w:p>
    <w:p w14:paraId="4B0740CE" w14:textId="2D67D4BE" w:rsidR="00D426F9" w:rsidRPr="00AF12D9" w:rsidRDefault="00D426F9" w:rsidP="00AF12D9">
      <w:pPr>
        <w:pStyle w:val="numerowanie"/>
        <w:spacing w:line="360" w:lineRule="auto"/>
        <w:ind w:left="708"/>
        <w:rPr>
          <w:color w:val="000000"/>
          <w:sz w:val="22"/>
          <w:szCs w:val="22"/>
        </w:rPr>
      </w:pPr>
    </w:p>
    <w:p w14:paraId="704DF394" w14:textId="77777777" w:rsidR="00D426F9" w:rsidRPr="00AF12D9" w:rsidRDefault="00D426F9" w:rsidP="00AF12D9">
      <w:pPr>
        <w:pStyle w:val="numerowanie"/>
        <w:spacing w:line="360" w:lineRule="auto"/>
        <w:ind w:left="708"/>
        <w:rPr>
          <w:color w:val="000000"/>
          <w:sz w:val="22"/>
          <w:szCs w:val="22"/>
        </w:rPr>
      </w:pPr>
    </w:p>
    <w:p w14:paraId="79865F4F" w14:textId="77777777" w:rsidR="00D426F9" w:rsidRPr="00AF12D9" w:rsidRDefault="00D426F9" w:rsidP="00AF12D9">
      <w:pPr>
        <w:pStyle w:val="numerowanie"/>
        <w:spacing w:line="360" w:lineRule="auto"/>
        <w:ind w:left="708"/>
        <w:rPr>
          <w:color w:val="000000"/>
          <w:sz w:val="22"/>
          <w:szCs w:val="22"/>
        </w:rPr>
      </w:pPr>
      <w:r w:rsidRPr="00AF12D9">
        <w:rPr>
          <w:color w:val="000000"/>
          <w:sz w:val="22"/>
          <w:szCs w:val="22"/>
        </w:rPr>
        <w:t xml:space="preserve">- </w:t>
      </w:r>
      <w:r w:rsidRPr="00AF12D9">
        <w:rPr>
          <w:b/>
          <w:bCs/>
          <w:color w:val="000000"/>
          <w:sz w:val="22"/>
          <w:szCs w:val="22"/>
        </w:rPr>
        <w:t>„</w:t>
      </w:r>
      <w:r w:rsidRPr="00AF12D9">
        <w:rPr>
          <w:rFonts w:ascii="Cambria Math" w:hAnsi="Cambria Math" w:cs="Cambria Math"/>
          <w:b/>
          <w:bCs/>
          <w:color w:val="000000"/>
          <w:sz w:val="22"/>
          <w:szCs w:val="22"/>
        </w:rPr>
        <w:t>𝑊𝑃𝑛</w:t>
      </w:r>
      <w:r w:rsidRPr="00AF12D9">
        <w:rPr>
          <w:b/>
          <w:bCs/>
          <w:color w:val="000000"/>
          <w:sz w:val="22"/>
          <w:szCs w:val="22"/>
        </w:rPr>
        <w:t>"</w:t>
      </w:r>
      <w:r w:rsidRPr="00AF12D9">
        <w:rPr>
          <w:color w:val="000000"/>
          <w:sz w:val="22"/>
          <w:szCs w:val="22"/>
        </w:rPr>
        <w:t xml:space="preserve"> jest mnożnikiem korygującym, do zastosowania w stosunku do szacunkowej kontraktowej wartości pracy wykonanej w okresie „</w:t>
      </w:r>
      <w:r w:rsidRPr="00AF12D9">
        <w:rPr>
          <w:rFonts w:ascii="Cambria Math" w:hAnsi="Cambria Math" w:cs="Cambria Math"/>
          <w:color w:val="000000"/>
          <w:sz w:val="22"/>
          <w:szCs w:val="22"/>
        </w:rPr>
        <w:t>𝑛</w:t>
      </w:r>
      <w:r w:rsidRPr="00AF12D9">
        <w:rPr>
          <w:color w:val="000000"/>
          <w:sz w:val="22"/>
          <w:szCs w:val="22"/>
        </w:rPr>
        <w:t xml:space="preserve">”; przy czym okresem tym jest miesiąc, jeśli nie jest inaczej podane w Kontrakcie; </w:t>
      </w:r>
    </w:p>
    <w:p w14:paraId="3303654B" w14:textId="77777777" w:rsidR="00D426F9" w:rsidRPr="00AF12D9" w:rsidRDefault="00D426F9" w:rsidP="00AF12D9">
      <w:pPr>
        <w:pStyle w:val="numerowanie"/>
        <w:spacing w:line="360" w:lineRule="auto"/>
        <w:ind w:left="708"/>
        <w:rPr>
          <w:color w:val="000000"/>
          <w:sz w:val="22"/>
          <w:szCs w:val="22"/>
        </w:rPr>
      </w:pPr>
      <w:r w:rsidRPr="00AF12D9">
        <w:rPr>
          <w:color w:val="000000"/>
          <w:sz w:val="22"/>
          <w:szCs w:val="22"/>
        </w:rPr>
        <w:lastRenderedPageBreak/>
        <w:t xml:space="preserve">– </w:t>
      </w:r>
      <w:r w:rsidRPr="00AF12D9">
        <w:rPr>
          <w:b/>
          <w:bCs/>
          <w:color w:val="000000"/>
          <w:sz w:val="22"/>
          <w:szCs w:val="22"/>
        </w:rPr>
        <w:t>„</w:t>
      </w:r>
      <w:r w:rsidRPr="00AF12D9">
        <w:rPr>
          <w:rFonts w:ascii="Cambria Math" w:hAnsi="Cambria Math" w:cs="Cambria Math"/>
          <w:b/>
          <w:bCs/>
          <w:color w:val="000000"/>
          <w:sz w:val="22"/>
          <w:szCs w:val="22"/>
        </w:rPr>
        <w:t>𝑎</w:t>
      </w:r>
      <w:r w:rsidRPr="00AF12D9">
        <w:rPr>
          <w:b/>
          <w:bCs/>
          <w:color w:val="000000"/>
          <w:sz w:val="22"/>
          <w:szCs w:val="22"/>
        </w:rPr>
        <w:t>”</w:t>
      </w:r>
      <w:r w:rsidRPr="00AF12D9">
        <w:rPr>
          <w:color w:val="000000"/>
          <w:sz w:val="22"/>
          <w:szCs w:val="22"/>
        </w:rPr>
        <w:t xml:space="preserve"> jest stałym współczynnikiem o wartości: ….  (…. %)</w:t>
      </w:r>
      <w:r w:rsidRPr="00AF12D9">
        <w:rPr>
          <w:rStyle w:val="Odwoanieprzypisudolnego"/>
          <w:color w:val="000000"/>
          <w:sz w:val="22"/>
          <w:szCs w:val="22"/>
        </w:rPr>
        <w:footnoteReference w:id="45"/>
      </w:r>
      <w:r w:rsidRPr="00AF12D9">
        <w:rPr>
          <w:color w:val="000000"/>
          <w:sz w:val="22"/>
          <w:szCs w:val="22"/>
        </w:rPr>
        <w:t xml:space="preserve"> niepodlegającym korekcie; </w:t>
      </w:r>
    </w:p>
    <w:p w14:paraId="2451B102" w14:textId="77777777" w:rsidR="00D426F9" w:rsidRPr="00AF12D9" w:rsidRDefault="00D426F9" w:rsidP="00AF12D9">
      <w:pPr>
        <w:pStyle w:val="numerowanie"/>
        <w:spacing w:line="360" w:lineRule="auto"/>
        <w:ind w:left="708"/>
        <w:rPr>
          <w:color w:val="000000"/>
          <w:sz w:val="22"/>
          <w:szCs w:val="22"/>
        </w:rPr>
      </w:pPr>
      <w:r w:rsidRPr="00AF12D9">
        <w:rPr>
          <w:color w:val="000000" w:themeColor="text1"/>
          <w:sz w:val="22"/>
          <w:szCs w:val="22"/>
        </w:rPr>
        <w:t xml:space="preserve">– </w:t>
      </w:r>
      <w:r w:rsidRPr="00AF12D9">
        <w:rPr>
          <w:b/>
          <w:bCs/>
          <w:color w:val="000000" w:themeColor="text1"/>
          <w:sz w:val="22"/>
          <w:szCs w:val="22"/>
        </w:rPr>
        <w:t>„</w:t>
      </w:r>
      <w:r w:rsidRPr="00AF12D9">
        <w:rPr>
          <w:rFonts w:ascii="Cambria Math" w:hAnsi="Cambria Math" w:cs="Cambria Math"/>
          <w:b/>
          <w:bCs/>
          <w:color w:val="000000" w:themeColor="text1"/>
          <w:sz w:val="22"/>
          <w:szCs w:val="22"/>
        </w:rPr>
        <w:t>𝑏</w:t>
      </w:r>
      <w:r w:rsidRPr="00AF12D9">
        <w:rPr>
          <w:b/>
          <w:bCs/>
          <w:color w:val="000000" w:themeColor="text1"/>
          <w:sz w:val="22"/>
          <w:szCs w:val="22"/>
        </w:rPr>
        <w:t>” „</w:t>
      </w:r>
      <w:r w:rsidRPr="00AF12D9">
        <w:rPr>
          <w:rFonts w:ascii="Cambria Math" w:hAnsi="Cambria Math" w:cs="Cambria Math"/>
          <w:b/>
          <w:bCs/>
          <w:color w:val="000000" w:themeColor="text1"/>
          <w:sz w:val="22"/>
          <w:szCs w:val="22"/>
        </w:rPr>
        <w:t>𝑐</w:t>
      </w:r>
      <w:r w:rsidRPr="00AF12D9">
        <w:rPr>
          <w:b/>
          <w:bCs/>
          <w:color w:val="000000" w:themeColor="text1"/>
          <w:sz w:val="22"/>
          <w:szCs w:val="22"/>
        </w:rPr>
        <w:t>”, „</w:t>
      </w:r>
      <w:r w:rsidRPr="00AF12D9">
        <w:rPr>
          <w:rFonts w:ascii="Cambria Math" w:hAnsi="Cambria Math" w:cs="Cambria Math"/>
          <w:b/>
          <w:bCs/>
          <w:color w:val="000000" w:themeColor="text1"/>
          <w:sz w:val="22"/>
          <w:szCs w:val="22"/>
        </w:rPr>
        <w:t>𝑑</w:t>
      </w:r>
      <w:r w:rsidRPr="00AF12D9">
        <w:rPr>
          <w:b/>
          <w:bCs/>
          <w:color w:val="000000" w:themeColor="text1"/>
          <w:sz w:val="22"/>
          <w:szCs w:val="22"/>
        </w:rPr>
        <w:t>”, „</w:t>
      </w:r>
      <w:r w:rsidRPr="00AF12D9">
        <w:rPr>
          <w:rFonts w:ascii="Cambria Math" w:hAnsi="Cambria Math" w:cs="Cambria Math"/>
          <w:b/>
          <w:bCs/>
          <w:color w:val="000000" w:themeColor="text1"/>
          <w:sz w:val="22"/>
          <w:szCs w:val="22"/>
        </w:rPr>
        <w:t>𝑒</w:t>
      </w:r>
      <w:r w:rsidRPr="00AF12D9">
        <w:rPr>
          <w:b/>
          <w:bCs/>
          <w:color w:val="000000" w:themeColor="text1"/>
          <w:sz w:val="22"/>
          <w:szCs w:val="22"/>
        </w:rPr>
        <w:t>”, „</w:t>
      </w:r>
      <w:r w:rsidRPr="00AF12D9">
        <w:rPr>
          <w:rFonts w:ascii="Cambria Math" w:hAnsi="Cambria Math" w:cs="Cambria Math"/>
          <w:b/>
          <w:bCs/>
          <w:color w:val="000000" w:themeColor="text1"/>
          <w:sz w:val="22"/>
          <w:szCs w:val="22"/>
        </w:rPr>
        <w:t>𝑓</w:t>
      </w:r>
      <w:r w:rsidRPr="00AF12D9">
        <w:rPr>
          <w:b/>
          <w:bCs/>
          <w:color w:val="000000" w:themeColor="text1"/>
          <w:sz w:val="22"/>
          <w:szCs w:val="22"/>
        </w:rPr>
        <w:t>”, „</w:t>
      </w:r>
      <w:r w:rsidRPr="00AF12D9">
        <w:rPr>
          <w:rFonts w:ascii="Cambria Math" w:hAnsi="Cambria Math" w:cs="Cambria Math"/>
          <w:b/>
          <w:bCs/>
          <w:color w:val="000000" w:themeColor="text1"/>
          <w:sz w:val="22"/>
          <w:szCs w:val="22"/>
        </w:rPr>
        <w:t>𝑔</w:t>
      </w:r>
      <w:r w:rsidRPr="00AF12D9">
        <w:rPr>
          <w:b/>
          <w:bCs/>
          <w:color w:val="000000" w:themeColor="text1"/>
          <w:sz w:val="22"/>
          <w:szCs w:val="22"/>
        </w:rPr>
        <w:t>” „</w:t>
      </w:r>
      <w:r w:rsidRPr="00AF12D9">
        <w:rPr>
          <w:rFonts w:ascii="Cambria Math" w:hAnsi="Cambria Math" w:cs="Cambria Math"/>
          <w:b/>
          <w:bCs/>
          <w:color w:val="000000" w:themeColor="text1"/>
          <w:sz w:val="22"/>
          <w:szCs w:val="22"/>
        </w:rPr>
        <w:t>ℎ</w:t>
      </w:r>
      <w:r w:rsidRPr="00AF12D9">
        <w:rPr>
          <w:b/>
          <w:bCs/>
          <w:color w:val="000000" w:themeColor="text1"/>
          <w:sz w:val="22"/>
          <w:szCs w:val="22"/>
        </w:rPr>
        <w:t>”</w:t>
      </w:r>
      <w:r w:rsidRPr="00AF12D9">
        <w:rPr>
          <w:color w:val="000000" w:themeColor="text1"/>
          <w:sz w:val="22"/>
          <w:szCs w:val="22"/>
        </w:rPr>
        <w:t xml:space="preserve"> są współczynnikami stałymi określonymi przez strony umowy zawieranej między Wykonawcą a Podwykonawcą lub Podwykonawcą a dalszym Podwykonawcą z uwzględnieniem ograniczenia wysokości wskaźników wynikającego z ustępu powyżej, niepodlegającymi korekcie, z zastrzeżeniem sytuacji gdy Zamawiający stanie się dostawcą któregokolwiek z elementów robót ujętych w tabeli Koszyk Waloryzacyjny, wówczas waga tego elementu zostanie przyjęta jako „0” we wzorze na </w:t>
      </w:r>
      <w:r w:rsidRPr="00AF12D9">
        <w:rPr>
          <w:rFonts w:ascii="Cambria Math" w:hAnsi="Cambria Math" w:cs="Cambria Math"/>
          <w:color w:val="000000" w:themeColor="text1"/>
          <w:sz w:val="22"/>
          <w:szCs w:val="22"/>
        </w:rPr>
        <w:t>𝑊𝑃𝑛</w:t>
      </w:r>
      <w:r w:rsidRPr="00AF12D9">
        <w:rPr>
          <w:color w:val="000000" w:themeColor="text1"/>
          <w:sz w:val="22"/>
          <w:szCs w:val="22"/>
        </w:rPr>
        <w:t>; W takim przypadku waga CPI zostanie powiększona o wartość wagi, która została przyjęta jako „0”, tak aby suma wartości wszystkich wag z Koszyka Waloryzacyjnego wynosiła …. (… %)</w:t>
      </w:r>
      <w:r w:rsidRPr="00AF12D9">
        <w:rPr>
          <w:rStyle w:val="Odwoanieprzypisudolnego"/>
          <w:color w:val="000000" w:themeColor="text1"/>
          <w:sz w:val="22"/>
          <w:szCs w:val="22"/>
        </w:rPr>
        <w:footnoteReference w:id="46"/>
      </w:r>
      <w:r w:rsidRPr="00AF12D9">
        <w:rPr>
          <w:color w:val="000000" w:themeColor="text1"/>
          <w:sz w:val="22"/>
          <w:szCs w:val="22"/>
        </w:rPr>
        <w:t xml:space="preserve">; </w:t>
      </w:r>
    </w:p>
    <w:p w14:paraId="6D006D7E" w14:textId="77777777" w:rsidR="00D426F9" w:rsidRPr="00AF12D9" w:rsidRDefault="00D426F9" w:rsidP="00AF12D9">
      <w:pPr>
        <w:pStyle w:val="numerowanie"/>
        <w:spacing w:line="360" w:lineRule="auto"/>
        <w:ind w:left="708"/>
        <w:rPr>
          <w:color w:val="000000"/>
          <w:sz w:val="22"/>
          <w:szCs w:val="22"/>
        </w:rPr>
      </w:pPr>
      <w:r w:rsidRPr="00AF12D9">
        <w:rPr>
          <w:color w:val="000000"/>
          <w:sz w:val="22"/>
          <w:szCs w:val="22"/>
        </w:rPr>
        <w:t>– symbole wskaźnika z indexem dolnym „</w:t>
      </w:r>
      <w:r w:rsidRPr="00AF12D9">
        <w:rPr>
          <w:rFonts w:ascii="Cambria Math" w:hAnsi="Cambria Math" w:cs="Cambria Math"/>
          <w:color w:val="000000"/>
          <w:sz w:val="22"/>
          <w:szCs w:val="22"/>
        </w:rPr>
        <w:t>𝑛</w:t>
      </w:r>
      <w:r w:rsidRPr="00AF12D9">
        <w:rPr>
          <w:color w:val="000000"/>
          <w:sz w:val="22"/>
          <w:szCs w:val="22"/>
        </w:rPr>
        <w:t>” są narastającymi wskaźnikami kosztu bieżącego okresu (cenami porównawczymi dla okresu „</w:t>
      </w:r>
      <w:r w:rsidRPr="00AF12D9">
        <w:rPr>
          <w:rFonts w:ascii="Cambria Math" w:hAnsi="Cambria Math" w:cs="Cambria Math"/>
          <w:color w:val="000000"/>
          <w:sz w:val="22"/>
          <w:szCs w:val="22"/>
        </w:rPr>
        <w:t>𝑛</w:t>
      </w:r>
      <w:r w:rsidRPr="00AF12D9">
        <w:rPr>
          <w:color w:val="000000"/>
          <w:sz w:val="22"/>
          <w:szCs w:val="22"/>
        </w:rPr>
        <w:t xml:space="preserve">”), publikowanymi przez Prezesa GUS w Dziedzinowej Bazie Wiedzy obowiązującymi w danym okresie rozliczeniowym; </w:t>
      </w:r>
    </w:p>
    <w:p w14:paraId="44757DD3" w14:textId="77777777" w:rsidR="00D426F9" w:rsidRPr="00AF12D9" w:rsidRDefault="00D426F9" w:rsidP="00AF12D9">
      <w:pPr>
        <w:pStyle w:val="numerowanie"/>
        <w:spacing w:line="360" w:lineRule="auto"/>
        <w:ind w:left="708"/>
        <w:rPr>
          <w:color w:val="000000"/>
          <w:sz w:val="22"/>
          <w:szCs w:val="22"/>
        </w:rPr>
      </w:pPr>
      <w:r w:rsidRPr="00AF12D9">
        <w:rPr>
          <w:color w:val="000000"/>
          <w:sz w:val="22"/>
          <w:szCs w:val="22"/>
        </w:rPr>
        <w:t>– symbole wskaźnika z indexem dolnym „</w:t>
      </w:r>
      <w:r w:rsidRPr="00AF12D9">
        <w:rPr>
          <w:rFonts w:ascii="Cambria Math" w:hAnsi="Cambria Math" w:cs="Cambria Math"/>
          <w:color w:val="000000"/>
          <w:sz w:val="22"/>
          <w:szCs w:val="22"/>
        </w:rPr>
        <w:t>𝑜</w:t>
      </w:r>
      <w:r w:rsidRPr="00AF12D9">
        <w:rPr>
          <w:color w:val="000000"/>
          <w:sz w:val="22"/>
          <w:szCs w:val="22"/>
        </w:rPr>
        <w:t xml:space="preserve">” są narastającymi wskaźnikami kosztu odniesienia (cenami odniesienia) na datę zawarcia umowy o podwykonawstwo, publikowanymi przez Prezesa GUS w Dziedzinowej Bazie Wiedzy obowiązującymi w danym okresie rozliczeniowym. </w:t>
      </w:r>
    </w:p>
    <w:p w14:paraId="6A68D5A7" w14:textId="77777777" w:rsidR="00D426F9" w:rsidRPr="00AF12D9" w:rsidRDefault="00D426F9" w:rsidP="00AF12D9">
      <w:pPr>
        <w:pStyle w:val="numerowanie"/>
        <w:numPr>
          <w:ilvl w:val="0"/>
          <w:numId w:val="5"/>
        </w:numPr>
        <w:spacing w:line="360" w:lineRule="auto"/>
        <w:rPr>
          <w:color w:val="000000"/>
          <w:sz w:val="22"/>
          <w:szCs w:val="22"/>
        </w:rPr>
      </w:pPr>
      <w:r w:rsidRPr="00AF12D9">
        <w:rPr>
          <w:color w:val="000000"/>
          <w:sz w:val="22"/>
          <w:szCs w:val="22"/>
        </w:rPr>
        <w:t>Kwoty płatne Podwykonawcy lub dalszemu Podwykonawcy będą waloryzowane miesięcznie począwszy od  ….. miesiąca</w:t>
      </w:r>
      <w:r w:rsidRPr="00AF12D9">
        <w:rPr>
          <w:rStyle w:val="Odwoanieprzypisudolnego"/>
          <w:color w:val="000000"/>
          <w:sz w:val="22"/>
          <w:szCs w:val="22"/>
        </w:rPr>
        <w:footnoteReference w:id="47"/>
      </w:r>
      <w:r w:rsidRPr="00AF12D9">
        <w:rPr>
          <w:color w:val="000000"/>
          <w:sz w:val="22"/>
          <w:szCs w:val="22"/>
        </w:rPr>
        <w:t xml:space="preserve"> od rozpoczęcia realizacji robót objętych umową o podwykonawstwo do momentu, w którym łączna wartość korekt dla oddania wzrostu lub spadku cen, wynikających z, niniejszego</w:t>
      </w:r>
      <w:r w:rsidRPr="00AF12D9" w:rsidDel="78A2805F">
        <w:rPr>
          <w:color w:val="000000" w:themeColor="text1"/>
          <w:sz w:val="22"/>
          <w:szCs w:val="22"/>
        </w:rPr>
        <w:t xml:space="preserve"> zapisu</w:t>
      </w:r>
      <w:r w:rsidRPr="00AF12D9">
        <w:rPr>
          <w:color w:val="000000"/>
          <w:sz w:val="22"/>
          <w:szCs w:val="22"/>
        </w:rPr>
        <w:t xml:space="preserve"> osiągnie limit +/- ….. %</w:t>
      </w:r>
      <w:r w:rsidRPr="00AF12D9">
        <w:rPr>
          <w:rStyle w:val="Odwoanieprzypisudolnego"/>
          <w:color w:val="000000"/>
          <w:sz w:val="22"/>
          <w:szCs w:val="22"/>
        </w:rPr>
        <w:footnoteReference w:id="48"/>
      </w:r>
      <w:r w:rsidRPr="00AF12D9">
        <w:rPr>
          <w:color w:val="000000"/>
          <w:sz w:val="22"/>
          <w:szCs w:val="22"/>
        </w:rPr>
        <w:t xml:space="preserve"> wartości zawartej umowy o podwykonawstwo. </w:t>
      </w:r>
    </w:p>
    <w:p w14:paraId="58702E66" w14:textId="6C5D62D6" w:rsidR="00894A44" w:rsidRDefault="00D426F9" w:rsidP="00AF12D9">
      <w:pPr>
        <w:spacing w:line="360" w:lineRule="auto"/>
        <w:ind w:left="708"/>
        <w:jc w:val="both"/>
      </w:pPr>
      <w:r w:rsidRPr="00AF12D9">
        <w:rPr>
          <w:rFonts w:ascii="Arial" w:hAnsi="Arial" w:cs="Arial"/>
          <w:color w:val="000000"/>
          <w:spacing w:val="4"/>
          <w:lang w:eastAsia="pl-PL"/>
        </w:rPr>
        <w:t>Waloryzacja według powyższego wzoru uwzględnia wpływ zmian cen materiałów lub kosztów na koszt wykonania zamówienia.</w:t>
      </w:r>
      <w:bookmarkEnd w:id="4"/>
    </w:p>
    <w:sectPr w:rsidR="00894A44" w:rsidSect="00894A44">
      <w:footerReference w:type="default" r:id="rId12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DD45C" w14:textId="77777777" w:rsidR="007E1BD9" w:rsidRDefault="007E1BD9" w:rsidP="00894A44">
      <w:pPr>
        <w:spacing w:after="0" w:line="240" w:lineRule="auto"/>
      </w:pPr>
      <w:r>
        <w:separator/>
      </w:r>
    </w:p>
  </w:endnote>
  <w:endnote w:type="continuationSeparator" w:id="0">
    <w:p w14:paraId="0ED37024" w14:textId="77777777" w:rsidR="007E1BD9" w:rsidRDefault="007E1BD9" w:rsidP="00894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1356562"/>
      <w:docPartObj>
        <w:docPartGallery w:val="Page Numbers (Bottom of Page)"/>
        <w:docPartUnique/>
      </w:docPartObj>
    </w:sdtPr>
    <w:sdtContent>
      <w:p w14:paraId="79D2BDF5" w14:textId="02222657" w:rsidR="000B79F9" w:rsidRDefault="000B79F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C281F3" w14:textId="77777777" w:rsidR="000B79F9" w:rsidRDefault="000B79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1244B" w14:textId="77777777" w:rsidR="007E1BD9" w:rsidRDefault="007E1BD9" w:rsidP="00894A44">
      <w:pPr>
        <w:spacing w:after="0" w:line="240" w:lineRule="auto"/>
      </w:pPr>
      <w:r>
        <w:separator/>
      </w:r>
    </w:p>
  </w:footnote>
  <w:footnote w:type="continuationSeparator" w:id="0">
    <w:p w14:paraId="533E0753" w14:textId="77777777" w:rsidR="007E1BD9" w:rsidRDefault="007E1BD9" w:rsidP="00894A44">
      <w:pPr>
        <w:spacing w:after="0" w:line="240" w:lineRule="auto"/>
      </w:pPr>
      <w:r>
        <w:continuationSeparator/>
      </w:r>
    </w:p>
  </w:footnote>
  <w:footnote w:id="1">
    <w:p w14:paraId="58A7FE87" w14:textId="51E1850B" w:rsidR="00894A44" w:rsidRDefault="00894A44" w:rsidP="0049196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78413A">
        <w:rPr>
          <w:rFonts w:ascii="Arial" w:hAnsi="Arial" w:cs="Arial"/>
          <w:sz w:val="16"/>
          <w:szCs w:val="16"/>
        </w:rPr>
        <w:t>Ustawa z dnia 11 września 2019 r. „Prawo zamówień publicznych”</w:t>
      </w:r>
      <w:r>
        <w:rPr>
          <w:rFonts w:ascii="Arial" w:hAnsi="Arial" w:cs="Arial"/>
          <w:sz w:val="16"/>
          <w:szCs w:val="16"/>
        </w:rPr>
        <w:t xml:space="preserve"> (Dz.U. z 202</w:t>
      </w:r>
      <w:r w:rsidR="00917C09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 xml:space="preserve"> r. poz. 1</w:t>
      </w:r>
      <w:r w:rsidR="00CC6EE4">
        <w:rPr>
          <w:rFonts w:ascii="Arial" w:hAnsi="Arial" w:cs="Arial"/>
          <w:sz w:val="16"/>
          <w:szCs w:val="16"/>
        </w:rPr>
        <w:t>710</w:t>
      </w:r>
      <w:r>
        <w:rPr>
          <w:rFonts w:ascii="Arial" w:hAnsi="Arial" w:cs="Arial"/>
          <w:sz w:val="16"/>
          <w:szCs w:val="16"/>
        </w:rPr>
        <w:t xml:space="preserve"> ze zm.)</w:t>
      </w:r>
      <w:r w:rsidRPr="0078413A">
        <w:rPr>
          <w:rFonts w:ascii="Arial" w:hAnsi="Arial" w:cs="Arial"/>
          <w:sz w:val="16"/>
          <w:szCs w:val="16"/>
        </w:rPr>
        <w:t xml:space="preserve">, w niniejszym opracowaniu jako: „ustawa </w:t>
      </w:r>
      <w:proofErr w:type="spellStart"/>
      <w:r w:rsidRPr="0078413A">
        <w:rPr>
          <w:rFonts w:ascii="Arial" w:hAnsi="Arial" w:cs="Arial"/>
          <w:sz w:val="16"/>
          <w:szCs w:val="16"/>
        </w:rPr>
        <w:t>Pzp</w:t>
      </w:r>
      <w:proofErr w:type="spellEnd"/>
      <w:r w:rsidRPr="0078413A">
        <w:rPr>
          <w:rFonts w:ascii="Arial" w:hAnsi="Arial" w:cs="Arial"/>
          <w:sz w:val="16"/>
          <w:szCs w:val="16"/>
        </w:rPr>
        <w:t>”</w:t>
      </w:r>
      <w:r w:rsidR="00F00D9C">
        <w:rPr>
          <w:rFonts w:ascii="Arial" w:hAnsi="Arial" w:cs="Arial"/>
          <w:sz w:val="16"/>
          <w:szCs w:val="16"/>
        </w:rPr>
        <w:t>.</w:t>
      </w:r>
    </w:p>
  </w:footnote>
  <w:footnote w:id="2">
    <w:p w14:paraId="7EFA4D15" w14:textId="7A50CBE8" w:rsidR="00894A44" w:rsidRPr="0049196F" w:rsidRDefault="00894A44" w:rsidP="00894A44">
      <w:pPr>
        <w:pStyle w:val="Tekstprzypisudolnego"/>
        <w:rPr>
          <w:rFonts w:ascii="Arial" w:hAnsi="Arial" w:cs="Arial"/>
          <w:sz w:val="16"/>
          <w:szCs w:val="16"/>
        </w:rPr>
      </w:pPr>
      <w:r w:rsidRPr="004919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9196F">
        <w:rPr>
          <w:rFonts w:ascii="Arial" w:hAnsi="Arial" w:cs="Arial"/>
          <w:sz w:val="16"/>
          <w:szCs w:val="16"/>
        </w:rPr>
        <w:t xml:space="preserve"> Pozycja ogółem lub budowa budynków lub budowa obiektów inżynierii lądowej i wodnej lub budowa obiektów specjalistycznych – w zależności od specyfiki zamówienia</w:t>
      </w:r>
      <w:r w:rsidR="00F00D9C">
        <w:rPr>
          <w:rFonts w:ascii="Arial" w:hAnsi="Arial" w:cs="Arial"/>
          <w:sz w:val="16"/>
          <w:szCs w:val="16"/>
        </w:rPr>
        <w:t>.</w:t>
      </w:r>
    </w:p>
  </w:footnote>
  <w:footnote w:id="3">
    <w:p w14:paraId="636C1923" w14:textId="08AB73AD" w:rsidR="00894A44" w:rsidRDefault="00894A44" w:rsidP="00894A44">
      <w:pPr>
        <w:pStyle w:val="Tekstprzypisudolnego"/>
      </w:pPr>
      <w:r w:rsidRPr="004919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9196F">
        <w:rPr>
          <w:rFonts w:ascii="Arial" w:hAnsi="Arial" w:cs="Arial"/>
          <w:sz w:val="16"/>
          <w:szCs w:val="16"/>
        </w:rPr>
        <w:t xml:space="preserve"> </w:t>
      </w:r>
      <w:r w:rsidR="00BB0330" w:rsidRPr="008E23C0">
        <w:rPr>
          <w:rFonts w:ascii="Arial" w:hAnsi="Arial" w:cs="Arial"/>
          <w:sz w:val="16"/>
          <w:szCs w:val="16"/>
        </w:rPr>
        <w:t>Zamawiający musi samodzielnie ustalić, jaka wartość będzie odpowiednia dla stanu faktycznego danej sprawy.</w:t>
      </w:r>
    </w:p>
  </w:footnote>
  <w:footnote w:id="4">
    <w:p w14:paraId="493FD598" w14:textId="596E7F81" w:rsidR="005A3AEE" w:rsidRPr="0049196F" w:rsidRDefault="005A3AEE" w:rsidP="0049196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919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9196F">
        <w:rPr>
          <w:rFonts w:ascii="Arial" w:hAnsi="Arial" w:cs="Arial"/>
          <w:sz w:val="16"/>
          <w:szCs w:val="16"/>
        </w:rPr>
        <w:t xml:space="preserve"> Zamawiający wskazuje początkowy miesiąc</w:t>
      </w:r>
      <w:r w:rsidR="00AA3CE0" w:rsidRPr="0049196F">
        <w:rPr>
          <w:rFonts w:ascii="Arial" w:hAnsi="Arial" w:cs="Arial"/>
          <w:sz w:val="16"/>
          <w:szCs w:val="16"/>
        </w:rPr>
        <w:t xml:space="preserve"> waloryzacji</w:t>
      </w:r>
      <w:r w:rsidRPr="0049196F">
        <w:rPr>
          <w:rFonts w:ascii="Arial" w:hAnsi="Arial" w:cs="Arial"/>
          <w:sz w:val="16"/>
          <w:szCs w:val="16"/>
        </w:rPr>
        <w:t xml:space="preserve">. </w:t>
      </w:r>
    </w:p>
  </w:footnote>
  <w:footnote w:id="5">
    <w:p w14:paraId="450D2CF4" w14:textId="5C13C122" w:rsidR="00894A44" w:rsidRDefault="00894A44" w:rsidP="0049196F">
      <w:pPr>
        <w:pStyle w:val="Tekstprzypisudolnego"/>
        <w:jc w:val="both"/>
      </w:pPr>
      <w:r w:rsidRPr="004919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9196F">
        <w:rPr>
          <w:rFonts w:ascii="Arial" w:hAnsi="Arial" w:cs="Arial"/>
          <w:sz w:val="16"/>
          <w:szCs w:val="16"/>
        </w:rPr>
        <w:t xml:space="preserve"> Wstawić właściwą wartość procentową limitu</w:t>
      </w:r>
      <w:r w:rsidR="00F00D9C">
        <w:rPr>
          <w:rFonts w:ascii="Arial" w:hAnsi="Arial" w:cs="Arial"/>
          <w:sz w:val="16"/>
          <w:szCs w:val="16"/>
        </w:rPr>
        <w:t>.</w:t>
      </w:r>
    </w:p>
  </w:footnote>
  <w:footnote w:id="6">
    <w:p w14:paraId="315A7A66" w14:textId="34817902" w:rsidR="00894A44" w:rsidRPr="0049196F" w:rsidRDefault="00894A44" w:rsidP="00894A44">
      <w:pPr>
        <w:pStyle w:val="Tekstprzypisudolnego"/>
        <w:rPr>
          <w:rFonts w:ascii="Arial" w:hAnsi="Arial" w:cs="Arial"/>
          <w:sz w:val="16"/>
          <w:szCs w:val="16"/>
        </w:rPr>
      </w:pPr>
      <w:r w:rsidRPr="004919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9196F">
        <w:rPr>
          <w:rFonts w:ascii="Arial" w:hAnsi="Arial" w:cs="Arial"/>
          <w:sz w:val="16"/>
          <w:szCs w:val="16"/>
        </w:rPr>
        <w:t xml:space="preserve"> </w:t>
      </w:r>
      <w:r w:rsidR="00F00D9C">
        <w:rPr>
          <w:rFonts w:ascii="Arial" w:hAnsi="Arial" w:cs="Arial"/>
          <w:color w:val="000000" w:themeColor="text1"/>
          <w:sz w:val="16"/>
          <w:szCs w:val="16"/>
        </w:rPr>
        <w:t>W</w:t>
      </w:r>
      <w:r w:rsidRPr="0049196F">
        <w:rPr>
          <w:rFonts w:ascii="Arial" w:hAnsi="Arial" w:cs="Arial"/>
          <w:color w:val="000000" w:themeColor="text1"/>
          <w:sz w:val="16"/>
          <w:szCs w:val="16"/>
        </w:rPr>
        <w:t>stawić właściwe odniesienie do Umowy</w:t>
      </w:r>
      <w:r w:rsidR="00F00D9C">
        <w:rPr>
          <w:rFonts w:ascii="Arial" w:hAnsi="Arial" w:cs="Arial"/>
          <w:color w:val="000000" w:themeColor="text1"/>
          <w:sz w:val="16"/>
          <w:szCs w:val="16"/>
        </w:rPr>
        <w:t>.</w:t>
      </w:r>
    </w:p>
  </w:footnote>
  <w:footnote w:id="7">
    <w:p w14:paraId="77166E99" w14:textId="660C0E4D" w:rsidR="00894A44" w:rsidRPr="0049196F" w:rsidRDefault="00894A44" w:rsidP="00894A44">
      <w:pPr>
        <w:pStyle w:val="Tekstprzypisudolnego"/>
        <w:rPr>
          <w:rFonts w:ascii="Arial" w:hAnsi="Arial" w:cs="Arial"/>
          <w:sz w:val="16"/>
          <w:szCs w:val="16"/>
        </w:rPr>
      </w:pPr>
      <w:r w:rsidRPr="004919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9196F">
        <w:rPr>
          <w:rFonts w:ascii="Arial" w:hAnsi="Arial" w:cs="Arial"/>
          <w:sz w:val="16"/>
          <w:szCs w:val="16"/>
        </w:rPr>
        <w:t xml:space="preserve"> </w:t>
      </w:r>
      <w:r w:rsidR="00F00D9C">
        <w:rPr>
          <w:rFonts w:ascii="Arial" w:hAnsi="Arial" w:cs="Arial"/>
          <w:sz w:val="16"/>
          <w:szCs w:val="16"/>
        </w:rPr>
        <w:t>T</w:t>
      </w:r>
      <w:r w:rsidRPr="0049196F">
        <w:rPr>
          <w:rFonts w:ascii="Arial" w:hAnsi="Arial" w:cs="Arial"/>
          <w:sz w:val="16"/>
          <w:szCs w:val="16"/>
        </w:rPr>
        <w:t xml:space="preserve">abela Koszyk </w:t>
      </w:r>
      <w:r w:rsidR="009F7501" w:rsidRPr="0049196F">
        <w:rPr>
          <w:rFonts w:ascii="Arial" w:hAnsi="Arial" w:cs="Arial"/>
          <w:sz w:val="16"/>
          <w:szCs w:val="16"/>
        </w:rPr>
        <w:t>Waloryzacyjny do</w:t>
      </w:r>
      <w:r w:rsidRPr="0049196F">
        <w:rPr>
          <w:rFonts w:ascii="Arial" w:hAnsi="Arial" w:cs="Arial"/>
          <w:sz w:val="16"/>
          <w:szCs w:val="16"/>
        </w:rPr>
        <w:t xml:space="preserve"> wstawienia w zależności od rodzaju umowy; inna tabela dla umów na budynek; sieć wod-kan; drogę; most; sieć oświetleniową; kontrakt hydrotechniczny</w:t>
      </w:r>
      <w:r w:rsidR="00F00D9C">
        <w:rPr>
          <w:rFonts w:ascii="Arial" w:hAnsi="Arial" w:cs="Arial"/>
          <w:sz w:val="16"/>
          <w:szCs w:val="16"/>
        </w:rPr>
        <w:t>.</w:t>
      </w:r>
    </w:p>
  </w:footnote>
  <w:footnote w:id="8">
    <w:p w14:paraId="447841F5" w14:textId="2D5812B0" w:rsidR="004C7DE8" w:rsidRPr="0049196F" w:rsidRDefault="004C7DE8">
      <w:pPr>
        <w:pStyle w:val="Tekstprzypisudolnego"/>
        <w:rPr>
          <w:rFonts w:ascii="Arial" w:hAnsi="Arial" w:cs="Arial"/>
          <w:sz w:val="16"/>
          <w:szCs w:val="16"/>
        </w:rPr>
      </w:pPr>
      <w:r w:rsidRPr="004919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9196F">
        <w:rPr>
          <w:rFonts w:ascii="Arial" w:hAnsi="Arial" w:cs="Arial"/>
          <w:sz w:val="16"/>
          <w:szCs w:val="16"/>
        </w:rPr>
        <w:t xml:space="preserve"> Zamawiający wskazuje początkowy miesiąc waloryzacji.</w:t>
      </w:r>
    </w:p>
  </w:footnote>
  <w:footnote w:id="9">
    <w:p w14:paraId="329DD1BA" w14:textId="5AB4A31A" w:rsidR="00894A44" w:rsidRPr="004B3A4B" w:rsidRDefault="00894A44" w:rsidP="00894A44">
      <w:pPr>
        <w:pStyle w:val="Tekstprzypisudolnego"/>
        <w:rPr>
          <w:rFonts w:asciiTheme="minorHAnsi" w:hAnsiTheme="minorHAnsi" w:cstheme="minorHAnsi"/>
          <w:i/>
          <w:iCs/>
          <w:sz w:val="18"/>
          <w:szCs w:val="18"/>
        </w:rPr>
      </w:pPr>
      <w:r w:rsidRPr="004919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9196F">
        <w:rPr>
          <w:rFonts w:ascii="Arial" w:hAnsi="Arial" w:cs="Arial"/>
          <w:sz w:val="16"/>
          <w:szCs w:val="16"/>
        </w:rPr>
        <w:t xml:space="preserve"> Wstawić właściwą wartość procentową limitu waloryzacji</w:t>
      </w:r>
      <w:r w:rsidR="00F00D9C">
        <w:rPr>
          <w:rFonts w:ascii="Arial" w:hAnsi="Arial" w:cs="Arial"/>
          <w:sz w:val="16"/>
          <w:szCs w:val="16"/>
        </w:rPr>
        <w:t>.</w:t>
      </w:r>
    </w:p>
  </w:footnote>
  <w:footnote w:id="10">
    <w:p w14:paraId="6AA76523" w14:textId="25FF1476" w:rsidR="007C0850" w:rsidRDefault="007C085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E3665" w:rsidRPr="0049196F">
        <w:rPr>
          <w:rFonts w:ascii="Arial" w:hAnsi="Arial" w:cs="Arial"/>
          <w:sz w:val="16"/>
          <w:szCs w:val="16"/>
        </w:rPr>
        <w:t>Wskazuje Zamawiający</w:t>
      </w:r>
      <w:r w:rsidR="000E3665">
        <w:t>.</w:t>
      </w:r>
    </w:p>
  </w:footnote>
  <w:footnote w:id="11">
    <w:p w14:paraId="6B83A702" w14:textId="0D300814" w:rsidR="00894A44" w:rsidRPr="0049196F" w:rsidRDefault="00894A44" w:rsidP="00894A44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49196F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49196F">
        <w:rPr>
          <w:rFonts w:ascii="Arial" w:hAnsi="Arial" w:cs="Arial"/>
          <w:i/>
          <w:iCs/>
          <w:sz w:val="16"/>
          <w:szCs w:val="16"/>
        </w:rPr>
        <w:t xml:space="preserve"> </w:t>
      </w:r>
      <w:r w:rsidR="00BB0330" w:rsidRPr="00BB0330">
        <w:rPr>
          <w:rFonts w:ascii="Arial" w:hAnsi="Arial" w:cs="Arial"/>
          <w:sz w:val="16"/>
          <w:szCs w:val="16"/>
        </w:rPr>
        <w:t xml:space="preserve"> </w:t>
      </w:r>
      <w:r w:rsidR="00BB0330" w:rsidRPr="008E23C0">
        <w:rPr>
          <w:rFonts w:ascii="Arial" w:hAnsi="Arial" w:cs="Arial"/>
          <w:sz w:val="16"/>
          <w:szCs w:val="16"/>
        </w:rPr>
        <w:t>Zamawiający musi samodzielnie ustalić, jaka wartość będzie odpowiednia dla stanu faktycznego danej sprawy.</w:t>
      </w:r>
    </w:p>
  </w:footnote>
  <w:footnote w:id="12">
    <w:p w14:paraId="4FBCF85C" w14:textId="77777777" w:rsidR="00894A44" w:rsidRPr="0078413A" w:rsidRDefault="00894A44" w:rsidP="00894A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F2F3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F2F3D">
        <w:rPr>
          <w:rFonts w:ascii="Arial" w:hAnsi="Arial" w:cs="Arial"/>
          <w:sz w:val="16"/>
          <w:szCs w:val="16"/>
        </w:rPr>
        <w:t xml:space="preserve"> </w:t>
      </w:r>
      <w:r w:rsidRPr="0078413A">
        <w:rPr>
          <w:rFonts w:ascii="Arial" w:hAnsi="Arial" w:cs="Arial"/>
          <w:sz w:val="16"/>
          <w:szCs w:val="16"/>
        </w:rPr>
        <w:t>Wskazano przykładowe wskaźniki. Zamawiający powinien wybrać wskaźniki adekwatne do stanu faktycznego jego zamówienia. W takim przypadku należy pamiętać o konieczności modyfikacji wzoru służącego wyliczeniu kwot płatnych wykonawcy.</w:t>
      </w:r>
    </w:p>
  </w:footnote>
  <w:footnote w:id="13">
    <w:p w14:paraId="1F90CB5F" w14:textId="77777777" w:rsidR="00894A44" w:rsidRPr="0078413A" w:rsidRDefault="00894A44" w:rsidP="00894A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841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8413A">
        <w:rPr>
          <w:rFonts w:ascii="Arial" w:hAnsi="Arial" w:cs="Arial"/>
          <w:sz w:val="16"/>
          <w:szCs w:val="16"/>
        </w:rPr>
        <w:t xml:space="preserve"> Należy wskazać termin</w:t>
      </w:r>
      <w:bookmarkStart w:id="8" w:name="_Hlk106215563"/>
      <w:r>
        <w:rPr>
          <w:rFonts w:ascii="Arial" w:hAnsi="Arial" w:cs="Arial"/>
          <w:sz w:val="16"/>
          <w:szCs w:val="16"/>
        </w:rPr>
        <w:t>.</w:t>
      </w:r>
      <w:bookmarkEnd w:id="8"/>
    </w:p>
  </w:footnote>
  <w:footnote w:id="14">
    <w:p w14:paraId="10D6CF36" w14:textId="53AD51BE" w:rsidR="00894A44" w:rsidRPr="0078413A" w:rsidRDefault="00894A44" w:rsidP="00894A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841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8413A">
        <w:rPr>
          <w:rFonts w:ascii="Arial" w:hAnsi="Arial" w:cs="Arial"/>
          <w:sz w:val="16"/>
          <w:szCs w:val="16"/>
        </w:rPr>
        <w:t xml:space="preserve"> </w:t>
      </w:r>
      <w:bookmarkStart w:id="9" w:name="_Hlk106215418"/>
      <w:r w:rsidRPr="0078413A">
        <w:rPr>
          <w:rFonts w:ascii="Arial" w:hAnsi="Arial" w:cs="Arial"/>
          <w:sz w:val="16"/>
          <w:szCs w:val="16"/>
        </w:rPr>
        <w:t>Należy wskazać liczbę. Przykładowo, w postępowaniach prowadzonych przez GDDK</w:t>
      </w:r>
      <w:r>
        <w:rPr>
          <w:rFonts w:ascii="Arial" w:hAnsi="Arial" w:cs="Arial"/>
          <w:sz w:val="16"/>
          <w:szCs w:val="16"/>
        </w:rPr>
        <w:t>iA</w:t>
      </w:r>
      <w:r w:rsidRPr="0078413A">
        <w:rPr>
          <w:rFonts w:ascii="Arial" w:hAnsi="Arial" w:cs="Arial"/>
          <w:sz w:val="16"/>
          <w:szCs w:val="16"/>
        </w:rPr>
        <w:t xml:space="preserve">, w których wykorzystywana jest ta klauzula, </w:t>
      </w:r>
      <w:bookmarkStart w:id="10" w:name="_Hlk107315612"/>
      <w:r>
        <w:rPr>
          <w:rFonts w:ascii="Arial" w:hAnsi="Arial" w:cs="Arial"/>
          <w:sz w:val="16"/>
          <w:szCs w:val="16"/>
        </w:rPr>
        <w:t>na datę opracowywania rekomendacji</w:t>
      </w:r>
      <w:bookmarkEnd w:id="10"/>
      <w:r>
        <w:rPr>
          <w:rFonts w:ascii="Arial" w:hAnsi="Arial" w:cs="Arial"/>
          <w:sz w:val="16"/>
          <w:szCs w:val="16"/>
        </w:rPr>
        <w:t xml:space="preserve">, </w:t>
      </w:r>
      <w:r w:rsidRPr="0078413A">
        <w:rPr>
          <w:rFonts w:ascii="Arial" w:hAnsi="Arial" w:cs="Arial"/>
          <w:sz w:val="16"/>
          <w:szCs w:val="16"/>
        </w:rPr>
        <w:t>wskazywana jest wartość 10%.</w:t>
      </w:r>
      <w:bookmarkEnd w:id="9"/>
      <w:r>
        <w:rPr>
          <w:rFonts w:ascii="Arial" w:hAnsi="Arial" w:cs="Arial"/>
          <w:sz w:val="16"/>
          <w:szCs w:val="16"/>
        </w:rPr>
        <w:t xml:space="preserve"> Wartość każdorazowo musi być dostosowana przez zamawiającego, który będzie wzorował się na prezentowanej klauzuli, do stanu faktycznego danej sprawy</w:t>
      </w:r>
      <w:r w:rsidR="00EA620E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</w:p>
  </w:footnote>
  <w:footnote w:id="15">
    <w:p w14:paraId="1BD7F9F9" w14:textId="77777777" w:rsidR="00894A44" w:rsidRPr="0078413A" w:rsidRDefault="00894A44" w:rsidP="00894A44">
      <w:pPr>
        <w:pStyle w:val="Tekstprzypisudolnego"/>
        <w:rPr>
          <w:rFonts w:ascii="Arial" w:hAnsi="Arial" w:cs="Arial"/>
          <w:sz w:val="16"/>
          <w:szCs w:val="16"/>
        </w:rPr>
      </w:pPr>
      <w:r w:rsidRPr="007841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8413A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</w:t>
      </w:r>
      <w:r w:rsidRPr="0078413A">
        <w:rPr>
          <w:rFonts w:ascii="Arial" w:hAnsi="Arial" w:cs="Arial"/>
          <w:sz w:val="16"/>
          <w:szCs w:val="16"/>
        </w:rPr>
        <w:t xml:space="preserve"> postępowaniach prowadzonych przez GDDK</w:t>
      </w:r>
      <w:r>
        <w:rPr>
          <w:rFonts w:ascii="Arial" w:hAnsi="Arial" w:cs="Arial"/>
          <w:sz w:val="16"/>
          <w:szCs w:val="16"/>
        </w:rPr>
        <w:t>iA -30 dni.</w:t>
      </w:r>
    </w:p>
  </w:footnote>
  <w:footnote w:id="16">
    <w:p w14:paraId="479D9781" w14:textId="77777777" w:rsidR="00894A44" w:rsidRDefault="00894A44" w:rsidP="00894A44">
      <w:pPr>
        <w:pStyle w:val="Tekstprzypisudolnego"/>
      </w:pPr>
      <w:r w:rsidRPr="007841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8413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78413A">
        <w:rPr>
          <w:rFonts w:ascii="Arial" w:hAnsi="Arial" w:cs="Arial"/>
          <w:sz w:val="16"/>
          <w:szCs w:val="16"/>
        </w:rPr>
        <w:t xml:space="preserve"> postępowaniach prowadzonych przez GDDK</w:t>
      </w:r>
      <w:r>
        <w:rPr>
          <w:rFonts w:ascii="Arial" w:hAnsi="Arial" w:cs="Arial"/>
          <w:sz w:val="16"/>
          <w:szCs w:val="16"/>
        </w:rPr>
        <w:t>iA – 30 dni.</w:t>
      </w:r>
    </w:p>
  </w:footnote>
  <w:footnote w:id="17">
    <w:p w14:paraId="03CA05BC" w14:textId="484A801E" w:rsidR="00894A44" w:rsidRPr="0072175E" w:rsidRDefault="00894A44" w:rsidP="00894A44">
      <w:pPr>
        <w:rPr>
          <w:rFonts w:ascii="Arial" w:hAnsi="Arial" w:cs="Arial"/>
          <w:sz w:val="16"/>
          <w:szCs w:val="16"/>
        </w:rPr>
      </w:pPr>
      <w:r w:rsidRPr="007217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2175E">
        <w:rPr>
          <w:rFonts w:ascii="Arial" w:hAnsi="Arial" w:cs="Arial"/>
          <w:sz w:val="16"/>
          <w:szCs w:val="16"/>
        </w:rPr>
        <w:t xml:space="preserve"> </w:t>
      </w:r>
      <w:bookmarkStart w:id="11" w:name="_Hlk114742783"/>
      <w:r w:rsidRPr="008E23C0">
        <w:rPr>
          <w:rFonts w:ascii="Arial" w:hAnsi="Arial" w:cs="Arial"/>
          <w:sz w:val="16"/>
          <w:szCs w:val="16"/>
        </w:rPr>
        <w:t>Współczynnik ten d</w:t>
      </w:r>
      <w:r w:rsidRPr="0072175E">
        <w:rPr>
          <w:rFonts w:ascii="Arial" w:hAnsi="Arial" w:cs="Arial"/>
          <w:sz w:val="16"/>
          <w:szCs w:val="16"/>
        </w:rPr>
        <w:t xml:space="preserve">otyczy </w:t>
      </w:r>
      <w:r w:rsidRPr="008E23C0">
        <w:rPr>
          <w:rFonts w:ascii="Arial" w:hAnsi="Arial" w:cs="Arial"/>
          <w:sz w:val="16"/>
          <w:szCs w:val="16"/>
        </w:rPr>
        <w:t>podziału</w:t>
      </w:r>
      <w:r w:rsidRPr="0072175E">
        <w:rPr>
          <w:rFonts w:ascii="Arial" w:hAnsi="Arial" w:cs="Arial"/>
          <w:sz w:val="16"/>
          <w:szCs w:val="16"/>
        </w:rPr>
        <w:t xml:space="preserve"> ryzyk.</w:t>
      </w:r>
      <w:r w:rsidRPr="008E23C0">
        <w:rPr>
          <w:rFonts w:ascii="Arial" w:hAnsi="Arial" w:cs="Arial"/>
          <w:sz w:val="16"/>
          <w:szCs w:val="16"/>
        </w:rPr>
        <w:t xml:space="preserve"> </w:t>
      </w:r>
      <w:bookmarkStart w:id="12" w:name="_Hlk120704177"/>
      <w:r w:rsidRPr="008E23C0">
        <w:rPr>
          <w:rFonts w:ascii="Arial" w:hAnsi="Arial" w:cs="Arial"/>
          <w:sz w:val="16"/>
          <w:szCs w:val="16"/>
        </w:rPr>
        <w:t xml:space="preserve">Zamawiający musi samodzielnie ustalić, jaka wartość będzie odpowiednia dla stanu faktycznego danej sprawy. </w:t>
      </w:r>
      <w:bookmarkEnd w:id="12"/>
      <w:r w:rsidRPr="008E23C0">
        <w:rPr>
          <w:rFonts w:ascii="Arial" w:hAnsi="Arial" w:cs="Arial"/>
          <w:sz w:val="16"/>
          <w:szCs w:val="16"/>
        </w:rPr>
        <w:t>Przykładowo, GDDKiA w swoich klauzulach stosuje wskaźnik: 0,5.</w:t>
      </w:r>
      <w:r>
        <w:rPr>
          <w:rFonts w:ascii="Arial" w:hAnsi="Arial" w:cs="Arial"/>
          <w:sz w:val="16"/>
          <w:szCs w:val="16"/>
        </w:rPr>
        <w:t xml:space="preserve"> </w:t>
      </w:r>
      <w:r w:rsidRPr="00C87C3E">
        <w:rPr>
          <w:rFonts w:ascii="Arial" w:hAnsi="Arial" w:cs="Arial"/>
          <w:sz w:val="16"/>
          <w:szCs w:val="16"/>
        </w:rPr>
        <w:t>Czyli ryzyko</w:t>
      </w:r>
      <w:r w:rsidRPr="0072175E">
        <w:rPr>
          <w:rFonts w:ascii="Arial" w:hAnsi="Arial" w:cs="Arial"/>
          <w:sz w:val="16"/>
          <w:szCs w:val="16"/>
        </w:rPr>
        <w:t xml:space="preserve"> niemożliwego do przewidzenia wzrostu cen materiałów i kosztów niezbędnych do wykonania umowy jest równomierne </w:t>
      </w:r>
      <w:r w:rsidRPr="00C704FC">
        <w:rPr>
          <w:rFonts w:ascii="Arial" w:hAnsi="Arial" w:cs="Arial"/>
          <w:sz w:val="16"/>
          <w:szCs w:val="16"/>
        </w:rPr>
        <w:t>rozłoż</w:t>
      </w:r>
      <w:r>
        <w:rPr>
          <w:rFonts w:ascii="Arial" w:hAnsi="Arial" w:cs="Arial"/>
          <w:sz w:val="16"/>
          <w:szCs w:val="16"/>
        </w:rPr>
        <w:t>o</w:t>
      </w:r>
      <w:r w:rsidRPr="00C704FC">
        <w:rPr>
          <w:rFonts w:ascii="Arial" w:hAnsi="Arial" w:cs="Arial"/>
          <w:sz w:val="16"/>
          <w:szCs w:val="16"/>
        </w:rPr>
        <w:t>ne</w:t>
      </w:r>
      <w:r w:rsidRPr="0072175E">
        <w:rPr>
          <w:rFonts w:ascii="Arial" w:hAnsi="Arial" w:cs="Arial"/>
          <w:sz w:val="16"/>
          <w:szCs w:val="16"/>
        </w:rPr>
        <w:t xml:space="preserve"> na obie strony.</w:t>
      </w:r>
    </w:p>
    <w:bookmarkEnd w:id="11"/>
  </w:footnote>
  <w:footnote w:id="18">
    <w:p w14:paraId="784AB6EA" w14:textId="06B2998C" w:rsidR="00894A44" w:rsidRPr="0072175E" w:rsidRDefault="00894A44" w:rsidP="00894A44">
      <w:pPr>
        <w:pStyle w:val="Tekstprzypisudolnego"/>
        <w:rPr>
          <w:rFonts w:ascii="Arial" w:hAnsi="Arial" w:cs="Arial"/>
          <w:sz w:val="16"/>
          <w:szCs w:val="16"/>
        </w:rPr>
      </w:pPr>
      <w:r w:rsidRPr="007217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2175E">
        <w:rPr>
          <w:rFonts w:ascii="Arial" w:hAnsi="Arial" w:cs="Arial"/>
          <w:sz w:val="16"/>
          <w:szCs w:val="16"/>
        </w:rPr>
        <w:t xml:space="preserve"> Wartość ta wiąże się ze współczynnikiem podziału ryzyk – ma wynosić tyle, ile ustalona wartość współczynnika podziału ryzyk (zob. przypis </w:t>
      </w:r>
      <w:r w:rsidR="00844C7D">
        <w:rPr>
          <w:rFonts w:ascii="Arial" w:hAnsi="Arial" w:cs="Arial"/>
          <w:sz w:val="16"/>
          <w:szCs w:val="16"/>
        </w:rPr>
        <w:t>1</w:t>
      </w:r>
      <w:r w:rsidR="0049196F">
        <w:rPr>
          <w:rFonts w:ascii="Arial" w:hAnsi="Arial" w:cs="Arial"/>
          <w:sz w:val="16"/>
          <w:szCs w:val="16"/>
        </w:rPr>
        <w:t>7</w:t>
      </w:r>
      <w:r w:rsidRPr="0072175E">
        <w:rPr>
          <w:rFonts w:ascii="Arial" w:hAnsi="Arial" w:cs="Arial"/>
          <w:sz w:val="16"/>
          <w:szCs w:val="16"/>
        </w:rPr>
        <w:t>)</w:t>
      </w:r>
      <w:r w:rsidR="00EA620E">
        <w:rPr>
          <w:rFonts w:ascii="Arial" w:hAnsi="Arial" w:cs="Arial"/>
          <w:sz w:val="16"/>
          <w:szCs w:val="16"/>
        </w:rPr>
        <w:t>.</w:t>
      </w:r>
    </w:p>
  </w:footnote>
  <w:footnote w:id="19">
    <w:p w14:paraId="7FA3D122" w14:textId="77777777" w:rsidR="00894A44" w:rsidRPr="0049196F" w:rsidRDefault="00894A44" w:rsidP="00894A44">
      <w:pPr>
        <w:pStyle w:val="Tekstprzypisudolnego"/>
        <w:rPr>
          <w:rFonts w:ascii="Arial" w:hAnsi="Arial" w:cs="Arial"/>
          <w:sz w:val="16"/>
          <w:szCs w:val="16"/>
        </w:rPr>
      </w:pPr>
      <w:r w:rsidRPr="004919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9196F">
        <w:rPr>
          <w:rFonts w:ascii="Arial" w:hAnsi="Arial" w:cs="Arial"/>
          <w:sz w:val="16"/>
          <w:szCs w:val="16"/>
        </w:rPr>
        <w:t xml:space="preserve"> </w:t>
      </w:r>
      <w:r w:rsidRPr="00884406">
        <w:rPr>
          <w:rFonts w:ascii="Arial" w:hAnsi="Arial" w:cs="Arial"/>
          <w:sz w:val="16"/>
          <w:szCs w:val="16"/>
        </w:rPr>
        <w:t>Dodano słowo „dostawy” w stosunku do dotychczasowych standardowych zapisów stosowanych przez GDDKiA, w związku z wejściem w życie ustawy z dnia 7 października 2022 r. o zmianie niektórych ustaw w celu uproszczenia procedur administracyjnych dla obywateli i przedsiębiorców (Dz.U. z 2022 r. poz. 2185).</w:t>
      </w:r>
    </w:p>
  </w:footnote>
  <w:footnote w:id="20">
    <w:p w14:paraId="4A9B149D" w14:textId="77777777" w:rsidR="00894A44" w:rsidRPr="0078413A" w:rsidRDefault="00894A44" w:rsidP="00894A44">
      <w:pPr>
        <w:pStyle w:val="Tekstprzypisudolnego"/>
        <w:rPr>
          <w:rFonts w:ascii="Arial" w:hAnsi="Arial" w:cs="Arial"/>
          <w:sz w:val="16"/>
          <w:szCs w:val="16"/>
        </w:rPr>
      </w:pPr>
      <w:r w:rsidRPr="0088440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84406">
        <w:rPr>
          <w:rFonts w:ascii="Arial" w:hAnsi="Arial" w:cs="Arial"/>
          <w:sz w:val="16"/>
          <w:szCs w:val="16"/>
        </w:rPr>
        <w:t xml:space="preserve"> Stosownie do art.439 ust. 5 ustawy Pzp, wykonawca, którego wynagrodzenie zostało zmienione zgodnie z art. 439 ust. 1-3 ustawy Pzp, zobowiązany jest do zmiany wynagrodzenia przysługującego podwykonawcy, z którym zawarł umowę, w zakresie odpowiadającym zmianom cen materiałów lub kosztów dotyczących zobowiązania podwykonawcy, jeżeli łącznie spełnione są warunki wskazane w tym przepisie.</w:t>
      </w:r>
    </w:p>
  </w:footnote>
  <w:footnote w:id="21">
    <w:p w14:paraId="3A72B044" w14:textId="6442E64B" w:rsidR="00894A44" w:rsidRPr="0072175E" w:rsidRDefault="00894A44" w:rsidP="00894A44">
      <w:pPr>
        <w:pStyle w:val="Tekstprzypisudolnego"/>
        <w:rPr>
          <w:rFonts w:ascii="Arial" w:hAnsi="Arial" w:cs="Arial"/>
          <w:sz w:val="16"/>
          <w:szCs w:val="16"/>
        </w:rPr>
      </w:pPr>
      <w:r w:rsidRPr="007217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2175E">
        <w:rPr>
          <w:rFonts w:ascii="Arial" w:hAnsi="Arial" w:cs="Arial"/>
          <w:sz w:val="16"/>
          <w:szCs w:val="16"/>
        </w:rPr>
        <w:t xml:space="preserve"> Zamawiający wskazuje w tym miejscu współczynnik rozkładu ryzyk. Należy dostosować do przyjętych wag. </w:t>
      </w:r>
      <w:r w:rsidRPr="00DD0115">
        <w:rPr>
          <w:rFonts w:ascii="Arial" w:hAnsi="Arial" w:cs="Arial"/>
          <w:sz w:val="16"/>
          <w:szCs w:val="16"/>
        </w:rPr>
        <w:t>Przykładowo, GDDKiA w swoich klauzulach wskazuje wartość: 0,5</w:t>
      </w:r>
      <w:r w:rsidR="00EA620E">
        <w:rPr>
          <w:rFonts w:ascii="Arial" w:hAnsi="Arial" w:cs="Arial"/>
          <w:sz w:val="16"/>
          <w:szCs w:val="16"/>
        </w:rPr>
        <w:t>.</w:t>
      </w:r>
    </w:p>
  </w:footnote>
  <w:footnote w:id="22">
    <w:p w14:paraId="5CE0E363" w14:textId="77777777" w:rsidR="00894A44" w:rsidRPr="0072175E" w:rsidRDefault="00894A44" w:rsidP="00894A44">
      <w:pPr>
        <w:pStyle w:val="Tekstprzypisudolnego"/>
        <w:rPr>
          <w:rFonts w:ascii="Arial" w:hAnsi="Arial" w:cs="Arial"/>
          <w:sz w:val="16"/>
          <w:szCs w:val="16"/>
        </w:rPr>
      </w:pPr>
      <w:r w:rsidRPr="007217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2175E">
        <w:rPr>
          <w:rFonts w:ascii="Arial" w:hAnsi="Arial" w:cs="Arial"/>
          <w:sz w:val="16"/>
          <w:szCs w:val="16"/>
        </w:rPr>
        <w:t xml:space="preserve"> Zamawiający wskazuje w tym miejscu przedział wag. Należy je dostosować do stanu faktycznego danej sprawy. Przykładowo, GDDKiA wskazuje w swoich klauzulach w tym miejscu przedział: 0,2-0,3. </w:t>
      </w:r>
    </w:p>
  </w:footnote>
  <w:footnote w:id="23">
    <w:p w14:paraId="3A804021" w14:textId="120B6292" w:rsidR="00894A44" w:rsidRPr="0072175E" w:rsidRDefault="00894A44" w:rsidP="00894A44">
      <w:pPr>
        <w:pStyle w:val="Tekstprzypisudolnego"/>
        <w:rPr>
          <w:rFonts w:ascii="Arial" w:hAnsi="Arial" w:cs="Arial"/>
          <w:sz w:val="16"/>
          <w:szCs w:val="16"/>
        </w:rPr>
      </w:pPr>
      <w:r w:rsidRPr="007217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2175E">
        <w:rPr>
          <w:rFonts w:ascii="Arial" w:hAnsi="Arial" w:cs="Arial"/>
          <w:sz w:val="16"/>
          <w:szCs w:val="16"/>
        </w:rPr>
        <w:t xml:space="preserve"> Zamawiający wskazuje w tym miejscu wartość, dostosowaną do ustalonych parametrów. Przykładowo, GDDKiA wskazuje w swoich klauzulach wartość: 1</w:t>
      </w:r>
      <w:r w:rsidR="00EA620E">
        <w:rPr>
          <w:rFonts w:ascii="Arial" w:hAnsi="Arial" w:cs="Arial"/>
          <w:sz w:val="16"/>
          <w:szCs w:val="16"/>
        </w:rPr>
        <w:t>.</w:t>
      </w:r>
    </w:p>
  </w:footnote>
  <w:footnote w:id="24">
    <w:p w14:paraId="652912CB" w14:textId="77777777" w:rsidR="00894A44" w:rsidRPr="0049196F" w:rsidRDefault="00894A44" w:rsidP="00894A44">
      <w:pPr>
        <w:pStyle w:val="Tekstprzypisudolnego"/>
        <w:rPr>
          <w:rFonts w:ascii="Arial" w:hAnsi="Arial" w:cs="Arial"/>
          <w:sz w:val="16"/>
          <w:szCs w:val="16"/>
        </w:rPr>
      </w:pPr>
      <w:r w:rsidRPr="004919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9196F">
        <w:rPr>
          <w:rFonts w:ascii="Arial" w:hAnsi="Arial" w:cs="Arial"/>
          <w:sz w:val="16"/>
          <w:szCs w:val="16"/>
        </w:rPr>
        <w:t xml:space="preserve"> </w:t>
      </w:r>
      <w:r w:rsidRPr="00884406">
        <w:rPr>
          <w:rFonts w:ascii="Arial" w:hAnsi="Arial" w:cs="Arial"/>
          <w:sz w:val="16"/>
          <w:szCs w:val="16"/>
        </w:rPr>
        <w:t>Należy wskazać termin. Analogicznie, jak w przypadku wynagrodzenia wykonawcy.</w:t>
      </w:r>
    </w:p>
  </w:footnote>
  <w:footnote w:id="25">
    <w:p w14:paraId="02FF9F39" w14:textId="77777777" w:rsidR="00D426F9" w:rsidRPr="0078413A" w:rsidRDefault="00D426F9" w:rsidP="00D426F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841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8413A">
        <w:rPr>
          <w:rFonts w:ascii="Arial" w:hAnsi="Arial" w:cs="Arial"/>
          <w:sz w:val="16"/>
          <w:szCs w:val="16"/>
        </w:rPr>
        <w:t xml:space="preserve"> Wskazano przykładowe wskaźniki. Zamawiający powinien wybrać wskaźniki adekwatne do stanu faktycznego jego zamówienia. W takim przypadku należy pamiętać o konieczności modyfikacji wzoru służącego wyliczeniu kwot płatnych wykonawcy.</w:t>
      </w:r>
    </w:p>
  </w:footnote>
  <w:footnote w:id="26">
    <w:p w14:paraId="238BFBCA" w14:textId="77777777" w:rsidR="00D426F9" w:rsidRPr="0078413A" w:rsidRDefault="00D426F9" w:rsidP="00D426F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841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8413A">
        <w:rPr>
          <w:rFonts w:ascii="Arial" w:hAnsi="Arial" w:cs="Arial"/>
          <w:sz w:val="16"/>
          <w:szCs w:val="16"/>
        </w:rPr>
        <w:t xml:space="preserve"> Należy wskazać liczbę. Przykładowo, w postępowaniach prowadzonych przez PKP PLK</w:t>
      </w:r>
      <w:r>
        <w:rPr>
          <w:rFonts w:ascii="Arial" w:hAnsi="Arial" w:cs="Arial"/>
          <w:sz w:val="16"/>
          <w:szCs w:val="16"/>
        </w:rPr>
        <w:t xml:space="preserve"> SA</w:t>
      </w:r>
      <w:r w:rsidRPr="0078413A">
        <w:rPr>
          <w:rFonts w:ascii="Arial" w:hAnsi="Arial" w:cs="Arial"/>
          <w:sz w:val="16"/>
          <w:szCs w:val="16"/>
        </w:rPr>
        <w:t xml:space="preserve">, w których wykorzystywana jest ta klauzula, </w:t>
      </w:r>
      <w:r w:rsidRPr="00C351A3">
        <w:rPr>
          <w:rFonts w:ascii="Arial" w:hAnsi="Arial" w:cs="Arial"/>
          <w:sz w:val="16"/>
          <w:szCs w:val="16"/>
        </w:rPr>
        <w:t xml:space="preserve">na datę opracowywania rekomendacji </w:t>
      </w:r>
      <w:r w:rsidRPr="0078413A">
        <w:rPr>
          <w:rFonts w:ascii="Arial" w:hAnsi="Arial" w:cs="Arial"/>
          <w:sz w:val="16"/>
          <w:szCs w:val="16"/>
        </w:rPr>
        <w:t>wskazywana jest wartość 10%.</w:t>
      </w:r>
    </w:p>
  </w:footnote>
  <w:footnote w:id="27">
    <w:p w14:paraId="4C47430F" w14:textId="77777777" w:rsidR="00D426F9" w:rsidRPr="0078413A" w:rsidRDefault="00D426F9" w:rsidP="00D426F9">
      <w:pPr>
        <w:pStyle w:val="Tekstprzypisudolnego"/>
        <w:jc w:val="both"/>
      </w:pPr>
      <w:r w:rsidRPr="007841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8413A">
        <w:rPr>
          <w:rFonts w:ascii="Arial" w:hAnsi="Arial" w:cs="Arial"/>
          <w:sz w:val="16"/>
          <w:szCs w:val="16"/>
        </w:rPr>
        <w:t xml:space="preserve"> Należy wskazać liczbę dni. Przykładowo, w postępowaniach prowadzonych przez PKP PLK</w:t>
      </w:r>
      <w:r>
        <w:rPr>
          <w:rFonts w:ascii="Arial" w:hAnsi="Arial" w:cs="Arial"/>
          <w:sz w:val="16"/>
          <w:szCs w:val="16"/>
        </w:rPr>
        <w:t xml:space="preserve"> SA</w:t>
      </w:r>
      <w:r w:rsidRPr="0078413A">
        <w:rPr>
          <w:rFonts w:ascii="Arial" w:hAnsi="Arial" w:cs="Arial"/>
          <w:sz w:val="16"/>
          <w:szCs w:val="16"/>
        </w:rPr>
        <w:t>, w których wykorzystywana jest ta klauzula, wskazywane jest 30.</w:t>
      </w:r>
    </w:p>
  </w:footnote>
  <w:footnote w:id="28">
    <w:p w14:paraId="64E47CA6" w14:textId="77777777" w:rsidR="00D426F9" w:rsidRPr="0049196F" w:rsidRDefault="00D426F9" w:rsidP="00D426F9">
      <w:pPr>
        <w:pStyle w:val="Tekstprzypisudolnego"/>
        <w:rPr>
          <w:rFonts w:ascii="Arial" w:hAnsi="Arial" w:cs="Arial"/>
          <w:sz w:val="16"/>
          <w:szCs w:val="16"/>
        </w:rPr>
      </w:pPr>
      <w:r w:rsidRPr="004919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9196F">
        <w:rPr>
          <w:rFonts w:ascii="Arial" w:hAnsi="Arial" w:cs="Arial"/>
          <w:sz w:val="16"/>
          <w:szCs w:val="16"/>
        </w:rPr>
        <w:t xml:space="preserve"> </w:t>
      </w:r>
      <w:r w:rsidRPr="00570206">
        <w:rPr>
          <w:rFonts w:ascii="Arial" w:hAnsi="Arial" w:cs="Arial"/>
          <w:sz w:val="16"/>
          <w:szCs w:val="16"/>
        </w:rPr>
        <w:t>Należy wskazać liczbę dni. Przykładowo, w postępowaniach prowadzonych przez PKP PLK SA, w których wykorzystywana jest ta klauzula, wskazywane jest 30.</w:t>
      </w:r>
    </w:p>
  </w:footnote>
  <w:footnote w:id="29">
    <w:p w14:paraId="2C8EE338" w14:textId="69859750" w:rsidR="00D426F9" w:rsidRPr="00570206" w:rsidRDefault="00D426F9" w:rsidP="00D426F9">
      <w:pPr>
        <w:rPr>
          <w:rFonts w:ascii="Arial" w:hAnsi="Arial" w:cs="Arial"/>
          <w:sz w:val="16"/>
          <w:szCs w:val="16"/>
        </w:rPr>
      </w:pPr>
      <w:r w:rsidRPr="0057020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70206">
        <w:rPr>
          <w:rFonts w:ascii="Arial" w:hAnsi="Arial" w:cs="Arial"/>
          <w:sz w:val="16"/>
          <w:szCs w:val="16"/>
        </w:rPr>
        <w:t xml:space="preserve"> Współczynnik rozkładu ryzyk. Każdy zamawiający określa go samodzielnie, dobierając odpowiednią wartość dla danego stanu faktycznego. Przykładowo, PKP PLK S.A. w swoich klauzulach wskazuje wartość: 0,5 (50%</w:t>
      </w:r>
      <w:r w:rsidR="009F7501" w:rsidRPr="00570206">
        <w:rPr>
          <w:rFonts w:ascii="Arial" w:hAnsi="Arial" w:cs="Arial"/>
          <w:sz w:val="16"/>
          <w:szCs w:val="16"/>
        </w:rPr>
        <w:t>). Czyli</w:t>
      </w:r>
      <w:r w:rsidRPr="00570206">
        <w:rPr>
          <w:rFonts w:ascii="Arial" w:hAnsi="Arial" w:cs="Arial"/>
          <w:sz w:val="16"/>
          <w:szCs w:val="16"/>
        </w:rPr>
        <w:t xml:space="preserve"> ryzyko niemożliwego do przewidzenia wzrostu cen materiałów i kosztów niezbędnych do wykonania umowy jest równomierne rozłożone na obie strony.</w:t>
      </w:r>
    </w:p>
  </w:footnote>
  <w:footnote w:id="30">
    <w:p w14:paraId="00AF98F0" w14:textId="1E45B845" w:rsidR="00D426F9" w:rsidRPr="00570206" w:rsidRDefault="00D426F9" w:rsidP="00D426F9">
      <w:pPr>
        <w:pStyle w:val="Tekstprzypisudolnego"/>
        <w:rPr>
          <w:rFonts w:ascii="Arial" w:hAnsi="Arial" w:cs="Arial"/>
          <w:sz w:val="16"/>
          <w:szCs w:val="16"/>
        </w:rPr>
      </w:pPr>
      <w:r w:rsidRPr="0057020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70206">
        <w:rPr>
          <w:rFonts w:ascii="Arial" w:hAnsi="Arial" w:cs="Arial"/>
          <w:sz w:val="16"/>
          <w:szCs w:val="16"/>
        </w:rPr>
        <w:t xml:space="preserve"> Zamawiający wskazuje wartość. Musi być ona zgodna z ustalonym wcześniej współczynnikiem rozkładu ryzyk. Przykładowo, PKP PLK S.A. w swoich klauzulach wskazuje wartość: 0,5 (50%)</w:t>
      </w:r>
      <w:r w:rsidR="00ED39B5">
        <w:rPr>
          <w:rFonts w:ascii="Arial" w:hAnsi="Arial" w:cs="Arial"/>
          <w:sz w:val="16"/>
          <w:szCs w:val="16"/>
        </w:rPr>
        <w:t>.</w:t>
      </w:r>
    </w:p>
  </w:footnote>
  <w:footnote w:id="31">
    <w:p w14:paraId="6B8AEE80" w14:textId="77777777" w:rsidR="00D426F9" w:rsidRPr="008C01E4" w:rsidRDefault="00D426F9" w:rsidP="00D426F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7020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70206">
        <w:rPr>
          <w:rFonts w:ascii="Arial" w:hAnsi="Arial" w:cs="Arial"/>
          <w:sz w:val="16"/>
          <w:szCs w:val="16"/>
        </w:rPr>
        <w:t xml:space="preserve"> </w:t>
      </w:r>
      <w:bookmarkStart w:id="16" w:name="_Hlk106216560"/>
      <w:r w:rsidRPr="00570206">
        <w:rPr>
          <w:rFonts w:ascii="Arial" w:hAnsi="Arial" w:cs="Arial"/>
          <w:sz w:val="16"/>
          <w:szCs w:val="16"/>
        </w:rPr>
        <w:t xml:space="preserve">Przykładowy koszyk waloryzacyjny. Należy określić stosownie do rodzaju robót jakie ma wykonać wykonawca. </w:t>
      </w:r>
      <w:bookmarkEnd w:id="16"/>
      <w:r w:rsidRPr="00570206">
        <w:rPr>
          <w:rFonts w:ascii="Arial" w:hAnsi="Arial" w:cs="Arial"/>
          <w:sz w:val="16"/>
          <w:szCs w:val="16"/>
        </w:rPr>
        <w:t>Propozycje wskazywane w postępowaniach prowadzonych przez PKP PLK SA, w których wykorzystywana jest ta klauzula.</w:t>
      </w:r>
    </w:p>
  </w:footnote>
  <w:footnote w:id="32">
    <w:p w14:paraId="4BEC90FF" w14:textId="77777777" w:rsidR="00D426F9" w:rsidRPr="0049196F" w:rsidRDefault="00D426F9" w:rsidP="00D426F9">
      <w:pPr>
        <w:pStyle w:val="Tekstprzypisudolnego"/>
        <w:rPr>
          <w:rFonts w:ascii="Arial" w:hAnsi="Arial" w:cs="Arial"/>
          <w:sz w:val="16"/>
          <w:szCs w:val="16"/>
        </w:rPr>
      </w:pPr>
      <w:r w:rsidRPr="004919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9196F">
        <w:rPr>
          <w:rFonts w:ascii="Arial" w:hAnsi="Arial" w:cs="Arial"/>
          <w:sz w:val="16"/>
          <w:szCs w:val="16"/>
        </w:rPr>
        <w:t xml:space="preserve"> </w:t>
      </w:r>
      <w:r w:rsidRPr="00570206">
        <w:rPr>
          <w:rFonts w:ascii="Arial" w:hAnsi="Arial" w:cs="Arial"/>
          <w:sz w:val="16"/>
          <w:szCs w:val="16"/>
        </w:rPr>
        <w:t>Zamawiający samodzielnie określa wartość. Przykładowo, PKP PLK S.A.  w swoich klauzulach wskaźnik ten określa na: 15,0%. Suma wszystkich wartości musi wynosić tyle, co określony wcześniej współczynnik podziału ryzyk.</w:t>
      </w:r>
    </w:p>
  </w:footnote>
  <w:footnote w:id="33">
    <w:p w14:paraId="4D836C9D" w14:textId="77777777" w:rsidR="00D426F9" w:rsidRPr="0049196F" w:rsidRDefault="00D426F9" w:rsidP="00D426F9">
      <w:pPr>
        <w:pStyle w:val="Tekstprzypisudolnego"/>
        <w:rPr>
          <w:rFonts w:ascii="Arial" w:hAnsi="Arial" w:cs="Arial"/>
          <w:sz w:val="16"/>
          <w:szCs w:val="16"/>
        </w:rPr>
      </w:pPr>
      <w:r w:rsidRPr="004919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9196F">
        <w:rPr>
          <w:rFonts w:ascii="Arial" w:hAnsi="Arial" w:cs="Arial"/>
          <w:sz w:val="16"/>
          <w:szCs w:val="16"/>
        </w:rPr>
        <w:t xml:space="preserve"> </w:t>
      </w:r>
      <w:r w:rsidRPr="00570206">
        <w:rPr>
          <w:rFonts w:ascii="Arial" w:hAnsi="Arial" w:cs="Arial"/>
          <w:sz w:val="16"/>
          <w:szCs w:val="16"/>
        </w:rPr>
        <w:t>Zamawiający samodzielnie określa wartość. Przykładowo, PKP PLK S.A.  w swoich klauzulach wskaźnik ten określa na: 6,0%. Suma wszystkich wartości musi wynosić tyle, co określony wcześniej współczynnik podziału ryzyk.</w:t>
      </w:r>
    </w:p>
  </w:footnote>
  <w:footnote w:id="34">
    <w:p w14:paraId="45EAA50B" w14:textId="77777777" w:rsidR="00D426F9" w:rsidRPr="0049196F" w:rsidRDefault="00D426F9" w:rsidP="00D426F9">
      <w:pPr>
        <w:pStyle w:val="Tekstprzypisudolnego"/>
        <w:rPr>
          <w:rFonts w:ascii="Arial" w:hAnsi="Arial" w:cs="Arial"/>
          <w:sz w:val="16"/>
          <w:szCs w:val="16"/>
        </w:rPr>
      </w:pPr>
      <w:r w:rsidRPr="004919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9196F">
        <w:rPr>
          <w:rFonts w:ascii="Arial" w:hAnsi="Arial" w:cs="Arial"/>
          <w:sz w:val="16"/>
          <w:szCs w:val="16"/>
        </w:rPr>
        <w:t xml:space="preserve"> </w:t>
      </w:r>
      <w:r w:rsidRPr="00570206">
        <w:rPr>
          <w:rFonts w:ascii="Arial" w:hAnsi="Arial" w:cs="Arial"/>
          <w:sz w:val="16"/>
          <w:szCs w:val="16"/>
        </w:rPr>
        <w:t>Zamawiający samodzielnie określa wartość. Przykładowo, PKP PLK S.A.  w swoich klauzulach wskaźnik ten określa na: 4,0%. Suma wszystkich wartości musi wynosić tyle, co określony wcześniej współczynnik podziału ryzyk.</w:t>
      </w:r>
    </w:p>
  </w:footnote>
  <w:footnote w:id="35">
    <w:p w14:paraId="55CA60F3" w14:textId="77777777" w:rsidR="00D426F9" w:rsidRPr="0049196F" w:rsidRDefault="00D426F9" w:rsidP="00D426F9">
      <w:pPr>
        <w:pStyle w:val="Tekstprzypisudolnego"/>
        <w:rPr>
          <w:rFonts w:ascii="Arial" w:hAnsi="Arial" w:cs="Arial"/>
          <w:sz w:val="16"/>
          <w:szCs w:val="16"/>
        </w:rPr>
      </w:pPr>
      <w:r w:rsidRPr="004919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9196F">
        <w:rPr>
          <w:rFonts w:ascii="Arial" w:hAnsi="Arial" w:cs="Arial"/>
          <w:sz w:val="16"/>
          <w:szCs w:val="16"/>
        </w:rPr>
        <w:t xml:space="preserve"> </w:t>
      </w:r>
      <w:r w:rsidRPr="00570206">
        <w:rPr>
          <w:rFonts w:ascii="Arial" w:hAnsi="Arial" w:cs="Arial"/>
          <w:sz w:val="16"/>
          <w:szCs w:val="16"/>
        </w:rPr>
        <w:t>Zamawiający samodzielnie określa wartość. Przykładowo, PKP PLK S.A.  w swoich klauzulach wskaźnik ten określa na: 1,0%. Suma wszystkich wartości musi wynosić tyle, co określony wcześniej współczynnik podziału ryzyk.</w:t>
      </w:r>
    </w:p>
  </w:footnote>
  <w:footnote w:id="36">
    <w:p w14:paraId="4FF62ED5" w14:textId="77777777" w:rsidR="00D426F9" w:rsidRPr="0049196F" w:rsidRDefault="00D426F9" w:rsidP="00D426F9">
      <w:pPr>
        <w:pStyle w:val="Tekstprzypisudolnego"/>
        <w:rPr>
          <w:rFonts w:ascii="Arial" w:hAnsi="Arial" w:cs="Arial"/>
          <w:sz w:val="16"/>
          <w:szCs w:val="16"/>
        </w:rPr>
      </w:pPr>
      <w:r w:rsidRPr="004919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9196F">
        <w:rPr>
          <w:rFonts w:ascii="Arial" w:hAnsi="Arial" w:cs="Arial"/>
          <w:sz w:val="16"/>
          <w:szCs w:val="16"/>
        </w:rPr>
        <w:t xml:space="preserve"> </w:t>
      </w:r>
      <w:r w:rsidRPr="00570206">
        <w:rPr>
          <w:rFonts w:ascii="Arial" w:hAnsi="Arial" w:cs="Arial"/>
          <w:sz w:val="16"/>
          <w:szCs w:val="16"/>
        </w:rPr>
        <w:t>Zamawiający samodzielnie określa wartość. Przykładowo, PKP PLK S.A.  w swoich klauzulach wskaźnik ten określa na: 9,0%. Suma wszystkich wartości musi wynosić tyle, co określony wcześniej współczynnik podziału ryzyk.</w:t>
      </w:r>
    </w:p>
  </w:footnote>
  <w:footnote w:id="37">
    <w:p w14:paraId="326F7214" w14:textId="77777777" w:rsidR="00D426F9" w:rsidRPr="0049196F" w:rsidRDefault="00D426F9" w:rsidP="00D426F9">
      <w:pPr>
        <w:pStyle w:val="Tekstprzypisudolnego"/>
        <w:rPr>
          <w:rFonts w:ascii="Arial" w:hAnsi="Arial" w:cs="Arial"/>
          <w:sz w:val="16"/>
          <w:szCs w:val="16"/>
        </w:rPr>
      </w:pPr>
      <w:r w:rsidRPr="004919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9196F">
        <w:rPr>
          <w:rFonts w:ascii="Arial" w:hAnsi="Arial" w:cs="Arial"/>
          <w:sz w:val="16"/>
          <w:szCs w:val="16"/>
        </w:rPr>
        <w:t xml:space="preserve"> </w:t>
      </w:r>
      <w:r w:rsidRPr="00570206">
        <w:rPr>
          <w:rFonts w:ascii="Arial" w:hAnsi="Arial" w:cs="Arial"/>
          <w:sz w:val="16"/>
          <w:szCs w:val="16"/>
        </w:rPr>
        <w:t>Zamawiający samodzielnie określa wartość. Przykładowo, PKP PLK S.A.  w swoich klauzulach wskaźnik ten określa na: 13,0%. Suma wszystkich wartości musi wynosić tyle, co określony wcześniej współczynnik podziału ryzyk.</w:t>
      </w:r>
    </w:p>
  </w:footnote>
  <w:footnote w:id="38">
    <w:p w14:paraId="787834CA" w14:textId="77777777" w:rsidR="00D426F9" w:rsidRPr="0049196F" w:rsidRDefault="00D426F9" w:rsidP="00D426F9">
      <w:pPr>
        <w:pStyle w:val="Tekstprzypisudolnego"/>
        <w:rPr>
          <w:rFonts w:ascii="Arial" w:hAnsi="Arial" w:cs="Arial"/>
          <w:sz w:val="16"/>
          <w:szCs w:val="16"/>
        </w:rPr>
      </w:pPr>
      <w:r w:rsidRPr="004919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9196F">
        <w:rPr>
          <w:rFonts w:ascii="Arial" w:hAnsi="Arial" w:cs="Arial"/>
          <w:sz w:val="16"/>
          <w:szCs w:val="16"/>
        </w:rPr>
        <w:t xml:space="preserve"> </w:t>
      </w:r>
      <w:r w:rsidRPr="00570206">
        <w:rPr>
          <w:rFonts w:ascii="Arial" w:hAnsi="Arial" w:cs="Arial"/>
          <w:sz w:val="16"/>
          <w:szCs w:val="16"/>
        </w:rPr>
        <w:t>Zamawiający samodzielnie określa wartość. Przykładowo, PKP PLK S.A.  w swoich klauzulach wskaźnik ten określa na: 2,0%. Suma wszystkich wartości musi wynosić tyle, co określony wcześniej współczynnik podziału ryzyk.</w:t>
      </w:r>
    </w:p>
  </w:footnote>
  <w:footnote w:id="39">
    <w:p w14:paraId="368E2D2F" w14:textId="77777777" w:rsidR="00D426F9" w:rsidRDefault="00D426F9" w:rsidP="00D426F9">
      <w:pPr>
        <w:pStyle w:val="Tekstprzypisudolnego"/>
      </w:pPr>
      <w:r w:rsidRPr="004919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9196F">
        <w:rPr>
          <w:rFonts w:ascii="Arial" w:hAnsi="Arial" w:cs="Arial"/>
          <w:sz w:val="16"/>
          <w:szCs w:val="16"/>
        </w:rPr>
        <w:t xml:space="preserve"> </w:t>
      </w:r>
      <w:r w:rsidRPr="00570206">
        <w:rPr>
          <w:rFonts w:ascii="Arial" w:hAnsi="Arial" w:cs="Arial"/>
          <w:sz w:val="16"/>
          <w:szCs w:val="16"/>
        </w:rPr>
        <w:t>Zamawiający samodzielnie określa wartość. Jest to suma wszystkich ww. elementów wskazanych w koszyku waloryzacyjnym. Suma musi wynosić tyle, co określony wcześniej współczynnik podziału ryzyk. Przykładowo, PKP PLK S.A. w swoich klauzulach wskaźnik ten określa na: 50%.</w:t>
      </w:r>
    </w:p>
  </w:footnote>
  <w:footnote w:id="40">
    <w:p w14:paraId="07682B09" w14:textId="0311A52E" w:rsidR="00D426F9" w:rsidRPr="00F935FB" w:rsidRDefault="00D426F9" w:rsidP="00D426F9">
      <w:pPr>
        <w:pStyle w:val="Tekstprzypisudolnego"/>
        <w:rPr>
          <w:rFonts w:ascii="Arial" w:hAnsi="Arial" w:cs="Arial"/>
          <w:sz w:val="16"/>
          <w:szCs w:val="16"/>
        </w:rPr>
      </w:pPr>
      <w:r w:rsidRPr="005547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547EA">
        <w:rPr>
          <w:rFonts w:ascii="Arial" w:hAnsi="Arial" w:cs="Arial"/>
          <w:sz w:val="16"/>
          <w:szCs w:val="16"/>
        </w:rPr>
        <w:t xml:space="preserve"> Wartość przykładowa</w:t>
      </w:r>
      <w:r w:rsidR="00ED39B5">
        <w:rPr>
          <w:rFonts w:ascii="Arial" w:hAnsi="Arial" w:cs="Arial"/>
          <w:sz w:val="16"/>
          <w:szCs w:val="16"/>
        </w:rPr>
        <w:t>.</w:t>
      </w:r>
      <w:r w:rsidRPr="00F935FB">
        <w:rPr>
          <w:rFonts w:ascii="Arial" w:hAnsi="Arial" w:cs="Arial"/>
          <w:sz w:val="16"/>
          <w:szCs w:val="16"/>
        </w:rPr>
        <w:t xml:space="preserve"> </w:t>
      </w:r>
    </w:p>
  </w:footnote>
  <w:footnote w:id="41">
    <w:p w14:paraId="4247AC45" w14:textId="77777777" w:rsidR="00D426F9" w:rsidRPr="00570206" w:rsidRDefault="00D426F9" w:rsidP="00D426F9">
      <w:pPr>
        <w:pStyle w:val="Tekstprzypisudolnego"/>
        <w:rPr>
          <w:rFonts w:ascii="Arial" w:hAnsi="Arial" w:cs="Arial"/>
          <w:sz w:val="16"/>
          <w:szCs w:val="16"/>
        </w:rPr>
      </w:pPr>
      <w:r w:rsidRPr="0057020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70206">
        <w:rPr>
          <w:rFonts w:ascii="Arial" w:hAnsi="Arial" w:cs="Arial"/>
          <w:sz w:val="16"/>
          <w:szCs w:val="16"/>
        </w:rPr>
        <w:t xml:space="preserve"> Wskazać liczbę dni.</w:t>
      </w:r>
    </w:p>
  </w:footnote>
  <w:footnote w:id="42">
    <w:p w14:paraId="52A8AF27" w14:textId="77777777" w:rsidR="00D426F9" w:rsidRPr="00570206" w:rsidRDefault="00D426F9" w:rsidP="00D426F9">
      <w:pPr>
        <w:pStyle w:val="Tekstprzypisudolnego"/>
        <w:rPr>
          <w:rFonts w:ascii="Arial" w:hAnsi="Arial" w:cs="Arial"/>
          <w:sz w:val="16"/>
          <w:szCs w:val="16"/>
        </w:rPr>
      </w:pPr>
      <w:r w:rsidRPr="0057020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70206">
        <w:rPr>
          <w:rFonts w:ascii="Arial" w:hAnsi="Arial" w:cs="Arial"/>
          <w:sz w:val="16"/>
          <w:szCs w:val="16"/>
        </w:rPr>
        <w:t xml:space="preserve"> Zamawiający ustala samodzielnie, dostosowując do realiów stanu faktycznego i mechanizmu opisanego w klauzuli. Przykładowo, PKP PLK S.A. w swoich klauzulach wskazuje przedział: od 15% do 30%. </w:t>
      </w:r>
    </w:p>
  </w:footnote>
  <w:footnote w:id="43">
    <w:p w14:paraId="2C544E13" w14:textId="77777777" w:rsidR="00D426F9" w:rsidRPr="00570206" w:rsidRDefault="00D426F9" w:rsidP="00D426F9">
      <w:pPr>
        <w:pStyle w:val="Tekstprzypisudolnego"/>
        <w:rPr>
          <w:rFonts w:ascii="Arial" w:hAnsi="Arial" w:cs="Arial"/>
          <w:sz w:val="16"/>
          <w:szCs w:val="16"/>
        </w:rPr>
      </w:pPr>
      <w:r w:rsidRPr="004919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9196F">
        <w:rPr>
          <w:rFonts w:ascii="Arial" w:hAnsi="Arial" w:cs="Arial"/>
          <w:sz w:val="16"/>
          <w:szCs w:val="16"/>
        </w:rPr>
        <w:t xml:space="preserve"> </w:t>
      </w:r>
      <w:r w:rsidRPr="00570206">
        <w:rPr>
          <w:rFonts w:ascii="Arial" w:hAnsi="Arial" w:cs="Arial"/>
          <w:sz w:val="16"/>
          <w:szCs w:val="16"/>
        </w:rPr>
        <w:t>Zamawiający ustala samodzielnie, dostosowując do realiów stanu faktycznego i mechanizmu opisanego w klauzuli. Przykładowo, PKP PLK S.A. w swoich klauzulach wskazuje przedział: od 1% do 20%.</w:t>
      </w:r>
    </w:p>
  </w:footnote>
  <w:footnote w:id="44">
    <w:p w14:paraId="3943FFC0" w14:textId="77777777" w:rsidR="00D426F9" w:rsidRPr="0049196F" w:rsidRDefault="00D426F9" w:rsidP="00D426F9">
      <w:pPr>
        <w:pStyle w:val="Tekstprzypisudolnego"/>
        <w:rPr>
          <w:rFonts w:ascii="Arial" w:hAnsi="Arial" w:cs="Arial"/>
          <w:sz w:val="16"/>
          <w:szCs w:val="16"/>
        </w:rPr>
      </w:pPr>
      <w:r w:rsidRPr="0057020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70206">
        <w:rPr>
          <w:rFonts w:ascii="Arial" w:hAnsi="Arial" w:cs="Arial"/>
          <w:sz w:val="16"/>
          <w:szCs w:val="16"/>
        </w:rPr>
        <w:t xml:space="preserve"> Należy dostosować do przyjętej wartości w zakresie rozkładu ryzyk. Przykładowo, PKP PLK S.A. w swoich klauzulach wskazuje wartość: 50%.</w:t>
      </w:r>
    </w:p>
  </w:footnote>
  <w:footnote w:id="45">
    <w:p w14:paraId="00B74238" w14:textId="05017DAE" w:rsidR="00D426F9" w:rsidRPr="005547EA" w:rsidRDefault="00D426F9" w:rsidP="00D426F9">
      <w:pPr>
        <w:pStyle w:val="Tekstprzypisudolnego"/>
        <w:rPr>
          <w:rFonts w:ascii="Arial" w:hAnsi="Arial" w:cs="Arial"/>
          <w:sz w:val="16"/>
          <w:szCs w:val="16"/>
        </w:rPr>
      </w:pPr>
      <w:r w:rsidRPr="0057020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70206">
        <w:rPr>
          <w:rFonts w:ascii="Arial" w:hAnsi="Arial" w:cs="Arial"/>
          <w:sz w:val="16"/>
          <w:szCs w:val="16"/>
        </w:rPr>
        <w:t xml:space="preserve"> Wskaźnik poziomu rozkładu ryzyk. Należy dostosować do wcześniej ustalonego wskaźnika. Przykładowo, PKP PLK S.A. w swoich klauzulach wskazuje wartość:0,5 </w:t>
      </w:r>
      <w:r w:rsidR="009F7501" w:rsidRPr="00570206">
        <w:rPr>
          <w:rFonts w:ascii="Arial" w:hAnsi="Arial" w:cs="Arial"/>
          <w:sz w:val="16"/>
          <w:szCs w:val="16"/>
        </w:rPr>
        <w:t>(50</w:t>
      </w:r>
      <w:r w:rsidRPr="00570206">
        <w:rPr>
          <w:rFonts w:ascii="Arial" w:hAnsi="Arial" w:cs="Arial"/>
          <w:sz w:val="16"/>
          <w:szCs w:val="16"/>
        </w:rPr>
        <w:t>%)</w:t>
      </w:r>
      <w:r w:rsidR="00ED39B5">
        <w:rPr>
          <w:rFonts w:ascii="Arial" w:hAnsi="Arial" w:cs="Arial"/>
          <w:sz w:val="16"/>
          <w:szCs w:val="16"/>
        </w:rPr>
        <w:t>.</w:t>
      </w:r>
    </w:p>
  </w:footnote>
  <w:footnote w:id="46">
    <w:p w14:paraId="11740D2D" w14:textId="32702E26" w:rsidR="00D426F9" w:rsidRPr="0049196F" w:rsidRDefault="00D426F9" w:rsidP="00D426F9">
      <w:pPr>
        <w:pStyle w:val="Tekstprzypisudolnego"/>
        <w:rPr>
          <w:rFonts w:ascii="Arial" w:hAnsi="Arial" w:cs="Arial"/>
          <w:sz w:val="16"/>
          <w:szCs w:val="16"/>
        </w:rPr>
      </w:pPr>
      <w:r w:rsidRPr="004919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9196F">
        <w:rPr>
          <w:rFonts w:ascii="Arial" w:hAnsi="Arial" w:cs="Arial"/>
          <w:sz w:val="16"/>
          <w:szCs w:val="16"/>
        </w:rPr>
        <w:t xml:space="preserve"> </w:t>
      </w:r>
      <w:r w:rsidRPr="00570206">
        <w:rPr>
          <w:rFonts w:ascii="Arial" w:hAnsi="Arial" w:cs="Arial"/>
          <w:sz w:val="16"/>
          <w:szCs w:val="16"/>
        </w:rPr>
        <w:t xml:space="preserve">Wskaźnik poziomu rozkładu ryzyk. Należy dostosować do wcześniej ustalonego wskaźnika. Przykładowo, PKP PLK S.A. w swoich klauzulach wskazuje wartość:0,5 </w:t>
      </w:r>
      <w:r w:rsidR="009F7501" w:rsidRPr="00570206">
        <w:rPr>
          <w:rFonts w:ascii="Arial" w:hAnsi="Arial" w:cs="Arial"/>
          <w:sz w:val="16"/>
          <w:szCs w:val="16"/>
        </w:rPr>
        <w:t>(50</w:t>
      </w:r>
      <w:r w:rsidRPr="00570206">
        <w:rPr>
          <w:rFonts w:ascii="Arial" w:hAnsi="Arial" w:cs="Arial"/>
          <w:sz w:val="16"/>
          <w:szCs w:val="16"/>
        </w:rPr>
        <w:t>%)</w:t>
      </w:r>
      <w:r w:rsidR="00ED39B5">
        <w:rPr>
          <w:rFonts w:ascii="Arial" w:hAnsi="Arial" w:cs="Arial"/>
          <w:sz w:val="16"/>
          <w:szCs w:val="16"/>
        </w:rPr>
        <w:t>.</w:t>
      </w:r>
    </w:p>
  </w:footnote>
  <w:footnote w:id="47">
    <w:p w14:paraId="2C2A3EFB" w14:textId="77777777" w:rsidR="00D426F9" w:rsidRPr="00570206" w:rsidRDefault="00D426F9" w:rsidP="00D426F9">
      <w:pPr>
        <w:pStyle w:val="Tekstprzypisudolnego"/>
        <w:rPr>
          <w:rFonts w:ascii="Arial" w:hAnsi="Arial" w:cs="Arial"/>
          <w:sz w:val="16"/>
          <w:szCs w:val="16"/>
        </w:rPr>
      </w:pPr>
      <w:r w:rsidRPr="0057020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70206">
        <w:rPr>
          <w:rFonts w:ascii="Arial" w:hAnsi="Arial" w:cs="Arial"/>
          <w:sz w:val="16"/>
          <w:szCs w:val="16"/>
        </w:rPr>
        <w:t xml:space="preserve"> Należy wskazać liczbę miesięcy. Przykładowo, w postępowaniach prowadzonych przez PKP PLK SA, w których wykorzystywana jest ta klauzula, wskazywana jest liczba 7 miesięcy. </w:t>
      </w:r>
    </w:p>
  </w:footnote>
  <w:footnote w:id="48">
    <w:p w14:paraId="6BBEFB09" w14:textId="2C59EDF3" w:rsidR="00D426F9" w:rsidRPr="00570206" w:rsidRDefault="00D426F9" w:rsidP="00D426F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919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9196F">
        <w:rPr>
          <w:rFonts w:ascii="Arial" w:hAnsi="Arial" w:cs="Arial"/>
          <w:sz w:val="16"/>
          <w:szCs w:val="16"/>
        </w:rPr>
        <w:t xml:space="preserve"> </w:t>
      </w:r>
      <w:r w:rsidRPr="00570206">
        <w:rPr>
          <w:rFonts w:ascii="Arial" w:hAnsi="Arial" w:cs="Arial"/>
          <w:sz w:val="16"/>
          <w:szCs w:val="16"/>
        </w:rPr>
        <w:t xml:space="preserve">Należy wskazać liczbę. Przykładowo, w postępowaniach prowadzonych przez PKP PLK SA, w których wykorzystywana jest ta klauzula, wskazywana jest wartość </w:t>
      </w:r>
      <w:r w:rsidR="009F7501" w:rsidRPr="00570206">
        <w:rPr>
          <w:rFonts w:ascii="Arial" w:hAnsi="Arial" w:cs="Arial"/>
          <w:sz w:val="16"/>
          <w:szCs w:val="16"/>
        </w:rPr>
        <w:t>10 %</w:t>
      </w:r>
      <w:r w:rsidRPr="00570206">
        <w:rPr>
          <w:rFonts w:ascii="Arial" w:hAnsi="Arial" w:cs="Arial"/>
          <w:sz w:val="16"/>
          <w:szCs w:val="16"/>
        </w:rPr>
        <w:t>.</w:t>
      </w:r>
    </w:p>
    <w:p w14:paraId="18B17448" w14:textId="77777777" w:rsidR="00D426F9" w:rsidRDefault="00D426F9" w:rsidP="00D426F9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D354B"/>
    <w:multiLevelType w:val="hybridMultilevel"/>
    <w:tmpl w:val="9C142C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394E"/>
    <w:multiLevelType w:val="hybridMultilevel"/>
    <w:tmpl w:val="656E85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07D89"/>
    <w:multiLevelType w:val="hybridMultilevel"/>
    <w:tmpl w:val="656E85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85E62"/>
    <w:multiLevelType w:val="hybridMultilevel"/>
    <w:tmpl w:val="1E46E5B4"/>
    <w:lvl w:ilvl="0" w:tplc="24A8C786">
      <w:start w:val="1"/>
      <w:numFmt w:val="lowerRoman"/>
      <w:lvlText w:val="(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C220F"/>
    <w:multiLevelType w:val="hybridMultilevel"/>
    <w:tmpl w:val="4E7EB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D129D"/>
    <w:multiLevelType w:val="hybridMultilevel"/>
    <w:tmpl w:val="138073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A64D31"/>
    <w:multiLevelType w:val="hybridMultilevel"/>
    <w:tmpl w:val="F684C5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4516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25453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6142152">
    <w:abstractNumId w:val="5"/>
  </w:num>
  <w:num w:numId="4" w16cid:durableId="770860303">
    <w:abstractNumId w:val="0"/>
  </w:num>
  <w:num w:numId="5" w16cid:durableId="985742334">
    <w:abstractNumId w:val="4"/>
  </w:num>
  <w:num w:numId="6" w16cid:durableId="1405376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16090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A44"/>
    <w:rsid w:val="000105B7"/>
    <w:rsid w:val="000171AB"/>
    <w:rsid w:val="000339A2"/>
    <w:rsid w:val="00037153"/>
    <w:rsid w:val="00050FE7"/>
    <w:rsid w:val="000575D5"/>
    <w:rsid w:val="00095703"/>
    <w:rsid w:val="00096868"/>
    <w:rsid w:val="000B0421"/>
    <w:rsid w:val="000B79F9"/>
    <w:rsid w:val="000C0931"/>
    <w:rsid w:val="000C2D20"/>
    <w:rsid w:val="000E3665"/>
    <w:rsid w:val="00101E26"/>
    <w:rsid w:val="001104A9"/>
    <w:rsid w:val="0015098E"/>
    <w:rsid w:val="00161E3E"/>
    <w:rsid w:val="00164738"/>
    <w:rsid w:val="00174E7B"/>
    <w:rsid w:val="00196339"/>
    <w:rsid w:val="001C40B2"/>
    <w:rsid w:val="001F0921"/>
    <w:rsid w:val="001F2960"/>
    <w:rsid w:val="00220069"/>
    <w:rsid w:val="00267BD6"/>
    <w:rsid w:val="00282890"/>
    <w:rsid w:val="00285977"/>
    <w:rsid w:val="002B27F2"/>
    <w:rsid w:val="002C1B6D"/>
    <w:rsid w:val="002D6B4F"/>
    <w:rsid w:val="002E0BEB"/>
    <w:rsid w:val="002E50DD"/>
    <w:rsid w:val="002E5BE6"/>
    <w:rsid w:val="002F7081"/>
    <w:rsid w:val="00380A6D"/>
    <w:rsid w:val="0038470E"/>
    <w:rsid w:val="0039301A"/>
    <w:rsid w:val="003A34AD"/>
    <w:rsid w:val="003A7F1A"/>
    <w:rsid w:val="003D7E20"/>
    <w:rsid w:val="003F6FC4"/>
    <w:rsid w:val="0040668E"/>
    <w:rsid w:val="004158A8"/>
    <w:rsid w:val="0041792F"/>
    <w:rsid w:val="004466FE"/>
    <w:rsid w:val="004546C4"/>
    <w:rsid w:val="00456740"/>
    <w:rsid w:val="00480E89"/>
    <w:rsid w:val="0049196F"/>
    <w:rsid w:val="004B525E"/>
    <w:rsid w:val="004C7DE8"/>
    <w:rsid w:val="004D6534"/>
    <w:rsid w:val="004E534E"/>
    <w:rsid w:val="004F10D0"/>
    <w:rsid w:val="004F3D63"/>
    <w:rsid w:val="00552E33"/>
    <w:rsid w:val="00553794"/>
    <w:rsid w:val="0056146F"/>
    <w:rsid w:val="00563BD8"/>
    <w:rsid w:val="00570206"/>
    <w:rsid w:val="00571E9D"/>
    <w:rsid w:val="0057440C"/>
    <w:rsid w:val="0058147F"/>
    <w:rsid w:val="005865D4"/>
    <w:rsid w:val="005A3AEE"/>
    <w:rsid w:val="005C7A15"/>
    <w:rsid w:val="005D7C41"/>
    <w:rsid w:val="005E2FD2"/>
    <w:rsid w:val="005F0DB0"/>
    <w:rsid w:val="00600BA6"/>
    <w:rsid w:val="00613EE5"/>
    <w:rsid w:val="0061498F"/>
    <w:rsid w:val="00624D60"/>
    <w:rsid w:val="006477A0"/>
    <w:rsid w:val="00651964"/>
    <w:rsid w:val="006612EE"/>
    <w:rsid w:val="006B3649"/>
    <w:rsid w:val="006B75D1"/>
    <w:rsid w:val="006D57F3"/>
    <w:rsid w:val="00721BA3"/>
    <w:rsid w:val="0072711E"/>
    <w:rsid w:val="00740A50"/>
    <w:rsid w:val="00772563"/>
    <w:rsid w:val="00773DAD"/>
    <w:rsid w:val="0079331B"/>
    <w:rsid w:val="007A5BAC"/>
    <w:rsid w:val="007C0850"/>
    <w:rsid w:val="007C35D4"/>
    <w:rsid w:val="007E1BD9"/>
    <w:rsid w:val="008040DB"/>
    <w:rsid w:val="00810AB0"/>
    <w:rsid w:val="00811B03"/>
    <w:rsid w:val="0084155A"/>
    <w:rsid w:val="00844C7D"/>
    <w:rsid w:val="008576E9"/>
    <w:rsid w:val="00872614"/>
    <w:rsid w:val="00872A6E"/>
    <w:rsid w:val="00884406"/>
    <w:rsid w:val="00894A44"/>
    <w:rsid w:val="008A57AA"/>
    <w:rsid w:val="008E0A8E"/>
    <w:rsid w:val="008F31AA"/>
    <w:rsid w:val="009079BF"/>
    <w:rsid w:val="00917C09"/>
    <w:rsid w:val="009653A8"/>
    <w:rsid w:val="00970BAC"/>
    <w:rsid w:val="00976292"/>
    <w:rsid w:val="009D131A"/>
    <w:rsid w:val="009F7501"/>
    <w:rsid w:val="00A25E0B"/>
    <w:rsid w:val="00AA3CE0"/>
    <w:rsid w:val="00AA7DF0"/>
    <w:rsid w:val="00AB70E3"/>
    <w:rsid w:val="00AD6B40"/>
    <w:rsid w:val="00AF1182"/>
    <w:rsid w:val="00AF12D9"/>
    <w:rsid w:val="00B1305F"/>
    <w:rsid w:val="00B31549"/>
    <w:rsid w:val="00B66322"/>
    <w:rsid w:val="00BA3CDE"/>
    <w:rsid w:val="00BB0330"/>
    <w:rsid w:val="00BB3911"/>
    <w:rsid w:val="00BC4F70"/>
    <w:rsid w:val="00BD5DF5"/>
    <w:rsid w:val="00C01DDA"/>
    <w:rsid w:val="00C12092"/>
    <w:rsid w:val="00C63399"/>
    <w:rsid w:val="00CC6EE4"/>
    <w:rsid w:val="00CD7161"/>
    <w:rsid w:val="00CF75BA"/>
    <w:rsid w:val="00D2620E"/>
    <w:rsid w:val="00D426F9"/>
    <w:rsid w:val="00D50D45"/>
    <w:rsid w:val="00D54C36"/>
    <w:rsid w:val="00D868E6"/>
    <w:rsid w:val="00D94180"/>
    <w:rsid w:val="00DA6731"/>
    <w:rsid w:val="00DB3E80"/>
    <w:rsid w:val="00DC5881"/>
    <w:rsid w:val="00E671E5"/>
    <w:rsid w:val="00E71C3B"/>
    <w:rsid w:val="00E72CA4"/>
    <w:rsid w:val="00EA5789"/>
    <w:rsid w:val="00EA620E"/>
    <w:rsid w:val="00EB411A"/>
    <w:rsid w:val="00ED032E"/>
    <w:rsid w:val="00ED39B5"/>
    <w:rsid w:val="00F00D9C"/>
    <w:rsid w:val="00F10F63"/>
    <w:rsid w:val="00F15EEE"/>
    <w:rsid w:val="00F43E1F"/>
    <w:rsid w:val="00F71364"/>
    <w:rsid w:val="00F7235C"/>
    <w:rsid w:val="00F80139"/>
    <w:rsid w:val="00FE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9656A"/>
  <w15:chartTrackingRefBased/>
  <w15:docId w15:val="{47BF4934-CD2C-4E8C-A286-E5808B876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894A44"/>
    <w:pPr>
      <w:spacing w:before="120" w:after="120" w:line="240" w:lineRule="auto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94A44"/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4A4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4A4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4A44"/>
    <w:rPr>
      <w:vertAlign w:val="superscript"/>
    </w:rPr>
  </w:style>
  <w:style w:type="paragraph" w:customStyle="1" w:styleId="numerowanie">
    <w:name w:val="numerowanie"/>
    <w:basedOn w:val="Normalny"/>
    <w:rsid w:val="00894A44"/>
    <w:pPr>
      <w:spacing w:after="0" w:line="240" w:lineRule="auto"/>
      <w:jc w:val="both"/>
    </w:pPr>
    <w:rPr>
      <w:rFonts w:ascii="Arial" w:hAnsi="Arial" w:cs="Arial"/>
      <w:spacing w:val="4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94A44"/>
    <w:rPr>
      <w:color w:val="0563C1" w:themeColor="hyperlink"/>
      <w:u w:val="single"/>
    </w:rPr>
  </w:style>
  <w:style w:type="character" w:customStyle="1" w:styleId="TeksttreciKursywa">
    <w:name w:val="Tekst treści + Kursywa"/>
    <w:basedOn w:val="Domylnaczcionkaakapitu"/>
    <w:rsid w:val="00894A44"/>
    <w:rPr>
      <w:rFonts w:ascii="Arial" w:hAnsi="Arial" w:cs="Arial" w:hint="default"/>
      <w:b w:val="0"/>
      <w:bCs w:val="0"/>
      <w:i/>
      <w:iCs/>
      <w:smallCaps w:val="0"/>
      <w:strike w:val="0"/>
      <w:dstrike w:val="0"/>
      <w:color w:val="000000"/>
      <w:spacing w:val="0"/>
      <w:position w:val="0"/>
      <w:u w:val="none"/>
      <w:effect w:val="non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2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26F9"/>
    <w:rPr>
      <w:sz w:val="20"/>
      <w:szCs w:val="20"/>
    </w:rPr>
  </w:style>
  <w:style w:type="paragraph" w:customStyle="1" w:styleId="Default">
    <w:name w:val="Default"/>
    <w:rsid w:val="00D42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26F9"/>
    <w:rPr>
      <w:sz w:val="16"/>
      <w:szCs w:val="16"/>
    </w:rPr>
  </w:style>
  <w:style w:type="table" w:styleId="Tabela-Siatka">
    <w:name w:val="Table Grid"/>
    <w:basedOn w:val="Standardowy"/>
    <w:uiPriority w:val="39"/>
    <w:rsid w:val="00D426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AF12D9"/>
    <w:rPr>
      <w:color w:val="808080"/>
    </w:rPr>
  </w:style>
  <w:style w:type="paragraph" w:styleId="Poprawka">
    <w:name w:val="Revision"/>
    <w:hidden/>
    <w:uiPriority w:val="99"/>
    <w:semiHidden/>
    <w:rsid w:val="00EA5789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30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305F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B7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9F9"/>
  </w:style>
  <w:style w:type="paragraph" w:styleId="Stopka">
    <w:name w:val="footer"/>
    <w:basedOn w:val="Normalny"/>
    <w:link w:val="StopkaZnak"/>
    <w:uiPriority w:val="99"/>
    <w:unhideWhenUsed/>
    <w:rsid w:val="000B7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9F9"/>
  </w:style>
  <w:style w:type="character" w:customStyle="1" w:styleId="cf01">
    <w:name w:val="cf01"/>
    <w:basedOn w:val="Domylnaczcionkaakapitu"/>
    <w:rsid w:val="00811B03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19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waid.stat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waid.stat.gov.pl/Ceny_dashboards/Raporty_predefiniowane/RAP_DBD_CEN_30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qmbwheyd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19586-1F13-45AE-B13E-F5EFDB8A7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24</Pages>
  <Words>6290</Words>
  <Characters>37740</Characters>
  <Application>Microsoft Office Word</Application>
  <DocSecurity>0</DocSecurity>
  <Lines>314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Trybusz Michał</dc:creator>
  <cp:keywords/>
  <dc:description/>
  <cp:lastModifiedBy>Trybusz Michał</cp:lastModifiedBy>
  <cp:revision>2</cp:revision>
  <cp:lastPrinted>2022-11-30T06:44:00Z</cp:lastPrinted>
  <dcterms:created xsi:type="dcterms:W3CDTF">2022-11-30T13:16:00Z</dcterms:created>
  <dcterms:modified xsi:type="dcterms:W3CDTF">2022-11-30T13:16:00Z</dcterms:modified>
</cp:coreProperties>
</file>