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A4DA" w14:textId="30568040" w:rsidR="00810BBC" w:rsidRDefault="00810BBC" w:rsidP="009D3923">
      <w:pPr>
        <w:pStyle w:val="Nagwekspisutreci"/>
        <w:jc w:val="center"/>
        <w:rPr>
          <w:b/>
          <w:bCs/>
          <w:color w:val="auto"/>
        </w:rPr>
      </w:pPr>
      <w:r w:rsidRPr="009D3923">
        <w:rPr>
          <w:b/>
          <w:bCs/>
          <w:color w:val="auto"/>
        </w:rPr>
        <w:t>Kierunki proponowanych zmian we wdrażaniu programu „Czyste Powietrze”</w:t>
      </w:r>
    </w:p>
    <w:p w14:paraId="31055800" w14:textId="77777777" w:rsidR="007479C8" w:rsidRPr="007479C8" w:rsidRDefault="007479C8" w:rsidP="007479C8">
      <w:pPr>
        <w:rPr>
          <w:lang w:eastAsia="pl-PL"/>
        </w:rPr>
      </w:pPr>
    </w:p>
    <w:sdt>
      <w:sdtPr>
        <w:rPr>
          <w:rFonts w:ascii="Open Sans" w:eastAsiaTheme="minorHAnsi" w:hAnsi="Open Sans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757172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771D584" w14:textId="69CAA6D2" w:rsidR="00974143" w:rsidRDefault="00974143">
          <w:pPr>
            <w:pStyle w:val="Nagwekspisutreci"/>
          </w:pPr>
          <w:r>
            <w:t>Spis treści</w:t>
          </w:r>
        </w:p>
        <w:p w14:paraId="40B6D5F0" w14:textId="0C8CF256" w:rsidR="002074A2" w:rsidRDefault="00974143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131003" w:history="1">
            <w:r w:rsidR="002074A2" w:rsidRPr="00795559">
              <w:rPr>
                <w:rStyle w:val="Hipercze"/>
                <w:b/>
                <w:bCs/>
                <w:noProof/>
              </w:rPr>
              <w:t>1</w:t>
            </w:r>
            <w:r w:rsidR="002074A2"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="002074A2" w:rsidRPr="00795559">
              <w:rPr>
                <w:rStyle w:val="Hipercze"/>
                <w:b/>
                <w:bCs/>
                <w:noProof/>
              </w:rPr>
              <w:t>Zmiany w zakresie wymogów wejścia do programu</w:t>
            </w:r>
            <w:r w:rsidR="002074A2">
              <w:rPr>
                <w:noProof/>
                <w:webHidden/>
              </w:rPr>
              <w:tab/>
            </w:r>
            <w:r w:rsidR="002074A2">
              <w:rPr>
                <w:noProof/>
                <w:webHidden/>
              </w:rPr>
              <w:fldChar w:fldCharType="begin"/>
            </w:r>
            <w:r w:rsidR="002074A2">
              <w:rPr>
                <w:noProof/>
                <w:webHidden/>
              </w:rPr>
              <w:instrText xml:space="preserve"> PAGEREF _Toc222131003 \h </w:instrText>
            </w:r>
            <w:r w:rsidR="002074A2">
              <w:rPr>
                <w:noProof/>
                <w:webHidden/>
              </w:rPr>
            </w:r>
            <w:r w:rsidR="002074A2">
              <w:rPr>
                <w:noProof/>
                <w:webHidden/>
              </w:rPr>
              <w:fldChar w:fldCharType="separate"/>
            </w:r>
            <w:r w:rsidR="002074A2">
              <w:rPr>
                <w:noProof/>
                <w:webHidden/>
              </w:rPr>
              <w:t>2</w:t>
            </w:r>
            <w:r w:rsidR="002074A2">
              <w:rPr>
                <w:noProof/>
                <w:webHidden/>
              </w:rPr>
              <w:fldChar w:fldCharType="end"/>
            </w:r>
          </w:hyperlink>
        </w:p>
        <w:p w14:paraId="413A3CD1" w14:textId="37736E3D" w:rsidR="002074A2" w:rsidRDefault="002074A2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22131004" w:history="1">
            <w:r w:rsidRPr="00795559">
              <w:rPr>
                <w:rStyle w:val="Hipercze"/>
                <w:b/>
                <w:bCs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795559">
              <w:rPr>
                <w:rStyle w:val="Hipercze"/>
                <w:noProof/>
              </w:rPr>
              <w:t>Wprowadzanie dodatkowych odstępstw od wymogu 3 lat własności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_Toc222131004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BF597" w14:textId="0746C037" w:rsidR="002074A2" w:rsidRDefault="002074A2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22131005" w:history="1">
            <w:r w:rsidRPr="00795559">
              <w:rPr>
                <w:rStyle w:val="Hipercze"/>
                <w:b/>
                <w:bCs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795559">
              <w:rPr>
                <w:rStyle w:val="Hipercze"/>
                <w:noProof/>
              </w:rPr>
              <w:t>Dodatkowy wymóg dla beneficjenta w zakresie własności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_Toc222131005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98FA1" w14:textId="3FA468FD" w:rsidR="002074A2" w:rsidRDefault="002074A2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22131006" w:history="1">
            <w:r w:rsidRPr="00795559">
              <w:rPr>
                <w:rStyle w:val="Hipercze"/>
                <w:b/>
                <w:bCs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795559">
              <w:rPr>
                <w:rStyle w:val="Hipercze"/>
                <w:b/>
                <w:bCs/>
                <w:noProof/>
              </w:rPr>
              <w:t>Wprowadzenie dodatkowego rodzaju przedsięwzięcia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_Toc222131006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17CB02" w14:textId="737EB80B" w:rsidR="002074A2" w:rsidRDefault="002074A2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22131007" w:history="1">
            <w:r w:rsidRPr="00795559">
              <w:rPr>
                <w:rStyle w:val="Hipercze"/>
                <w:b/>
                <w:bCs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795559">
              <w:rPr>
                <w:rStyle w:val="Hipercze"/>
                <w:b/>
                <w:bCs/>
                <w:noProof/>
              </w:rPr>
              <w:t>Wprowadzenie odrębnej od programu możliwości finansowania audytu energetycznego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_Toc222131007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3FC6B" w14:textId="1FE881B5" w:rsidR="002074A2" w:rsidRDefault="002074A2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22131008" w:history="1">
            <w:r w:rsidRPr="00795559">
              <w:rPr>
                <w:rStyle w:val="Hipercze"/>
                <w:b/>
                <w:bCs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795559">
              <w:rPr>
                <w:rStyle w:val="Hipercze"/>
                <w:b/>
                <w:bCs/>
                <w:noProof/>
              </w:rPr>
              <w:t>Uproszczenia związane ze składaniem wniosków i rozliczaniem przedsięwzięcia w programie.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_Toc222131008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878171" w14:textId="5994CBF8" w:rsidR="002074A2" w:rsidRDefault="002074A2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22131009" w:history="1">
            <w:r w:rsidRPr="00795559">
              <w:rPr>
                <w:rStyle w:val="Hipercze"/>
                <w:b/>
                <w:bCs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795559">
              <w:rPr>
                <w:rStyle w:val="Hipercze"/>
                <w:noProof/>
              </w:rPr>
              <w:t>Wypełnianie wniosków dla najwyższego poziomu dofinansowania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_Toc222131009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DAD89" w14:textId="105D1B85" w:rsidR="002074A2" w:rsidRDefault="002074A2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22131010" w:history="1">
            <w:r w:rsidRPr="00795559">
              <w:rPr>
                <w:rStyle w:val="Hipercze"/>
                <w:b/>
                <w:bCs/>
                <w:noProof/>
              </w:rPr>
              <w:t>4.2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795559">
              <w:rPr>
                <w:rStyle w:val="Hipercze"/>
                <w:noProof/>
              </w:rPr>
              <w:t>Wydłużenie czasu na rozliczenie zaliczki z 120 do 180 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_Toc222131010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772062" w14:textId="0C61A5FA" w:rsidR="002074A2" w:rsidRDefault="002074A2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22131011" w:history="1">
            <w:r w:rsidRPr="00795559">
              <w:rPr>
                <w:rStyle w:val="Hipercze"/>
                <w:b/>
                <w:bCs/>
                <w:noProof/>
              </w:rPr>
              <w:t>4.3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795559">
              <w:rPr>
                <w:rStyle w:val="Hipercze"/>
                <w:noProof/>
              </w:rPr>
              <w:t>Ujednolicenie wytycznych oraz zasad rozpatrywania 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_Toc222131011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2319C" w14:textId="5A539568" w:rsidR="002074A2" w:rsidRDefault="002074A2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22131012" w:history="1">
            <w:r w:rsidRPr="00795559">
              <w:rPr>
                <w:rStyle w:val="Hipercze"/>
                <w:b/>
                <w:bCs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795559">
              <w:rPr>
                <w:rStyle w:val="Hipercze"/>
                <w:b/>
                <w:bCs/>
                <w:noProof/>
              </w:rPr>
              <w:t>Zabezpieczenie prefinansowania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_Toc222131012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5F7A0" w14:textId="7C3A2B66" w:rsidR="002074A2" w:rsidRDefault="002074A2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22131013" w:history="1">
            <w:r w:rsidRPr="00795559">
              <w:rPr>
                <w:rStyle w:val="Hipercze"/>
                <w:b/>
                <w:bCs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795559">
              <w:rPr>
                <w:rStyle w:val="Hipercze"/>
                <w:b/>
                <w:bCs/>
                <w:noProof/>
              </w:rPr>
              <w:t>Lista wykonawców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_Toc222131013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999AD" w14:textId="380E18C1" w:rsidR="002074A2" w:rsidRDefault="002074A2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22131014" w:history="1">
            <w:r w:rsidRPr="00795559">
              <w:rPr>
                <w:rStyle w:val="Hipercze"/>
                <w:b/>
                <w:bCs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795559">
              <w:rPr>
                <w:rStyle w:val="Hipercze"/>
                <w:b/>
                <w:bCs/>
                <w:noProof/>
              </w:rPr>
              <w:t>Zmiany w zakresie urządzeń grzewczych objętych dofinansowaniem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_Toc222131014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978E8" w14:textId="00536095" w:rsidR="002074A2" w:rsidRDefault="002074A2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22131015" w:history="1">
            <w:r w:rsidRPr="00795559">
              <w:rPr>
                <w:rStyle w:val="Hipercze"/>
                <w:b/>
                <w:bCs/>
                <w:noProof/>
              </w:rPr>
              <w:t>7.1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795559">
              <w:rPr>
                <w:rStyle w:val="Hipercze"/>
                <w:noProof/>
              </w:rPr>
              <w:t>Podniesienie wymogów dla urządzeń wpisanych na listę ZUM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_Toc222131015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04E40" w14:textId="19A85233" w:rsidR="002074A2" w:rsidRDefault="002074A2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22131016" w:history="1">
            <w:r w:rsidRPr="00795559">
              <w:rPr>
                <w:rStyle w:val="Hipercze"/>
                <w:b/>
                <w:bCs/>
                <w:noProof/>
              </w:rPr>
              <w:t>7.2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795559">
              <w:rPr>
                <w:rStyle w:val="Hipercze"/>
                <w:noProof/>
              </w:rPr>
              <w:t>Wyższa dotacja na pompy ciepła i kotły na biomasę za lepsze parametry środowiskowe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_Toc222131016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C6AB4B" w14:textId="106EA056" w:rsidR="002074A2" w:rsidRDefault="002074A2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22131017" w:history="1">
            <w:r w:rsidRPr="00795559">
              <w:rPr>
                <w:rStyle w:val="Hipercze"/>
                <w:b/>
                <w:bCs/>
                <w:noProof/>
              </w:rPr>
              <w:t>7.3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795559">
              <w:rPr>
                <w:rStyle w:val="Hipercze"/>
                <w:noProof/>
              </w:rPr>
              <w:t>Brak dofinansowania dla ogrzewania elektrycznego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_Toc222131017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61F02" w14:textId="320FA9E3" w:rsidR="002074A2" w:rsidRDefault="002074A2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22131018" w:history="1">
            <w:r w:rsidRPr="00795559">
              <w:rPr>
                <w:rStyle w:val="Hipercze"/>
                <w:b/>
                <w:bCs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795559">
              <w:rPr>
                <w:rStyle w:val="Hipercze"/>
                <w:b/>
                <w:bCs/>
                <w:noProof/>
              </w:rPr>
              <w:t>Szkolenia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_Toc222131018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0637F" w14:textId="65CA9181" w:rsidR="002074A2" w:rsidRDefault="002074A2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22131019" w:history="1">
            <w:r w:rsidRPr="00795559">
              <w:rPr>
                <w:rStyle w:val="Hipercze"/>
                <w:b/>
                <w:bCs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795559">
              <w:rPr>
                <w:rStyle w:val="Hipercze"/>
                <w:b/>
                <w:bCs/>
                <w:noProof/>
              </w:rPr>
              <w:t>Zmiany precyzujące zapisy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_Toc222131019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5DBD3" w14:textId="6920A7E2" w:rsidR="002074A2" w:rsidRDefault="002074A2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22131020" w:history="1">
            <w:r w:rsidRPr="00795559">
              <w:rPr>
                <w:rStyle w:val="Hipercze"/>
                <w:b/>
                <w:bCs/>
                <w:noProof/>
              </w:rPr>
              <w:t>9.1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795559">
              <w:rPr>
                <w:rStyle w:val="Hipercze"/>
                <w:noProof/>
              </w:rPr>
              <w:t>Ruszt w kotłach hybrydowych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_Toc222131020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EFB95" w14:textId="2B07B4CA" w:rsidR="002074A2" w:rsidRDefault="002074A2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22131021" w:history="1">
            <w:r w:rsidRPr="00795559">
              <w:rPr>
                <w:rStyle w:val="Hipercze"/>
                <w:b/>
                <w:bCs/>
                <w:noProof/>
              </w:rPr>
              <w:t>9.2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795559">
              <w:rPr>
                <w:rStyle w:val="Hipercze"/>
                <w:noProof/>
              </w:rPr>
              <w:t>Poświadczenie odłączenia od przewodów kominowych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_Toc222131021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90CFB" w14:textId="02467A29" w:rsidR="00974143" w:rsidRDefault="00974143">
          <w:r>
            <w:rPr>
              <w:b/>
              <w:bCs/>
            </w:rPr>
            <w:fldChar w:fldCharType="end"/>
          </w:r>
        </w:p>
      </w:sdtContent>
    </w:sdt>
    <w:p w14:paraId="09CF4A5D" w14:textId="77777777" w:rsidR="00BC69FA" w:rsidRDefault="00BC69FA" w:rsidP="002D160F"/>
    <w:p w14:paraId="2D1DEE1D" w14:textId="77777777" w:rsidR="00C54ABD" w:rsidRDefault="00C54ABD" w:rsidP="002D160F"/>
    <w:p w14:paraId="10F62E9C" w14:textId="581079BF" w:rsidR="002D160F" w:rsidRPr="0046224E" w:rsidRDefault="00431D44" w:rsidP="00C32292">
      <w:pPr>
        <w:pStyle w:val="Nagwek1"/>
        <w:ind w:left="284"/>
        <w:rPr>
          <w:b/>
          <w:bCs/>
        </w:rPr>
      </w:pPr>
      <w:bookmarkStart w:id="0" w:name="_Toc222131003"/>
      <w:r w:rsidRPr="0046224E">
        <w:rPr>
          <w:b/>
          <w:bCs/>
        </w:rPr>
        <w:lastRenderedPageBreak/>
        <w:t>Zmiany w zakresie wymogów wejścia do programu</w:t>
      </w:r>
      <w:bookmarkEnd w:id="0"/>
      <w:r w:rsidRPr="0046224E">
        <w:rPr>
          <w:b/>
          <w:bCs/>
        </w:rPr>
        <w:t xml:space="preserve"> </w:t>
      </w:r>
    </w:p>
    <w:p w14:paraId="5DE2CFC8" w14:textId="716BE700" w:rsidR="00BC69FA" w:rsidRPr="00370ACB" w:rsidRDefault="002D160F" w:rsidP="0046224E">
      <w:pPr>
        <w:pStyle w:val="Nagwek2"/>
      </w:pPr>
      <w:bookmarkStart w:id="1" w:name="_Toc222131004"/>
      <w:r w:rsidRPr="00370ACB">
        <w:t>W</w:t>
      </w:r>
      <w:r w:rsidR="00370ACB">
        <w:t xml:space="preserve">prowadzanie dodatkowych </w:t>
      </w:r>
      <w:r w:rsidR="00431D44">
        <w:t xml:space="preserve">odstępstw </w:t>
      </w:r>
      <w:r w:rsidR="00370ACB">
        <w:t>od w</w:t>
      </w:r>
      <w:r w:rsidRPr="00370ACB">
        <w:t>ym</w:t>
      </w:r>
      <w:r w:rsidR="00370ACB">
        <w:t>o</w:t>
      </w:r>
      <w:r w:rsidRPr="00370ACB">
        <w:t>g</w:t>
      </w:r>
      <w:r w:rsidR="00370ACB">
        <w:t>u</w:t>
      </w:r>
      <w:r w:rsidRPr="00370ACB">
        <w:t xml:space="preserve"> 3 lat własności</w:t>
      </w:r>
      <w:bookmarkEnd w:id="1"/>
    </w:p>
    <w:p w14:paraId="0DCA4D31" w14:textId="4EB48171" w:rsidR="00AC2F89" w:rsidRDefault="00BC69FA" w:rsidP="00C22F7A">
      <w:r w:rsidRPr="00AC2F89">
        <w:rPr>
          <w:b/>
          <w:bCs/>
          <w:i/>
          <w:iCs/>
        </w:rPr>
        <w:t>Propozycja zmiany</w:t>
      </w:r>
      <w:r w:rsidR="00AC2F89" w:rsidRPr="00AC2F89">
        <w:rPr>
          <w:b/>
          <w:bCs/>
          <w:i/>
          <w:iCs/>
        </w:rPr>
        <w:t>:</w:t>
      </w:r>
      <w:r w:rsidR="00AC2F89">
        <w:t xml:space="preserve"> </w:t>
      </w:r>
      <w:r w:rsidR="00AC2F89" w:rsidRPr="00AC2F89">
        <w:t>wprowadz</w:t>
      </w:r>
      <w:r w:rsidR="00AC2F89">
        <w:t>enie</w:t>
      </w:r>
      <w:r w:rsidR="00AC2F89" w:rsidRPr="00AC2F89">
        <w:t xml:space="preserve"> – jako wyjątek od obowiązującego wymogu 3</w:t>
      </w:r>
      <w:r w:rsidR="00AC2F89" w:rsidRPr="00AC2F89">
        <w:rPr>
          <w:rFonts w:ascii="Cambria Math" w:hAnsi="Cambria Math" w:cs="Cambria Math"/>
        </w:rPr>
        <w:t>‑</w:t>
      </w:r>
      <w:r w:rsidR="00AC2F89" w:rsidRPr="00AC2F89">
        <w:t xml:space="preserve">letniego okresu posiadania </w:t>
      </w:r>
      <w:r w:rsidR="00AC2F89" w:rsidRPr="00AC2F89">
        <w:rPr>
          <w:rFonts w:ascii="Aptos" w:hAnsi="Aptos" w:cs="Aptos"/>
        </w:rPr>
        <w:t>–</w:t>
      </w:r>
      <w:r w:rsidR="00AC2F89" w:rsidRPr="00AC2F89">
        <w:t xml:space="preserve"> mo</w:t>
      </w:r>
      <w:r w:rsidR="00AC2F89" w:rsidRPr="00AC2F89">
        <w:rPr>
          <w:rFonts w:ascii="Aptos" w:hAnsi="Aptos" w:cs="Aptos"/>
        </w:rPr>
        <w:t>ż</w:t>
      </w:r>
      <w:r w:rsidR="00AC2F89" w:rsidRPr="00AC2F89">
        <w:t>liwo</w:t>
      </w:r>
      <w:r w:rsidR="00AC2F89" w:rsidRPr="00AC2F89">
        <w:rPr>
          <w:rFonts w:ascii="Aptos" w:hAnsi="Aptos" w:cs="Aptos"/>
        </w:rPr>
        <w:t>ś</w:t>
      </w:r>
      <w:r w:rsidR="00AC2F89">
        <w:rPr>
          <w:rFonts w:ascii="Aptos" w:hAnsi="Aptos" w:cs="Aptos"/>
        </w:rPr>
        <w:t>ci</w:t>
      </w:r>
      <w:r w:rsidR="00AC2F89" w:rsidRPr="00AC2F89">
        <w:t xml:space="preserve"> ubiegania si</w:t>
      </w:r>
      <w:r w:rsidR="00AC2F89" w:rsidRPr="00AC2F89">
        <w:rPr>
          <w:rFonts w:ascii="Aptos" w:hAnsi="Aptos" w:cs="Aptos"/>
        </w:rPr>
        <w:t>ę</w:t>
      </w:r>
      <w:r w:rsidR="00AC2F89" w:rsidRPr="00AC2F89">
        <w:t xml:space="preserve"> o dofinansowanie przez </w:t>
      </w:r>
      <w:r w:rsidR="008F7EC6">
        <w:t>w</w:t>
      </w:r>
      <w:r w:rsidR="008F7EC6" w:rsidRPr="00AC2F89">
        <w:t>nioskodawc</w:t>
      </w:r>
      <w:r w:rsidR="008F7EC6" w:rsidRPr="00AC2F89">
        <w:rPr>
          <w:rFonts w:ascii="Aptos" w:hAnsi="Aptos" w:cs="Aptos"/>
        </w:rPr>
        <w:t>ę</w:t>
      </w:r>
      <w:r w:rsidR="00AC2F89" w:rsidRPr="00AC2F89">
        <w:t>, kt</w:t>
      </w:r>
      <w:r w:rsidR="00AC2F89" w:rsidRPr="00AC2F89">
        <w:rPr>
          <w:rFonts w:ascii="Aptos" w:hAnsi="Aptos" w:cs="Aptos"/>
        </w:rPr>
        <w:t>ó</w:t>
      </w:r>
      <w:r w:rsidR="00AC2F89" w:rsidRPr="00AC2F89">
        <w:t xml:space="preserve">ry </w:t>
      </w:r>
      <w:r w:rsidR="00431D44">
        <w:t>jest</w:t>
      </w:r>
      <w:r w:rsidR="00431D44" w:rsidRPr="00AC2F89">
        <w:t xml:space="preserve"> </w:t>
      </w:r>
      <w:r w:rsidR="00431D44">
        <w:t>właścicielem lub współwłaścicielem</w:t>
      </w:r>
      <w:r w:rsidR="00AC2F89" w:rsidRPr="00AC2F89">
        <w:t xml:space="preserve"> budynku</w:t>
      </w:r>
      <w:r w:rsidR="008F7EC6">
        <w:t xml:space="preserve"> mieszkalnego jednorodzinnego</w:t>
      </w:r>
      <w:r w:rsidR="00AC2F89" w:rsidRPr="00AC2F89">
        <w:t xml:space="preserve"> lub lokalu </w:t>
      </w:r>
      <w:r w:rsidR="008F7EC6">
        <w:t xml:space="preserve">mieszkalnego w takim budynku </w:t>
      </w:r>
      <w:r w:rsidR="00AC2F89" w:rsidRPr="00AC2F89">
        <w:t>od co najmniej 1 roku, je</w:t>
      </w:r>
      <w:r w:rsidR="00AC2F89" w:rsidRPr="00AC2F89">
        <w:rPr>
          <w:rFonts w:ascii="Aptos" w:hAnsi="Aptos" w:cs="Aptos"/>
        </w:rPr>
        <w:t>ż</w:t>
      </w:r>
      <w:r w:rsidR="00AC2F89" w:rsidRPr="00AC2F89">
        <w:t>eli naby</w:t>
      </w:r>
      <w:r w:rsidR="00AC2F89" w:rsidRPr="00AC2F89">
        <w:rPr>
          <w:rFonts w:ascii="Aptos" w:hAnsi="Aptos" w:cs="Aptos"/>
        </w:rPr>
        <w:t>ł</w:t>
      </w:r>
      <w:r w:rsidR="00AC2F89" w:rsidRPr="00AC2F89">
        <w:t xml:space="preserve"> udzia</w:t>
      </w:r>
      <w:r w:rsidR="00AC2F89" w:rsidRPr="00AC2F89">
        <w:rPr>
          <w:rFonts w:ascii="Aptos" w:hAnsi="Aptos" w:cs="Aptos"/>
        </w:rPr>
        <w:t>ł</w:t>
      </w:r>
      <w:r w:rsidR="00AC2F89" w:rsidRPr="00AC2F89">
        <w:t xml:space="preserve"> wynosz</w:t>
      </w:r>
      <w:r w:rsidR="00AC2F89" w:rsidRPr="00AC2F89">
        <w:rPr>
          <w:rFonts w:ascii="Aptos" w:hAnsi="Aptos" w:cs="Aptos"/>
        </w:rPr>
        <w:t>ą</w:t>
      </w:r>
      <w:r w:rsidR="00AC2F89" w:rsidRPr="00AC2F89">
        <w:t>cy nie mniej ni</w:t>
      </w:r>
      <w:r w:rsidR="00AC2F89" w:rsidRPr="00AC2F89">
        <w:rPr>
          <w:rFonts w:ascii="Aptos" w:hAnsi="Aptos" w:cs="Aptos"/>
        </w:rPr>
        <w:t>ż</w:t>
      </w:r>
      <w:r w:rsidR="00AC2F89" w:rsidRPr="00AC2F89">
        <w:t xml:space="preserve"> 50% w </w:t>
      </w:r>
      <w:r w:rsidR="00431D44">
        <w:t>wyniku</w:t>
      </w:r>
      <w:r w:rsidR="00431D44" w:rsidRPr="00AC2F89">
        <w:t xml:space="preserve"> </w:t>
      </w:r>
      <w:r w:rsidR="00AC2F89" w:rsidRPr="00AC2F89">
        <w:t xml:space="preserve">zakupu lub darowizny </w:t>
      </w:r>
      <w:r w:rsidR="002074A2">
        <w:t xml:space="preserve">na rzecz </w:t>
      </w:r>
      <w:r w:rsidR="00431D44">
        <w:t>dzieci lub wnuków</w:t>
      </w:r>
      <w:r w:rsidR="00AC2F89" w:rsidRPr="00AC2F89">
        <w:t>.</w:t>
      </w:r>
    </w:p>
    <w:p w14:paraId="29EB73F3" w14:textId="3AD26567" w:rsidR="008D54BF" w:rsidRPr="00370ACB" w:rsidRDefault="00BC69FA" w:rsidP="008D54BF">
      <w:pPr>
        <w:rPr>
          <w:i/>
          <w:iCs/>
        </w:rPr>
      </w:pPr>
      <w:r w:rsidRPr="00AC2F89">
        <w:rPr>
          <w:b/>
          <w:bCs/>
          <w:i/>
          <w:iCs/>
        </w:rPr>
        <w:t>Planowany termin wprowadzenia</w:t>
      </w:r>
      <w:r w:rsidRPr="00AC2F89">
        <w:rPr>
          <w:i/>
          <w:iCs/>
        </w:rPr>
        <w:t>:</w:t>
      </w:r>
      <w:r w:rsidR="002D160F">
        <w:t xml:space="preserve"> II kwartał 2026 r.</w:t>
      </w:r>
      <w:r w:rsidR="008D54BF">
        <w:t xml:space="preserve"> </w:t>
      </w:r>
      <w:r w:rsidR="008D54BF" w:rsidRPr="008D54BF">
        <w:t>Propozycja zapisu zawarta w treści programu Czyste Powietrze przedstawionego w ramach konsultacji</w:t>
      </w:r>
      <w:r w:rsidR="008F7EC6">
        <w:t>.</w:t>
      </w:r>
    </w:p>
    <w:p w14:paraId="47E4970B" w14:textId="08D028E2" w:rsidR="00AC2F89" w:rsidRPr="00370ACB" w:rsidRDefault="00CD57EF" w:rsidP="0046224E">
      <w:pPr>
        <w:pStyle w:val="Nagwek2"/>
      </w:pPr>
      <w:bookmarkStart w:id="2" w:name="_Toc222131005"/>
      <w:r>
        <w:t xml:space="preserve">Dodatkowy </w:t>
      </w:r>
      <w:r w:rsidR="004E0850">
        <w:t>wymóg dla beneficjenta w zakresie własności</w:t>
      </w:r>
      <w:bookmarkEnd w:id="2"/>
    </w:p>
    <w:p w14:paraId="58EAE714" w14:textId="12F5A175" w:rsidR="002D160F" w:rsidRPr="00AC2F89" w:rsidRDefault="002D160F" w:rsidP="00C22F7A">
      <w:r w:rsidRPr="00AC2F89">
        <w:rPr>
          <w:b/>
          <w:bCs/>
          <w:i/>
          <w:iCs/>
        </w:rPr>
        <w:t>Propozycja zmiany:</w:t>
      </w:r>
      <w:r>
        <w:t xml:space="preserve"> </w:t>
      </w:r>
      <w:r w:rsidRPr="00AC2F89">
        <w:t xml:space="preserve">Propozycja wprowadzenia wymogu własności minimum 50 % budynku lub lokalu mieszkalnego dla </w:t>
      </w:r>
      <w:r w:rsidR="00C32292">
        <w:t>każdego</w:t>
      </w:r>
      <w:r w:rsidRPr="00AC2F89">
        <w:t xml:space="preserve"> </w:t>
      </w:r>
      <w:r w:rsidR="00370ACB">
        <w:t>Wnioskodawc</w:t>
      </w:r>
      <w:r w:rsidR="00C32292">
        <w:t>y dla wszystkich poziomów dofinansowania</w:t>
      </w:r>
    </w:p>
    <w:p w14:paraId="59DAB23B" w14:textId="77A41126" w:rsidR="002D160F" w:rsidRDefault="002D160F" w:rsidP="00AC2F89">
      <w:r w:rsidRPr="00370ACB">
        <w:rPr>
          <w:b/>
          <w:bCs/>
          <w:i/>
          <w:iCs/>
        </w:rPr>
        <w:t>Planowany termin wprowadzenia:</w:t>
      </w:r>
      <w:r>
        <w:t xml:space="preserve"> IV kwartał 2026 r. </w:t>
      </w:r>
    </w:p>
    <w:p w14:paraId="177F0BB7" w14:textId="077EBBDD" w:rsidR="00C32292" w:rsidRPr="0046224E" w:rsidRDefault="004E0850" w:rsidP="00CD57EF">
      <w:pPr>
        <w:pStyle w:val="Nagwek1"/>
        <w:ind w:left="284" w:hanging="284"/>
        <w:rPr>
          <w:b/>
          <w:bCs/>
        </w:rPr>
      </w:pPr>
      <w:r w:rsidRPr="0046224E">
        <w:rPr>
          <w:b/>
          <w:bCs/>
        </w:rPr>
        <w:t xml:space="preserve"> </w:t>
      </w:r>
      <w:bookmarkStart w:id="3" w:name="_Toc222131006"/>
      <w:r w:rsidRPr="0046224E">
        <w:rPr>
          <w:b/>
          <w:bCs/>
        </w:rPr>
        <w:t>Wprowadzenie dodatkowego rodzaju przedsięwzięcia</w:t>
      </w:r>
      <w:bookmarkEnd w:id="3"/>
    </w:p>
    <w:p w14:paraId="5F462D9C" w14:textId="7DD6A0B7" w:rsidR="00370ACB" w:rsidRPr="00370ACB" w:rsidRDefault="00370ACB" w:rsidP="00C22F7A">
      <w:r w:rsidRPr="00AC2F89">
        <w:rPr>
          <w:b/>
          <w:bCs/>
          <w:i/>
          <w:iCs/>
        </w:rPr>
        <w:t>Propozycja zmiany:</w:t>
      </w:r>
      <w:r>
        <w:t xml:space="preserve"> </w:t>
      </w:r>
      <w:r w:rsidRPr="00370ACB">
        <w:t>Wprowadz</w:t>
      </w:r>
      <w:r>
        <w:t>enie</w:t>
      </w:r>
      <w:r w:rsidRPr="00370ACB">
        <w:t xml:space="preserve"> dodatkow</w:t>
      </w:r>
      <w:r>
        <w:t>ego</w:t>
      </w:r>
      <w:r w:rsidRPr="00370ACB">
        <w:t xml:space="preserve"> rodzaj</w:t>
      </w:r>
      <w:r w:rsidR="004E0850">
        <w:t>u</w:t>
      </w:r>
      <w:r w:rsidRPr="00370ACB">
        <w:t xml:space="preserve"> przedsięwzięcia dla budynków o wskaźniku zapotrzebowania na energię użytkową na ogrzewanie od 80 do 140 kWh/</w:t>
      </w:r>
      <w:r>
        <w:t>(</w:t>
      </w:r>
      <w:r w:rsidRPr="00370ACB">
        <w:t>m²rok</w:t>
      </w:r>
      <w:r>
        <w:t>)</w:t>
      </w:r>
      <w:r w:rsidRPr="00370ACB">
        <w:t>. W przypadku wymiany źródła ciepła</w:t>
      </w:r>
      <w:r w:rsidR="00A16AF0">
        <w:t xml:space="preserve"> w takich budynkach</w:t>
      </w:r>
      <w:r w:rsidRPr="00370ACB">
        <w:t xml:space="preserve"> </w:t>
      </w:r>
      <w:r w:rsidR="004E0850">
        <w:t xml:space="preserve">będzie można wykonać </w:t>
      </w:r>
      <w:r w:rsidR="004E0850" w:rsidRPr="00370ACB">
        <w:t>ograniczon</w:t>
      </w:r>
      <w:r w:rsidR="004E0850">
        <w:t>y</w:t>
      </w:r>
      <w:r w:rsidR="004E0850" w:rsidRPr="00370ACB">
        <w:t xml:space="preserve"> </w:t>
      </w:r>
      <w:r w:rsidRPr="00370ACB">
        <w:t>zakres termomodernizacji</w:t>
      </w:r>
      <w:r w:rsidR="00A16AF0">
        <w:t>,</w:t>
      </w:r>
      <w:r>
        <w:t xml:space="preserve"> </w:t>
      </w:r>
      <w:r w:rsidRPr="00370ACB">
        <w:t xml:space="preserve">pod warunkiem </w:t>
      </w:r>
      <w:r w:rsidR="004E0850">
        <w:t>że zakres ten będzie zgodny z audytem energetycznym</w:t>
      </w:r>
      <w:r w:rsidRPr="00370ACB">
        <w:t xml:space="preserve"> oraz </w:t>
      </w:r>
      <w:r w:rsidR="004E0850">
        <w:t xml:space="preserve">w wyniku realizacji przedsięwzięcia zapotrzebowanie na </w:t>
      </w:r>
      <w:r w:rsidR="00CD57EF">
        <w:t xml:space="preserve">całkowitą </w:t>
      </w:r>
      <w:r w:rsidR="004E0850">
        <w:t xml:space="preserve">energię pierwotną zostanie zmniejszone o </w:t>
      </w:r>
      <w:r w:rsidRPr="00370ACB">
        <w:t>co najmniej 30%.</w:t>
      </w:r>
      <w:r w:rsidR="00A16AF0" w:rsidRPr="00A16AF0">
        <w:t xml:space="preserve"> </w:t>
      </w:r>
      <w:r w:rsidR="00A16AF0">
        <w:t xml:space="preserve">W tym rodzaju przedsięwzięcia nie </w:t>
      </w:r>
      <w:r w:rsidR="009C5861">
        <w:t xml:space="preserve">będą </w:t>
      </w:r>
      <w:r w:rsidR="00A16AF0">
        <w:t xml:space="preserve">wymagane </w:t>
      </w:r>
      <w:r w:rsidR="009C5861">
        <w:t xml:space="preserve">inne wskaźniki redukcji zapotrzebowania na </w:t>
      </w:r>
      <w:r w:rsidR="002074A2">
        <w:t>energię</w:t>
      </w:r>
      <w:r w:rsidR="009C5861">
        <w:t>.</w:t>
      </w:r>
    </w:p>
    <w:p w14:paraId="622E21DC" w14:textId="6F56D4BB" w:rsidR="004501E2" w:rsidRDefault="00370ACB" w:rsidP="00974143">
      <w:r w:rsidRPr="00370ACB">
        <w:rPr>
          <w:b/>
          <w:bCs/>
          <w:i/>
          <w:iCs/>
        </w:rPr>
        <w:t>Planowany termin wprowadzenia:</w:t>
      </w:r>
      <w:r>
        <w:t xml:space="preserve"> IV kwartał 2026 r. </w:t>
      </w:r>
      <w:r w:rsidR="004E0850" w:rsidRPr="004E0850">
        <w:t>Propozycja zapisu zawarta w treści programu Czyste Powietrze przedstawionego w ramach konsultacji</w:t>
      </w:r>
      <w:r w:rsidR="0046224E">
        <w:t>.</w:t>
      </w:r>
    </w:p>
    <w:p w14:paraId="68BED0C5" w14:textId="385BE710" w:rsidR="00906D82" w:rsidRPr="000D2019" w:rsidRDefault="00972CD1" w:rsidP="0046224E">
      <w:pPr>
        <w:pStyle w:val="Nagwek1"/>
        <w:ind w:left="284" w:hanging="284"/>
        <w:rPr>
          <w:b/>
          <w:bCs/>
        </w:rPr>
      </w:pPr>
      <w:r w:rsidRPr="000D2019">
        <w:rPr>
          <w:b/>
          <w:bCs/>
        </w:rPr>
        <w:t xml:space="preserve"> </w:t>
      </w:r>
      <w:bookmarkStart w:id="4" w:name="_Toc222131007"/>
      <w:r w:rsidR="0099089F" w:rsidRPr="000D2019">
        <w:rPr>
          <w:b/>
          <w:bCs/>
        </w:rPr>
        <w:t>Wprowadzenie odrębnej od programu możliwości finansowania</w:t>
      </w:r>
      <w:r w:rsidR="00906D82" w:rsidRPr="000D2019">
        <w:rPr>
          <w:b/>
          <w:bCs/>
        </w:rPr>
        <w:t xml:space="preserve"> audytu energetycznego</w:t>
      </w:r>
      <w:bookmarkEnd w:id="4"/>
      <w:r w:rsidR="00906D82" w:rsidRPr="000D2019">
        <w:rPr>
          <w:b/>
          <w:bCs/>
        </w:rPr>
        <w:t xml:space="preserve"> </w:t>
      </w:r>
    </w:p>
    <w:p w14:paraId="4AD1C93D" w14:textId="06F31DA8" w:rsidR="00906D82" w:rsidRPr="00C22F7A" w:rsidRDefault="00C22F7A" w:rsidP="00370ACB">
      <w:r w:rsidRPr="00C22F7A">
        <w:rPr>
          <w:b/>
          <w:bCs/>
          <w:i/>
          <w:iCs/>
        </w:rPr>
        <w:t>Propozycja</w:t>
      </w:r>
      <w:r w:rsidR="00906D82" w:rsidRPr="00C22F7A">
        <w:rPr>
          <w:b/>
          <w:bCs/>
          <w:i/>
          <w:iCs/>
        </w:rPr>
        <w:t xml:space="preserve"> zmiany:</w:t>
      </w:r>
      <w:r>
        <w:rPr>
          <w:b/>
          <w:bCs/>
          <w:i/>
          <w:iCs/>
        </w:rPr>
        <w:t xml:space="preserve"> </w:t>
      </w:r>
      <w:r w:rsidRPr="00C22F7A">
        <w:t xml:space="preserve">Wprowadzenie możliwości </w:t>
      </w:r>
      <w:r w:rsidR="0099089F">
        <w:t>dofinansowania</w:t>
      </w:r>
      <w:r w:rsidRPr="00C22F7A">
        <w:t xml:space="preserve"> audytu energetycznego</w:t>
      </w:r>
      <w:r w:rsidR="0099089F">
        <w:t xml:space="preserve"> (tzw. bon na audyt) przed złożeniem wniosku o dofinansowanie</w:t>
      </w:r>
      <w:r w:rsidRPr="00C22F7A">
        <w:t xml:space="preserve"> </w:t>
      </w:r>
      <w:r w:rsidR="0099089F">
        <w:t xml:space="preserve">w programie, </w:t>
      </w:r>
      <w:r w:rsidR="00972CD1">
        <w:t>w gminach pełniących role operatorów.</w:t>
      </w:r>
    </w:p>
    <w:p w14:paraId="47334550" w14:textId="583ED52B" w:rsidR="00906D82" w:rsidRPr="00C22F7A" w:rsidRDefault="00906D82" w:rsidP="0046224E">
      <w:pPr>
        <w:pStyle w:val="Akapitzlist"/>
        <w:numPr>
          <w:ilvl w:val="0"/>
          <w:numId w:val="32"/>
        </w:numPr>
        <w:ind w:left="426" w:hanging="284"/>
      </w:pPr>
      <w:r w:rsidRPr="00C22F7A">
        <w:t>Cel Bonu na Audyt (</w:t>
      </w:r>
      <w:proofErr w:type="spellStart"/>
      <w:r w:rsidRPr="00C22F7A">
        <w:t>BnA</w:t>
      </w:r>
      <w:proofErr w:type="spellEnd"/>
      <w:r w:rsidRPr="00C22F7A">
        <w:t>)</w:t>
      </w:r>
    </w:p>
    <w:p w14:paraId="14F6DFC6" w14:textId="76AB49E3" w:rsidR="00906D82" w:rsidRPr="004428C0" w:rsidRDefault="00906D82" w:rsidP="0046224E">
      <w:r w:rsidRPr="004428C0">
        <w:lastRenderedPageBreak/>
        <w:t>Bon na Audyt (</w:t>
      </w:r>
      <w:proofErr w:type="spellStart"/>
      <w:r w:rsidRPr="004428C0">
        <w:t>BnA</w:t>
      </w:r>
      <w:proofErr w:type="spellEnd"/>
      <w:r w:rsidRPr="004428C0">
        <w:t xml:space="preserve">) to instrument wsparcia, który umożliwi potencjalnym wnioskodawcom Programu </w:t>
      </w:r>
      <w:r w:rsidR="008B7FAC">
        <w:t xml:space="preserve">przeprowadzenie </w:t>
      </w:r>
      <w:r w:rsidRPr="004428C0">
        <w:t xml:space="preserve"> audytu energetycznego </w:t>
      </w:r>
      <w:r w:rsidR="008B7FAC">
        <w:t>bez angażowania środków własnych przed złożeniem wniosku o dofinansowanie do programu.</w:t>
      </w:r>
    </w:p>
    <w:p w14:paraId="5DF378A8" w14:textId="7F310A96" w:rsidR="00906D82" w:rsidRPr="004428C0" w:rsidRDefault="00906D82" w:rsidP="0046224E">
      <w:r w:rsidRPr="004428C0">
        <w:t xml:space="preserve">Gminy sygnalizują, że wielu mieszkańców zainteresowanych programem rezygnuje </w:t>
      </w:r>
      <w:r w:rsidR="002074A2">
        <w:br/>
      </w:r>
      <w:r w:rsidRPr="004428C0">
        <w:t xml:space="preserve">z wykonania audytu z powodu konieczności poniesienia kosztów z góry i niepewności, czy wyniki audytu potwierdzą możliwość uzyskania dotacji. W </w:t>
      </w:r>
      <w:r w:rsidR="008B7FAC">
        <w:t>dotychczasowym</w:t>
      </w:r>
      <w:r w:rsidR="008B7FAC" w:rsidRPr="004428C0">
        <w:t xml:space="preserve"> </w:t>
      </w:r>
      <w:r w:rsidRPr="004428C0">
        <w:t>modelu to wnioskodawca finansuje audyt ze środków własnych, a refundacja następuje dopiero po uzyskaniu wsparcia</w:t>
      </w:r>
      <w:r w:rsidR="008B7FAC">
        <w:t xml:space="preserve"> z programu</w:t>
      </w:r>
      <w:r w:rsidRPr="004428C0">
        <w:t>.</w:t>
      </w:r>
    </w:p>
    <w:p w14:paraId="2CDC720F" w14:textId="7F44965C" w:rsidR="00906D82" w:rsidRPr="00C22F7A" w:rsidRDefault="0046224E" w:rsidP="0046224E">
      <w:pPr>
        <w:pStyle w:val="Akapitzlist"/>
        <w:numPr>
          <w:ilvl w:val="0"/>
          <w:numId w:val="33"/>
        </w:numPr>
        <w:ind w:left="426" w:hanging="284"/>
      </w:pPr>
      <w:r>
        <w:t>D</w:t>
      </w:r>
      <w:r w:rsidRPr="00C22F7A">
        <w:t xml:space="preserve">la </w:t>
      </w:r>
      <w:r w:rsidR="00906D82" w:rsidRPr="00C22F7A">
        <w:t xml:space="preserve">kogo </w:t>
      </w:r>
      <w:proofErr w:type="spellStart"/>
      <w:r w:rsidR="00906D82" w:rsidRPr="00C22F7A">
        <w:t>BnA</w:t>
      </w:r>
      <w:proofErr w:type="spellEnd"/>
    </w:p>
    <w:p w14:paraId="32395A32" w14:textId="477B81AE" w:rsidR="00906D82" w:rsidRPr="004428C0" w:rsidRDefault="00906D82" w:rsidP="0046224E">
      <w:proofErr w:type="spellStart"/>
      <w:r w:rsidRPr="004428C0">
        <w:t>BnA</w:t>
      </w:r>
      <w:proofErr w:type="spellEnd"/>
      <w:r w:rsidRPr="004428C0">
        <w:t xml:space="preserve"> będzie skierowany do osób kwalifikujących się do najwyższego poziomu dofinansowania PPCP</w:t>
      </w:r>
      <w:r w:rsidR="008B7FAC">
        <w:t xml:space="preserve"> </w:t>
      </w:r>
      <w:r w:rsidRPr="004428C0">
        <w:t>.</w:t>
      </w:r>
    </w:p>
    <w:p w14:paraId="5D460E7F" w14:textId="66AA1587" w:rsidR="00906D82" w:rsidRPr="00C22F7A" w:rsidRDefault="008B7FAC" w:rsidP="0046224E">
      <w:pPr>
        <w:pStyle w:val="Akapitzlist"/>
        <w:numPr>
          <w:ilvl w:val="0"/>
          <w:numId w:val="34"/>
        </w:numPr>
        <w:ind w:left="426" w:hanging="284"/>
      </w:pPr>
      <w:r>
        <w:t>Sposób f</w:t>
      </w:r>
      <w:r w:rsidR="00972CD1">
        <w:t>inansowani</w:t>
      </w:r>
      <w:r>
        <w:t>a</w:t>
      </w:r>
      <w:r w:rsidR="00972CD1">
        <w:t xml:space="preserve"> </w:t>
      </w:r>
      <w:r w:rsidR="00906D82" w:rsidRPr="00C22F7A">
        <w:t xml:space="preserve"> </w:t>
      </w:r>
    </w:p>
    <w:p w14:paraId="0FC46140" w14:textId="04DBFC3A" w:rsidR="0046224E" w:rsidRDefault="00906D82" w:rsidP="0046224E">
      <w:r w:rsidRPr="004428C0">
        <w:t xml:space="preserve">Gminy </w:t>
      </w:r>
      <w:r w:rsidR="00972CD1">
        <w:t xml:space="preserve">pełniące role operatora otrzymają dodatkowe środki finansowe w ramach porozumień </w:t>
      </w:r>
      <w:r w:rsidR="008B7FAC">
        <w:t xml:space="preserve">z </w:t>
      </w:r>
      <w:proofErr w:type="spellStart"/>
      <w:r w:rsidR="008B7FAC">
        <w:t>wfośigw</w:t>
      </w:r>
      <w:proofErr w:type="spellEnd"/>
      <w:r w:rsidR="008B7FAC">
        <w:t xml:space="preserve"> </w:t>
      </w:r>
      <w:r w:rsidR="00972CD1">
        <w:t xml:space="preserve">i </w:t>
      </w:r>
      <w:r w:rsidRPr="004428C0">
        <w:t xml:space="preserve">będą </w:t>
      </w:r>
      <w:r w:rsidR="008B7FAC">
        <w:t>mogły</w:t>
      </w:r>
      <w:r w:rsidR="00972CD1">
        <w:t xml:space="preserve"> finansowa</w:t>
      </w:r>
      <w:r w:rsidR="008B7FAC">
        <w:t>ć</w:t>
      </w:r>
      <w:r w:rsidR="00972CD1">
        <w:t xml:space="preserve"> </w:t>
      </w:r>
      <w:proofErr w:type="spellStart"/>
      <w:r w:rsidR="00972CD1">
        <w:t>BnA</w:t>
      </w:r>
      <w:proofErr w:type="spellEnd"/>
      <w:r w:rsidR="00972CD1">
        <w:t xml:space="preserve"> </w:t>
      </w:r>
      <w:r w:rsidRPr="004428C0">
        <w:t>potencjalnym wnioskodawcom</w:t>
      </w:r>
      <w:r w:rsidR="008B7FAC">
        <w:t xml:space="preserve"> programu</w:t>
      </w:r>
      <w:r w:rsidR="0046224E">
        <w:t xml:space="preserve">. </w:t>
      </w:r>
      <w:r w:rsidR="008B7FAC">
        <w:t>Proponowana s</w:t>
      </w:r>
      <w:r w:rsidR="00972CD1" w:rsidRPr="004428C0">
        <w:t>tawka za audyt:  1200 zł netto + VAT</w:t>
      </w:r>
      <w:r w:rsidR="00974143">
        <w:t xml:space="preserve"> </w:t>
      </w:r>
    </w:p>
    <w:p w14:paraId="299560A8" w14:textId="5A3257B5" w:rsidR="00906D82" w:rsidRDefault="00906D82" w:rsidP="0046224E">
      <w:r w:rsidRPr="00F6211B">
        <w:rPr>
          <w:b/>
          <w:bCs/>
          <w:i/>
          <w:iCs/>
        </w:rPr>
        <w:t>Planowany termin wprowadzenia:</w:t>
      </w:r>
      <w:r>
        <w:t xml:space="preserve"> II kwartał 2026 r. </w:t>
      </w:r>
      <w:r w:rsidR="00276CA2">
        <w:t>P</w:t>
      </w:r>
      <w:r w:rsidR="008B7FAC">
        <w:t xml:space="preserve">ropozycja przygotowywana poza </w:t>
      </w:r>
      <w:r w:rsidR="00276CA2">
        <w:t xml:space="preserve">dokumentacją programową. Odpowiednie zapisy znajdą się w porozumieniach </w:t>
      </w:r>
      <w:r w:rsidR="002074A2">
        <w:br/>
      </w:r>
      <w:r w:rsidR="00276CA2">
        <w:t>z gminami.</w:t>
      </w:r>
    </w:p>
    <w:p w14:paraId="4F70046C" w14:textId="19AC378A" w:rsidR="00F6211B" w:rsidRPr="000D2019" w:rsidRDefault="00F6211B" w:rsidP="00C32292">
      <w:pPr>
        <w:pStyle w:val="Nagwek1"/>
        <w:ind w:left="284"/>
        <w:rPr>
          <w:b/>
          <w:bCs/>
        </w:rPr>
      </w:pPr>
      <w:bookmarkStart w:id="5" w:name="_Toc222131008"/>
      <w:r w:rsidRPr="000D2019">
        <w:rPr>
          <w:b/>
          <w:bCs/>
        </w:rPr>
        <w:t>Uproszczenia związane ze składaniem wniosków i rozliczaniem przedsięwzięcia</w:t>
      </w:r>
      <w:r w:rsidR="0046224E" w:rsidRPr="000D2019">
        <w:rPr>
          <w:b/>
          <w:bCs/>
        </w:rPr>
        <w:t xml:space="preserve"> w programie.</w:t>
      </w:r>
      <w:bookmarkEnd w:id="5"/>
    </w:p>
    <w:p w14:paraId="05FE6709" w14:textId="37603BC2" w:rsidR="00370ACB" w:rsidRDefault="00906D82" w:rsidP="0046224E">
      <w:pPr>
        <w:pStyle w:val="Nagwek2"/>
      </w:pPr>
      <w:bookmarkStart w:id="6" w:name="_Toc222131009"/>
      <w:r w:rsidRPr="0046224E">
        <w:t xml:space="preserve">Wypełnianie </w:t>
      </w:r>
      <w:r>
        <w:t>wniosków dla najwyższego poziomu dofinansowania</w:t>
      </w:r>
      <w:bookmarkEnd w:id="6"/>
    </w:p>
    <w:p w14:paraId="5CF943AF" w14:textId="30069D1F" w:rsidR="0046224E" w:rsidRDefault="00906D82" w:rsidP="00906D82">
      <w:r w:rsidRPr="00906D82">
        <w:rPr>
          <w:b/>
          <w:bCs/>
          <w:i/>
          <w:iCs/>
        </w:rPr>
        <w:t>Propozycja zmiany:</w:t>
      </w:r>
      <w:r>
        <w:t xml:space="preserve"> </w:t>
      </w:r>
      <w:r w:rsidRPr="00906D82">
        <w:t xml:space="preserve">Udostępnienie możliwości wypełnienia tzw. roboczych formularzy </w:t>
      </w:r>
      <w:r w:rsidR="002074A2">
        <w:br/>
      </w:r>
      <w:r w:rsidRPr="00906D82">
        <w:t xml:space="preserve">w Generatorze Wniosków o Dofinansowanie (GWD) z kont indywidualnych (wnioskodawców/pełnomocników), które obecnie mogą być wypełniane i składane jedynie przez operatorów, tj. w najwyższym poziomie dofinansowania oraz w przypadku dotacji z prefinansowaniem. Wśród formularzy, o których mowa powyżej są zarówno wnioski o dofinansowanie, dyspozycje wypłaty zaliczki jak i wnioski o płatność. Formularze będą mogły zostać wypełnione i poddane walidacji na koncie indywidualnym, ale ich podpisanie i złożenie do właściwego wojewódzkiego funduszu ochrony środowiska </w:t>
      </w:r>
      <w:r w:rsidR="002074A2">
        <w:br/>
      </w:r>
      <w:r w:rsidRPr="00906D82">
        <w:t xml:space="preserve">i gospodarki wodnej w systemie GWD będzie możliwe po przekazaniu  operatorowi oraz po akceptacji operatora. </w:t>
      </w:r>
    </w:p>
    <w:p w14:paraId="45592099" w14:textId="5D493814" w:rsidR="00906D82" w:rsidRDefault="00906D82" w:rsidP="00906D82">
      <w:r w:rsidRPr="00906D82">
        <w:t>Przed zatwierdzeniem takiego wniosku, wnioskodawca/pełnomocnik będzie musiał skontaktować się z operatorem w celu potwierdzenia zakresu danych wskazywanych w danym formularzu, w ramach listy kontrolnej.</w:t>
      </w:r>
    </w:p>
    <w:p w14:paraId="4898A62C" w14:textId="495EDFC9" w:rsidR="00906D82" w:rsidRDefault="00F6211B" w:rsidP="00906D82">
      <w:r w:rsidRPr="00F6211B">
        <w:rPr>
          <w:b/>
          <w:bCs/>
          <w:i/>
          <w:iCs/>
        </w:rPr>
        <w:t>Planowany termin wprowadzenia:</w:t>
      </w:r>
      <w:r>
        <w:t xml:space="preserve"> II kwartał 2026 r. </w:t>
      </w:r>
      <w:r w:rsidR="00906D82" w:rsidRPr="00906D82">
        <w:t xml:space="preserve">Zmiana dotyczy dokumentacji wdrożeniowej i systemów IT, bez zmian w treści </w:t>
      </w:r>
      <w:r>
        <w:t>programu</w:t>
      </w:r>
      <w:r w:rsidR="0046224E">
        <w:t>.</w:t>
      </w:r>
      <w:r>
        <w:t xml:space="preserve"> </w:t>
      </w:r>
    </w:p>
    <w:p w14:paraId="3863613C" w14:textId="285C1CD4" w:rsidR="00906D82" w:rsidRDefault="00906D82" w:rsidP="0046224E">
      <w:pPr>
        <w:pStyle w:val="Nagwek2"/>
      </w:pPr>
      <w:bookmarkStart w:id="7" w:name="_Toc222131010"/>
      <w:r w:rsidRPr="00C11B45">
        <w:lastRenderedPageBreak/>
        <w:t>Wydłużenie czasu na rozliczenie</w:t>
      </w:r>
      <w:r w:rsidR="001F7087">
        <w:t xml:space="preserve"> zaliczki</w:t>
      </w:r>
      <w:r w:rsidRPr="00C11B45">
        <w:t xml:space="preserve"> z 120 do 180 dni</w:t>
      </w:r>
      <w:bookmarkEnd w:id="7"/>
    </w:p>
    <w:p w14:paraId="02A96A65" w14:textId="5141CD0D" w:rsidR="00906D82" w:rsidRDefault="00DD100A" w:rsidP="00DD100A">
      <w:r w:rsidRPr="00906D82">
        <w:rPr>
          <w:b/>
          <w:bCs/>
          <w:i/>
          <w:iCs/>
        </w:rPr>
        <w:t>Propozycja zmiany</w:t>
      </w:r>
      <w:r>
        <w:t xml:space="preserve">: </w:t>
      </w:r>
      <w:r w:rsidR="00906D82" w:rsidRPr="00C11B45">
        <w:t xml:space="preserve">wydłużenie okresu rozliczenia </w:t>
      </w:r>
      <w:r w:rsidR="001F7087">
        <w:t>zaliczki</w:t>
      </w:r>
      <w:r w:rsidR="00906D82" w:rsidRPr="00C11B45">
        <w:t>, liczonego od dnia</w:t>
      </w:r>
      <w:r w:rsidR="001F7087">
        <w:t xml:space="preserve"> jej</w:t>
      </w:r>
      <w:r w:rsidR="00906D82" w:rsidRPr="00C11B45">
        <w:t xml:space="preserve"> wypłaty, ze 120 do 180 dni. Plan</w:t>
      </w:r>
      <w:r w:rsidR="00747DAE">
        <w:t>owane jest</w:t>
      </w:r>
      <w:r w:rsidR="00906D82" w:rsidRPr="00C11B45">
        <w:t xml:space="preserve"> zastosowa</w:t>
      </w:r>
      <w:r w:rsidR="00747DAE">
        <w:t>nie</w:t>
      </w:r>
      <w:r w:rsidR="00906D82" w:rsidRPr="00C11B45">
        <w:t xml:space="preserve"> t</w:t>
      </w:r>
      <w:r w:rsidR="00747DAE">
        <w:t>ej</w:t>
      </w:r>
      <w:r w:rsidR="00906D82" w:rsidRPr="00C11B45">
        <w:t xml:space="preserve"> zmian</w:t>
      </w:r>
      <w:r w:rsidR="00747DAE">
        <w:t>y</w:t>
      </w:r>
      <w:r w:rsidR="00906D82" w:rsidRPr="00C11B45">
        <w:t xml:space="preserve"> do wszystkich umów </w:t>
      </w:r>
      <w:r w:rsidR="002074A2">
        <w:br/>
      </w:r>
      <w:r w:rsidR="00906D82" w:rsidRPr="00C11B45">
        <w:t>o dofinansowanie zawartych na podstawie wniosków o dofinansowanie, złożonych od 31.03.2025 r.</w:t>
      </w:r>
    </w:p>
    <w:p w14:paraId="55C0F8DC" w14:textId="6323FA6E" w:rsidR="00906D82" w:rsidRDefault="00DD100A" w:rsidP="00906D82">
      <w:r w:rsidRPr="00F6211B">
        <w:rPr>
          <w:b/>
          <w:bCs/>
          <w:i/>
          <w:iCs/>
        </w:rPr>
        <w:t>Planowany termin wprowadzenia:</w:t>
      </w:r>
      <w:r>
        <w:t xml:space="preserve"> II kwartał 2026 r. </w:t>
      </w:r>
      <w:r w:rsidRPr="00906D82">
        <w:t xml:space="preserve">Zmiana dotyczy dokumentacji wdrożeniowej, bez zmian w treści </w:t>
      </w:r>
      <w:r>
        <w:t>programu</w:t>
      </w:r>
      <w:r w:rsidR="0046224E">
        <w:t>.</w:t>
      </w:r>
    </w:p>
    <w:p w14:paraId="47246A3E" w14:textId="764B2D31" w:rsidR="00057BED" w:rsidRDefault="00057BED" w:rsidP="0046224E">
      <w:pPr>
        <w:pStyle w:val="Nagwek2"/>
      </w:pPr>
      <w:bookmarkStart w:id="8" w:name="_Toc222131011"/>
      <w:r>
        <w:t>Ujednolicenie wytycznych</w:t>
      </w:r>
      <w:r w:rsidR="00CC10CD">
        <w:t xml:space="preserve"> oraz zasad </w:t>
      </w:r>
      <w:r w:rsidR="001F7087">
        <w:t xml:space="preserve">rozpatrywania </w:t>
      </w:r>
      <w:r w:rsidR="00CC10CD">
        <w:t>wniosków</w:t>
      </w:r>
      <w:bookmarkEnd w:id="8"/>
    </w:p>
    <w:p w14:paraId="101F4B94" w14:textId="40FA1341" w:rsidR="00991998" w:rsidRDefault="00D80025" w:rsidP="00991998">
      <w:r w:rsidRPr="00906D82">
        <w:rPr>
          <w:b/>
          <w:bCs/>
          <w:i/>
          <w:iCs/>
        </w:rPr>
        <w:t>Propozycja zmiany</w:t>
      </w:r>
      <w:r>
        <w:t xml:space="preserve">: </w:t>
      </w:r>
      <w:r w:rsidR="00991998">
        <w:t xml:space="preserve">Ujednolicenie wytycznych oraz zasad </w:t>
      </w:r>
      <w:r w:rsidR="001F7087">
        <w:t xml:space="preserve">rozpatrywania </w:t>
      </w:r>
      <w:r w:rsidR="00991998">
        <w:t>wniosków we wszystkich wojewódzkich funduszach ochrony środowiska i gospodarki wodnej (</w:t>
      </w:r>
      <w:proofErr w:type="spellStart"/>
      <w:r w:rsidR="00991998">
        <w:t>wfośigw</w:t>
      </w:r>
      <w:proofErr w:type="spellEnd"/>
      <w:r w:rsidR="00991998">
        <w:t xml:space="preserve">) w celu zapewnienia spójności i przejrzystości procesu. </w:t>
      </w:r>
    </w:p>
    <w:p w14:paraId="04EEAA68" w14:textId="57BC0E97" w:rsidR="00CC10CD" w:rsidRDefault="00991998" w:rsidP="00991998">
      <w:r>
        <w:t xml:space="preserve">Program Czyste powietrze ma jednolite zasady, </w:t>
      </w:r>
      <w:r w:rsidR="001F7087">
        <w:t xml:space="preserve">jednolity </w:t>
      </w:r>
      <w:r>
        <w:t xml:space="preserve">proces obsługi. NFOŚiGW </w:t>
      </w:r>
      <w:r w:rsidR="001F7087">
        <w:t xml:space="preserve">przygotowuje </w:t>
      </w:r>
      <w:r>
        <w:t xml:space="preserve">jednolitą dokumentację wdrożeniową dla wszystkich </w:t>
      </w:r>
      <w:proofErr w:type="spellStart"/>
      <w:r>
        <w:t>wfośigw</w:t>
      </w:r>
      <w:proofErr w:type="spellEnd"/>
      <w:r>
        <w:t>. Funkcjonuje strona internetowa Czyste Powietrze</w:t>
      </w:r>
      <w:r w:rsidR="001F7087">
        <w:t>,</w:t>
      </w:r>
      <w:r>
        <w:t xml:space="preserve"> na której umieszczone są jednolite wytyczne, kierowane do </w:t>
      </w:r>
      <w:proofErr w:type="spellStart"/>
      <w:r w:rsidR="001F7087">
        <w:t>wfośigw</w:t>
      </w:r>
      <w:proofErr w:type="spellEnd"/>
      <w:r>
        <w:t xml:space="preserve">, wykonawców i Beneficjentów. Program jest wdrażany przez NFOŚiGW wspólnie z </w:t>
      </w:r>
      <w:proofErr w:type="spellStart"/>
      <w:r w:rsidR="001F7087">
        <w:t>wfośigw</w:t>
      </w:r>
      <w:proofErr w:type="spellEnd"/>
      <w:r w:rsidR="001F7087">
        <w:t>,</w:t>
      </w:r>
      <w:r>
        <w:t xml:space="preserve"> które są odrębnymi jednostkami podejmującymi samodzielne decyzje w ramach własnych działań, co ma wpływ na </w:t>
      </w:r>
      <w:r w:rsidR="001F7087">
        <w:t xml:space="preserve">sposób stosowania przez te instytucje </w:t>
      </w:r>
      <w:r>
        <w:t>powyższych dokumentów i zasad</w:t>
      </w:r>
      <w:r w:rsidR="001F7087">
        <w:t>.</w:t>
      </w:r>
    </w:p>
    <w:p w14:paraId="18679AB1" w14:textId="0B25D9E1" w:rsidR="001F7087" w:rsidRDefault="001F7087" w:rsidP="00991998">
      <w:r>
        <w:t xml:space="preserve">W ramach tego punktu między innymi zostanie opublikowany doprecyzowany zakres prac termomodernizacyjnych, które można wliczać do kosztów kwalifikowanych </w:t>
      </w:r>
      <w:r w:rsidR="0046224E">
        <w:t>w programie</w:t>
      </w:r>
      <w:r>
        <w:t>.</w:t>
      </w:r>
    </w:p>
    <w:p w14:paraId="1297A958" w14:textId="10CF2772" w:rsidR="00991998" w:rsidRPr="00CC10CD" w:rsidRDefault="00991998" w:rsidP="001C30B7">
      <w:r w:rsidRPr="00F6211B">
        <w:rPr>
          <w:b/>
          <w:bCs/>
          <w:i/>
          <w:iCs/>
        </w:rPr>
        <w:t>Planowany termin wprowadzenia:</w:t>
      </w:r>
      <w:r w:rsidR="001C30B7">
        <w:rPr>
          <w:b/>
          <w:bCs/>
          <w:i/>
          <w:iCs/>
        </w:rPr>
        <w:t xml:space="preserve"> </w:t>
      </w:r>
      <w:r w:rsidR="001F7087" w:rsidRPr="001F7087">
        <w:t>II</w:t>
      </w:r>
      <w:r w:rsidR="001F7087">
        <w:t>I</w:t>
      </w:r>
      <w:r w:rsidR="001F7087" w:rsidRPr="001F7087">
        <w:t xml:space="preserve"> kwartał 2026 r.  –</w:t>
      </w:r>
      <w:r w:rsidR="001F7087">
        <w:t xml:space="preserve"> zmiana nie wymaga </w:t>
      </w:r>
      <w:r w:rsidR="001F7087" w:rsidRPr="001F7087">
        <w:t>zmian w treści programu</w:t>
      </w:r>
      <w:r w:rsidR="001C30B7">
        <w:t>.</w:t>
      </w:r>
    </w:p>
    <w:p w14:paraId="3F9AA999" w14:textId="25FAE6CA" w:rsidR="000006F2" w:rsidRPr="000D2019" w:rsidRDefault="000006F2" w:rsidP="0046224E">
      <w:pPr>
        <w:pStyle w:val="Nagwek1"/>
        <w:rPr>
          <w:b/>
          <w:bCs/>
        </w:rPr>
      </w:pPr>
      <w:bookmarkStart w:id="9" w:name="_Toc222131012"/>
      <w:r w:rsidRPr="000D2019">
        <w:rPr>
          <w:b/>
          <w:bCs/>
        </w:rPr>
        <w:t>Zabezpieczenie prefinansowania</w:t>
      </w:r>
      <w:bookmarkEnd w:id="9"/>
    </w:p>
    <w:p w14:paraId="16DE6237" w14:textId="6C32C8E7" w:rsidR="002074A2" w:rsidRDefault="002074A2" w:rsidP="002074A2">
      <w:r w:rsidRPr="0046224E">
        <w:rPr>
          <w:b/>
          <w:bCs/>
          <w:i/>
          <w:iCs/>
        </w:rPr>
        <w:t>Propozycja zmiany:</w:t>
      </w:r>
      <w:r>
        <w:t xml:space="preserve"> W przypadku prefinansowania (zaliczkowania) część środków programu Czyste Powietrze jest wypłacana przed pełnym potwierdzeniem prawidłowej realizacji przedsięwzięcia. W celu lepszej ochrony </w:t>
      </w:r>
      <w:r w:rsidR="008728F9">
        <w:t>beneficjentów Programu</w:t>
      </w:r>
      <w:r>
        <w:t xml:space="preserve">, proponuje się, aby w przypadku zaliczkowego finansowania kosztów przedsięwzięcia, wybrany przez beneficjenta wykonawca prac zawierał z </w:t>
      </w:r>
      <w:proofErr w:type="spellStart"/>
      <w:r>
        <w:t>wfośigw</w:t>
      </w:r>
      <w:proofErr w:type="spellEnd"/>
      <w:r>
        <w:t xml:space="preserve"> umowę poręczenia zapłaty na wypadek, gdyby beneficjent nie zwrócił należnych środków wynikających z umowy dotacji. Umowa poręczenia zawarta przez </w:t>
      </w:r>
      <w:proofErr w:type="spellStart"/>
      <w:r>
        <w:t>wfośigw</w:t>
      </w:r>
      <w:proofErr w:type="spellEnd"/>
      <w:r>
        <w:t xml:space="preserve"> z wykonawcą będzie zabezpieczona wekslem in blanco z wystawienia wykonawcy . </w:t>
      </w:r>
    </w:p>
    <w:p w14:paraId="6C6AA8FA" w14:textId="77777777" w:rsidR="002074A2" w:rsidRPr="0046224E" w:rsidRDefault="002074A2" w:rsidP="002074A2">
      <w:r>
        <w:t xml:space="preserve">Zakres (limit) zabezpieczenia będzie z góry określony i obejmie pełne zobowiązanie finansowe należne </w:t>
      </w:r>
      <w:proofErr w:type="spellStart"/>
      <w:r>
        <w:t>wfośigw</w:t>
      </w:r>
      <w:proofErr w:type="spellEnd"/>
      <w:r>
        <w:t xml:space="preserve"> w razie powstania obowiązku zwrotu, powiększone o odsetki umowne należne w dacie płatności weksla oraz opłaty i inne koszty wynikające z umowy dotacji – o ile powstanie obowiązek ich zapłaty na rzecz </w:t>
      </w:r>
      <w:proofErr w:type="spellStart"/>
      <w:r>
        <w:t>wfośigw</w:t>
      </w:r>
      <w:proofErr w:type="spellEnd"/>
      <w:r>
        <w:t xml:space="preserve"> z powodu niewykonania lub nienależytego wykonania przedsięwzięcia. Wykonawca podpisze również deklarację </w:t>
      </w:r>
      <w:r>
        <w:lastRenderedPageBreak/>
        <w:t xml:space="preserve">wekslową, która określi, kiedy i na jaką kwotę </w:t>
      </w:r>
      <w:proofErr w:type="spellStart"/>
      <w:r>
        <w:t>wfośigw</w:t>
      </w:r>
      <w:proofErr w:type="spellEnd"/>
      <w:r>
        <w:t xml:space="preserve"> może weksel uzupełnić (w granicach wskazanego limitu).</w:t>
      </w:r>
    </w:p>
    <w:p w14:paraId="7203128A" w14:textId="218147B9" w:rsidR="0046224E" w:rsidRDefault="001F7087" w:rsidP="0046224E">
      <w:r w:rsidRPr="0046224E">
        <w:rPr>
          <w:b/>
          <w:bCs/>
          <w:i/>
          <w:iCs/>
        </w:rPr>
        <w:t>Planowany termin wprowadzenia:</w:t>
      </w:r>
      <w:r w:rsidRPr="001F7087">
        <w:t xml:space="preserve"> I</w:t>
      </w:r>
      <w:r>
        <w:t>V</w:t>
      </w:r>
      <w:r w:rsidRPr="001F7087">
        <w:t xml:space="preserve"> kwartał 2026 r. Zmiana będzie wprowadzona do treści programu na późniejszym etapie.</w:t>
      </w:r>
      <w:r>
        <w:t xml:space="preserve"> </w:t>
      </w:r>
    </w:p>
    <w:p w14:paraId="1EBCC97E" w14:textId="6A2A40C1" w:rsidR="00906D82" w:rsidRPr="000D2019" w:rsidRDefault="00906D82" w:rsidP="0046224E">
      <w:pPr>
        <w:pStyle w:val="Nagwek1"/>
        <w:rPr>
          <w:b/>
          <w:bCs/>
        </w:rPr>
      </w:pPr>
      <w:bookmarkStart w:id="10" w:name="_Toc222131013"/>
      <w:r w:rsidRPr="000D2019">
        <w:rPr>
          <w:b/>
          <w:bCs/>
        </w:rPr>
        <w:t>Lista wykonawców</w:t>
      </w:r>
      <w:bookmarkEnd w:id="10"/>
    </w:p>
    <w:p w14:paraId="63B471B5" w14:textId="58833FCC" w:rsidR="00655E16" w:rsidRPr="0027555F" w:rsidRDefault="0053313A" w:rsidP="00655E16">
      <w:r w:rsidRPr="00906D82">
        <w:rPr>
          <w:b/>
          <w:bCs/>
          <w:i/>
          <w:iCs/>
        </w:rPr>
        <w:t>Propozycja zmiany</w:t>
      </w:r>
      <w:r>
        <w:t xml:space="preserve">: </w:t>
      </w:r>
      <w:r w:rsidR="0046224E">
        <w:t xml:space="preserve">Celem </w:t>
      </w:r>
      <w:r w:rsidR="001F7087">
        <w:t>proponowanej do wprowadzenia</w:t>
      </w:r>
      <w:r w:rsidR="00655E16" w:rsidRPr="0027555F">
        <w:t xml:space="preserve"> </w:t>
      </w:r>
      <w:r w:rsidR="001F7087">
        <w:t xml:space="preserve">tzw. </w:t>
      </w:r>
      <w:r w:rsidR="00655E16" w:rsidRPr="0027555F">
        <w:t xml:space="preserve">Listy Wykonawców jest wsparcie beneficjentów </w:t>
      </w:r>
      <w:r w:rsidR="0046224E">
        <w:t>p</w:t>
      </w:r>
      <w:r w:rsidR="0046224E" w:rsidRPr="0027555F">
        <w:t xml:space="preserve">rogramu </w:t>
      </w:r>
      <w:r w:rsidR="00655E16" w:rsidRPr="0027555F">
        <w:t>Czyste Powietrze w wyborze rzetelnych firm realizujących przedsięwzięcia z zakresu poprawy efektywności energetycznej budynków. Lista obejmie wykonawców świadczących usługi m.in. w zakresie wymiany źródeł ciepła, docieplenia przegród budowlanych, montażu stolarki okiennej i drzwiowej oraz wykonywania audytów energetycznych.</w:t>
      </w:r>
    </w:p>
    <w:p w14:paraId="1C7B24A4" w14:textId="28B59748" w:rsidR="00655E16" w:rsidRDefault="00655E16" w:rsidP="00655E16">
      <w:r w:rsidRPr="0027555F">
        <w:t xml:space="preserve">Wykonawcy ubiegający się o wpis na Listę zostaną poddani weryfikacji pod kątem m.in. kryteriów formalnych, kwalifikacji zawodowych, doświadczenia w realizacji inwestycji </w:t>
      </w:r>
      <w:r w:rsidR="002074A2">
        <w:br/>
      </w:r>
      <w:r w:rsidRPr="0027555F">
        <w:t xml:space="preserve">w ramach Programu. Uzyskanie wpisu będzie możliwe po dokonaniu rejestracji na stronie internetowej, uzupełnieniu formularza zgłoszeniowego, przekazaniu wymaganych załączników oraz spełnieniu zasad określonych w </w:t>
      </w:r>
      <w:r w:rsidR="00E44209">
        <w:t>r</w:t>
      </w:r>
      <w:r w:rsidR="00E44209" w:rsidRPr="0027555F">
        <w:t>egulaminie</w:t>
      </w:r>
      <w:r w:rsidR="00E44209">
        <w:t xml:space="preserve"> </w:t>
      </w:r>
      <w:r w:rsidR="001F7087">
        <w:t>listy</w:t>
      </w:r>
      <w:r w:rsidRPr="0027555F">
        <w:t>.</w:t>
      </w:r>
    </w:p>
    <w:p w14:paraId="403F121F" w14:textId="440F0849" w:rsidR="0072313C" w:rsidRDefault="0072313C" w:rsidP="00655E16">
      <w:r>
        <w:t>Kwalifikacje zawodowe wykonawcy będą potwierdzali między innymi poprzez następujące uprawnienia i certyfikaty</w:t>
      </w:r>
      <w:r w:rsidR="00E44209">
        <w:t xml:space="preserve"> w zależności od zakresu prac których zakres wskażą jako realizowane w ramach swojej działalności</w:t>
      </w:r>
      <w:r>
        <w:t>:</w:t>
      </w:r>
    </w:p>
    <w:tbl>
      <w:tblPr>
        <w:tblW w:w="92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4252"/>
        <w:gridCol w:w="160"/>
      </w:tblGrid>
      <w:tr w:rsidR="00E44209" w:rsidRPr="0072313C" w14:paraId="785039B3" w14:textId="77777777" w:rsidTr="00E44209">
        <w:trPr>
          <w:gridAfter w:val="1"/>
          <w:wAfter w:w="160" w:type="dxa"/>
          <w:trHeight w:val="483"/>
        </w:trPr>
        <w:tc>
          <w:tcPr>
            <w:tcW w:w="4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6A3E7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Montaż urządzenia / instalacja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3A950F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Obowiązkowe uprawnienia/certyfikaty wykonawcy</w:t>
            </w:r>
          </w:p>
        </w:tc>
      </w:tr>
      <w:tr w:rsidR="00E44209" w:rsidRPr="0072313C" w14:paraId="79CDEB7E" w14:textId="77777777" w:rsidTr="00E44209">
        <w:trPr>
          <w:trHeight w:val="171"/>
        </w:trPr>
        <w:tc>
          <w:tcPr>
            <w:tcW w:w="4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594FF" w14:textId="77777777" w:rsidR="0072313C" w:rsidRPr="0072313C" w:rsidRDefault="0072313C" w:rsidP="0072313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2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1BC45" w14:textId="77777777" w:rsidR="0072313C" w:rsidRPr="0072313C" w:rsidRDefault="0072313C" w:rsidP="0072313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A7C4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44209" w:rsidRPr="0072313C" w14:paraId="5A239C62" w14:textId="77777777" w:rsidTr="00E44209">
        <w:trPr>
          <w:trHeight w:val="288"/>
        </w:trPr>
        <w:tc>
          <w:tcPr>
            <w:tcW w:w="48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605C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Pompa ciepła powietrze/woda lub powietrze/powietrze typu </w:t>
            </w:r>
            <w:proofErr w:type="spellStart"/>
            <w:r w:rsidRPr="00723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split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8A02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F-gazy (personalny + przedsiębiorca) </w:t>
            </w:r>
          </w:p>
        </w:tc>
        <w:tc>
          <w:tcPr>
            <w:tcW w:w="160" w:type="dxa"/>
            <w:vAlign w:val="center"/>
            <w:hideMark/>
          </w:tcPr>
          <w:p w14:paraId="5679275F" w14:textId="77777777" w:rsidR="0072313C" w:rsidRPr="0072313C" w:rsidRDefault="0072313C" w:rsidP="0072313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4209" w:rsidRPr="0072313C" w14:paraId="4D871D7B" w14:textId="77777777" w:rsidTr="00E44209">
        <w:trPr>
          <w:trHeight w:val="416"/>
        </w:trPr>
        <w:tc>
          <w:tcPr>
            <w:tcW w:w="48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5628" w14:textId="77777777" w:rsidR="0072313C" w:rsidRPr="0072313C" w:rsidRDefault="0072313C" w:rsidP="0072313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B1249C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Świadectwo kwalifikacyjne G1</w:t>
            </w:r>
          </w:p>
        </w:tc>
        <w:tc>
          <w:tcPr>
            <w:tcW w:w="160" w:type="dxa"/>
            <w:vAlign w:val="center"/>
            <w:hideMark/>
          </w:tcPr>
          <w:p w14:paraId="7FD63F39" w14:textId="77777777" w:rsidR="0072313C" w:rsidRPr="0072313C" w:rsidRDefault="0072313C" w:rsidP="0072313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4209" w:rsidRPr="0072313C" w14:paraId="7F2AE881" w14:textId="77777777" w:rsidTr="00E44209">
        <w:trPr>
          <w:trHeight w:val="54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AF872F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Pompa ciepła powietrze/woda lub powietrze/powietrze typu monoblok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E1F288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Świadectwo kwalifikacyjne G1</w:t>
            </w:r>
          </w:p>
        </w:tc>
        <w:tc>
          <w:tcPr>
            <w:tcW w:w="160" w:type="dxa"/>
            <w:vAlign w:val="center"/>
            <w:hideMark/>
          </w:tcPr>
          <w:p w14:paraId="26225128" w14:textId="77777777" w:rsidR="0072313C" w:rsidRPr="0072313C" w:rsidRDefault="0072313C" w:rsidP="0072313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4209" w:rsidRPr="0072313C" w14:paraId="14C1A454" w14:textId="77777777" w:rsidTr="00E44209">
        <w:trPr>
          <w:trHeight w:val="266"/>
        </w:trPr>
        <w:tc>
          <w:tcPr>
            <w:tcW w:w="48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9223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Gruntowa pompa ciepła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2E8A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Świadectwo kwalifikacyjne G1 </w:t>
            </w:r>
          </w:p>
        </w:tc>
        <w:tc>
          <w:tcPr>
            <w:tcW w:w="160" w:type="dxa"/>
            <w:vAlign w:val="center"/>
            <w:hideMark/>
          </w:tcPr>
          <w:p w14:paraId="5E0A5EA4" w14:textId="77777777" w:rsidR="0072313C" w:rsidRPr="0072313C" w:rsidRDefault="0072313C" w:rsidP="0072313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4209" w:rsidRPr="0072313C" w14:paraId="43E44808" w14:textId="77777777" w:rsidTr="00E44209">
        <w:trPr>
          <w:trHeight w:val="521"/>
        </w:trPr>
        <w:tc>
          <w:tcPr>
            <w:tcW w:w="48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62B5" w14:textId="77777777" w:rsidR="0072313C" w:rsidRPr="0072313C" w:rsidRDefault="0072313C" w:rsidP="0072313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FE91E0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F-gazy (personalny + przedsiębiorca) – jeśli jednostka ma układ chłodniczy</w:t>
            </w:r>
          </w:p>
        </w:tc>
        <w:tc>
          <w:tcPr>
            <w:tcW w:w="160" w:type="dxa"/>
            <w:vAlign w:val="center"/>
            <w:hideMark/>
          </w:tcPr>
          <w:p w14:paraId="632EE2DD" w14:textId="77777777" w:rsidR="0072313C" w:rsidRPr="0072313C" w:rsidRDefault="0072313C" w:rsidP="0072313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4209" w:rsidRPr="0072313C" w14:paraId="3A2005DB" w14:textId="77777777" w:rsidTr="00E44209">
        <w:trPr>
          <w:trHeight w:val="633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E1A8E7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Kotły na paliwo stałe 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199C4D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Świadectwo kwalifikacyjne G1, świadectwo kwalifikacyjne G2 (graniczna moc kotła &gt;50kW)</w:t>
            </w:r>
          </w:p>
        </w:tc>
        <w:tc>
          <w:tcPr>
            <w:tcW w:w="160" w:type="dxa"/>
            <w:vAlign w:val="center"/>
            <w:hideMark/>
          </w:tcPr>
          <w:p w14:paraId="678E35E0" w14:textId="77777777" w:rsidR="0072313C" w:rsidRPr="0072313C" w:rsidRDefault="0072313C" w:rsidP="0072313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4209" w:rsidRPr="0072313C" w14:paraId="4B331505" w14:textId="77777777" w:rsidTr="00E44209">
        <w:trPr>
          <w:trHeight w:val="46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F88784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Kotły gazowe 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739B90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Świadectwo kwalifikacyjne G3</w:t>
            </w:r>
          </w:p>
        </w:tc>
        <w:tc>
          <w:tcPr>
            <w:tcW w:w="160" w:type="dxa"/>
            <w:vAlign w:val="center"/>
            <w:hideMark/>
          </w:tcPr>
          <w:p w14:paraId="60239729" w14:textId="77777777" w:rsidR="0072313C" w:rsidRPr="0072313C" w:rsidRDefault="0072313C" w:rsidP="0072313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4209" w:rsidRPr="0072313C" w14:paraId="03D2B64E" w14:textId="77777777" w:rsidTr="00E44209">
        <w:trPr>
          <w:trHeight w:val="519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2F24EE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Podłączenie do sieci ciepłowniczej wraz z przyłączem 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A88E8F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Świadectwo kwalifikacyjne G2</w:t>
            </w:r>
          </w:p>
        </w:tc>
        <w:tc>
          <w:tcPr>
            <w:tcW w:w="160" w:type="dxa"/>
            <w:vAlign w:val="center"/>
            <w:hideMark/>
          </w:tcPr>
          <w:p w14:paraId="3E71E475" w14:textId="77777777" w:rsidR="0072313C" w:rsidRPr="0072313C" w:rsidRDefault="0072313C" w:rsidP="0072313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4209" w:rsidRPr="0072313C" w14:paraId="20626DF0" w14:textId="77777777" w:rsidTr="00E44209">
        <w:trPr>
          <w:trHeight w:val="471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2AA2BF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Wentylacja mechaniczna z odzyskiem ciepła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B24297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Świadectwo kwalifikacyjne G1</w:t>
            </w:r>
          </w:p>
        </w:tc>
        <w:tc>
          <w:tcPr>
            <w:tcW w:w="160" w:type="dxa"/>
            <w:vAlign w:val="center"/>
            <w:hideMark/>
          </w:tcPr>
          <w:p w14:paraId="47B18674" w14:textId="77777777" w:rsidR="0072313C" w:rsidRPr="0072313C" w:rsidRDefault="0072313C" w:rsidP="0072313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4209" w:rsidRPr="0072313C" w14:paraId="4822DF07" w14:textId="77777777" w:rsidTr="00E44209">
        <w:trPr>
          <w:trHeight w:val="394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E9EB8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System ogrzewania elektrycznego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2BD321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Świadectwo kwalifikacyjne G1</w:t>
            </w:r>
          </w:p>
        </w:tc>
        <w:tc>
          <w:tcPr>
            <w:tcW w:w="160" w:type="dxa"/>
            <w:vAlign w:val="center"/>
            <w:hideMark/>
          </w:tcPr>
          <w:p w14:paraId="504F9FEF" w14:textId="77777777" w:rsidR="0072313C" w:rsidRPr="0072313C" w:rsidRDefault="0072313C" w:rsidP="0072313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4209" w:rsidRPr="0072313C" w14:paraId="2C11DDB9" w14:textId="77777777" w:rsidTr="00E44209">
        <w:trPr>
          <w:trHeight w:val="55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01B61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Instalacja CO oraz instalacja CWU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E71DB2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Świadectwo kwalifikacyjne G2</w:t>
            </w:r>
          </w:p>
        </w:tc>
        <w:tc>
          <w:tcPr>
            <w:tcW w:w="160" w:type="dxa"/>
            <w:vAlign w:val="center"/>
            <w:hideMark/>
          </w:tcPr>
          <w:p w14:paraId="666B1E1D" w14:textId="77777777" w:rsidR="0072313C" w:rsidRPr="0072313C" w:rsidRDefault="0072313C" w:rsidP="0072313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4209" w:rsidRPr="0072313C" w14:paraId="60DA4236" w14:textId="77777777" w:rsidTr="00E44209">
        <w:trPr>
          <w:trHeight w:val="647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F8E5F2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Bramy garażowe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9A44DC" w14:textId="77777777" w:rsidR="0072313C" w:rsidRPr="0072313C" w:rsidRDefault="0072313C" w:rsidP="00723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13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Świadectwo kwalifikacyjne G1 (w przypadku zainstalowanego napędu)</w:t>
            </w:r>
          </w:p>
        </w:tc>
        <w:tc>
          <w:tcPr>
            <w:tcW w:w="160" w:type="dxa"/>
            <w:vAlign w:val="center"/>
            <w:hideMark/>
          </w:tcPr>
          <w:p w14:paraId="5150A4DB" w14:textId="77777777" w:rsidR="0072313C" w:rsidRPr="0072313C" w:rsidRDefault="0072313C" w:rsidP="0072313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58F2182" w14:textId="77777777" w:rsidR="0072313C" w:rsidRDefault="0072313C" w:rsidP="00655E16"/>
    <w:p w14:paraId="3EA556EF" w14:textId="77777777" w:rsidR="00E02BBC" w:rsidRPr="0027555F" w:rsidRDefault="00E02BBC" w:rsidP="00E02BBC">
      <w:r w:rsidRPr="0027555F">
        <w:t>Beneficjent będzie mógł wyszukać wykonawcę z uwzględnieniem takich parametrów, jak: obszar działania, zakres świadczonych usług, rodzaj instalowanych urządzeń czy możliwość realizacji przedsięwzięcia z wykorzystaniem prefinansowania.</w:t>
      </w:r>
    </w:p>
    <w:p w14:paraId="6804DCF9" w14:textId="7D70FD03" w:rsidR="00E02BBC" w:rsidRPr="0027555F" w:rsidRDefault="00E02BBC" w:rsidP="00E02BBC">
      <w:r w:rsidRPr="0027555F">
        <w:t xml:space="preserve">Lista będzie miała charakter </w:t>
      </w:r>
      <w:r w:rsidR="001F7087">
        <w:t>dobrowolny tzn. beneficjent będzie mógł również skorzystać z usług firmy wykonawczej, która nie jest na liście i uzyskać dofinansowanie w programie</w:t>
      </w:r>
      <w:r w:rsidRPr="0027555F">
        <w:t>.</w:t>
      </w:r>
    </w:p>
    <w:p w14:paraId="46A6BEAB" w14:textId="376F088D" w:rsidR="0053313A" w:rsidRDefault="0053313A" w:rsidP="0053313A">
      <w:r w:rsidRPr="00F6211B">
        <w:rPr>
          <w:b/>
          <w:bCs/>
          <w:i/>
          <w:iCs/>
        </w:rPr>
        <w:t>Planowany termin wprowadzenia:</w:t>
      </w:r>
      <w:r>
        <w:t xml:space="preserve"> II kwartał 2026 r. </w:t>
      </w:r>
      <w:r w:rsidRPr="00906D82">
        <w:t xml:space="preserve">Zmiana </w:t>
      </w:r>
      <w:r w:rsidR="00F5626A">
        <w:t xml:space="preserve">poza </w:t>
      </w:r>
      <w:r w:rsidR="00362D49">
        <w:t xml:space="preserve">dokumentacją programową. </w:t>
      </w:r>
      <w:r w:rsidR="00E02BBC">
        <w:t>Lista będzie prowadzona przez I</w:t>
      </w:r>
      <w:r w:rsidR="001F7087">
        <w:t xml:space="preserve">nstytut </w:t>
      </w:r>
      <w:r w:rsidR="00E02BBC">
        <w:t>O</w:t>
      </w:r>
      <w:r w:rsidR="001F7087">
        <w:t xml:space="preserve">chrony </w:t>
      </w:r>
      <w:r w:rsidR="00E02BBC">
        <w:t>Ś</w:t>
      </w:r>
      <w:r w:rsidR="001F7087">
        <w:t xml:space="preserve">rodowiska – </w:t>
      </w:r>
      <w:r w:rsidR="0072313C">
        <w:t>Państwowy</w:t>
      </w:r>
      <w:r w:rsidR="001F7087">
        <w:t xml:space="preserve"> Instytut Badawczy</w:t>
      </w:r>
      <w:r w:rsidR="00E02BBC">
        <w:t>.</w:t>
      </w:r>
    </w:p>
    <w:p w14:paraId="25F4D23D" w14:textId="63205C62" w:rsidR="00B64055" w:rsidRDefault="00B64055" w:rsidP="00E44209">
      <w:pPr>
        <w:pStyle w:val="Nagwek1"/>
        <w:rPr>
          <w:b/>
          <w:bCs/>
        </w:rPr>
      </w:pPr>
      <w:bookmarkStart w:id="11" w:name="_Toc222131014"/>
      <w:r>
        <w:rPr>
          <w:b/>
          <w:bCs/>
        </w:rPr>
        <w:t xml:space="preserve">Zmiany </w:t>
      </w:r>
      <w:r w:rsidR="004234CF">
        <w:rPr>
          <w:b/>
          <w:bCs/>
        </w:rPr>
        <w:t>w zakresie</w:t>
      </w:r>
      <w:r>
        <w:rPr>
          <w:b/>
          <w:bCs/>
        </w:rPr>
        <w:t xml:space="preserve"> urządzeń </w:t>
      </w:r>
      <w:r w:rsidR="004234CF">
        <w:rPr>
          <w:b/>
          <w:bCs/>
        </w:rPr>
        <w:t xml:space="preserve">grzewczych </w:t>
      </w:r>
      <w:r>
        <w:rPr>
          <w:b/>
          <w:bCs/>
        </w:rPr>
        <w:t>objętych dofinansowaniem</w:t>
      </w:r>
      <w:bookmarkEnd w:id="11"/>
    </w:p>
    <w:p w14:paraId="34719720" w14:textId="2DB5503C" w:rsidR="004501E2" w:rsidRPr="000D2019" w:rsidRDefault="0072313C" w:rsidP="002074A2">
      <w:pPr>
        <w:pStyle w:val="Nagwek2"/>
      </w:pPr>
      <w:bookmarkStart w:id="12" w:name="_Toc222131015"/>
      <w:r w:rsidRPr="000D2019">
        <w:t xml:space="preserve">Podniesienie wymogów </w:t>
      </w:r>
      <w:r w:rsidR="006644B8">
        <w:t>dla</w:t>
      </w:r>
      <w:r w:rsidRPr="000D2019">
        <w:t xml:space="preserve"> urządzeń wpisanych na listę </w:t>
      </w:r>
      <w:r w:rsidR="00E44209" w:rsidRPr="000D2019">
        <w:t>Z</w:t>
      </w:r>
      <w:r w:rsidRPr="000D2019">
        <w:t>UM</w:t>
      </w:r>
      <w:bookmarkEnd w:id="12"/>
    </w:p>
    <w:p w14:paraId="6DFB5F93" w14:textId="35E297A7" w:rsidR="0072313C" w:rsidRPr="0072313C" w:rsidRDefault="00E44209" w:rsidP="00E44209">
      <w:r w:rsidRPr="00E44209">
        <w:rPr>
          <w:b/>
          <w:bCs/>
          <w:i/>
          <w:iCs/>
        </w:rPr>
        <w:t>Propozycja zmiany:</w:t>
      </w:r>
      <w:r w:rsidRPr="00E44209">
        <w:t xml:space="preserve"> </w:t>
      </w:r>
      <w:r w:rsidR="0072313C" w:rsidRPr="0072313C">
        <w:t>W ramach zmian Regulaminu Listy Zielonych Urządzeń i Materiałów nastąpi dalsze podniesienie jakości urządzeń i materiałów dostępnych dla beneficjentów Programu „Czyste Powietrze”. Proponowane zmiany mają zapewnić wyższy standard środowiskowy oraz serwisowy urządzeń wpisywanych na Listę ZUM, a także zwiększyć transparentność zasad dopuszczania produktów do dofinansowania.</w:t>
      </w:r>
    </w:p>
    <w:p w14:paraId="5F8E7360" w14:textId="77777777" w:rsidR="0072313C" w:rsidRPr="0072313C" w:rsidRDefault="0072313C" w:rsidP="00E44209">
      <w:r w:rsidRPr="0072313C">
        <w:t>Wśród kluczowych modyfikacji przewiduje się wprowadzenie nowych kryteriów produkcji, zgodnie z którymi pompy ciepła oraz kotły na biomasę umieszczane na Liście ZUM będą musiały być produkowane na terenie państw Unii Europejskiej. W przypadku pomp ciepła za miejsce produkcji uznawana będzie lokalizacja zakładu, w którym następuje końcowe scalenie obiegu chłodniczego, przed jego hermetycznym zamknięciem i testem szczelności, natomiast w przypadku kotłów – zakład prowadzący zasadnicze procesy wytwórcze prowadzące do powstania gotowego urządzenia. Parametry techniczne, wymogi dla urządzeń, w tym miejsce produkcji, będą potwierdzane w raporcie jednostki certyfikującej posiadającej akredytację Polskiego Centrum Akredytacji. Program certyfikacji zostanie określony na podstawie normy PN-EN ISO/IEC 17065 Ocena zgodności — Wymagania dla jednostek certyfikujących wyroby, procesy i usługi.</w:t>
      </w:r>
    </w:p>
    <w:p w14:paraId="5F85797E" w14:textId="6629B803" w:rsidR="0072313C" w:rsidRPr="00E44209" w:rsidRDefault="0072313C" w:rsidP="00E44209">
      <w:pPr>
        <w:rPr>
          <w:rFonts w:eastAsiaTheme="majorEastAsia" w:cstheme="majorBidi"/>
          <w:color w:val="0F4761" w:themeColor="accent1" w:themeShade="BF"/>
          <w:sz w:val="28"/>
          <w:szCs w:val="40"/>
        </w:rPr>
      </w:pPr>
      <w:r w:rsidRPr="00E44209">
        <w:rPr>
          <w:b/>
          <w:bCs/>
          <w:i/>
          <w:iCs/>
        </w:rPr>
        <w:t>Planowany  termin wprowadzenia zmian</w:t>
      </w:r>
      <w:r>
        <w:t xml:space="preserve">: </w:t>
      </w:r>
      <w:r w:rsidRPr="0072313C">
        <w:t xml:space="preserve"> 1 stycznia 2027 r.</w:t>
      </w:r>
      <w:r>
        <w:t xml:space="preserve"> </w:t>
      </w:r>
      <w:r w:rsidR="00E44209">
        <w:t xml:space="preserve">Zmiany </w:t>
      </w:r>
      <w:r w:rsidRPr="0072313C">
        <w:t>w Regulaminie List</w:t>
      </w:r>
      <w:r>
        <w:t>y</w:t>
      </w:r>
      <w:r w:rsidRPr="0072313C">
        <w:t xml:space="preserve"> ZUM</w:t>
      </w:r>
      <w:r>
        <w:t>.</w:t>
      </w:r>
    </w:p>
    <w:p w14:paraId="7FBC10D9" w14:textId="1FD3EAA3" w:rsidR="004501E2" w:rsidRPr="000D2019" w:rsidRDefault="004501E2" w:rsidP="002074A2">
      <w:pPr>
        <w:pStyle w:val="Nagwek2"/>
      </w:pPr>
      <w:bookmarkStart w:id="13" w:name="_Toc222131016"/>
      <w:r w:rsidRPr="000D2019">
        <w:lastRenderedPageBreak/>
        <w:t>Wyższa dotacja na pompy ciepła</w:t>
      </w:r>
      <w:r w:rsidR="005113A6">
        <w:t xml:space="preserve"> i </w:t>
      </w:r>
      <w:r w:rsidRPr="000D2019">
        <w:t>kotły na biomasę za lepsze parametry środowiskowe</w:t>
      </w:r>
      <w:bookmarkEnd w:id="13"/>
    </w:p>
    <w:p w14:paraId="6CDF472C" w14:textId="77777777" w:rsidR="004501E2" w:rsidRDefault="004501E2" w:rsidP="004501E2">
      <w:r w:rsidRPr="00E44209">
        <w:rPr>
          <w:b/>
          <w:bCs/>
          <w:i/>
          <w:iCs/>
        </w:rPr>
        <w:t>Propozycja zmiany:</w:t>
      </w:r>
      <w:r>
        <w:t xml:space="preserve"> Wyższa dotacja na pompy ciepła/kotły na biomasę za lepsze parametry środowiskowe </w:t>
      </w:r>
    </w:p>
    <w:p w14:paraId="4CBA5241" w14:textId="3D876871" w:rsidR="004501E2" w:rsidRDefault="009A5B35" w:rsidP="00E44209">
      <w:pPr>
        <w:spacing w:after="0"/>
      </w:pPr>
      <w:r>
        <w:t>Poniżej proponowany zakres</w:t>
      </w:r>
      <w:r w:rsidR="004501E2">
        <w:t xml:space="preserve"> parametrów</w:t>
      </w:r>
      <w:r>
        <w:t>, które będą miały wpływ na wyższą dotację</w:t>
      </w:r>
      <w:r w:rsidR="004501E2">
        <w:t>:</w:t>
      </w:r>
    </w:p>
    <w:p w14:paraId="22F2576A" w14:textId="01D64E7C" w:rsidR="004501E2" w:rsidRDefault="004501E2" w:rsidP="00E44209">
      <w:pPr>
        <w:spacing w:after="0"/>
      </w:pPr>
      <w:r>
        <w:t>a.</w:t>
      </w:r>
      <w:r>
        <w:tab/>
        <w:t>Pompy ciepła</w:t>
      </w:r>
      <w:r w:rsidR="00A16F7C">
        <w:t>:</w:t>
      </w:r>
    </w:p>
    <w:p w14:paraId="46104224" w14:textId="158DA1E6" w:rsidR="004501E2" w:rsidRDefault="0095760A" w:rsidP="00E44209">
      <w:pPr>
        <w:pStyle w:val="Akapitzlist"/>
        <w:numPr>
          <w:ilvl w:val="0"/>
          <w:numId w:val="35"/>
        </w:numPr>
        <w:spacing w:after="0"/>
        <w:ind w:left="709"/>
      </w:pPr>
      <w:r>
        <w:t xml:space="preserve">Wyższa </w:t>
      </w:r>
      <w:r w:rsidR="00E07970">
        <w:t xml:space="preserve">sezonowa </w:t>
      </w:r>
      <w:r>
        <w:t>efektywność energetyczna</w:t>
      </w:r>
    </w:p>
    <w:p w14:paraId="78C6479A" w14:textId="6E1895B6" w:rsidR="004501E2" w:rsidRDefault="009A4BF9" w:rsidP="00E44209">
      <w:pPr>
        <w:pStyle w:val="Akapitzlist"/>
        <w:numPr>
          <w:ilvl w:val="0"/>
          <w:numId w:val="35"/>
        </w:numPr>
        <w:spacing w:after="0"/>
        <w:ind w:left="709"/>
      </w:pPr>
      <w:r>
        <w:t xml:space="preserve">Zastosowanie </w:t>
      </w:r>
      <w:r w:rsidR="004501E2">
        <w:t>naturaln</w:t>
      </w:r>
      <w:r>
        <w:t>ych</w:t>
      </w:r>
      <w:r w:rsidR="004501E2">
        <w:t xml:space="preserve"> czynnik</w:t>
      </w:r>
      <w:r>
        <w:t>ów</w:t>
      </w:r>
      <w:r w:rsidR="004501E2">
        <w:t xml:space="preserve"> chłodnicz</w:t>
      </w:r>
      <w:r>
        <w:t>ych</w:t>
      </w:r>
      <w:r w:rsidR="004501E2">
        <w:t xml:space="preserve"> o niskim GWP </w:t>
      </w:r>
    </w:p>
    <w:p w14:paraId="69B5C7B1" w14:textId="40345C01" w:rsidR="004501E2" w:rsidRDefault="00215CD8" w:rsidP="00E44209">
      <w:pPr>
        <w:pStyle w:val="Akapitzlist"/>
        <w:numPr>
          <w:ilvl w:val="0"/>
          <w:numId w:val="35"/>
        </w:numPr>
        <w:spacing w:after="0"/>
        <w:ind w:left="709"/>
      </w:pPr>
      <w:r>
        <w:t xml:space="preserve">Obniżony </w:t>
      </w:r>
      <w:r w:rsidR="009A4BF9">
        <w:t>poziom mocy akustycznej</w:t>
      </w:r>
    </w:p>
    <w:p w14:paraId="7DBACF1A" w14:textId="77777777" w:rsidR="004501E2" w:rsidRDefault="004501E2" w:rsidP="00E44209">
      <w:pPr>
        <w:spacing w:after="0"/>
      </w:pPr>
      <w:r>
        <w:t>b.</w:t>
      </w:r>
      <w:r>
        <w:tab/>
        <w:t xml:space="preserve">Kotły na </w:t>
      </w:r>
      <w:proofErr w:type="spellStart"/>
      <w:r>
        <w:t>pellet</w:t>
      </w:r>
      <w:proofErr w:type="spellEnd"/>
      <w:r>
        <w:t xml:space="preserve"> drzewny</w:t>
      </w:r>
    </w:p>
    <w:p w14:paraId="02A817AD" w14:textId="6CC253EA" w:rsidR="004501E2" w:rsidRDefault="004501E2" w:rsidP="00E44209">
      <w:pPr>
        <w:pStyle w:val="Akapitzlist"/>
        <w:numPr>
          <w:ilvl w:val="0"/>
          <w:numId w:val="37"/>
        </w:numPr>
        <w:spacing w:after="0"/>
      </w:pPr>
      <w:r>
        <w:t>Obniżona emisyjność cząstek stałych</w:t>
      </w:r>
    </w:p>
    <w:p w14:paraId="191B0528" w14:textId="31BFEBE0" w:rsidR="004501E2" w:rsidRDefault="00E07970" w:rsidP="00E44209">
      <w:pPr>
        <w:pStyle w:val="Akapitzlist"/>
        <w:numPr>
          <w:ilvl w:val="0"/>
          <w:numId w:val="37"/>
        </w:numPr>
        <w:spacing w:after="0"/>
      </w:pPr>
      <w:r>
        <w:t>Wyższa</w:t>
      </w:r>
      <w:r w:rsidR="0005229B">
        <w:t xml:space="preserve"> </w:t>
      </w:r>
      <w:r w:rsidR="004501E2">
        <w:t>sezonowa</w:t>
      </w:r>
      <w:r w:rsidR="0005229B">
        <w:t xml:space="preserve"> </w:t>
      </w:r>
      <w:r>
        <w:t>efektywność energetyczna</w:t>
      </w:r>
    </w:p>
    <w:p w14:paraId="64E416DD" w14:textId="2EF4627A" w:rsidR="004501E2" w:rsidRDefault="004501E2" w:rsidP="004501E2">
      <w:r w:rsidRPr="00E44209">
        <w:rPr>
          <w:b/>
          <w:bCs/>
          <w:i/>
          <w:iCs/>
        </w:rPr>
        <w:t>Planowany termin wprowadzenia:</w:t>
      </w:r>
      <w:r w:rsidR="009A5B35">
        <w:t xml:space="preserve"> 2027 r.</w:t>
      </w:r>
      <w:r>
        <w:t xml:space="preserve"> Zadanie powiązane ze zmianą programu i zmianą regulaminu listy </w:t>
      </w:r>
      <w:r w:rsidR="002074A2">
        <w:t>ZUM</w:t>
      </w:r>
      <w:r>
        <w:t>.</w:t>
      </w:r>
    </w:p>
    <w:p w14:paraId="06B91A7E" w14:textId="77777777" w:rsidR="00FE4043" w:rsidRDefault="00FE4043" w:rsidP="00FE4043">
      <w:pPr>
        <w:pStyle w:val="Nagwek2"/>
        <w:ind w:left="426" w:hanging="426"/>
      </w:pPr>
      <w:bookmarkStart w:id="14" w:name="_Toc222131017"/>
      <w:r>
        <w:t>Brak dofinansowania dla ogrzewania elektrycznego</w:t>
      </w:r>
      <w:bookmarkEnd w:id="14"/>
    </w:p>
    <w:p w14:paraId="063A108B" w14:textId="7072A035" w:rsidR="00FE4043" w:rsidRDefault="00FE4043" w:rsidP="00FE4043">
      <w:r w:rsidRPr="0046224E">
        <w:rPr>
          <w:b/>
          <w:bCs/>
          <w:i/>
          <w:iCs/>
        </w:rPr>
        <w:t>Propozycja zmiany:</w:t>
      </w:r>
      <w:r w:rsidRPr="0046224E">
        <w:t xml:space="preserve"> </w:t>
      </w:r>
      <w:r>
        <w:t>Usunięcie z kosztów kwalifikowanych programu ogrzewania elektrycznego innego niż pompy ciepła z okresem przejściowym do końca 2026 r. czyli od początku 2027</w:t>
      </w:r>
      <w:r w:rsidR="002074A2">
        <w:t xml:space="preserve"> r.</w:t>
      </w:r>
      <w:r>
        <w:t xml:space="preserve"> nie będzie można składać wniosków o dofinansowanie obejmujących ogrzewanie elektryczne.</w:t>
      </w:r>
    </w:p>
    <w:p w14:paraId="2B7CC8E0" w14:textId="2B83DE76" w:rsidR="00FE4043" w:rsidRDefault="00FE4043" w:rsidP="004501E2">
      <w:r w:rsidRPr="0046224E">
        <w:rPr>
          <w:b/>
          <w:bCs/>
          <w:i/>
          <w:iCs/>
        </w:rPr>
        <w:t>Planowany termin wprowadzenia:</w:t>
      </w:r>
      <w:r w:rsidRPr="009C5861">
        <w:t xml:space="preserve"> IV kwartał 2026 r. Propozycja zapisu zawarta w treści programu Czyste Powietrze przedstawionego w ramach konsultacji</w:t>
      </w:r>
      <w:r>
        <w:t>.</w:t>
      </w:r>
    </w:p>
    <w:p w14:paraId="50F3B598" w14:textId="006968B7" w:rsidR="00906D82" w:rsidRPr="000D2019" w:rsidRDefault="002028EC" w:rsidP="00E44209">
      <w:pPr>
        <w:pStyle w:val="Nagwek1"/>
        <w:rPr>
          <w:b/>
          <w:bCs/>
        </w:rPr>
      </w:pPr>
      <w:bookmarkStart w:id="15" w:name="_Toc222131018"/>
      <w:r w:rsidRPr="000D2019">
        <w:rPr>
          <w:b/>
          <w:bCs/>
        </w:rPr>
        <w:t>Szkolenia</w:t>
      </w:r>
      <w:bookmarkEnd w:id="15"/>
    </w:p>
    <w:p w14:paraId="0CEF46E5" w14:textId="418D3A0C" w:rsidR="003F0114" w:rsidRPr="00F652E5" w:rsidRDefault="00E44209" w:rsidP="003F0114">
      <w:r w:rsidRPr="00E44209">
        <w:rPr>
          <w:b/>
          <w:bCs/>
          <w:i/>
          <w:iCs/>
        </w:rPr>
        <w:t>Propozycja zmiany:</w:t>
      </w:r>
      <w:r w:rsidRPr="00E44209">
        <w:t xml:space="preserve"> </w:t>
      </w:r>
      <w:r>
        <w:t xml:space="preserve">Kontynuacja </w:t>
      </w:r>
      <w:r w:rsidR="00372C19">
        <w:t>szkoleń dla osób i podmiotów zaangażowanych we wdrażanie programu.</w:t>
      </w:r>
    </w:p>
    <w:p w14:paraId="527F66C1" w14:textId="77777777" w:rsidR="003F0114" w:rsidRPr="00F652E5" w:rsidRDefault="003F0114" w:rsidP="003F0114">
      <w:r w:rsidRPr="00F652E5">
        <w:t>1. Szkolenia realizowane przez NFOŚiGW</w:t>
      </w:r>
    </w:p>
    <w:p w14:paraId="7C95D05A" w14:textId="05F2C765" w:rsidR="003F0114" w:rsidRPr="00F652E5" w:rsidRDefault="00372C19" w:rsidP="003F0114">
      <w:r>
        <w:t>F</w:t>
      </w:r>
      <w:r w:rsidRPr="00F652E5">
        <w:t xml:space="preserve">unkcjonuje </w:t>
      </w:r>
      <w:r w:rsidR="003F0114" w:rsidRPr="00F652E5">
        <w:t>stały cykl szkoleniowy Akademia Czystego Powietrza, którego celem jest systematyczne wzmacnianie wiedzy i umiejętności gmin uczestniczących w Programie „Czyste Powietrze”.</w:t>
      </w:r>
    </w:p>
    <w:p w14:paraId="1A670F86" w14:textId="7AC07B7B" w:rsidR="003F0114" w:rsidRPr="00F652E5" w:rsidRDefault="003F0114" w:rsidP="003F0114">
      <w:r w:rsidRPr="00F652E5">
        <w:t xml:space="preserve">2. Szkolenia i działania regionalne prowadzone przez </w:t>
      </w:r>
      <w:proofErr w:type="spellStart"/>
      <w:r w:rsidR="00E44209" w:rsidRPr="00F652E5">
        <w:t>wfośigw</w:t>
      </w:r>
      <w:proofErr w:type="spellEnd"/>
    </w:p>
    <w:p w14:paraId="5683B560" w14:textId="5E6D9B59" w:rsidR="003F0114" w:rsidRPr="00F652E5" w:rsidRDefault="00E44209" w:rsidP="003F0114">
      <w:proofErr w:type="spellStart"/>
      <w:r>
        <w:t>W</w:t>
      </w:r>
      <w:r w:rsidRPr="00F652E5">
        <w:t>fośigw</w:t>
      </w:r>
      <w:proofErr w:type="spellEnd"/>
      <w:r w:rsidRPr="00F652E5">
        <w:t xml:space="preserve"> </w:t>
      </w:r>
      <w:r w:rsidR="003F0114" w:rsidRPr="00F652E5">
        <w:t>realizują cykliczne regionalne szkolenia i warsztaty, skierowane do beneficjentów, gmin oraz audytorów energetycznych.</w:t>
      </w:r>
      <w:r>
        <w:t xml:space="preserve"> </w:t>
      </w:r>
      <w:r w:rsidR="003F0114" w:rsidRPr="00F652E5">
        <w:t>W szczególności obejmują one:</w:t>
      </w:r>
    </w:p>
    <w:p w14:paraId="15D1F720" w14:textId="77777777" w:rsidR="003F0114" w:rsidRPr="00F652E5" w:rsidRDefault="003F0114" w:rsidP="00E44209">
      <w:pPr>
        <w:pStyle w:val="Akapitzlist"/>
        <w:numPr>
          <w:ilvl w:val="0"/>
          <w:numId w:val="39"/>
        </w:numPr>
      </w:pPr>
      <w:r w:rsidRPr="00F652E5">
        <w:t>zasady prawidłowej analizy i weryfikacji audytów energetycznych,</w:t>
      </w:r>
    </w:p>
    <w:p w14:paraId="33023289" w14:textId="77777777" w:rsidR="003F0114" w:rsidRPr="00F652E5" w:rsidRDefault="003F0114" w:rsidP="00E44209">
      <w:pPr>
        <w:pStyle w:val="Akapitzlist"/>
        <w:numPr>
          <w:ilvl w:val="0"/>
          <w:numId w:val="39"/>
        </w:numPr>
      </w:pPr>
      <w:r w:rsidRPr="00F652E5">
        <w:t>identyfikację elementów obowiązkowych, braków i błędów,</w:t>
      </w:r>
    </w:p>
    <w:p w14:paraId="7659762D" w14:textId="77777777" w:rsidR="003F0114" w:rsidRPr="00F652E5" w:rsidRDefault="003F0114" w:rsidP="00E44209">
      <w:pPr>
        <w:pStyle w:val="Akapitzlist"/>
        <w:numPr>
          <w:ilvl w:val="0"/>
          <w:numId w:val="39"/>
        </w:numPr>
      </w:pPr>
      <w:r w:rsidRPr="00F652E5">
        <w:t>praktyczne omówienie zgodności audytu z wymaganiami PPCP.</w:t>
      </w:r>
    </w:p>
    <w:p w14:paraId="61179654" w14:textId="2DED9893" w:rsidR="003F0114" w:rsidRPr="00F652E5" w:rsidRDefault="003F0114" w:rsidP="003F0114">
      <w:r w:rsidRPr="00F652E5">
        <w:t xml:space="preserve">3. Kierunek działań </w:t>
      </w:r>
    </w:p>
    <w:p w14:paraId="60EF09A0" w14:textId="11CB9FD7" w:rsidR="003F0114" w:rsidRPr="00F652E5" w:rsidRDefault="003F0114" w:rsidP="003F0114">
      <w:r w:rsidRPr="00F652E5">
        <w:lastRenderedPageBreak/>
        <w:t xml:space="preserve">Obie instytucje konsekwentnie wspierają rozwój kompetencji gmin PKI oraz operatorów gminnych, ponieważ stanowią oni kluczowy i pierwszy punkt kontaktu mieszkańców </w:t>
      </w:r>
      <w:r w:rsidR="002074A2">
        <w:br/>
      </w:r>
      <w:r w:rsidRPr="00F652E5">
        <w:t>z programem, w szczególności osób o najniższych dochodach.</w:t>
      </w:r>
    </w:p>
    <w:p w14:paraId="4D513BA8" w14:textId="01431B5C" w:rsidR="003F0114" w:rsidRPr="00F652E5" w:rsidRDefault="003F0114" w:rsidP="003F0114">
      <w:r w:rsidRPr="00F652E5">
        <w:t xml:space="preserve">W związku z planowaniem wprowadzenia nowego produktu, jakim jest </w:t>
      </w:r>
      <w:proofErr w:type="spellStart"/>
      <w:r w:rsidRPr="00F652E5">
        <w:t>BnA</w:t>
      </w:r>
      <w:proofErr w:type="spellEnd"/>
      <w:r w:rsidRPr="00F652E5">
        <w:t xml:space="preserve">, planowane są dedykowane szkolenia dla audytorów energetycznych współpracujących z gminami, ukierunkowane na wymagania </w:t>
      </w:r>
      <w:r w:rsidR="00E44209">
        <w:t>p</w:t>
      </w:r>
      <w:r w:rsidR="00E44209" w:rsidRPr="00F652E5">
        <w:t xml:space="preserve">rogramu </w:t>
      </w:r>
      <w:r w:rsidRPr="00F652E5">
        <w:t>Szkolenia te mają zapewnić spójność, wysoką jakość oraz zgodność wykonywanych audytów z celami programu.</w:t>
      </w:r>
    </w:p>
    <w:p w14:paraId="406A7186" w14:textId="77777777" w:rsidR="003F0114" w:rsidRPr="00F652E5" w:rsidRDefault="003F0114" w:rsidP="003F0114">
      <w:r w:rsidRPr="00F652E5">
        <w:t>4. Otwartość na potrzeby gmin</w:t>
      </w:r>
    </w:p>
    <w:p w14:paraId="4E92052F" w14:textId="0F2C3B64" w:rsidR="003F0114" w:rsidRPr="00F652E5" w:rsidRDefault="003F0114" w:rsidP="003F0114">
      <w:r w:rsidRPr="00F652E5">
        <w:t xml:space="preserve">NFOŚiGW i </w:t>
      </w:r>
      <w:proofErr w:type="spellStart"/>
      <w:r w:rsidR="00E44209" w:rsidRPr="00F652E5">
        <w:t>wfośigw</w:t>
      </w:r>
      <w:proofErr w:type="spellEnd"/>
      <w:r w:rsidRPr="00F652E5">
        <w:t xml:space="preserve"> pozostają w dialogu z gminami oraz dostosowują ofertę szkoleniową do realnych potrzeb operacyjnych.</w:t>
      </w:r>
    </w:p>
    <w:p w14:paraId="52DDBE4E" w14:textId="067D4C33" w:rsidR="003F0114" w:rsidRPr="00F652E5" w:rsidRDefault="003F0114" w:rsidP="003F0114">
      <w:r w:rsidRPr="00F652E5">
        <w:t>Zachęcamy gminy i audytorów energetycznych do zgłaszania propozycji zakresów tematycznych, preferowanych formuł szkoleniowych oraz uwag dotyczących współpracy z audytorami.</w:t>
      </w:r>
    </w:p>
    <w:p w14:paraId="1DB01FC8" w14:textId="23D65E7B" w:rsidR="003F0114" w:rsidRDefault="003F0114" w:rsidP="00BC0F2B">
      <w:r w:rsidRPr="00F6211B">
        <w:rPr>
          <w:b/>
          <w:bCs/>
          <w:i/>
          <w:iCs/>
        </w:rPr>
        <w:t>Planowany termin wprowadzenia:</w:t>
      </w:r>
      <w:r w:rsidR="00BC0F2B">
        <w:rPr>
          <w:b/>
          <w:bCs/>
          <w:i/>
          <w:iCs/>
        </w:rPr>
        <w:t xml:space="preserve"> </w:t>
      </w:r>
      <w:r w:rsidR="00372C19">
        <w:t xml:space="preserve"> Zadania realizowanie na bieżąco</w:t>
      </w:r>
      <w:r w:rsidR="00BC0F2B" w:rsidRPr="00DF5A0F">
        <w:t>.</w:t>
      </w:r>
    </w:p>
    <w:p w14:paraId="1251440F" w14:textId="6F9BA458" w:rsidR="00567E32" w:rsidRPr="0046224E" w:rsidRDefault="009B7B64" w:rsidP="00567E32">
      <w:pPr>
        <w:pStyle w:val="Nagwek1"/>
        <w:ind w:left="284" w:hanging="284"/>
        <w:rPr>
          <w:b/>
          <w:bCs/>
        </w:rPr>
      </w:pPr>
      <w:bookmarkStart w:id="16" w:name="_Toc222131019"/>
      <w:r>
        <w:rPr>
          <w:b/>
          <w:bCs/>
        </w:rPr>
        <w:t>Zmiany precyzujące za</w:t>
      </w:r>
      <w:r w:rsidR="009916D5">
        <w:rPr>
          <w:b/>
          <w:bCs/>
        </w:rPr>
        <w:t>pisy programu</w:t>
      </w:r>
      <w:bookmarkEnd w:id="16"/>
    </w:p>
    <w:p w14:paraId="52ACB696" w14:textId="77777777" w:rsidR="00567E32" w:rsidRDefault="00567E32" w:rsidP="00567E32">
      <w:pPr>
        <w:pStyle w:val="Nagwek2"/>
        <w:ind w:left="426" w:hanging="426"/>
      </w:pPr>
      <w:bookmarkStart w:id="17" w:name="_Toc222131020"/>
      <w:r>
        <w:t>Ruszt w kotłach hybrydowych</w:t>
      </w:r>
      <w:bookmarkEnd w:id="17"/>
    </w:p>
    <w:p w14:paraId="46E568BE" w14:textId="40FCC7EB" w:rsidR="00567E32" w:rsidRDefault="00567E32" w:rsidP="00567E32">
      <w:r w:rsidRPr="0046224E">
        <w:rPr>
          <w:b/>
          <w:bCs/>
          <w:i/>
          <w:iCs/>
        </w:rPr>
        <w:t>Propozycja zmiany</w:t>
      </w:r>
      <w:r>
        <w:t xml:space="preserve">: Doprecyzowanie, że wymóg braku rusztu i możliwości jego instalacji dotyczy kotłów automatycznych na </w:t>
      </w:r>
      <w:proofErr w:type="spellStart"/>
      <w:r>
        <w:t>pellet</w:t>
      </w:r>
      <w:proofErr w:type="spellEnd"/>
      <w:r>
        <w:t xml:space="preserve"> a nie kotłów hybrydowych</w:t>
      </w:r>
      <w:r w:rsidR="00F05722">
        <w:t xml:space="preserve">, które zostały przebadane </w:t>
      </w:r>
      <w:r w:rsidR="00761DAE">
        <w:t xml:space="preserve">w zakresie spalania </w:t>
      </w:r>
      <w:proofErr w:type="spellStart"/>
      <w:r w:rsidR="00D634C4">
        <w:t>pelletu</w:t>
      </w:r>
      <w:proofErr w:type="spellEnd"/>
      <w:r w:rsidR="00D634C4">
        <w:t xml:space="preserve"> i zgazowania </w:t>
      </w:r>
      <w:r w:rsidR="00761DAE">
        <w:t>drewna</w:t>
      </w:r>
      <w:r>
        <w:t xml:space="preserve">. </w:t>
      </w:r>
    </w:p>
    <w:p w14:paraId="69F0091A" w14:textId="77777777" w:rsidR="00567E32" w:rsidRDefault="00567E32" w:rsidP="00567E32">
      <w:r w:rsidRPr="0046224E">
        <w:rPr>
          <w:b/>
          <w:bCs/>
          <w:i/>
          <w:iCs/>
        </w:rPr>
        <w:t>Planowany termin wprowadzenia</w:t>
      </w:r>
      <w:r>
        <w:t xml:space="preserve">: </w:t>
      </w:r>
      <w:r w:rsidRPr="009C5861">
        <w:t>I</w:t>
      </w:r>
      <w:r>
        <w:t>I</w:t>
      </w:r>
      <w:r w:rsidRPr="009C5861">
        <w:t xml:space="preserve"> kwartał 2026 r. Propozycja zapisu zawarta w treści programu Czyste Powietrze przedstawionego w ramach konsultacji</w:t>
      </w:r>
      <w:r>
        <w:t>.</w:t>
      </w:r>
    </w:p>
    <w:p w14:paraId="1761C5AD" w14:textId="77777777" w:rsidR="00567E32" w:rsidRDefault="00567E32" w:rsidP="00567E32">
      <w:pPr>
        <w:pStyle w:val="Nagwek2"/>
        <w:ind w:left="426" w:hanging="426"/>
      </w:pPr>
      <w:bookmarkStart w:id="18" w:name="_Toc221903081"/>
      <w:bookmarkStart w:id="19" w:name="_Toc221903145"/>
      <w:bookmarkStart w:id="20" w:name="_Toc221903411"/>
      <w:bookmarkStart w:id="21" w:name="_Toc221903082"/>
      <w:bookmarkStart w:id="22" w:name="_Toc221903146"/>
      <w:bookmarkStart w:id="23" w:name="_Toc221903412"/>
      <w:bookmarkStart w:id="24" w:name="_Toc221903083"/>
      <w:bookmarkStart w:id="25" w:name="_Toc221903147"/>
      <w:bookmarkStart w:id="26" w:name="_Toc221903413"/>
      <w:bookmarkStart w:id="27" w:name="_Toc222131021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t>Poświadczenie odłączenia od przewodów kominowych</w:t>
      </w:r>
      <w:bookmarkEnd w:id="27"/>
    </w:p>
    <w:p w14:paraId="1CE92EEE" w14:textId="046B3EC0" w:rsidR="00567E32" w:rsidRDefault="00567E32" w:rsidP="00567E32">
      <w:r w:rsidRPr="0046224E">
        <w:rPr>
          <w:b/>
          <w:bCs/>
          <w:i/>
          <w:iCs/>
        </w:rPr>
        <w:t>Propozycja zmiany:</w:t>
      </w:r>
      <w:r>
        <w:t xml:space="preserve"> Uwzględnienie osób wykonujących samodzielne funkcje techniczne </w:t>
      </w:r>
      <w:r w:rsidR="002074A2">
        <w:br/>
      </w:r>
      <w:r>
        <w:t xml:space="preserve">w budownictwie przy dokonywaniu odbiorów przewodów kominowych i przygotowaniu protokołów w tym zakresie. Dotychczas w programie takie poświadczenie może podpisać jedynie </w:t>
      </w:r>
      <w:r w:rsidRPr="00264BD4">
        <w:t>mistrz kominiarski</w:t>
      </w:r>
      <w:r>
        <w:t xml:space="preserve">. </w:t>
      </w:r>
    </w:p>
    <w:p w14:paraId="38BA12F7" w14:textId="77777777" w:rsidR="00567E32" w:rsidRDefault="00567E32" w:rsidP="00567E32">
      <w:r w:rsidRPr="0046224E">
        <w:rPr>
          <w:b/>
          <w:bCs/>
          <w:i/>
          <w:iCs/>
        </w:rPr>
        <w:t>Planowany termin wprowadzenia:</w:t>
      </w:r>
      <w:r>
        <w:t xml:space="preserve"> </w:t>
      </w:r>
      <w:r w:rsidRPr="00264BD4">
        <w:t>II kwartał 2026 r. Propozycja zapisu zawarta w treści programu Czyste Powietrze przedstawionego w ramach konsultacji</w:t>
      </w:r>
      <w:r>
        <w:t>.</w:t>
      </w:r>
    </w:p>
    <w:p w14:paraId="160AEFC9" w14:textId="77777777" w:rsidR="00071F7F" w:rsidRDefault="00071F7F" w:rsidP="00BC0F2B"/>
    <w:p w14:paraId="093F0DA5" w14:textId="5F97EAFE" w:rsidR="00E44209" w:rsidRDefault="00E44209" w:rsidP="00E44209"/>
    <w:sectPr w:rsidR="00E442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4270" w14:textId="77777777" w:rsidR="002A6545" w:rsidRDefault="002A6545" w:rsidP="00C32292">
      <w:pPr>
        <w:spacing w:after="0" w:line="240" w:lineRule="auto"/>
      </w:pPr>
      <w:r>
        <w:separator/>
      </w:r>
    </w:p>
  </w:endnote>
  <w:endnote w:type="continuationSeparator" w:id="0">
    <w:p w14:paraId="25A4C302" w14:textId="77777777" w:rsidR="002A6545" w:rsidRDefault="002A6545" w:rsidP="00C3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0167114"/>
      <w:docPartObj>
        <w:docPartGallery w:val="Page Numbers (Bottom of Page)"/>
        <w:docPartUnique/>
      </w:docPartObj>
    </w:sdtPr>
    <w:sdtEndPr/>
    <w:sdtContent>
      <w:p w14:paraId="088CB555" w14:textId="5EE20CE8" w:rsidR="001E095C" w:rsidRDefault="001E09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43064C" w14:textId="77777777" w:rsidR="001E095C" w:rsidRDefault="001E0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67C6" w14:textId="77777777" w:rsidR="002A6545" w:rsidRDefault="002A6545" w:rsidP="00C32292">
      <w:pPr>
        <w:spacing w:after="0" w:line="240" w:lineRule="auto"/>
      </w:pPr>
      <w:r>
        <w:separator/>
      </w:r>
    </w:p>
  </w:footnote>
  <w:footnote w:type="continuationSeparator" w:id="0">
    <w:p w14:paraId="6B6E94B0" w14:textId="77777777" w:rsidR="002A6545" w:rsidRDefault="002A6545" w:rsidP="00C32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1CE2"/>
    <w:multiLevelType w:val="hybridMultilevel"/>
    <w:tmpl w:val="80B05C34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401D"/>
    <w:multiLevelType w:val="hybridMultilevel"/>
    <w:tmpl w:val="82F2115C"/>
    <w:lvl w:ilvl="0" w:tplc="0A327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220B4"/>
    <w:multiLevelType w:val="hybridMultilevel"/>
    <w:tmpl w:val="82102FE0"/>
    <w:lvl w:ilvl="0" w:tplc="5BB0C42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52FED"/>
    <w:multiLevelType w:val="multilevel"/>
    <w:tmpl w:val="3D0C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100E30"/>
    <w:multiLevelType w:val="multilevel"/>
    <w:tmpl w:val="30B86256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B6E0D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B17CF2"/>
    <w:multiLevelType w:val="hybridMultilevel"/>
    <w:tmpl w:val="40962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5A3"/>
    <w:multiLevelType w:val="multilevel"/>
    <w:tmpl w:val="AF6EB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A4D0F61"/>
    <w:multiLevelType w:val="hybridMultilevel"/>
    <w:tmpl w:val="6F42B222"/>
    <w:lvl w:ilvl="0" w:tplc="716CC416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A930D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E26546"/>
    <w:multiLevelType w:val="hybridMultilevel"/>
    <w:tmpl w:val="D4C8A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E704E"/>
    <w:multiLevelType w:val="hybridMultilevel"/>
    <w:tmpl w:val="58C27F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F11D4"/>
    <w:multiLevelType w:val="hybridMultilevel"/>
    <w:tmpl w:val="4B6CCF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A646C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4967412A"/>
    <w:multiLevelType w:val="hybridMultilevel"/>
    <w:tmpl w:val="B43E3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A2A27"/>
    <w:multiLevelType w:val="hybridMultilevel"/>
    <w:tmpl w:val="C48E07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B6964"/>
    <w:multiLevelType w:val="multilevel"/>
    <w:tmpl w:val="65C23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9358C2"/>
    <w:multiLevelType w:val="hybridMultilevel"/>
    <w:tmpl w:val="DAB60324"/>
    <w:lvl w:ilvl="0" w:tplc="C02860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93520"/>
    <w:multiLevelType w:val="hybridMultilevel"/>
    <w:tmpl w:val="B29813FA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E2819"/>
    <w:multiLevelType w:val="hybridMultilevel"/>
    <w:tmpl w:val="4DBA6230"/>
    <w:lvl w:ilvl="0" w:tplc="4426F158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B431B16"/>
    <w:multiLevelType w:val="hybridMultilevel"/>
    <w:tmpl w:val="AD82DD08"/>
    <w:lvl w:ilvl="0" w:tplc="3388591E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D4E703A"/>
    <w:multiLevelType w:val="hybridMultilevel"/>
    <w:tmpl w:val="3B92D4DA"/>
    <w:lvl w:ilvl="0" w:tplc="0A327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398652">
    <w:abstractNumId w:val="10"/>
  </w:num>
  <w:num w:numId="2" w16cid:durableId="352271250">
    <w:abstractNumId w:val="6"/>
  </w:num>
  <w:num w:numId="3" w16cid:durableId="593519280">
    <w:abstractNumId w:val="5"/>
  </w:num>
  <w:num w:numId="4" w16cid:durableId="702754026">
    <w:abstractNumId w:val="14"/>
  </w:num>
  <w:num w:numId="5" w16cid:durableId="887108365">
    <w:abstractNumId w:val="13"/>
  </w:num>
  <w:num w:numId="6" w16cid:durableId="107627359">
    <w:abstractNumId w:val="16"/>
  </w:num>
  <w:num w:numId="7" w16cid:durableId="2040156129">
    <w:abstractNumId w:val="7"/>
  </w:num>
  <w:num w:numId="8" w16cid:durableId="87963955">
    <w:abstractNumId w:val="9"/>
  </w:num>
  <w:num w:numId="9" w16cid:durableId="335964925">
    <w:abstractNumId w:val="8"/>
  </w:num>
  <w:num w:numId="10" w16cid:durableId="686176463">
    <w:abstractNumId w:val="3"/>
  </w:num>
  <w:num w:numId="11" w16cid:durableId="1256593749">
    <w:abstractNumId w:val="2"/>
  </w:num>
  <w:num w:numId="12" w16cid:durableId="928929745">
    <w:abstractNumId w:val="2"/>
  </w:num>
  <w:num w:numId="13" w16cid:durableId="211774285">
    <w:abstractNumId w:val="2"/>
  </w:num>
  <w:num w:numId="14" w16cid:durableId="70127733">
    <w:abstractNumId w:val="21"/>
  </w:num>
  <w:num w:numId="15" w16cid:durableId="960837928">
    <w:abstractNumId w:val="1"/>
  </w:num>
  <w:num w:numId="16" w16cid:durableId="725252899">
    <w:abstractNumId w:val="2"/>
  </w:num>
  <w:num w:numId="17" w16cid:durableId="623387372">
    <w:abstractNumId w:val="2"/>
  </w:num>
  <w:num w:numId="18" w16cid:durableId="781920452">
    <w:abstractNumId w:val="2"/>
  </w:num>
  <w:num w:numId="19" w16cid:durableId="834296654">
    <w:abstractNumId w:val="2"/>
  </w:num>
  <w:num w:numId="20" w16cid:durableId="1728455684">
    <w:abstractNumId w:val="2"/>
  </w:num>
  <w:num w:numId="21" w16cid:durableId="932666806">
    <w:abstractNumId w:val="2"/>
  </w:num>
  <w:num w:numId="22" w16cid:durableId="1777629779">
    <w:abstractNumId w:val="2"/>
  </w:num>
  <w:num w:numId="23" w16cid:durableId="36975448">
    <w:abstractNumId w:val="2"/>
  </w:num>
  <w:num w:numId="24" w16cid:durableId="658191528">
    <w:abstractNumId w:val="2"/>
  </w:num>
  <w:num w:numId="25" w16cid:durableId="752701237">
    <w:abstractNumId w:val="2"/>
  </w:num>
  <w:num w:numId="26" w16cid:durableId="1598562642">
    <w:abstractNumId w:val="2"/>
  </w:num>
  <w:num w:numId="27" w16cid:durableId="633676088">
    <w:abstractNumId w:val="2"/>
  </w:num>
  <w:num w:numId="28" w16cid:durableId="299264071">
    <w:abstractNumId w:val="2"/>
  </w:num>
  <w:num w:numId="29" w16cid:durableId="994260638">
    <w:abstractNumId w:val="2"/>
  </w:num>
  <w:num w:numId="30" w16cid:durableId="1463964046">
    <w:abstractNumId w:val="2"/>
  </w:num>
  <w:num w:numId="31" w16cid:durableId="1456483264">
    <w:abstractNumId w:val="4"/>
  </w:num>
  <w:num w:numId="32" w16cid:durableId="819464860">
    <w:abstractNumId w:val="12"/>
  </w:num>
  <w:num w:numId="33" w16cid:durableId="1098795781">
    <w:abstractNumId w:val="11"/>
  </w:num>
  <w:num w:numId="34" w16cid:durableId="771781431">
    <w:abstractNumId w:val="15"/>
  </w:num>
  <w:num w:numId="35" w16cid:durableId="191499914">
    <w:abstractNumId w:val="20"/>
  </w:num>
  <w:num w:numId="36" w16cid:durableId="1157720892">
    <w:abstractNumId w:val="19"/>
  </w:num>
  <w:num w:numId="37" w16cid:durableId="1021516084">
    <w:abstractNumId w:val="0"/>
  </w:num>
  <w:num w:numId="38" w16cid:durableId="884373003">
    <w:abstractNumId w:val="17"/>
  </w:num>
  <w:num w:numId="39" w16cid:durableId="16405693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FA"/>
    <w:rsid w:val="000006F2"/>
    <w:rsid w:val="00050186"/>
    <w:rsid w:val="0005229B"/>
    <w:rsid w:val="0005561A"/>
    <w:rsid w:val="00057BED"/>
    <w:rsid w:val="00071F7F"/>
    <w:rsid w:val="000B4527"/>
    <w:rsid w:val="000B742C"/>
    <w:rsid w:val="000D2019"/>
    <w:rsid w:val="000D46A7"/>
    <w:rsid w:val="001C30B7"/>
    <w:rsid w:val="001E095C"/>
    <w:rsid w:val="001F7087"/>
    <w:rsid w:val="002028EC"/>
    <w:rsid w:val="002074A2"/>
    <w:rsid w:val="00215CD8"/>
    <w:rsid w:val="00264BD4"/>
    <w:rsid w:val="00276CA2"/>
    <w:rsid w:val="002A62CA"/>
    <w:rsid w:val="002A6545"/>
    <w:rsid w:val="002B33AF"/>
    <w:rsid w:val="002D103C"/>
    <w:rsid w:val="002D160F"/>
    <w:rsid w:val="002F39CC"/>
    <w:rsid w:val="00362D49"/>
    <w:rsid w:val="00370ACB"/>
    <w:rsid w:val="00372383"/>
    <w:rsid w:val="00372C19"/>
    <w:rsid w:val="00390C15"/>
    <w:rsid w:val="003D213D"/>
    <w:rsid w:val="003F0114"/>
    <w:rsid w:val="00414E27"/>
    <w:rsid w:val="004234CF"/>
    <w:rsid w:val="00431D44"/>
    <w:rsid w:val="00436B42"/>
    <w:rsid w:val="004501E2"/>
    <w:rsid w:val="0046224E"/>
    <w:rsid w:val="004C5D5C"/>
    <w:rsid w:val="004E0850"/>
    <w:rsid w:val="005113A6"/>
    <w:rsid w:val="00514CDB"/>
    <w:rsid w:val="00527732"/>
    <w:rsid w:val="0053287F"/>
    <w:rsid w:val="0053313A"/>
    <w:rsid w:val="00567E32"/>
    <w:rsid w:val="00637D73"/>
    <w:rsid w:val="00655E16"/>
    <w:rsid w:val="006644B8"/>
    <w:rsid w:val="006B23FA"/>
    <w:rsid w:val="00703B66"/>
    <w:rsid w:val="00706EB9"/>
    <w:rsid w:val="00707375"/>
    <w:rsid w:val="0072313C"/>
    <w:rsid w:val="007410C3"/>
    <w:rsid w:val="007479C8"/>
    <w:rsid w:val="00747DAE"/>
    <w:rsid w:val="00761DAE"/>
    <w:rsid w:val="00777642"/>
    <w:rsid w:val="00810BBC"/>
    <w:rsid w:val="00855CBC"/>
    <w:rsid w:val="008728F9"/>
    <w:rsid w:val="008B7FAC"/>
    <w:rsid w:val="008D54BF"/>
    <w:rsid w:val="008F7EC6"/>
    <w:rsid w:val="00906D82"/>
    <w:rsid w:val="0092386C"/>
    <w:rsid w:val="0095760A"/>
    <w:rsid w:val="00972CD1"/>
    <w:rsid w:val="00974143"/>
    <w:rsid w:val="00987E31"/>
    <w:rsid w:val="0099089F"/>
    <w:rsid w:val="009916D5"/>
    <w:rsid w:val="00991998"/>
    <w:rsid w:val="009A4BF9"/>
    <w:rsid w:val="009A5B35"/>
    <w:rsid w:val="009B7B64"/>
    <w:rsid w:val="009C24C1"/>
    <w:rsid w:val="009C5861"/>
    <w:rsid w:val="009D3923"/>
    <w:rsid w:val="00A16AF0"/>
    <w:rsid w:val="00A16F7C"/>
    <w:rsid w:val="00A527FD"/>
    <w:rsid w:val="00AC2F89"/>
    <w:rsid w:val="00AC4B13"/>
    <w:rsid w:val="00AC5A0D"/>
    <w:rsid w:val="00AE4674"/>
    <w:rsid w:val="00B14E0A"/>
    <w:rsid w:val="00B64055"/>
    <w:rsid w:val="00B725DE"/>
    <w:rsid w:val="00B779AB"/>
    <w:rsid w:val="00B837A6"/>
    <w:rsid w:val="00B9040B"/>
    <w:rsid w:val="00BC0F2B"/>
    <w:rsid w:val="00BC69FA"/>
    <w:rsid w:val="00BE2EE2"/>
    <w:rsid w:val="00C06127"/>
    <w:rsid w:val="00C22F7A"/>
    <w:rsid w:val="00C32292"/>
    <w:rsid w:val="00C33551"/>
    <w:rsid w:val="00C4508C"/>
    <w:rsid w:val="00C464FE"/>
    <w:rsid w:val="00C54ABD"/>
    <w:rsid w:val="00C654E3"/>
    <w:rsid w:val="00C87B5E"/>
    <w:rsid w:val="00CB6052"/>
    <w:rsid w:val="00CC10CD"/>
    <w:rsid w:val="00CD57EF"/>
    <w:rsid w:val="00D15D32"/>
    <w:rsid w:val="00D30A0C"/>
    <w:rsid w:val="00D634C4"/>
    <w:rsid w:val="00D80025"/>
    <w:rsid w:val="00DD0D7F"/>
    <w:rsid w:val="00DD100A"/>
    <w:rsid w:val="00E02BBC"/>
    <w:rsid w:val="00E038D4"/>
    <w:rsid w:val="00E07970"/>
    <w:rsid w:val="00E12864"/>
    <w:rsid w:val="00E243F0"/>
    <w:rsid w:val="00E44209"/>
    <w:rsid w:val="00E75FEF"/>
    <w:rsid w:val="00EC46C6"/>
    <w:rsid w:val="00F0173E"/>
    <w:rsid w:val="00F05722"/>
    <w:rsid w:val="00F23F2A"/>
    <w:rsid w:val="00F31274"/>
    <w:rsid w:val="00F41EE7"/>
    <w:rsid w:val="00F5626A"/>
    <w:rsid w:val="00F6211B"/>
    <w:rsid w:val="00F85F9F"/>
    <w:rsid w:val="00F97F64"/>
    <w:rsid w:val="00FB2031"/>
    <w:rsid w:val="00FD7919"/>
    <w:rsid w:val="00FE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329C9"/>
  <w15:chartTrackingRefBased/>
  <w15:docId w15:val="{4332CBF7-9C32-4A5E-B127-91846329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F7A"/>
    <w:pPr>
      <w:jc w:val="both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F7A"/>
    <w:pPr>
      <w:keepNext/>
      <w:keepLines/>
      <w:numPr>
        <w:numId w:val="31"/>
      </w:numPr>
      <w:spacing w:before="360" w:after="80"/>
      <w:outlineLvl w:val="0"/>
    </w:pPr>
    <w:rPr>
      <w:rFonts w:eastAsiaTheme="majorEastAsia" w:cstheme="majorBidi"/>
      <w:color w:val="0F4761" w:themeColor="accent1" w:themeShade="BF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F7A"/>
    <w:pPr>
      <w:keepNext/>
      <w:keepLines/>
      <w:numPr>
        <w:ilvl w:val="1"/>
        <w:numId w:val="31"/>
      </w:numPr>
      <w:spacing w:before="360"/>
      <w:outlineLvl w:val="1"/>
    </w:pPr>
    <w:rPr>
      <w:rFonts w:eastAsiaTheme="majorEastAsia" w:cstheme="majorBidi"/>
      <w:sz w:val="24"/>
      <w:szCs w:val="32"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9FA"/>
    <w:pPr>
      <w:keepNext/>
      <w:keepLines/>
      <w:numPr>
        <w:ilvl w:val="2"/>
        <w:numId w:val="3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9FA"/>
    <w:pPr>
      <w:keepNext/>
      <w:keepLines/>
      <w:numPr>
        <w:ilvl w:val="3"/>
        <w:numId w:val="3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9FA"/>
    <w:pPr>
      <w:keepNext/>
      <w:keepLines/>
      <w:numPr>
        <w:ilvl w:val="4"/>
        <w:numId w:val="3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9FA"/>
    <w:pPr>
      <w:keepNext/>
      <w:keepLines/>
      <w:numPr>
        <w:ilvl w:val="5"/>
        <w:numId w:val="3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9FA"/>
    <w:pPr>
      <w:keepNext/>
      <w:keepLines/>
      <w:numPr>
        <w:ilvl w:val="6"/>
        <w:numId w:val="3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9FA"/>
    <w:pPr>
      <w:keepNext/>
      <w:keepLines/>
      <w:numPr>
        <w:ilvl w:val="7"/>
        <w:numId w:val="3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9FA"/>
    <w:pPr>
      <w:keepNext/>
      <w:keepLines/>
      <w:numPr>
        <w:ilvl w:val="8"/>
        <w:numId w:val="3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2F7A"/>
    <w:rPr>
      <w:rFonts w:ascii="Open Sans" w:eastAsiaTheme="majorEastAsia" w:hAnsi="Open Sans" w:cstheme="majorBidi"/>
      <w:color w:val="0F4761" w:themeColor="accent1" w:themeShade="BF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22F7A"/>
    <w:rPr>
      <w:rFonts w:ascii="Open Sans" w:eastAsiaTheme="majorEastAsia" w:hAnsi="Open Sans" w:cstheme="majorBidi"/>
      <w:sz w:val="24"/>
      <w:szCs w:val="3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9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9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9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9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9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9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2F7A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2F7A"/>
    <w:rPr>
      <w:rFonts w:ascii="Open Sans" w:eastAsiaTheme="majorEastAsia" w:hAnsi="Open Sans" w:cstheme="majorBidi"/>
      <w:spacing w:val="-10"/>
      <w:kern w:val="28"/>
      <w:sz w:val="40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6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69F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C69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69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9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69FA"/>
    <w:rPr>
      <w:b/>
      <w:bCs/>
      <w:smallCaps/>
      <w:color w:val="0F4761" w:themeColor="accent1" w:themeShade="BF"/>
      <w:spacing w:val="5"/>
    </w:rPr>
  </w:style>
  <w:style w:type="paragraph" w:customStyle="1" w:styleId="Nag2">
    <w:name w:val="Nagł 2"/>
    <w:basedOn w:val="Akapitzlist"/>
    <w:link w:val="Nag2Znak"/>
    <w:qFormat/>
    <w:rsid w:val="002B33AF"/>
    <w:pPr>
      <w:numPr>
        <w:ilvl w:val="1"/>
        <w:numId w:val="6"/>
      </w:numPr>
    </w:pPr>
    <w:rPr>
      <w:color w:val="002060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B33AF"/>
  </w:style>
  <w:style w:type="character" w:customStyle="1" w:styleId="Nag2Znak">
    <w:name w:val="Nagł 2 Znak"/>
    <w:basedOn w:val="AkapitzlistZnak"/>
    <w:link w:val="Nag2"/>
    <w:rsid w:val="002B33AF"/>
    <w:rPr>
      <w:color w:val="00206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2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2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2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11B"/>
    <w:rPr>
      <w:rFonts w:ascii="Open Sans" w:hAnsi="Open Sans"/>
    </w:rPr>
  </w:style>
  <w:style w:type="paragraph" w:styleId="Stopka">
    <w:name w:val="footer"/>
    <w:basedOn w:val="Normalny"/>
    <w:link w:val="StopkaZnak"/>
    <w:uiPriority w:val="99"/>
    <w:unhideWhenUsed/>
    <w:rsid w:val="00F6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11B"/>
    <w:rPr>
      <w:rFonts w:ascii="Open Sans" w:hAnsi="Open Sans"/>
    </w:rPr>
  </w:style>
  <w:style w:type="paragraph" w:styleId="Poprawka">
    <w:name w:val="Revision"/>
    <w:hidden/>
    <w:uiPriority w:val="99"/>
    <w:semiHidden/>
    <w:rsid w:val="00A16AF0"/>
    <w:pPr>
      <w:spacing w:after="0" w:line="240" w:lineRule="auto"/>
    </w:pPr>
    <w:rPr>
      <w:rFonts w:ascii="Open Sans" w:hAnsi="Open San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74143"/>
    <w:pPr>
      <w:numPr>
        <w:numId w:val="0"/>
      </w:numPr>
      <w:spacing w:before="240" w:after="0"/>
      <w:jc w:val="left"/>
      <w:outlineLvl w:val="9"/>
    </w:pPr>
    <w:rPr>
      <w:rFonts w:asciiTheme="majorHAnsi" w:hAnsiTheme="majorHAnsi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741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74143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7414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B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5B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5B35"/>
    <w:rPr>
      <w:rFonts w:ascii="Open Sans" w:hAnsi="Open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B35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648E6-C7C2-406C-84A2-F9C7E6AC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2084</Words>
  <Characters>15221</Characters>
  <Application>Microsoft Office Word</Application>
  <DocSecurity>0</DocSecurity>
  <Lines>257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Kaniszewska Antonina</dc:creator>
  <cp:keywords/>
  <dc:description/>
  <cp:lastModifiedBy>Kowalczyk Dorota</cp:lastModifiedBy>
  <cp:revision>3</cp:revision>
  <dcterms:created xsi:type="dcterms:W3CDTF">2026-02-16T11:54:00Z</dcterms:created>
  <dcterms:modified xsi:type="dcterms:W3CDTF">2026-02-16T11:54:00Z</dcterms:modified>
</cp:coreProperties>
</file>