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199D1831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2E9D471C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12DA9F95" w:rsidR="008576F3" w:rsidRPr="000C3539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4D10EDB6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24D9DA2C" w:rsidR="00F447C0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7CFB33F9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51EA14B4" w:rsidR="00565FB5" w:rsidRPr="009C6501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7948006D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2A26F511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9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2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79947978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3A277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 xml:space="preserve">bazach danych </w:t>
      </w:r>
      <w:r w:rsidRPr="000C3539">
        <w:rPr>
          <w:rFonts w:asciiTheme="minorHAnsi" w:hAnsiTheme="minorHAnsi" w:cstheme="minorHAnsi"/>
          <w:sz w:val="22"/>
        </w:rPr>
        <w:lastRenderedPageBreak/>
        <w:t>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5FFD215B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tym systemie, albo dane </w:t>
      </w:r>
      <w:r>
        <w:rPr>
          <w:rFonts w:asciiTheme="minorHAnsi" w:eastAsia="Times New Roman" w:hAnsiTheme="minorHAnsi" w:cstheme="minorHAnsi"/>
          <w:sz w:val="22"/>
          <w:lang w:eastAsia="pl-PL"/>
        </w:rPr>
        <w:lastRenderedPageBreak/>
        <w:t>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ePUAP.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platformy ePUAP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6C36407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37 lub 39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5657980B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76C5E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9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46E15C0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C545C2F" w:rsidR="0074702A" w:rsidRPr="000C3539" w:rsidRDefault="0074702A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Pr="00933AAE">
        <w:rPr>
          <w:rFonts w:asciiTheme="minorHAnsi" w:hAnsiTheme="minorHAnsi" w:cstheme="minorHAnsi"/>
          <w:b/>
          <w:sz w:val="22"/>
        </w:rPr>
        <w:t>%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4F4D6D8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1B354922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0F6329A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11442E87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lastRenderedPageBreak/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5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5AF64D68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751B6F7D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38911223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5D6531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43E2929F" w:rsidR="003D7089" w:rsidRPr="000C3539" w:rsidRDefault="003D7089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7BA938B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rojekcie </w:t>
      </w:r>
      <w:r w:rsidRPr="000C3539">
        <w:rPr>
          <w:rFonts w:asciiTheme="minorHAnsi" w:hAnsiTheme="minorHAnsi" w:cstheme="minorHAnsi"/>
          <w:sz w:val="22"/>
        </w:rPr>
        <w:lastRenderedPageBreak/>
        <w:t>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681CF965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zakresie 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lastRenderedPageBreak/>
        <w:t>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2E9A26F0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03C2D484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304DFE1F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13857D6C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</w:t>
      </w:r>
      <w:r w:rsidR="000425C1" w:rsidRPr="000C3539">
        <w:rPr>
          <w:rFonts w:asciiTheme="minorHAnsi" w:hAnsiTheme="minorHAnsi" w:cstheme="minorHAnsi"/>
          <w:sz w:val="22"/>
        </w:rPr>
        <w:lastRenderedPageBreak/>
        <w:t xml:space="preserve">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63233DA6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4D1C7113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2027156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30528C79" w:rsidR="007E78FB" w:rsidRPr="000C3539" w:rsidRDefault="007E78FB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6EEA830A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F356DA4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1D51D12A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1C9329B2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FA39840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4000021B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2E3A479" w:rsidR="002D6B17" w:rsidRPr="000C3539" w:rsidRDefault="002D6B17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5751F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69F01984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1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lastRenderedPageBreak/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ul. Nowogrodzka 47a, 00-695,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ePUAP: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  <w:r w:rsidRPr="002351EF">
        <w:rPr>
          <w:rFonts w:asciiTheme="minorHAnsi" w:hAnsiTheme="minorHAnsi"/>
          <w:b/>
          <w:sz w:val="22"/>
        </w:rPr>
        <w:t>……………………………………………………………………….</w:t>
      </w:r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2839A146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45240E91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74219ED1" w14:textId="527BB1F7" w:rsidR="003A10AA" w:rsidRPr="00CA2B71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8"/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8131" w16cex:dateUtc="2020-05-07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82B071" w16cid:durableId="225EAC78"/>
  <w16cid:commentId w16cid:paraId="31F27905" w16cid:durableId="225E8131"/>
  <w16cid:commentId w16cid:paraId="1AFBF576" w16cid:durableId="225EAC7A"/>
  <w16cid:commentId w16cid:paraId="7013EA26" w16cid:durableId="225EAC7B"/>
  <w16cid:commentId w16cid:paraId="6664584D" w16cid:durableId="225EA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BA4A7" w14:textId="77777777" w:rsidR="00504732" w:rsidRDefault="00504732" w:rsidP="00771090">
      <w:pPr>
        <w:spacing w:after="0" w:line="240" w:lineRule="auto"/>
      </w:pPr>
      <w:r>
        <w:separator/>
      </w:r>
    </w:p>
  </w:endnote>
  <w:endnote w:type="continuationSeparator" w:id="0">
    <w:p w14:paraId="7C8AE10C" w14:textId="77777777" w:rsidR="00504732" w:rsidRDefault="00504732" w:rsidP="00771090">
      <w:pPr>
        <w:spacing w:after="0" w:line="240" w:lineRule="auto"/>
      </w:pPr>
      <w:r>
        <w:continuationSeparator/>
      </w:r>
    </w:p>
  </w:endnote>
  <w:endnote w:type="continuationNotice" w:id="1">
    <w:p w14:paraId="50B31957" w14:textId="77777777" w:rsidR="00504732" w:rsidRDefault="00504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33DA" w14:textId="77777777" w:rsidR="00B5205C" w:rsidRDefault="00B520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7A3A3AFA" w:rsidR="003A2771" w:rsidRDefault="003A2771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91C2E"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E3614" w14:textId="77777777" w:rsidR="00B5205C" w:rsidRDefault="00B52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399D" w14:textId="77777777" w:rsidR="00504732" w:rsidRDefault="00504732" w:rsidP="00771090">
      <w:pPr>
        <w:spacing w:after="0" w:line="240" w:lineRule="auto"/>
      </w:pPr>
      <w:r>
        <w:separator/>
      </w:r>
    </w:p>
  </w:footnote>
  <w:footnote w:type="continuationSeparator" w:id="0">
    <w:p w14:paraId="1C18CE15" w14:textId="77777777" w:rsidR="00504732" w:rsidRDefault="00504732" w:rsidP="00771090">
      <w:pPr>
        <w:spacing w:after="0" w:line="240" w:lineRule="auto"/>
      </w:pPr>
      <w:r>
        <w:continuationSeparator/>
      </w:r>
    </w:p>
  </w:footnote>
  <w:footnote w:type="continuationNotice" w:id="1">
    <w:p w14:paraId="5B05D713" w14:textId="77777777" w:rsidR="00504732" w:rsidRDefault="00504732">
      <w:pPr>
        <w:spacing w:after="0" w:line="240" w:lineRule="auto"/>
      </w:pPr>
    </w:p>
  </w:footnote>
  <w:footnote w:id="2">
    <w:p w14:paraId="719E61FF" w14:textId="1902EBF6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6B9A810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3A2771" w:rsidRPr="005D6531" w:rsidRDefault="003A2771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3A2771" w:rsidRPr="005D6531" w:rsidRDefault="003A2771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3A2771" w:rsidRPr="00DA6D6A" w:rsidRDefault="003A2771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1B730C12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52DFC2BE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11629F43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6D28973D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493EDE78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3A2771" w:rsidRPr="007471EE" w:rsidRDefault="003A2771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73CB6F82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144B19C7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2028A31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6A57EFF4" w:rsidR="003A2771" w:rsidRPr="007471EE" w:rsidRDefault="003A2771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3A2771" w:rsidRPr="007471EE" w:rsidRDefault="003A2771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6DC59D2F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512C0990" w:rsidR="003A2771" w:rsidRPr="009C6501" w:rsidRDefault="003A2771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2177ABF6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070CBD42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45E65D17" w:rsidR="003A2771" w:rsidRPr="007471EE" w:rsidRDefault="003A2771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64704914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04E8AE89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6D7C615C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64C8A0F8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5B0A58DB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4BC9BB7D" w14:textId="5F14C88C" w:rsidR="003A2771" w:rsidRPr="005D6531" w:rsidRDefault="003A2771" w:rsidP="005D653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5D653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5D6531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</w:rPr>
        <w:t xml:space="preserve">W okresie obowiązywania ustawy </w:t>
      </w:r>
      <w:r w:rsidRPr="0089545F">
        <w:rPr>
          <w:rFonts w:asciiTheme="minorHAnsi" w:hAnsiTheme="minorHAnsi"/>
          <w:sz w:val="14"/>
          <w:szCs w:val="14"/>
        </w:rPr>
        <w:t>z dnia 3 kwietnia 2020 r.</w:t>
      </w:r>
      <w:r>
        <w:rPr>
          <w:rFonts w:asciiTheme="minorHAnsi" w:hAnsiTheme="minorHAnsi"/>
          <w:sz w:val="14"/>
          <w:szCs w:val="14"/>
        </w:rPr>
        <w:t xml:space="preserve"> </w:t>
      </w:r>
      <w:r w:rsidRPr="0089545F">
        <w:rPr>
          <w:rFonts w:asciiTheme="minorHAnsi" w:hAnsiTheme="minorHAnsi"/>
          <w:sz w:val="14"/>
          <w:szCs w:val="14"/>
        </w:rPr>
        <w:t>o szczególnych rozwiązaniach wspierających realizację programów operacyjnych w związku z wystąpieniem COVID-19 w 2020 r.</w:t>
      </w:r>
      <w:r>
        <w:rPr>
          <w:rFonts w:asciiTheme="minorHAnsi" w:hAnsiTheme="minorHAnsi"/>
          <w:sz w:val="14"/>
          <w:szCs w:val="14"/>
        </w:rPr>
        <w:t xml:space="preserve">, </w:t>
      </w:r>
      <w:r w:rsidRPr="005D6531">
        <w:rPr>
          <w:rFonts w:asciiTheme="minorHAnsi" w:hAnsiTheme="minorHAnsi"/>
          <w:sz w:val="14"/>
          <w:szCs w:val="14"/>
        </w:rPr>
        <w:t>termin ulega wydłużeniu o 3 miesiące.</w:t>
      </w:r>
    </w:p>
  </w:footnote>
  <w:footnote w:id="30">
    <w:p w14:paraId="1AD704CE" w14:textId="3F379FAE" w:rsidR="003A2771" w:rsidRPr="007471EE" w:rsidRDefault="003A2771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1">
    <w:p w14:paraId="5E1B18D2" w14:textId="51FE17D6" w:rsidR="003A2771" w:rsidRPr="007471EE" w:rsidRDefault="003A2771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2">
    <w:p w14:paraId="4C7F40C2" w14:textId="0FF1D524" w:rsidR="003A2771" w:rsidRPr="007471EE" w:rsidRDefault="003A2771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3">
    <w:p w14:paraId="502805E4" w14:textId="5FCBB03B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6A90E7E4" w14:textId="2052911C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5">
    <w:p w14:paraId="2C49F8E8" w14:textId="21FCAF97" w:rsidR="003A2771" w:rsidRPr="007471EE" w:rsidRDefault="003A2771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6">
    <w:p w14:paraId="274E1AF0" w14:textId="1F507115" w:rsidR="003A2771" w:rsidRPr="007471EE" w:rsidRDefault="003A2771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7">
    <w:p w14:paraId="7A6C31DD" w14:textId="77777777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23C1F2D5" w14:textId="6C0EF730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9">
    <w:p w14:paraId="7BE557BD" w14:textId="73BFABA6" w:rsidR="003A2771" w:rsidRPr="007471EE" w:rsidRDefault="003A2771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0">
    <w:p w14:paraId="628D9F7B" w14:textId="100422C9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1">
    <w:p w14:paraId="6E2C242C" w14:textId="77777777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2">
    <w:p w14:paraId="2E749ACE" w14:textId="29AF782F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3">
    <w:p w14:paraId="565069A8" w14:textId="3179E762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4">
    <w:p w14:paraId="0F1F072A" w14:textId="67F3AB69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49EBF59E" w14:textId="6A19C926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29F2F323" w:rsidR="003A2771" w:rsidRPr="007471EE" w:rsidRDefault="003A2771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8665C8E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38B2DDBE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0BF8CCDF" w:rsidR="003A2771" w:rsidRPr="007471EE" w:rsidRDefault="003A2771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4C5FD121" w:rsidR="003A2771" w:rsidRPr="007471EE" w:rsidRDefault="003A2771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799E5DD4" w:rsidR="003A2771" w:rsidRPr="009C6501" w:rsidRDefault="003A2771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016860A8" w:rsidR="003A2771" w:rsidRPr="007471EE" w:rsidRDefault="003A2771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3A2771" w:rsidRPr="007471EE" w:rsidRDefault="003A2771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7E495917" w:rsidR="003A2771" w:rsidRPr="007471EE" w:rsidRDefault="003A2771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149C37AF" w:rsidR="003A2771" w:rsidRPr="007471EE" w:rsidRDefault="003A2771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4C274672" w:rsidR="003A2771" w:rsidRPr="007471EE" w:rsidRDefault="003A2771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8">
    <w:p w14:paraId="3DEF05CA" w14:textId="030586DC" w:rsidR="000A144C" w:rsidRPr="00933AAE" w:rsidRDefault="000A144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A1896" w14:textId="353A68A0" w:rsidR="00B5205C" w:rsidRDefault="00191C2E">
    <w:pPr>
      <w:pStyle w:val="Nagwek"/>
    </w:pPr>
    <w:r>
      <w:rPr>
        <w:noProof/>
      </w:rPr>
      <w:pict w14:anchorId="4B130F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87907" o:spid="_x0000_s4098" type="#_x0000_t136" style="position:absolute;margin-left:0;margin-top:0;width:596.6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563B6" w14:textId="31ACABFF" w:rsidR="00B5205C" w:rsidRDefault="00191C2E">
    <w:pPr>
      <w:pStyle w:val="Nagwek"/>
    </w:pPr>
    <w:r>
      <w:rPr>
        <w:noProof/>
      </w:rPr>
      <w:pict w14:anchorId="6CB68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87908" o:spid="_x0000_s4099" type="#_x0000_t136" style="position:absolute;margin-left:0;margin-top:0;width:596.6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0D834189" w:rsidR="003A2771" w:rsidRPr="00C5399F" w:rsidRDefault="00191C2E" w:rsidP="00C5399F">
    <w:pPr>
      <w:pStyle w:val="Nagwek"/>
      <w:jc w:val="right"/>
      <w:rPr>
        <w:i/>
        <w:sz w:val="16"/>
        <w:szCs w:val="16"/>
      </w:rPr>
    </w:pPr>
    <w:r>
      <w:rPr>
        <w:noProof/>
      </w:rPr>
      <w:pict w14:anchorId="522917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87906" o:spid="_x0000_s4097" type="#_x0000_t136" style="position:absolute;left:0;text-align:left;margin-left:0;margin-top:0;width:596.6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3A2771">
      <w:rPr>
        <w:noProof/>
        <w:lang w:eastAsia="pl-PL"/>
      </w:rPr>
      <w:drawing>
        <wp:inline distT="0" distB="0" distL="0" distR="0" wp14:anchorId="3AEFF700" wp14:editId="033342AA">
          <wp:extent cx="5937885" cy="640080"/>
          <wp:effectExtent l="0" t="0" r="571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2771" w:rsidRPr="00C5399F">
      <w:rPr>
        <w:i/>
        <w:sz w:val="16"/>
        <w:szCs w:val="16"/>
      </w:rPr>
      <w:t>konkurs</w:t>
    </w:r>
    <w:r w:rsidR="008B551D">
      <w:rPr>
        <w:i/>
        <w:sz w:val="16"/>
        <w:szCs w:val="16"/>
      </w:rPr>
      <w:t xml:space="preserve"> nr 7</w:t>
    </w:r>
    <w:r w:rsidR="003A2771" w:rsidRPr="00C5399F">
      <w:rPr>
        <w:i/>
        <w:sz w:val="16"/>
        <w:szCs w:val="16"/>
      </w:rPr>
      <w:t>/1.</w:t>
    </w:r>
    <w:r w:rsidR="003A2771">
      <w:rPr>
        <w:i/>
        <w:sz w:val="16"/>
        <w:szCs w:val="16"/>
      </w:rPr>
      <w:t>1.1</w:t>
    </w:r>
    <w:r w:rsidR="003A2771" w:rsidRPr="00C5399F">
      <w:rPr>
        <w:i/>
        <w:sz w:val="16"/>
        <w:szCs w:val="16"/>
      </w:rPr>
      <w:t>/20</w:t>
    </w:r>
    <w:r w:rsidR="003A2771">
      <w:rPr>
        <w:i/>
        <w:sz w:val="16"/>
        <w:szCs w:val="16"/>
      </w:rPr>
      <w:t xml:space="preserve">20 – </w:t>
    </w:r>
    <w:r w:rsidR="008B551D">
      <w:rPr>
        <w:i/>
        <w:sz w:val="16"/>
        <w:szCs w:val="16"/>
      </w:rPr>
      <w:t>10.08</w:t>
    </w:r>
    <w:r w:rsidR="003A2771">
      <w:rPr>
        <w:i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1F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1C2E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732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551D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205C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43AA-780C-4DB8-A04A-A47ED3A9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14049</Words>
  <Characters>84300</Characters>
  <Application>Microsoft Office Word</Application>
  <DocSecurity>0</DocSecurity>
  <Lines>702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98153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2020-03-02T09:51:00Z</cp:lastPrinted>
  <dcterms:created xsi:type="dcterms:W3CDTF">2020-12-30T11:36:00Z</dcterms:created>
  <dcterms:modified xsi:type="dcterms:W3CDTF">2020-12-30T11:36:00Z</dcterms:modified>
</cp:coreProperties>
</file>