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314E494D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0E3BBE">
        <w:rPr>
          <w:rFonts w:ascii="Abadi" w:hAnsi="Abadi"/>
          <w:b/>
          <w:bCs/>
          <w:color w:val="00B0F0"/>
          <w:sz w:val="36"/>
          <w:szCs w:val="36"/>
          <w:u w:val="single"/>
        </w:rPr>
        <w:t>7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0E3BBE">
        <w:rPr>
          <w:rFonts w:ascii="Abadi" w:hAnsi="Abadi"/>
          <w:b/>
          <w:bCs/>
          <w:color w:val="00B0F0"/>
          <w:sz w:val="36"/>
          <w:szCs w:val="36"/>
          <w:u w:val="single"/>
        </w:rPr>
        <w:t>STYCZNIA</w:t>
      </w:r>
      <w:r w:rsidR="00FB2364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>202</w:t>
      </w:r>
      <w:r w:rsidR="000E3BBE">
        <w:rPr>
          <w:rFonts w:ascii="Abadi" w:hAnsi="Abadi"/>
          <w:b/>
          <w:bCs/>
          <w:color w:val="00B0F0"/>
          <w:sz w:val="36"/>
          <w:szCs w:val="36"/>
          <w:u w:val="single"/>
        </w:rPr>
        <w:t>3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Default="008C0E92" w:rsidP="008C0E92">
      <w:pPr>
        <w:spacing w:before="360"/>
        <w:jc w:val="center"/>
      </w:pPr>
      <w:bookmarkStart w:id="0" w:name="_Hlk90283803"/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bookmarkEnd w:id="0"/>
    <w:p w14:paraId="6212A871" w14:textId="6A363987" w:rsidR="0048011A" w:rsidRPr="00452095" w:rsidRDefault="0048011A" w:rsidP="00492285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452095">
        <w:rPr>
          <w:rFonts w:ascii="Calibri Light" w:hAnsi="Calibri Light" w:cs="Calibri Light"/>
          <w:sz w:val="24"/>
          <w:szCs w:val="24"/>
        </w:rPr>
        <w:t xml:space="preserve">Obwieszczenie refundacyjne obowiązujące od </w:t>
      </w:r>
      <w:r w:rsidR="000E3BBE" w:rsidRPr="00452095">
        <w:rPr>
          <w:rFonts w:ascii="Calibri Light" w:hAnsi="Calibri Light" w:cs="Calibri Light"/>
          <w:sz w:val="24"/>
          <w:szCs w:val="24"/>
        </w:rPr>
        <w:t>stycznia</w:t>
      </w:r>
      <w:r w:rsidRPr="00452095">
        <w:rPr>
          <w:rFonts w:ascii="Calibri Light" w:hAnsi="Calibri Light" w:cs="Calibri Light"/>
          <w:sz w:val="24"/>
          <w:szCs w:val="24"/>
        </w:rPr>
        <w:t xml:space="preserve"> 202</w:t>
      </w:r>
      <w:r w:rsidR="000E3BBE" w:rsidRPr="00452095">
        <w:rPr>
          <w:rFonts w:ascii="Calibri Light" w:hAnsi="Calibri Light" w:cs="Calibri Light"/>
          <w:sz w:val="24"/>
          <w:szCs w:val="24"/>
        </w:rPr>
        <w:t>3</w:t>
      </w:r>
      <w:r w:rsidRPr="00452095">
        <w:rPr>
          <w:rFonts w:ascii="Calibri Light" w:hAnsi="Calibri Light" w:cs="Calibri Light"/>
          <w:sz w:val="24"/>
          <w:szCs w:val="24"/>
        </w:rPr>
        <w:t xml:space="preserve"> r. (nr 6</w:t>
      </w:r>
      <w:r w:rsidR="000E3BBE" w:rsidRPr="00452095">
        <w:rPr>
          <w:rFonts w:ascii="Calibri Light" w:hAnsi="Calibri Light" w:cs="Calibri Light"/>
          <w:sz w:val="24"/>
          <w:szCs w:val="24"/>
        </w:rPr>
        <w:t>7</w:t>
      </w:r>
      <w:r w:rsidRPr="00452095">
        <w:rPr>
          <w:rFonts w:ascii="Calibri Light" w:hAnsi="Calibri Light" w:cs="Calibri Light"/>
          <w:sz w:val="24"/>
          <w:szCs w:val="24"/>
        </w:rPr>
        <w:t xml:space="preserve">), w porównaniu do obwieszczenia </w:t>
      </w:r>
      <w:r w:rsidR="000E3BBE" w:rsidRPr="00452095">
        <w:rPr>
          <w:rFonts w:ascii="Calibri Light" w:hAnsi="Calibri Light" w:cs="Calibri Light"/>
          <w:sz w:val="24"/>
          <w:szCs w:val="24"/>
        </w:rPr>
        <w:t>66</w:t>
      </w:r>
      <w:r w:rsidRPr="00452095">
        <w:rPr>
          <w:rFonts w:ascii="Calibri Light" w:hAnsi="Calibri Light" w:cs="Calibri Light"/>
          <w:sz w:val="24"/>
          <w:szCs w:val="24"/>
        </w:rPr>
        <w:t xml:space="preserve"> zawiera następujące zmiany:</w:t>
      </w:r>
    </w:p>
    <w:p w14:paraId="00D4E161" w14:textId="4BA2F088" w:rsidR="0048011A" w:rsidRPr="009A26C9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9A26C9">
        <w:rPr>
          <w:rFonts w:ascii="Calibri Light" w:hAnsi="Calibri Light" w:cs="Calibri Light"/>
          <w:sz w:val="24"/>
          <w:szCs w:val="24"/>
        </w:rPr>
        <w:t xml:space="preserve">W związku z wydaniem pozytywnych decyzji o objęciu refundacją ogółem do </w:t>
      </w:r>
      <w:r w:rsidR="00B31928" w:rsidRPr="009A26C9">
        <w:rPr>
          <w:rFonts w:ascii="Calibri Light" w:hAnsi="Calibri Light" w:cs="Calibri Light"/>
          <w:sz w:val="24"/>
          <w:szCs w:val="24"/>
        </w:rPr>
        <w:t>wykazu</w:t>
      </w:r>
      <w:r w:rsidRPr="009A26C9">
        <w:rPr>
          <w:rFonts w:ascii="Calibri Light" w:hAnsi="Calibri Light" w:cs="Calibri Light"/>
          <w:sz w:val="24"/>
          <w:szCs w:val="24"/>
        </w:rPr>
        <w:t xml:space="preserve"> zosta</w:t>
      </w:r>
      <w:r w:rsidR="00B31928" w:rsidRPr="009A26C9">
        <w:rPr>
          <w:rFonts w:ascii="Calibri Light" w:hAnsi="Calibri Light" w:cs="Calibri Light"/>
          <w:sz w:val="24"/>
          <w:szCs w:val="24"/>
        </w:rPr>
        <w:t>ł</w:t>
      </w:r>
      <w:r w:rsidR="009A26C9">
        <w:rPr>
          <w:rFonts w:ascii="Calibri Light" w:hAnsi="Calibri Light" w:cs="Calibri Light"/>
          <w:sz w:val="24"/>
          <w:szCs w:val="24"/>
        </w:rPr>
        <w:t>o</w:t>
      </w:r>
      <w:r w:rsidRPr="009A26C9">
        <w:rPr>
          <w:rFonts w:ascii="Calibri Light" w:hAnsi="Calibri Light" w:cs="Calibri Light"/>
          <w:sz w:val="24"/>
          <w:szCs w:val="24"/>
        </w:rPr>
        <w:t xml:space="preserve"> dodan</w:t>
      </w:r>
      <w:r w:rsidR="009A26C9">
        <w:rPr>
          <w:rFonts w:ascii="Calibri Light" w:hAnsi="Calibri Light" w:cs="Calibri Light"/>
          <w:sz w:val="24"/>
          <w:szCs w:val="24"/>
        </w:rPr>
        <w:t>ych</w:t>
      </w:r>
      <w:r w:rsidRPr="009A26C9">
        <w:rPr>
          <w:rFonts w:ascii="Calibri Light" w:hAnsi="Calibri Light" w:cs="Calibri Light"/>
          <w:sz w:val="24"/>
          <w:szCs w:val="24"/>
        </w:rPr>
        <w:t xml:space="preserve"> </w:t>
      </w:r>
      <w:r w:rsidR="009A26C9" w:rsidRPr="009A26C9">
        <w:rPr>
          <w:rFonts w:ascii="Calibri Light" w:hAnsi="Calibri Light" w:cs="Calibri Light"/>
          <w:sz w:val="24"/>
          <w:szCs w:val="24"/>
        </w:rPr>
        <w:t>137</w:t>
      </w:r>
      <w:r w:rsidRPr="009A26C9">
        <w:rPr>
          <w:rFonts w:ascii="Calibri Light" w:hAnsi="Calibri Light" w:cs="Calibri Light"/>
          <w:sz w:val="24"/>
          <w:szCs w:val="24"/>
        </w:rPr>
        <w:t xml:space="preserve"> produkt</w:t>
      </w:r>
      <w:r w:rsidR="009A26C9" w:rsidRPr="009A26C9">
        <w:rPr>
          <w:rFonts w:ascii="Calibri Light" w:hAnsi="Calibri Light" w:cs="Calibri Light"/>
          <w:sz w:val="24"/>
          <w:szCs w:val="24"/>
        </w:rPr>
        <w:t>ów</w:t>
      </w:r>
      <w:r w:rsidRPr="009A26C9">
        <w:rPr>
          <w:rFonts w:ascii="Calibri Light" w:hAnsi="Calibri Light" w:cs="Calibri Light"/>
          <w:sz w:val="24"/>
          <w:szCs w:val="24"/>
        </w:rPr>
        <w:t xml:space="preserve"> bądź now</w:t>
      </w:r>
      <w:r w:rsidR="009A26C9" w:rsidRPr="009A26C9">
        <w:rPr>
          <w:rFonts w:ascii="Calibri Light" w:hAnsi="Calibri Light" w:cs="Calibri Light"/>
          <w:sz w:val="24"/>
          <w:szCs w:val="24"/>
        </w:rPr>
        <w:t>ych</w:t>
      </w:r>
      <w:r w:rsidRPr="009A26C9">
        <w:rPr>
          <w:rFonts w:ascii="Calibri Light" w:hAnsi="Calibri Light" w:cs="Calibri Light"/>
          <w:sz w:val="24"/>
          <w:szCs w:val="24"/>
        </w:rPr>
        <w:t xml:space="preserve"> wskaza</w:t>
      </w:r>
      <w:r w:rsidR="009A26C9" w:rsidRPr="009A26C9">
        <w:rPr>
          <w:rFonts w:ascii="Calibri Light" w:hAnsi="Calibri Light" w:cs="Calibri Light"/>
          <w:sz w:val="24"/>
          <w:szCs w:val="24"/>
        </w:rPr>
        <w:t>ń</w:t>
      </w:r>
      <w:r w:rsidRPr="009A26C9">
        <w:rPr>
          <w:rFonts w:ascii="Calibri Light" w:hAnsi="Calibri Light" w:cs="Calibri Light"/>
          <w:sz w:val="24"/>
          <w:szCs w:val="24"/>
        </w:rPr>
        <w:t>.</w:t>
      </w:r>
    </w:p>
    <w:p w14:paraId="01D6F00D" w14:textId="3726E16B" w:rsidR="0048011A" w:rsidRPr="009A26C9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9A26C9">
        <w:rPr>
          <w:rFonts w:ascii="Calibri Light" w:hAnsi="Calibri Light" w:cs="Calibri Light"/>
          <w:sz w:val="24"/>
          <w:szCs w:val="24"/>
        </w:rPr>
        <w:t xml:space="preserve">Dla </w:t>
      </w:r>
      <w:r w:rsidR="009A26C9" w:rsidRPr="009A26C9">
        <w:rPr>
          <w:rFonts w:ascii="Calibri Light" w:hAnsi="Calibri Light" w:cs="Calibri Light"/>
          <w:sz w:val="24"/>
          <w:szCs w:val="24"/>
        </w:rPr>
        <w:t>99</w:t>
      </w:r>
      <w:r w:rsidRPr="009A26C9">
        <w:rPr>
          <w:rFonts w:ascii="Calibri Light" w:hAnsi="Calibri Light" w:cs="Calibri Light"/>
          <w:sz w:val="24"/>
          <w:szCs w:val="24"/>
        </w:rPr>
        <w:t xml:space="preserve"> produktów wprowadzono obniżki urzędowych cen zbytu (od 0,01 zł do </w:t>
      </w:r>
      <w:r w:rsidR="009A26C9" w:rsidRPr="009A26C9">
        <w:rPr>
          <w:rFonts w:ascii="Calibri Light" w:hAnsi="Calibri Light" w:cs="Calibri Light"/>
          <w:sz w:val="24"/>
          <w:szCs w:val="24"/>
        </w:rPr>
        <w:t xml:space="preserve">4 460,40 </w:t>
      </w:r>
      <w:r w:rsidRPr="009A26C9">
        <w:rPr>
          <w:rFonts w:ascii="Calibri Light" w:hAnsi="Calibri Light" w:cs="Calibri Light"/>
          <w:sz w:val="24"/>
          <w:szCs w:val="24"/>
        </w:rPr>
        <w:t>zł).</w:t>
      </w:r>
    </w:p>
    <w:p w14:paraId="2DC3E3D7" w14:textId="68CB19A6" w:rsidR="0048011A" w:rsidRPr="009A26C9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9A26C9">
        <w:rPr>
          <w:rFonts w:ascii="Calibri Light" w:hAnsi="Calibri Light" w:cs="Calibri Light"/>
          <w:sz w:val="24"/>
          <w:szCs w:val="24"/>
        </w:rPr>
        <w:t xml:space="preserve">Dla </w:t>
      </w:r>
      <w:r w:rsidR="009A26C9" w:rsidRPr="009A26C9">
        <w:rPr>
          <w:rFonts w:ascii="Calibri Light" w:hAnsi="Calibri Light" w:cs="Calibri Light"/>
          <w:sz w:val="24"/>
          <w:szCs w:val="24"/>
        </w:rPr>
        <w:t>32</w:t>
      </w:r>
      <w:r w:rsidR="0068046C" w:rsidRPr="009A26C9">
        <w:rPr>
          <w:rFonts w:ascii="Calibri Light" w:hAnsi="Calibri Light" w:cs="Calibri Light"/>
          <w:sz w:val="24"/>
          <w:szCs w:val="24"/>
        </w:rPr>
        <w:t xml:space="preserve"> </w:t>
      </w:r>
      <w:r w:rsidRPr="009A26C9">
        <w:rPr>
          <w:rFonts w:ascii="Calibri Light" w:hAnsi="Calibri Light" w:cs="Calibri Light"/>
          <w:sz w:val="24"/>
          <w:szCs w:val="24"/>
        </w:rPr>
        <w:t>produktów podwyższono urzędowe ceny zbytu (od 0,</w:t>
      </w:r>
      <w:r w:rsidR="009A26C9" w:rsidRPr="009A26C9">
        <w:rPr>
          <w:rFonts w:ascii="Calibri Light" w:hAnsi="Calibri Light" w:cs="Calibri Light"/>
          <w:sz w:val="24"/>
          <w:szCs w:val="24"/>
        </w:rPr>
        <w:t>10</w:t>
      </w:r>
      <w:r w:rsidRPr="009A26C9">
        <w:rPr>
          <w:rFonts w:ascii="Calibri Light" w:hAnsi="Calibri Light" w:cs="Calibri Light"/>
          <w:sz w:val="24"/>
          <w:szCs w:val="24"/>
        </w:rPr>
        <w:t xml:space="preserve"> zł do </w:t>
      </w:r>
      <w:r w:rsidR="009A26C9" w:rsidRPr="009A26C9">
        <w:rPr>
          <w:rFonts w:ascii="Calibri Light" w:hAnsi="Calibri Light" w:cs="Calibri Light"/>
          <w:sz w:val="24"/>
          <w:szCs w:val="24"/>
        </w:rPr>
        <w:t>43,20</w:t>
      </w:r>
      <w:r w:rsidRPr="009A26C9">
        <w:rPr>
          <w:rFonts w:ascii="Calibri Light" w:hAnsi="Calibri Light" w:cs="Calibri Light"/>
          <w:sz w:val="24"/>
          <w:szCs w:val="24"/>
        </w:rPr>
        <w:t xml:space="preserve"> zł).</w:t>
      </w:r>
    </w:p>
    <w:p w14:paraId="2FD81450" w14:textId="77777777" w:rsidR="003D2AB4" w:rsidRPr="003D2AB4" w:rsidRDefault="003D2AB4" w:rsidP="003D2AB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3D2AB4">
        <w:rPr>
          <w:rFonts w:ascii="Calibri Light" w:hAnsi="Calibri Light" w:cs="Calibri Light"/>
          <w:sz w:val="24"/>
          <w:szCs w:val="24"/>
        </w:rPr>
        <w:t xml:space="preserve">Dla 292 pozycji w obwieszczeniu </w:t>
      </w:r>
      <w:r>
        <w:rPr>
          <w:rFonts w:ascii="Calibri Light" w:hAnsi="Calibri Light" w:cs="Calibri Light"/>
          <w:sz w:val="24"/>
          <w:szCs w:val="24"/>
        </w:rPr>
        <w:t>spadnie</w:t>
      </w:r>
      <w:r w:rsidRPr="003D2AB4">
        <w:rPr>
          <w:rFonts w:ascii="Calibri Light" w:hAnsi="Calibri Light" w:cs="Calibri Light"/>
          <w:sz w:val="24"/>
          <w:szCs w:val="24"/>
        </w:rPr>
        <w:t xml:space="preserve"> dopłata pacjenta (od 0,01 zł do 63,76 zł).</w:t>
      </w:r>
    </w:p>
    <w:p w14:paraId="4F086829" w14:textId="7811E367" w:rsidR="0048011A" w:rsidRPr="003D2AB4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3D2AB4">
        <w:rPr>
          <w:rFonts w:ascii="Calibri Light" w:hAnsi="Calibri Light" w:cs="Calibri Light"/>
          <w:sz w:val="24"/>
          <w:szCs w:val="24"/>
        </w:rPr>
        <w:t xml:space="preserve">Dla </w:t>
      </w:r>
      <w:r w:rsidR="003D2AB4" w:rsidRPr="003D2AB4">
        <w:rPr>
          <w:rFonts w:ascii="Calibri Light" w:hAnsi="Calibri Light" w:cs="Calibri Light"/>
          <w:sz w:val="24"/>
          <w:szCs w:val="24"/>
        </w:rPr>
        <w:t>426</w:t>
      </w:r>
      <w:r w:rsidRPr="003D2AB4">
        <w:rPr>
          <w:rFonts w:ascii="Calibri Light" w:hAnsi="Calibri Light" w:cs="Calibri Light"/>
          <w:sz w:val="24"/>
          <w:szCs w:val="24"/>
        </w:rPr>
        <w:t xml:space="preserve"> pozycji w obwieszczeniu </w:t>
      </w:r>
      <w:r w:rsidR="003D2AB4" w:rsidRPr="003D2AB4">
        <w:rPr>
          <w:rFonts w:ascii="Calibri Light" w:hAnsi="Calibri Light" w:cs="Calibri Light"/>
          <w:sz w:val="24"/>
          <w:szCs w:val="24"/>
        </w:rPr>
        <w:t>wzrośnie</w:t>
      </w:r>
      <w:r w:rsidRPr="003D2AB4">
        <w:rPr>
          <w:rFonts w:ascii="Calibri Light" w:hAnsi="Calibri Light" w:cs="Calibri Light"/>
          <w:sz w:val="24"/>
          <w:szCs w:val="24"/>
        </w:rPr>
        <w:t xml:space="preserve"> dopłata pacjenta (od 0,01 zł do </w:t>
      </w:r>
      <w:r w:rsidR="003D2AB4" w:rsidRPr="003D2AB4">
        <w:rPr>
          <w:rFonts w:ascii="Calibri Light" w:hAnsi="Calibri Light" w:cs="Calibri Light"/>
          <w:sz w:val="24"/>
          <w:szCs w:val="24"/>
        </w:rPr>
        <w:t>452,70</w:t>
      </w:r>
      <w:r w:rsidR="00A9374D" w:rsidRPr="003D2AB4">
        <w:rPr>
          <w:rFonts w:ascii="Calibri Light" w:hAnsi="Calibri Light" w:cs="Calibri Light"/>
          <w:sz w:val="24"/>
          <w:szCs w:val="24"/>
        </w:rPr>
        <w:t xml:space="preserve"> </w:t>
      </w:r>
      <w:r w:rsidRPr="003D2AB4">
        <w:rPr>
          <w:rFonts w:ascii="Calibri Light" w:hAnsi="Calibri Light" w:cs="Calibri Light"/>
          <w:sz w:val="24"/>
          <w:szCs w:val="24"/>
        </w:rPr>
        <w:t>zł).</w:t>
      </w:r>
    </w:p>
    <w:p w14:paraId="1E684D62" w14:textId="0B912E71" w:rsidR="0048011A" w:rsidRPr="003D2AB4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3D2AB4">
        <w:rPr>
          <w:rFonts w:ascii="Calibri Light" w:hAnsi="Calibri Light" w:cs="Calibri Light"/>
          <w:sz w:val="24"/>
          <w:szCs w:val="24"/>
        </w:rPr>
        <w:t xml:space="preserve">Dla </w:t>
      </w:r>
      <w:r w:rsidR="003D2AB4" w:rsidRPr="003D2AB4">
        <w:rPr>
          <w:rFonts w:ascii="Calibri Light" w:hAnsi="Calibri Light" w:cs="Calibri Light"/>
          <w:sz w:val="24"/>
          <w:szCs w:val="24"/>
        </w:rPr>
        <w:t>302</w:t>
      </w:r>
      <w:r w:rsidRPr="003D2AB4">
        <w:rPr>
          <w:rFonts w:ascii="Calibri Light" w:hAnsi="Calibri Light" w:cs="Calibri Light"/>
          <w:sz w:val="24"/>
          <w:szCs w:val="24"/>
        </w:rPr>
        <w:t xml:space="preserve"> produktów ulegną obniżeniu ceny detaliczne brutto (od 0,01 zł do </w:t>
      </w:r>
      <w:r w:rsidR="003D2AB4" w:rsidRPr="003D2AB4">
        <w:rPr>
          <w:rFonts w:ascii="Calibri Light" w:hAnsi="Calibri Light" w:cs="Calibri Light"/>
          <w:sz w:val="24"/>
          <w:szCs w:val="24"/>
        </w:rPr>
        <w:t>69,65</w:t>
      </w:r>
      <w:r w:rsidR="00A9374D" w:rsidRPr="003D2AB4">
        <w:rPr>
          <w:rFonts w:ascii="Calibri Light" w:hAnsi="Calibri Light" w:cs="Calibri Light"/>
          <w:sz w:val="24"/>
          <w:szCs w:val="24"/>
        </w:rPr>
        <w:t xml:space="preserve"> </w:t>
      </w:r>
      <w:r w:rsidRPr="003D2AB4">
        <w:rPr>
          <w:rFonts w:ascii="Calibri Light" w:hAnsi="Calibri Light" w:cs="Calibri Light"/>
          <w:sz w:val="24"/>
          <w:szCs w:val="24"/>
        </w:rPr>
        <w:t>zł).</w:t>
      </w:r>
    </w:p>
    <w:p w14:paraId="226D7B40" w14:textId="7285A4E6" w:rsidR="0048011A" w:rsidRPr="003D2AB4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3D2AB4">
        <w:rPr>
          <w:rFonts w:ascii="Calibri Light" w:hAnsi="Calibri Light" w:cs="Calibri Light"/>
          <w:sz w:val="24"/>
          <w:szCs w:val="24"/>
        </w:rPr>
        <w:t xml:space="preserve">Dla </w:t>
      </w:r>
      <w:r w:rsidR="003D2AB4" w:rsidRPr="003D2AB4">
        <w:rPr>
          <w:rFonts w:ascii="Calibri Light" w:hAnsi="Calibri Light" w:cs="Calibri Light"/>
          <w:sz w:val="24"/>
          <w:szCs w:val="24"/>
        </w:rPr>
        <w:t>129</w:t>
      </w:r>
      <w:r w:rsidRPr="003D2AB4">
        <w:rPr>
          <w:rFonts w:ascii="Calibri Light" w:hAnsi="Calibri Light" w:cs="Calibri Light"/>
          <w:sz w:val="24"/>
          <w:szCs w:val="24"/>
        </w:rPr>
        <w:t xml:space="preserve"> produktów wzrosną ceny detaliczne brutto (od 0,01 zł do </w:t>
      </w:r>
      <w:r w:rsidR="003D2AB4" w:rsidRPr="003D2AB4">
        <w:rPr>
          <w:rFonts w:ascii="Calibri Light" w:hAnsi="Calibri Light" w:cs="Calibri Light"/>
          <w:sz w:val="24"/>
          <w:szCs w:val="24"/>
        </w:rPr>
        <w:t xml:space="preserve">46,50 </w:t>
      </w:r>
      <w:r w:rsidRPr="003D2AB4">
        <w:rPr>
          <w:rFonts w:ascii="Calibri Light" w:hAnsi="Calibri Light" w:cs="Calibri Light"/>
          <w:sz w:val="24"/>
          <w:szCs w:val="24"/>
        </w:rPr>
        <w:t>zł).</w:t>
      </w:r>
    </w:p>
    <w:p w14:paraId="5D1E0723" w14:textId="44A03996" w:rsidR="0048011A" w:rsidRPr="005E1857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5E1857">
        <w:rPr>
          <w:rFonts w:ascii="Calibri Light" w:hAnsi="Calibri Light" w:cs="Calibri Light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5E1857" w:rsidRPr="005E1857">
        <w:rPr>
          <w:rFonts w:ascii="Calibri Light" w:hAnsi="Calibri Light" w:cs="Calibri Light"/>
          <w:sz w:val="24"/>
          <w:szCs w:val="24"/>
        </w:rPr>
        <w:t>79</w:t>
      </w:r>
      <w:r w:rsidRPr="005E1857">
        <w:rPr>
          <w:rFonts w:ascii="Calibri Light" w:hAnsi="Calibri Light" w:cs="Calibri Light"/>
          <w:sz w:val="24"/>
          <w:szCs w:val="24"/>
        </w:rPr>
        <w:t xml:space="preserve"> produktów bądź wskazań figurujących w poprzednim obwieszczeniu.</w:t>
      </w:r>
    </w:p>
    <w:p w14:paraId="791CC1BA" w14:textId="77777777" w:rsidR="0040572D" w:rsidRDefault="0040572D" w:rsidP="0040572D">
      <w:pPr>
        <w:suppressAutoHyphens w:val="0"/>
        <w:rPr>
          <w:rFonts w:ascii="Arial Rounded MT Bold" w:hAnsi="Arial Rounded MT Bold"/>
          <w:b/>
          <w:bCs/>
          <w:color w:val="00B0F0"/>
        </w:rPr>
      </w:pPr>
      <w:r>
        <w:rPr>
          <w:rFonts w:ascii="Arial Rounded MT Bold" w:hAnsi="Arial Rounded MT Bold"/>
          <w:b/>
          <w:bCs/>
          <w:color w:val="00B0F0"/>
        </w:rPr>
        <w:br w:type="page"/>
      </w:r>
    </w:p>
    <w:p w14:paraId="5F40EDEF" w14:textId="1322CF31" w:rsidR="0040572D" w:rsidRDefault="0040572D" w:rsidP="0040572D">
      <w:pPr>
        <w:spacing w:after="60"/>
        <w:rPr>
          <w:noProof/>
        </w:rPr>
      </w:pPr>
      <w:r>
        <w:rPr>
          <w:noProof/>
        </w:rPr>
        <w:lastRenderedPageBreak/>
        <w:drawing>
          <wp:inline distT="0" distB="0" distL="0" distR="0" wp14:anchorId="58F4E348" wp14:editId="45C02BDB">
            <wp:extent cx="4400550" cy="2783205"/>
            <wp:effectExtent l="0" t="0" r="0" b="1714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54E0A05D-7CB6-46E1-B796-74576C15EB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85F3D35" wp14:editId="78BC137C">
            <wp:extent cx="4429125" cy="2790825"/>
            <wp:effectExtent l="0" t="0" r="9525" b="952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28D6952F-C3B3-4549-A6B3-E2BDAE6A64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t xml:space="preserve"> </w:t>
      </w:r>
    </w:p>
    <w:p w14:paraId="4B943ADE" w14:textId="11A86597" w:rsidR="00F85BD4" w:rsidRPr="002D5078" w:rsidRDefault="00F85BD4" w:rsidP="00F85BD4">
      <w:pPr>
        <w:spacing w:after="60"/>
        <w:rPr>
          <w:noProof/>
        </w:rPr>
      </w:pPr>
      <w:r>
        <w:rPr>
          <w:noProof/>
        </w:rPr>
        <w:drawing>
          <wp:inline distT="0" distB="0" distL="0" distR="0" wp14:anchorId="10A3459F" wp14:editId="62B2989C">
            <wp:extent cx="4381500" cy="287655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8B5B08FD-93E7-4B16-B4B4-5DAFB9B5EE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8958D2F" wp14:editId="0C9AF4BD">
            <wp:extent cx="4458335" cy="2869286"/>
            <wp:effectExtent l="0" t="0" r="18415" b="762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2C028A70-BB5C-462F-8B6A-B9AD447A5C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80652">
        <w:rPr>
          <w:noProof/>
        </w:rPr>
        <w:t xml:space="preserve"> </w:t>
      </w: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>
        <w:rPr>
          <w:rFonts w:ascii="Abadi" w:hAnsi="Abadi"/>
          <w:b/>
          <w:bCs/>
          <w:color w:val="00B0F0"/>
          <w:sz w:val="28"/>
          <w:szCs w:val="28"/>
        </w:rPr>
        <w:t>M</w:t>
      </w:r>
      <w:bookmarkEnd w:id="1"/>
      <w:r>
        <w:rPr>
          <w:rFonts w:ascii="Abadi" w:hAnsi="Abadi"/>
          <w:b/>
          <w:bCs/>
          <w:color w:val="00B0F0"/>
          <w:sz w:val="28"/>
          <w:szCs w:val="28"/>
        </w:rPr>
        <w:t>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5058F2" w14:paraId="7E2E9B6A" w14:textId="77777777" w:rsidTr="004F1511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4F1511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5058F2" w14:paraId="60CDF2D4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D5628B" w:rsidRPr="005058F2" w14:paraId="1F4280B1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19AFE0F" w:rsidR="00D5628B" w:rsidRPr="005058F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2823728A" w:rsidR="00D5628B" w:rsidRPr="00356E75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59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Tagrisso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72EDCE27" w:rsidR="00D5628B" w:rsidRPr="00F63AA8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84A7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ozymertynib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593158D8" w:rsidR="00D5628B" w:rsidRPr="0029403F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A61C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3C99A6A4" w:rsidR="00D5628B" w:rsidRPr="0029403F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57DF272D" w:rsidR="00D5628B" w:rsidRPr="0029403F" w:rsidRDefault="00DD52BD" w:rsidP="00DD52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uzupełniające po radykalnej resekcji guza u pacjentów z </w:t>
            </w:r>
            <w:proofErr w:type="spellStart"/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niedrobnokomórkowym</w:t>
            </w:r>
            <w:proofErr w:type="spellEnd"/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rakiem płuca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D5628B" w:rsidRPr="005058F2" w14:paraId="33804527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77777777" w:rsidR="00D5628B" w:rsidRPr="005058F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643FE79A" w:rsidR="00D5628B" w:rsidRPr="00356E75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59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Tagrisso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02A4E753" w:rsidR="00D5628B" w:rsidRPr="00F63AA8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84A7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ozymertynib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6CFDA1B4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A61C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59A2667B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6C9" w14:textId="40E54970" w:rsidR="00DD52BD" w:rsidRPr="003D2AE2" w:rsidRDefault="00DD52BD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III i kolejnych linii </w:t>
            </w:r>
            <w:proofErr w:type="spellStart"/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niedrobnokomórkow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ego</w:t>
            </w:r>
            <w:proofErr w:type="spellEnd"/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rak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płuca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pacjentów z potwierdzoną</w:t>
            </w: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obecnością mutacji T790M w genie EGFR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412BE9" w:rsidRPr="005058F2" w14:paraId="34DEFEA8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5079" w14:textId="32EB3B0F" w:rsidR="00412BE9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F3F9" w14:textId="623087FB" w:rsidR="00412BE9" w:rsidRPr="00C84A7D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Libtayo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4BE7" w14:textId="7ADD84B7" w:rsidR="00412BE9" w:rsidRPr="00C84A7D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607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cemiplimab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E2D1" w14:textId="5CE8E09C" w:rsidR="00412BE9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A61C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362D" w14:textId="791EF5CC" w:rsidR="00412BE9" w:rsidRPr="00C84A7D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5CC6" w14:textId="33C87CC2" w:rsidR="00412BE9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linii </w:t>
            </w:r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monoterapii pacjentów z rozsianym </w:t>
            </w:r>
            <w:proofErr w:type="spellStart"/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niedrobnokomórkowym</w:t>
            </w:r>
            <w:proofErr w:type="spellEnd"/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rakiem płuca o wysokiej ekspresji PD-L1 (Pd-L1 </w:t>
            </w:r>
            <w:r w:rsidRPr="00336079">
              <w:rPr>
                <w:rFonts w:ascii="Cambria Math" w:hAnsi="Cambria Math" w:cs="Cambria Math"/>
                <w:color w:val="000000"/>
                <w:sz w:val="20"/>
                <w:szCs w:val="20"/>
              </w:rPr>
              <w:t>⩾</w:t>
            </w:r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50%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</w:p>
        </w:tc>
      </w:tr>
      <w:tr w:rsidR="00412BE9" w:rsidRPr="005058F2" w14:paraId="5A345E23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05457808" w:rsidR="00412BE9" w:rsidRPr="005058F2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7B177BAA" w:rsidR="00412BE9" w:rsidRPr="00356E75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4A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Tecentriq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4EF0122E" w:rsidR="00412BE9" w:rsidRPr="00F63AA8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84A7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atezolizumab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74257AE7" w:rsidR="00412BE9" w:rsidRPr="003D2AE2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A61C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08917523" w:rsidR="00412BE9" w:rsidRPr="003D2AE2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7629C798" w:rsidR="00412BE9" w:rsidRPr="003D2AE2" w:rsidRDefault="00412BE9" w:rsidP="00412BE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 linii</w:t>
            </w:r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monoterapii pacjentów z rozsianym </w:t>
            </w:r>
            <w:proofErr w:type="spellStart"/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niedrobnokomórkowym</w:t>
            </w:r>
            <w:proofErr w:type="spellEnd"/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rakiem płuca o wysokiej ekspresji PD-L1 (Pd-L1 </w:t>
            </w:r>
            <w:r w:rsidRPr="00336079">
              <w:rPr>
                <w:rFonts w:ascii="Cambria Math" w:hAnsi="Cambria Math" w:cs="Cambria Math"/>
                <w:color w:val="000000"/>
                <w:sz w:val="20"/>
                <w:szCs w:val="20"/>
              </w:rPr>
              <w:t>⩾</w:t>
            </w:r>
            <w:r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50%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</w:p>
        </w:tc>
      </w:tr>
      <w:tr w:rsidR="00D5628B" w:rsidRPr="005058F2" w14:paraId="4193F70D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4582C60A" w:rsidR="00D5628B" w:rsidRPr="005058F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48011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2B86C866" w:rsidR="00D5628B" w:rsidRPr="00356E75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Rozlytrek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6CC2C426" w:rsidR="00D5628B" w:rsidRPr="00F63AA8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607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entrektynib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48096CA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A61C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1FAAB184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7D299748" w:rsidR="00D5628B" w:rsidRPr="003D2AE2" w:rsidRDefault="00FB30AC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 lub II linii</w:t>
            </w:r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niedrobnokomórkowego</w:t>
            </w:r>
            <w:proofErr w:type="spellEnd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raka płuc 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 pacjentów </w:t>
            </w:r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fuzją genu ROS-1 (chorzy z niepowodzeniem wcześniejszej chemioterapii)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D5628B" w:rsidRPr="005058F2" w14:paraId="34137848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3F977A6A" w:rsidR="00D5628B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3D925F72" w:rsidR="00D5628B" w:rsidRPr="00356E75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Opdivo</w:t>
            </w:r>
            <w:proofErr w:type="spellEnd"/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Y</w:t>
            </w:r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ervoy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3647181" w:rsidR="00D5628B" w:rsidRPr="00F63AA8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33607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iwolumab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</w:t>
            </w:r>
            <w:r w:rsidRPr="0033607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pilimumab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604725C3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A61C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0CCB1C01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6091880B" w:rsidR="00D5628B" w:rsidRPr="003D2AE2" w:rsidRDefault="00221A2A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 linii</w:t>
            </w:r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niedrobnokomórkowego</w:t>
            </w:r>
            <w:proofErr w:type="spellEnd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raka płuc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u pacjentów</w:t>
            </w:r>
            <w:r w:rsidR="00D5628B">
              <w:t xml:space="preserve"> </w:t>
            </w:r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ekspresją PD-L1 &lt; 50%</w:t>
            </w:r>
            <w:r w:rsidR="00176E2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zastosowaniem 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skojarzeniu </w:t>
            </w:r>
            <w:proofErr w:type="spellStart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niwolumabu</w:t>
            </w:r>
            <w:proofErr w:type="spellEnd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ipilimumabu</w:t>
            </w:r>
            <w:proofErr w:type="spellEnd"/>
            <w:r w:rsidR="00D5628B" w:rsidRPr="003360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połączeniu z dwoma cyklami chemioterapii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D5628B" w:rsidRPr="005058F2" w14:paraId="59AF2A0C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25C06D46" w:rsidR="00D5628B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3DA55313" w:rsidR="00D5628B" w:rsidRPr="00356E75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Opdivo</w:t>
            </w:r>
            <w:proofErr w:type="spellEnd"/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Y</w:t>
            </w:r>
            <w:r w:rsidRPr="003360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ervoy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70F49887" w:rsidR="00D5628B" w:rsidRPr="00F63AA8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33607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iwolumab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</w:t>
            </w:r>
            <w:r w:rsidRPr="0033607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pilimumab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5263F8A8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A61C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2B52DA82" w:rsidR="00D5628B" w:rsidRPr="003D2AE2" w:rsidRDefault="00D5628B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4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EA53" w14:textId="44EF80FD" w:rsidR="00D5628B" w:rsidRPr="005D5D31" w:rsidRDefault="00A7345A" w:rsidP="00D56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 linii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pacjentów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chorych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na</w:t>
            </w:r>
            <w:r w:rsidR="00D5628B" w:rsidRPr="00065B4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nieoperacyjnego złośliwego </w:t>
            </w:r>
            <w:proofErr w:type="spellStart"/>
            <w:r w:rsidR="00D5628B" w:rsidRPr="00065B4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międzybłoniaka</w:t>
            </w:r>
            <w:proofErr w:type="spellEnd"/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D5628B" w:rsidRPr="00065B4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opłucnej</w:t>
            </w:r>
            <w:r w:rsidR="00D5628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5D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niwolumabem</w:t>
            </w:r>
            <w:proofErr w:type="spellEnd"/>
            <w:r w:rsidR="005D5D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</w:t>
            </w:r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proofErr w:type="spellStart"/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ipilimumabem</w:t>
            </w:r>
            <w:proofErr w:type="spellEnd"/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734732" w:rsidRPr="005058F2" w14:paraId="189EA4B0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6534E604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218F9CC2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Darzalex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1D7D7879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daratumumab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7183840F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5D6E25F0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80E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A132" w14:textId="492D5C82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r w:rsidR="005C6B7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daratumumabem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talidomidem 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(schemat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DVTd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dorosłych pacjentów z uprzednio nieleczonym szpiczakiem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 linia leczenia), kwalifikujących się do </w:t>
            </w:r>
            <w:r w:rsidRPr="004C5C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leczenia chemioterapią wysokodawkową z przeszczepieniem autologicznych krwiotwórczych komórek macierzystych</w:t>
            </w:r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0B1AA7A9" w14:textId="74D7B814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17C40957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B3F5" w14:textId="0F548A0A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8E8E" w14:textId="05C0B402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Darzalex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9B2C" w14:textId="4CC660C1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daratumumab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F306" w14:textId="717AB682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D1F2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19C1" w14:textId="0BB896BC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5630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35EE" w14:textId="77777777" w:rsidR="008E28B3" w:rsidRDefault="007C4C95" w:rsidP="008E28B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daratumumabem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(schemat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DVd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w II-IV linii leczenia dorosłych chorych na opornego lub nawrotowego szpiczaka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plazmocytowego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u których nie stwierdzono oporności na 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="005518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8E28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161FDDDE" w14:textId="4DC32820" w:rsidR="007C4C95" w:rsidRPr="008E28B3" w:rsidRDefault="007C4C95" w:rsidP="008E28B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F35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r w:rsidR="00EF3551" w:rsidRPr="00EF35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</w:t>
            </w:r>
            <w:r w:rsidRPr="00EF35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ozszerzenie aktualnie refundowanego wskazania)</w:t>
            </w:r>
          </w:p>
          <w:p w14:paraId="166ABC3C" w14:textId="5F8F3E5A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29FC6FDA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4EC4" w14:textId="4BB0C801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A2E7" w14:textId="5DDB4D57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Darzalex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33DD" w14:textId="4132DA7F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daratumumab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64C0" w14:textId="56F51673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D1F2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EDD3" w14:textId="136B0B3A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5630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010B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daratumumabem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(schemat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DRd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w II-IV linii leczenia dorosłych chorych na opornego lub nawrotowego szpiczaka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plazmocytowego</w:t>
            </w:r>
            <w:proofErr w:type="spellEnd"/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11B3637D" w14:textId="5232E9B9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4733C21E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6CCC" w14:textId="3B36AC05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C34C" w14:textId="1C76462D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Empliciti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7C0" w14:textId="006EF6FB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elotuzumab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CBC2" w14:textId="3C05AB5D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D1F2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B55D" w14:textId="408BE0C2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5630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1417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elotuzumabem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pomalidomidem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(schemat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EloPd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od III linii leczenia dorosłych chorych na opornego lub nawrotowego szpiczaka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plazmocytowego</w:t>
            </w:r>
            <w:proofErr w:type="spellEnd"/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84F59C5" w14:textId="715A9EA7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0EC570C5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EDE" w14:textId="52B23799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3ED6" w14:textId="44A2B031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Adcetris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5674" w14:textId="304E2AB5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B80E9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rentu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ksymab</w:t>
            </w:r>
            <w:proofErr w:type="spellEnd"/>
            <w:r w:rsidRPr="00B80E9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80E9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vedoti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A19E" w14:textId="41C9329A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B.66.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FF72" w14:textId="5EA71768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80E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T-KOMÓRKOWE (ICD-10: C84)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D7F5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brentuksymabem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vedotin</w:t>
            </w:r>
            <w:proofErr w:type="spellEnd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cyklofosfamidem</w:t>
            </w:r>
            <w:proofErr w:type="spellEnd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doksorubicyną</w:t>
            </w:r>
            <w:proofErr w:type="spellEnd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prednizonem</w:t>
            </w:r>
            <w:proofErr w:type="spellEnd"/>
            <w:r w:rsidRPr="00F4240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(CHP)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 linii leczenia dorosłych chorych na </w:t>
            </w:r>
            <w:r w:rsidR="000F3E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układowego chłoniaka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anaplastycznego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dużych komórek (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sALCL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252B721C" w14:textId="6FBE8AFC" w:rsidR="008E28B3" w:rsidRPr="008E28B3" w:rsidRDefault="008E28B3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E28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734732" w:rsidRPr="005058F2" w14:paraId="561EF918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8008" w14:textId="40DEEBEA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AE77" w14:textId="082C8D3E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Imbruvica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D2F1" w14:textId="30332983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ibrutynib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1482" w14:textId="35CC63F4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B.79.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9877" w14:textId="7D23478D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80E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(ICD-10: C91.1)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831A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ibrutynibem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monoterapii w I linii leczenia dorosłych chorych na przewlekłą białaczkę limfocytową z 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delecją 17p (del17p) / mutacją w genie 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(mut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lub niezmutowanym statusem </w:t>
            </w:r>
            <w:proofErr w:type="spellStart"/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IgHV</w:t>
            </w:r>
            <w:proofErr w:type="spellEnd"/>
            <w:r w:rsidR="00D77CD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3C3EF3E2" w14:textId="7B5A7394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686F5D72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9D8B" w14:textId="5C2CBD4E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B0AA" w14:textId="4C2DC747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Imbruvica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5B6E" w14:textId="1342D4D9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ibrutynib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2D35" w14:textId="05EC4B72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B.79.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FE1B" w14:textId="55171A3F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80E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(ICD-10: C91.1)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C7D0" w14:textId="1F0BE9D5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ibrutynibem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monoterapii od II linii leczenia dorosłych chorych na oporną lub nawrotową przewlekłą białaczkę limfocytową, 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bez względu na status delecji 17p (del17p) / mutacji w genie 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(mut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="00D77C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1C78EC84" w14:textId="0C66EC3E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77CD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r w:rsidR="00A706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</w:t>
            </w:r>
            <w:r w:rsidRPr="00D77CD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ozszerzenie aktualnie refundowanego wskazania dla pacjentów bez delecji 17p (del17p) / mutacji w genie </w:t>
            </w:r>
            <w:r w:rsidRPr="00D77CD0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TP53</w:t>
            </w:r>
            <w:r w:rsidRPr="00D77CD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(mut</w:t>
            </w:r>
            <w:r w:rsidRPr="00D77CD0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TP53</w:t>
            </w:r>
            <w:r w:rsidRPr="00D77CD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))</w:t>
            </w:r>
          </w:p>
          <w:p w14:paraId="7B5E36F5" w14:textId="6616522D" w:rsidR="00A7064A" w:rsidRPr="00D77CD0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7CC17E27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9374" w14:textId="33C79960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7D84" w14:textId="56BF44E1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Calquence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0985" w14:textId="02C258FD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akalabrutynib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019E" w14:textId="74DC8EF0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B.79.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DD1E" w14:textId="4C6493C3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80E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(ICD-10: C91.1)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F336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akalabrutynibem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monoterapii w I linii leczenia dorosłych chorych na przewlekłą białaczkę limfocytową z 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delecją 17p (del17p) / mutacją w genie 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(mut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lub niezmutowanym statusem </w:t>
            </w:r>
            <w:proofErr w:type="spellStart"/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IgHV</w:t>
            </w:r>
            <w:proofErr w:type="spellEnd"/>
            <w:r w:rsidR="0082387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6572B61E" w14:textId="21001924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7DFABB75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CA19" w14:textId="1BB71549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D7B5" w14:textId="1F9CE544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Calquence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FE30" w14:textId="6114261C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akalabrutynib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638F" w14:textId="5D06FA27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B.79.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42E9" w14:textId="6FB79F47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80E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(ICD-10: C91.1)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797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akalabrutynibem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monoterapii od II linii leczenia dorosłych chorych na oporną lub nawrotową przewlekłą białaczkę limfocytową z 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delecją 17p (del17p) / mutacją w genie 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(mut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oraz dorosłych chorych na oporną lub nawrotową przewlekłą białaczkę limfocytową bez delecji 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17p (del17p) / mutacj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genie 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555A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(mut</w:t>
            </w:r>
            <w:r w:rsidRPr="00555A5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po wcześniejszym leczeniu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przeciwciałem anty-CD20 lub w przypadku przeciwwskazań do zastosowania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przeciwciałem anty-CD20.</w:t>
            </w:r>
          </w:p>
          <w:p w14:paraId="57B2B5F1" w14:textId="68564758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4072CAA1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1E71" w14:textId="711A0EB6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890D" w14:textId="5CFD3CCB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53B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93D0" w14:textId="7A122942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4F1A" w14:textId="25C5D04D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C.84.a.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8FA9" w14:textId="30D4CF3F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LENALIDOMIDUM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99A2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melfalanem</w:t>
            </w:r>
            <w:proofErr w:type="spellEnd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prednizonem</w:t>
            </w:r>
            <w:proofErr w:type="spellEnd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pacjentów z nieleczonym uprzednio szpiczakiem </w:t>
            </w:r>
            <w:proofErr w:type="spellStart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którzy nie kwalifikują się do przeszczepienia autologicznych krwiotwórczych komórek macierzystych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(auto-HSCT)</w:t>
            </w:r>
            <w:r w:rsidR="008238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05D11081" w14:textId="5DCCC44D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3B267D42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71E2" w14:textId="1A5AD354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E529" w14:textId="26FEB08B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53B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2BB1" w14:textId="13C79BCA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D7F4" w14:textId="6BB05F4F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C.84.a.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7D63" w14:textId="68454C1D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LENALIDOMIDUM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B8BC" w14:textId="4CD003EB" w:rsidR="008238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skojarzeniu z </w:t>
            </w:r>
            <w:proofErr w:type="spellStart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pacjentów ze szpiczakiem </w:t>
            </w:r>
            <w:proofErr w:type="spellStart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u których stosowano uprzednio co najmniej jeden schemat leczenia</w:t>
            </w:r>
            <w:r w:rsidR="008238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216A4A45" w14:textId="2BC2CB5D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238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r w:rsidR="00A706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</w:t>
            </w:r>
            <w:r w:rsidRPr="008238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ozszerzenie aktualnie refundowanego wskazania)</w:t>
            </w:r>
          </w:p>
          <w:p w14:paraId="02881F54" w14:textId="05AFFB62" w:rsidR="00A7064A" w:rsidRPr="00823875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1C4B5E9E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2E0" w14:textId="46A3996E" w:rsidR="007C4C95" w:rsidRDefault="000F3ED2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856A" w14:textId="3B67723C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53B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E32A" w14:textId="0A9639B2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89D1" w14:textId="40302998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C.84.a.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DC4F" w14:textId="12B89472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LENALIDOMIDUM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9047" w14:textId="23EE08E9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</w:t>
            </w:r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monoterapii w leczeniu podtrzymującym dorosłych pacjentów ze szpiczakiem </w:t>
            </w:r>
            <w:proofErr w:type="spellStart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 przeszczepieniu autologicznych krwiotwórczych komórek macierzystych (auto-HSCT) stosowany</w:t>
            </w:r>
            <w:r w:rsid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</w:t>
            </w:r>
            <w:r w:rsidRPr="00F111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 pierwszej linii leczenia</w:t>
            </w:r>
            <w:r w:rsidR="008238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38F4A42F" w14:textId="2043A27A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604A12C9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4D97" w14:textId="00693C77" w:rsidR="007C4C95" w:rsidRDefault="006D7964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A4D8" w14:textId="48AF4CA9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53B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F092" w14:textId="081CB8D4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05C7" w14:textId="50EB50CA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C.84.c.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7CFB" w14:textId="6E8742ED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LENALIDOMIDUM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5A0C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eczeni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</w:t>
            </w:r>
            <w:r w:rsidR="0082798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idem</w:t>
            </w:r>
            <w:proofErr w:type="spellEnd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rytuksymabem</w:t>
            </w:r>
            <w:proofErr w:type="spellEnd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pacjentów z uprzednio leczonym </w:t>
            </w:r>
            <w:proofErr w:type="spellStart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chłoniakiem</w:t>
            </w:r>
            <w:proofErr w:type="spellEnd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grudkowym w stopniu 1-3a</w:t>
            </w:r>
            <w:r w:rsidR="008238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43279348" w14:textId="18F85AF9" w:rsidR="00A7064A" w:rsidRPr="003D2AE2" w:rsidRDefault="00A7064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56299A40" w14:textId="77777777" w:rsidTr="004F1511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FB45" w14:textId="1BF38437" w:rsidR="007C4C95" w:rsidRDefault="006D7964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4920" w14:textId="0EB37EF3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Besremi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854F" w14:textId="66EDC332" w:rsidR="003A5B7D" w:rsidRDefault="00134D7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</w:t>
            </w:r>
            <w:r w:rsidR="007C4C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opeginterfero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</w:t>
            </w:r>
            <w:proofErr w:type="spellEnd"/>
          </w:p>
          <w:p w14:paraId="230C4045" w14:textId="5BB00DF0" w:rsidR="007C4C95" w:rsidRPr="00F63AA8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alfa-2b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6EBC" w14:textId="59D5772B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C.85.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E9B4" w14:textId="6D49955E" w:rsidR="007C4C95" w:rsidRPr="003D2AE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ROPEGINTERFERONUM ALFA-2B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98E3" w14:textId="15F7E606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ropeginterferonem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alfa-2b pacjentów chorych na czerwienicę prawdziwą, którzy</w:t>
            </w:r>
            <w:r>
              <w:t xml:space="preserve"> </w:t>
            </w:r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nie odpowiadają na leczenie </w:t>
            </w:r>
            <w:proofErr w:type="spellStart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hydroksymocznikiem</w:t>
            </w:r>
            <w:proofErr w:type="spellEnd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lub mają objawy niepożądane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młodych chorych wysokiego ryzyka ze wskazaniami do leczenia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cytoredukcyjnego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kobiet w ciąży z czerwienicą prawdziwą wymagających leczenia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cytoredukcyjnego</w:t>
            </w:r>
            <w:proofErr w:type="spellEnd"/>
            <w:r w:rsidR="008238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42807C33" w14:textId="4888CB98" w:rsidR="00882DCA" w:rsidRPr="003D2AE2" w:rsidRDefault="00882DCA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</w:tbl>
    <w:p w14:paraId="5DC0C08B" w14:textId="77777777" w:rsidR="004F1511" w:rsidRDefault="004F1511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7C4C95" w:rsidRPr="005058F2" w14:paraId="4C9C4901" w14:textId="77777777" w:rsidTr="00A434EB">
        <w:trPr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7C4C95" w:rsidRPr="005058F2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6D7964" w:rsidRPr="005058F2" w14:paraId="1394CD71" w14:textId="77777777" w:rsidTr="00A7064A">
        <w:trPr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734732" w:rsidRPr="005058F2" w14:paraId="50CC5A7D" w14:textId="77777777" w:rsidTr="00A7064A">
        <w:trPr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3403" w14:textId="186656DF" w:rsidR="007C4C95" w:rsidRPr="007321D8" w:rsidRDefault="006D7964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399F" w14:textId="569D5373" w:rsidR="007C4C95" w:rsidRPr="00ED15F0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085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Doptelet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5D22" w14:textId="6C97459B" w:rsidR="007C4C95" w:rsidRPr="00AE069A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awatrombopag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A910" w14:textId="02563B8E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B.97.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77C5" w14:textId="41376DF5" w:rsidR="007C4C95" w:rsidRPr="00A22A7B" w:rsidRDefault="007C4C95" w:rsidP="0073473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840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32C4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pierwotnej małopłytkowości immunologicznej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awatrombopagiem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dorosłych pacjentów.</w:t>
            </w:r>
          </w:p>
          <w:p w14:paraId="684F99CE" w14:textId="4BE23CC1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734732" w:rsidRPr="005058F2" w14:paraId="7B347F62" w14:textId="77777777" w:rsidTr="00A7064A">
        <w:trPr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152" w14:textId="262664ED" w:rsidR="007C4C95" w:rsidRPr="007321D8" w:rsidRDefault="006D7964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7F8B" w14:textId="1302D392" w:rsidR="007C4C95" w:rsidRPr="00356E7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15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Reblozyl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DFA6" w14:textId="6E7B3B23" w:rsidR="007C4C95" w:rsidRPr="00AE069A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luspatercept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A936" w14:textId="0898A946" w:rsidR="007C4C95" w:rsidRPr="00A22A7B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B.142. 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6883" w14:textId="63A2AA22" w:rsidR="007C4C95" w:rsidRPr="00A22A7B" w:rsidRDefault="007C4C95" w:rsidP="0073473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PACJENTÓW Z ZESPOŁAMI MIELODYSPLASTYCZNYMI Z TOWARZYSZĄCĄ NIEDOKRWISTOŚCIĄ ZALEŻNĄ OD TRANSFUZJI (ICD-10: D46.1)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AB01" w14:textId="77777777" w:rsidR="007C4C95" w:rsidRDefault="007C4C95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Niedokrwistość zależna od przetoczeń u osób dorosłych w </w:t>
            </w:r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przebiegu zespołów </w:t>
            </w:r>
            <w:proofErr w:type="spellStart"/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mielodysplastycznych</w:t>
            </w:r>
            <w:proofErr w:type="spellEnd"/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 bardzo niskim, niskim lub pośrednim ryzyku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pierścieniowatymi syderoblastami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 których wystąpiła niedostateczna odpowiedź na lek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stymulując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 </w:t>
            </w:r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erytropoezę, lub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którzy </w:t>
            </w:r>
            <w:r w:rsidRPr="001D01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 kwalifikują się do takiego leczenia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</w:p>
          <w:p w14:paraId="2F055902" w14:textId="5A5631DC" w:rsidR="000F5E24" w:rsidRDefault="000F5E24" w:rsidP="007C4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56C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</w:tbl>
    <w:p w14:paraId="17160E61" w14:textId="36BCEA12" w:rsidR="004F1511" w:rsidRDefault="004F1511"/>
    <w:p w14:paraId="086C83E4" w14:textId="77777777" w:rsidR="004F1511" w:rsidRDefault="004F1511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5058F2" w14:paraId="0B833808" w14:textId="77777777" w:rsidTr="004F1511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A434EB" w:rsidRPr="005058F2" w14:paraId="2BCC5E80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nu</w:t>
            </w:r>
            <w:r w:rsidRP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załącznika che</w:t>
            </w: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AA4608" w:rsidRPr="005058F2" w14:paraId="50DA02B0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25C72FFB" w:rsidR="00AA4608" w:rsidRPr="005058F2" w:rsidRDefault="00AA4608" w:rsidP="00AA46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35B18691" w:rsidR="00AA4608" w:rsidRPr="001B7475" w:rsidRDefault="00AA4608" w:rsidP="00AA46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  <w:r w:rsidR="008B00C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0E578F5A" w:rsidR="00AA4608" w:rsidRPr="00CA1AD2" w:rsidRDefault="00AA4608" w:rsidP="00AA4608">
            <w:pPr>
              <w:autoSpaceDE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415FA120" w:rsidR="00AA4608" w:rsidRPr="006648F3" w:rsidRDefault="00AA4608" w:rsidP="00052E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Umożliwienie zastosowania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leczenia</w:t>
            </w: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pacjentów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</w:t>
            </w: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III stadium zaawansowania choroby, u których nie jest możliwe leczenie radykalne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oraz umożliwienie </w:t>
            </w: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kontynuacji terapii u chorych z chorobą </w:t>
            </w:r>
            <w:proofErr w:type="spellStart"/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oligometastatyczną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Dodatkowo </w:t>
            </w:r>
            <w:r w:rsid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wprowadzono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możliwość</w:t>
            </w: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</w:t>
            </w: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stosowania terapii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</w:t>
            </w: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chorych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niedrobnokomórkowym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rakiem płuca</w:t>
            </w:r>
            <w:r w:rsidRPr="001E591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u których występują inne nowotwory kontrolowane leczeniem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52E44" w:rsidRPr="005058F2" w14:paraId="571B0832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658875DD" w:rsidR="00052E44" w:rsidRPr="005058F2" w:rsidRDefault="00052E44" w:rsidP="00052E4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272FAE37" w:rsidR="00052E44" w:rsidRPr="00230BB7" w:rsidRDefault="00052E44" w:rsidP="00052E4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6B3B3EC2" w:rsidR="00052E44" w:rsidRPr="00230BB7" w:rsidRDefault="00052E44" w:rsidP="00052E44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B-KOMÓRKOWE (ICD-10: C82, C83, C85)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7CF4" w14:textId="77777777" w:rsidR="00052E44" w:rsidRDefault="00052E44" w:rsidP="00052E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Połączenie </w:t>
            </w:r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jeden program lekowy „Leczenie chorych na </w:t>
            </w:r>
            <w:proofErr w:type="spellStart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B-komórkowe (ICD-10: C82, C83, C85)”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aktualnie refundowanych terapii we wskazaniu leczenie chorych na </w:t>
            </w:r>
            <w:proofErr w:type="spellStart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B-komórkowe w ramach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774D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programów lekowych: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643D8CCE" w14:textId="0B9D478D" w:rsidR="00052E44" w:rsidRDefault="00052E44" w:rsidP="00052E44">
            <w:pPr>
              <w:pStyle w:val="Akapitzlist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B.12. „Leczenie chorych na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złośliwe (ICD-10 C82.0; C82.1; C82.7)” oraz </w:t>
            </w:r>
          </w:p>
          <w:p w14:paraId="284FB7D1" w14:textId="6DD89A9C" w:rsidR="00052E44" w:rsidRDefault="00052E44" w:rsidP="00052E44">
            <w:pPr>
              <w:pStyle w:val="Akapitzlist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B.93. „Leczenie chorych na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 z dużych komórek B oraz inne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B-komórkowe (ICD-10: C83, C85)”</w:t>
            </w:r>
            <w:r w:rsidR="00E91E6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14:paraId="4C89A20F" w14:textId="29B050B4" w:rsidR="00052E44" w:rsidRPr="00287196" w:rsidRDefault="00052E44" w:rsidP="00052E4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jednoczesnym przeniesieniem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programu lekowego B.93. do katalogu chemioterapii</w:t>
            </w:r>
            <w:r w:rsidR="00E91E6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52E44" w:rsidRPr="005058F2" w14:paraId="66D571B6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3F1E9CA4" w:rsidR="00052E44" w:rsidRPr="005058F2" w:rsidRDefault="00052E44" w:rsidP="00052E4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34A69736" w:rsidR="00052E44" w:rsidRPr="005D269A" w:rsidRDefault="00052E44" w:rsidP="00052E44">
            <w:pPr>
              <w:pStyle w:val="Style2"/>
              <w:widowControl/>
              <w:spacing w:after="24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7603B7C6" w:rsidR="00052E44" w:rsidRPr="005D269A" w:rsidRDefault="00052E44" w:rsidP="00052E44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3B6BD7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LECZENIE CHORYCH NA SZPICZAKA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br/>
            </w:r>
            <w:r w:rsidRPr="003B6BD7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PLAZMOCYTOWEGO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br/>
            </w:r>
            <w:r w:rsidRPr="003B6BD7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(ICD-10: C90.0)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19E0" w14:textId="77777777" w:rsidR="00052E44" w:rsidRDefault="00052E44" w:rsidP="00052E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</w:t>
            </w:r>
            <w:r w:rsidRPr="00343F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prowadzenie kompleksowych zmian w dotychczasowym opisie programu lekowego B.54.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uwzględniających m.in.: </w:t>
            </w:r>
          </w:p>
          <w:p w14:paraId="3D234C10" w14:textId="3863C788" w:rsidR="00052E44" w:rsidRDefault="00052E44" w:rsidP="00052E44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udostępnienie nowych, dotychczas nierefundowanych terapii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DVTd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DRd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EloPd</w:t>
            </w:r>
            <w:proofErr w:type="spellEnd"/>
            <w:r w:rsidR="007C43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oraz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0E29E9AB" w14:textId="75A0BFA8" w:rsidR="00052E44" w:rsidRDefault="00052E44" w:rsidP="00052E44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kryteriach kwalifikacji 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dla aktualnie refundowanych terapii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Pd,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DVd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KRd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IRd</w:t>
            </w:r>
            <w:proofErr w:type="spellEnd"/>
            <w:r w:rsidR="00E91E6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14:paraId="4C9AB9C4" w14:textId="32E59807" w:rsidR="00052E44" w:rsidRPr="00FE6EDA" w:rsidRDefault="00052E44" w:rsidP="00052E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jednoczesnym przeniesieniem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programu lekowego B.54. do katalogu chemioterapii</w:t>
            </w:r>
            <w:r w:rsidR="00E91E6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52E44" w:rsidRPr="005058F2" w14:paraId="1EC37EE4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146C1500" w:rsidR="00052E44" w:rsidRPr="005058F2" w:rsidRDefault="00052E44" w:rsidP="00052E4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57FC9ABE" w:rsidR="00052E44" w:rsidRPr="00347B18" w:rsidRDefault="00052E44" w:rsidP="00052E44">
            <w:pPr>
              <w:pStyle w:val="Style2"/>
              <w:widowControl/>
              <w:spacing w:after="24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B.61.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10C96011" w:rsidR="00052E44" w:rsidRPr="00347B18" w:rsidRDefault="00052E44" w:rsidP="00052E44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CYSTYNOZĘ NEFROPATYCZNĄ (ICD-10: E72.0)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58538971" w:rsidR="00052E44" w:rsidRPr="00347B18" w:rsidRDefault="00052E44" w:rsidP="00052E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Dodano zapisy porządkujące schemat leczenia chorych na cystynozę </w:t>
            </w:r>
            <w:proofErr w:type="spellStart"/>
            <w:r w:rsidRP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nefropatyczną</w:t>
            </w:r>
            <w:proofErr w:type="spellEnd"/>
            <w:r w:rsidR="008C0493" w:rsidRP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ramach programu lekowego.</w:t>
            </w:r>
            <w:r w:rsidRPr="00347B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0493" w:rsidRPr="005058F2" w14:paraId="51A86B54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116E572D" w:rsidR="008C0493" w:rsidRPr="005058F2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BB58" w14:textId="6E21B7F1" w:rsidR="008C0493" w:rsidRPr="007D6A3A" w:rsidRDefault="008C0493" w:rsidP="008C0493">
            <w:pPr>
              <w:pStyle w:val="Style2"/>
              <w:widowControl/>
              <w:spacing w:after="24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B.66.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1E9A935C" w:rsidR="008C0493" w:rsidRPr="007D6A3A" w:rsidRDefault="008C0493" w:rsidP="008C0493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3B6BD7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LECZENIE CHORYCH NA CHŁONIAKI T-KOMÓRKOWE (ICD-10: C84)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FF2C" w14:textId="77777777" w:rsidR="008C0493" w:rsidRDefault="008C0493" w:rsidP="008C04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ołączenie w jeden program lekowy „Leczenie chorych na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T-komórkowe (ICD-10: C84)” aktualnie refundowanych terapii we wskazaniu leczenie chorych na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T-komórkowe w ramach programów lek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wych:</w:t>
            </w:r>
          </w:p>
          <w:p w14:paraId="39311127" w14:textId="34B10798" w:rsidR="008C0493" w:rsidRDefault="008C0493" w:rsidP="008C0493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B.66. „Leczenie chorych na pierwotne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skórne T–komórkowe (ICD – 10: C 84)”</w:t>
            </w:r>
            <w:r w:rsidR="007C43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oraz</w:t>
            </w:r>
          </w:p>
          <w:p w14:paraId="2A6BDAAA" w14:textId="77777777" w:rsidR="008C0493" w:rsidRDefault="008C0493" w:rsidP="008C0493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B.77. „Leczenie chorych na </w:t>
            </w:r>
            <w:proofErr w:type="spellStart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CD30+ (C 81; C 84.5)”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z jednoczesnym:</w:t>
            </w:r>
          </w:p>
          <w:p w14:paraId="06B068E7" w14:textId="7D67BDCB" w:rsidR="008C0493" w:rsidRDefault="008C0493" w:rsidP="008C0493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</w:t>
            </w:r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dostępnienie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terapii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brentuksymabem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vedotin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cyklofosfamidem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doksorubicyną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prednizonem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(CHP) w I linii leczenia dorosłych chorych na układowego chłoniaka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anaplastycznego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dużych komórek (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sALCL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="004F3F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08AF8C5C" w14:textId="4062342E" w:rsidR="008C0493" w:rsidRPr="00337B00" w:rsidRDefault="004F3FEF" w:rsidP="008C04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niesienie kryterium </w:t>
            </w:r>
            <w:r w:rsidR="008C0493"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kwalifikacyjnego do leczenia chorych </w:t>
            </w:r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na chłoniaka </w:t>
            </w:r>
            <w:proofErr w:type="spellStart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sALCL</w:t>
            </w:r>
            <w:proofErr w:type="spellEnd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C0493"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 stwierdzonym nawrotem lub opornością na leczenie</w:t>
            </w:r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tj.: </w:t>
            </w:r>
            <w:r w:rsidR="008C0493"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„nieobecność przeciwwskazań do allogenicznego przeszczepienia komórek krwiotwórczych w razie uzyskania odpowiedzi częściowej</w:t>
            </w:r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8C0493" w:rsidRPr="005058F2" w14:paraId="03FE3E66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70A6" w14:textId="51131956" w:rsidR="008C0493" w:rsidRPr="005058F2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614D" w14:textId="2C282C15" w:rsidR="008C0493" w:rsidRPr="0029403F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B.77.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AE60" w14:textId="1C2FE5E4" w:rsidR="008C0493" w:rsidRPr="0029403F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KLASYCZNEGO CHŁONIAKA HODGKINA (ICD-10: C81)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2182" w14:textId="77777777" w:rsidR="008C0493" w:rsidRPr="00AA7734" w:rsidRDefault="008C0493" w:rsidP="008C04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ołączenie w jeden program lekowy „Leczenie chorych na klasycznego chłoniaka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Hodgkina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(ICD-10: C81)” aktualnie refundowanych terapii we wskazaniu leczenie chorych na chłoniaka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Hodgkina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ramach programów lekowych:</w:t>
            </w:r>
          </w:p>
          <w:p w14:paraId="4B797595" w14:textId="71CA2235" w:rsidR="008C0493" w:rsidRDefault="008C0493" w:rsidP="008C0493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B.77. „Leczenie chorych na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CD30+ (C 81; C 84.5)” oraz</w:t>
            </w:r>
          </w:p>
          <w:p w14:paraId="0DA0AAA0" w14:textId="35D83767" w:rsidR="008C0493" w:rsidRDefault="008C0493" w:rsidP="008C0493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B.100. „Leczenie chorych na oporną i nawrotową postać klasycznego chłoniaka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Hodgkina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zastosowaniem </w:t>
            </w:r>
            <w:proofErr w:type="spellStart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niwolumabu</w:t>
            </w:r>
            <w:proofErr w:type="spellEnd"/>
            <w:r w:rsidRPr="00AA77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(ICD-10: C81)”,</w:t>
            </w:r>
            <w:r w:rsidR="00255E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jednoczesnym:</w:t>
            </w:r>
          </w:p>
          <w:p w14:paraId="67BE7944" w14:textId="42D2283C" w:rsidR="008C0493" w:rsidRDefault="008C0493" w:rsidP="008C0493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</w:t>
            </w:r>
            <w:r w:rsidR="00255E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kryterium 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kwalifikacyjnego do leczenia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brentuksymabem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vedotin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chorych na chłoniaka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Hodgkina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 stwierdzonym nawrotem lub opornością na leczenie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tj.: </w:t>
            </w:r>
            <w:r w:rsidRPr="003B6B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„nieobecność przeciwwskazań do allogenicznego przeszczepienia komórek krwiotwórczych w razie uzyskania odpowiedzi częściowej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  <w:r w:rsidR="004F3F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77B65D3" w14:textId="6ADEB8E3" w:rsidR="008C0493" w:rsidRPr="002F61E3" w:rsidRDefault="004F3FEF" w:rsidP="008C04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miany w kryteriach kwalifikacji do leczenia </w:t>
            </w:r>
            <w:proofErr w:type="spellStart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niwolumabem</w:t>
            </w:r>
            <w:proofErr w:type="spellEnd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(umożliwienie leczenia w przypadku nawrotu lub oporności na leczenie </w:t>
            </w:r>
            <w:proofErr w:type="spellStart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brentuksymabem</w:t>
            </w:r>
            <w:proofErr w:type="spellEnd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vedotin</w:t>
            </w:r>
            <w:proofErr w:type="spellEnd"/>
            <w:r w:rsidR="008C04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gdy auto-HSCT nie stanowiło opcji leczenia, umożliwienie leczenia pacjentów o stanie sprawności wg ECOG: 2)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8C0493" w:rsidRPr="005058F2" w14:paraId="2E6F771C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B276" w14:textId="64BFD6BA" w:rsidR="008C0493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5279" w14:textId="6365B0D7" w:rsidR="008C0493" w:rsidRPr="0029403F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B.79.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E497" w14:textId="4F3E0158" w:rsidR="008C0493" w:rsidRPr="0029403F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(ICD-10: C91.1)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73A0" w14:textId="77777777" w:rsidR="008C0493" w:rsidRDefault="008C0493" w:rsidP="008C0493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ołączenie w jeden scalony program lekowy B.79. „Leczenie chorych na przewlekłą białaczkę limfocytową (ICD-10: C91.1)” aktualnie refundowanych terapii w ramach programów lekowych: </w:t>
            </w:r>
          </w:p>
          <w:p w14:paraId="104E6EC2" w14:textId="77777777" w:rsidR="008C0493" w:rsidRDefault="008C0493" w:rsidP="008C049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B.79. „Leczenie przewlekłej białaczki limfocytowej </w:t>
            </w:r>
            <w:proofErr w:type="spellStart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obinutuzumabem</w:t>
            </w:r>
            <w:proofErr w:type="spellEnd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(ICD 10: C.91.1)”, </w:t>
            </w:r>
          </w:p>
          <w:p w14:paraId="2BFBD3B5" w14:textId="77777777" w:rsidR="008C0493" w:rsidRDefault="008C0493" w:rsidP="008C049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B.92. „Leczenie chorych na przewlekłą białaczkę limfocytową </w:t>
            </w:r>
            <w:proofErr w:type="spellStart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ibrutynibem</w:t>
            </w:r>
            <w:proofErr w:type="spellEnd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(ICD 10: C91.1)”, </w:t>
            </w:r>
          </w:p>
          <w:p w14:paraId="76F58850" w14:textId="77777777" w:rsidR="008C0493" w:rsidRDefault="008C0493" w:rsidP="008C049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B.103. „Leczenie chorych na przewlekłą białaczkę limfocytową </w:t>
            </w:r>
            <w:proofErr w:type="spellStart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wenetoklaksem</w:t>
            </w:r>
            <w:proofErr w:type="spellEnd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(ICD-10: C.91.1)”,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jednoczesnym:</w:t>
            </w: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</w:p>
          <w:p w14:paraId="447B62CB" w14:textId="26EEBEB1" w:rsidR="008C0493" w:rsidRPr="007634AF" w:rsidRDefault="008C0493" w:rsidP="008C049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udostępnienie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ibrutynibem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akalabrutynibem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 linii leczenia</w:t>
            </w:r>
            <w:r>
              <w:t xml:space="preserve"> </w:t>
            </w: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dorosłych chorych na przewlekłą białaczkę limfocytową z delecją 17p (del17p) / mutacją w genie </w:t>
            </w:r>
            <w:r w:rsidRPr="007634A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(mut</w:t>
            </w:r>
            <w:r w:rsidRPr="007634A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lub niezmutowanym statusem </w:t>
            </w:r>
            <w:proofErr w:type="spellStart"/>
            <w:r w:rsidRPr="007634A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IgHV</w:t>
            </w:r>
            <w:proofErr w:type="spellEnd"/>
            <w:r w:rsidR="000A688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A688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oraz</w:t>
            </w:r>
          </w:p>
          <w:p w14:paraId="4C89D7CB" w14:textId="65B56C1F" w:rsidR="008C0493" w:rsidRPr="007634AF" w:rsidRDefault="008C0493" w:rsidP="008C049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udostępnienie terapii </w:t>
            </w:r>
            <w:proofErr w:type="spellStart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akalabrutynibem</w:t>
            </w:r>
            <w:proofErr w:type="spellEnd"/>
            <w:r w:rsidRPr="007634A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II linii leczenia</w:t>
            </w:r>
            <w:r w:rsid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C665FA0" w14:textId="301661DF" w:rsidR="008C0493" w:rsidRPr="00CB3D33" w:rsidRDefault="00CB3D33" w:rsidP="008C04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="008C0493" w:rsidRP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ozszerzenie aktualnie refundowanego wskazania dla </w:t>
            </w:r>
            <w:proofErr w:type="spellStart"/>
            <w:r w:rsidR="008C0493" w:rsidRP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ibrutynibu</w:t>
            </w:r>
            <w:proofErr w:type="spellEnd"/>
            <w:r w:rsidR="008C0493" w:rsidRP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od II linii leczenia pacjentów bez delecji 17p (del17p) / mutacją w genie </w:t>
            </w:r>
            <w:r w:rsidR="008C0493" w:rsidRPr="00CB3D3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="008C0493" w:rsidRP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(mut</w:t>
            </w:r>
            <w:r w:rsidR="008C0493" w:rsidRPr="00CB3D3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TP53</w:t>
            </w:r>
            <w:r w:rsidR="008C0493" w:rsidRP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Pr="00CB3D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8C0493" w:rsidRPr="005058F2" w14:paraId="2D9418BC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80D4" w14:textId="2E9D7949" w:rsidR="008C0493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054E" w14:textId="76843147" w:rsidR="008C0493" w:rsidRPr="007F016E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B.97</w:t>
            </w:r>
            <w:r w:rsidR="008B00C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5554" w14:textId="5432397A" w:rsidR="008C0493" w:rsidRPr="00AB1235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840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CHORYCH NA PIERWOTNĄ MAŁOPŁYTKOWOŚĆ IMMUNOLOGICZNĄ (ICD-10: D69.3)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691B" w14:textId="25D3E9AB" w:rsidR="008C0493" w:rsidRPr="00AB1235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Dodanie</w:t>
            </w:r>
            <w:r w:rsidRPr="003256C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trwał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ej</w:t>
            </w:r>
            <w:r w:rsidRPr="003256C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remisj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r w:rsidRPr="003256C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choroby niewymagaj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ącej</w:t>
            </w:r>
            <w:r w:rsidRPr="003256C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jakiegokolwiek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leczenia</w:t>
            </w:r>
            <w:r w:rsidRPr="003256C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jako kryterium wyłączenia oraz doprecyzowanie zapisów w kryteriach kwalifikacji do leczenia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awatrombopagiem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8C0493" w:rsidRPr="005058F2" w14:paraId="160B7DE6" w14:textId="77777777" w:rsidTr="004F151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464D" w14:textId="6A42A595" w:rsidR="008C0493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B355" w14:textId="77777777" w:rsidR="008C0493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C.84.a.</w:t>
            </w:r>
          </w:p>
          <w:p w14:paraId="723FBF95" w14:textId="77777777" w:rsidR="008C0493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C.84.b.</w:t>
            </w:r>
          </w:p>
          <w:p w14:paraId="4DB5B7A9" w14:textId="12A5B310" w:rsidR="008C0493" w:rsidRPr="007F016E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C.84.c.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B75E" w14:textId="79D33112" w:rsidR="008C0493" w:rsidRPr="004B31E3" w:rsidRDefault="008C0493" w:rsidP="008C049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LENALIDOMIDUM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6B96" w14:textId="77777777" w:rsidR="008C0493" w:rsidRDefault="008C0493" w:rsidP="008C04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Zmiana kategorii dostępności refundacyjnej dla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624230A2" w14:textId="36D68EB4" w:rsidR="008C0493" w:rsidRDefault="008C0493" w:rsidP="008C0493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43F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programu lekowego B.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54</w:t>
            </w:r>
            <w:r w:rsidRPr="00343F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do katalogu chemioterapii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C.84.a</w:t>
            </w:r>
            <w:r w:rsidR="004D7DD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14:paraId="031C9961" w14:textId="602D6794" w:rsidR="004D7DDC" w:rsidRDefault="008C0493" w:rsidP="004D7DDC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programu lekowego B.84. do katalogu chemioterapii C.84.b</w:t>
            </w:r>
            <w:r w:rsidR="004D7DD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14:paraId="59AE7D58" w14:textId="7F91454D" w:rsidR="008C0493" w:rsidRPr="004D7DDC" w:rsidRDefault="008C0493" w:rsidP="004D7DDC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DD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programu lekowego B.93. do katalogu chemioterapii C.84.c.</w:t>
            </w:r>
          </w:p>
        </w:tc>
      </w:tr>
    </w:tbl>
    <w:p w14:paraId="08AE375A" w14:textId="43C53898" w:rsidR="0056748F" w:rsidRDefault="0056748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690B0B57" w14:textId="77777777" w:rsidR="004F1511" w:rsidRDefault="004F1511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bookmarkStart w:id="2" w:name="_Hlk90283710"/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703841AA" w14:textId="4E267E11" w:rsidR="0056748F" w:rsidRDefault="0056748F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t>NOWE WSKAZANIA ORAZ ZMIANY W REFUNDACJI APTECZNEJ</w:t>
      </w:r>
    </w:p>
    <w:p w14:paraId="35BF427F" w14:textId="0E60F6DF" w:rsidR="00FD1241" w:rsidRPr="00FD1241" w:rsidRDefault="00FD1241" w:rsidP="00FD1241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W ramach wskazań </w:t>
      </w:r>
      <w:proofErr w:type="spellStart"/>
      <w:r>
        <w:rPr>
          <w:rFonts w:ascii="Calibri Light" w:hAnsi="Calibri Light" w:cs="Calibri Light"/>
          <w:sz w:val="24"/>
          <w:szCs w:val="24"/>
        </w:rPr>
        <w:t>pozarejestracyjnych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nie będzie kontyn</w:t>
      </w:r>
      <w:r w:rsidR="00F12F53">
        <w:rPr>
          <w:rFonts w:ascii="Calibri Light" w:hAnsi="Calibri Light" w:cs="Calibri Light"/>
          <w:sz w:val="24"/>
          <w:szCs w:val="24"/>
        </w:rPr>
        <w:t>uowana</w:t>
      </w:r>
      <w:r>
        <w:rPr>
          <w:rFonts w:ascii="Calibri Light" w:hAnsi="Calibri Light" w:cs="Calibri Light"/>
          <w:sz w:val="24"/>
          <w:szCs w:val="24"/>
        </w:rPr>
        <w:t xml:space="preserve"> refundacja: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905"/>
        <w:gridCol w:w="7794"/>
        <w:gridCol w:w="3648"/>
      </w:tblGrid>
      <w:tr w:rsidR="004F1511" w:rsidRPr="005058F2" w14:paraId="007A4763" w14:textId="77777777" w:rsidTr="004F1511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63FD1E24" w14:textId="38EB779E" w:rsidR="004F1511" w:rsidRPr="005058F2" w:rsidRDefault="004F1511" w:rsidP="004F1511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Zmiany</w:t>
            </w:r>
            <w:r w:rsidR="00176E26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we wskazaniach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FFFFFF"/>
              </w:rPr>
              <w:t>pozarej</w:t>
            </w:r>
            <w:r w:rsidR="00F12F53">
              <w:rPr>
                <w:rFonts w:asciiTheme="majorHAnsi" w:hAnsiTheme="majorHAnsi" w:cstheme="majorHAnsi"/>
                <w:b/>
                <w:bCs/>
                <w:color w:val="FFFFFF"/>
              </w:rPr>
              <w:t>e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>stracyjnych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(off-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FFFFFF"/>
              </w:rPr>
              <w:t>label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/>
              </w:rPr>
              <w:t>)</w:t>
            </w:r>
          </w:p>
        </w:tc>
      </w:tr>
      <w:tr w:rsidR="004F1511" w:rsidRPr="005058F2" w14:paraId="20A90C95" w14:textId="77777777" w:rsidTr="00FD124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18D" w14:textId="77777777" w:rsidR="004F1511" w:rsidRPr="005058F2" w:rsidRDefault="004F1511" w:rsidP="004F1511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4E18" w14:textId="77777777" w:rsidR="004F1511" w:rsidRPr="005058F2" w:rsidRDefault="004F1511" w:rsidP="004F1511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B514" w14:textId="3765DD0A" w:rsidR="004F1511" w:rsidRPr="005058F2" w:rsidRDefault="00FD1241" w:rsidP="004F1511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Usunięte w</w:t>
            </w:r>
            <w:r w:rsidR="004F151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skazanie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893F" w14:textId="77777777" w:rsidR="004F1511" w:rsidRPr="005058F2" w:rsidRDefault="004F1511" w:rsidP="004F1511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Powód zmian</w:t>
            </w:r>
          </w:p>
        </w:tc>
      </w:tr>
      <w:tr w:rsidR="005E3593" w:rsidRPr="005058F2" w14:paraId="0D0A9604" w14:textId="77777777" w:rsidTr="00FD124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F650" w14:textId="04B580CD" w:rsidR="005E3593" w:rsidRPr="005058F2" w:rsidRDefault="005E3593" w:rsidP="005E359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2CBD" w14:textId="48871C95" w:rsidR="005E3593" w:rsidRPr="00F12F53" w:rsidRDefault="005E3593" w:rsidP="005E3593">
            <w:pPr>
              <w:pStyle w:val="Style2"/>
              <w:widowControl/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12F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azatiopryna</w:t>
            </w:r>
            <w:proofErr w:type="spellEnd"/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01B0" w14:textId="02604D89" w:rsidR="005E3593" w:rsidRPr="007D6A3A" w:rsidRDefault="005E3593" w:rsidP="005E3593">
            <w:pPr>
              <w:pStyle w:val="Style2"/>
              <w:widowControl/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76E26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sarkoidoza</w:t>
            </w:r>
            <w:proofErr w:type="spellEnd"/>
            <w:r w:rsidRPr="00176E26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; śródmiąższowe zapalenie płuc - w przypadkach innych niż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 </w:t>
            </w:r>
            <w:r w:rsidRPr="00176E26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określone w ChPL – z wyjątkiem idiopatycznego włóknienia płuc; </w:t>
            </w:r>
            <w:proofErr w:type="spellStart"/>
            <w:r w:rsidRPr="00176E26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ziarniniakowe</w:t>
            </w:r>
            <w:proofErr w:type="spellEnd"/>
            <w: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 </w:t>
            </w:r>
            <w:r w:rsidRPr="00176E26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choroby płuc – w przypadkach innych niż określone w ChPL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8B29" w14:textId="69A4873F" w:rsidR="005E3593" w:rsidRPr="00337B00" w:rsidRDefault="005E3593" w:rsidP="005E35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Brak przedstawienia opinii przez Konsultanta Krajowego </w:t>
            </w:r>
            <w:r w:rsidRPr="00176E2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dziedzinie chorób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76E2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płuc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5E3593" w:rsidRPr="005058F2" w14:paraId="4B58F31E" w14:textId="77777777" w:rsidTr="00FD124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4719" w14:textId="77777777" w:rsidR="005E3593" w:rsidRPr="005058F2" w:rsidRDefault="005E3593" w:rsidP="005E359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5F7F" w14:textId="4E6E85EA" w:rsidR="005E3593" w:rsidRPr="00F12F53" w:rsidRDefault="005E3593" w:rsidP="005E359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12F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chlorambucyl</w:t>
            </w:r>
            <w:proofErr w:type="spellEnd"/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8E0A" w14:textId="01143DCD" w:rsidR="005E3593" w:rsidRPr="00230BB7" w:rsidRDefault="005E3593" w:rsidP="005E3593">
            <w:pPr>
              <w:pStyle w:val="Style2"/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proofErr w:type="spellStart"/>
            <w:r w:rsidRPr="00176E26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amyloidoza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D5B3" w14:textId="00938225" w:rsidR="005E3593" w:rsidRPr="00287196" w:rsidRDefault="005E3593" w:rsidP="005E35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Negatywna opinia Konsultanta Krajowego.</w:t>
            </w:r>
          </w:p>
        </w:tc>
      </w:tr>
      <w:tr w:rsidR="005E3593" w:rsidRPr="005058F2" w14:paraId="046EB9D0" w14:textId="77777777" w:rsidTr="00FD124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A85D" w14:textId="77777777" w:rsidR="005E3593" w:rsidRPr="005058F2" w:rsidRDefault="005E3593" w:rsidP="005E359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BC31" w14:textId="35F48069" w:rsidR="005E3593" w:rsidRPr="00F12F53" w:rsidRDefault="005E3593" w:rsidP="005E3593">
            <w:pPr>
              <w:pStyle w:val="Style2"/>
              <w:widowControl/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12F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metotreksat</w:t>
            </w:r>
            <w:proofErr w:type="spellEnd"/>
            <w:r w:rsidRPr="00F12F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br/>
              <w:t>(tabletki)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9DC8" w14:textId="7FEF1F9B" w:rsidR="005E3593" w:rsidRPr="005D269A" w:rsidRDefault="005E3593" w:rsidP="005E3593">
            <w:pPr>
              <w:pStyle w:val="Style2"/>
              <w:widowControl/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sarkoidoza</w:t>
            </w:r>
            <w:proofErr w:type="spellEnd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ziarniniakowe</w:t>
            </w:r>
            <w:proofErr w:type="spellEnd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choroby płuc - w przypadkach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innych niż określone w ChPL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F6C4" w14:textId="139C7EA3" w:rsidR="005E3593" w:rsidRPr="00FE6EDA" w:rsidRDefault="005E3593" w:rsidP="005E35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Brak przedstawienia opinii przez Konsultanta Krajowego </w:t>
            </w:r>
            <w:r w:rsidRPr="00176E2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dziedzinie chorób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76E2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płuc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5E3593" w:rsidRPr="005058F2" w14:paraId="4A36B76E" w14:textId="77777777" w:rsidTr="00FD124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2EB6" w14:textId="77777777" w:rsidR="005E3593" w:rsidRPr="005058F2" w:rsidRDefault="005E3593" w:rsidP="005E359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4.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C5E" w14:textId="75B2FA78" w:rsidR="005E3593" w:rsidRPr="00F12F53" w:rsidRDefault="005E3593" w:rsidP="005E3593">
            <w:pPr>
              <w:pStyle w:val="Style2"/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12F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prednizolon</w:t>
            </w:r>
            <w:proofErr w:type="spellEnd"/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FA3B" w14:textId="6E3FC3D4" w:rsidR="005E3593" w:rsidRPr="00C02B10" w:rsidRDefault="005E3593" w:rsidP="005E3593">
            <w:pPr>
              <w:pStyle w:val="Style2"/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908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stan po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908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przeszczepie nerki u dzieci do 18 roku życia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793B" w14:textId="1F488E22" w:rsidR="005E3593" w:rsidRPr="00347B18" w:rsidRDefault="005E3593" w:rsidP="005E35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Negatywna opinia Konsultanta Krajowego.</w:t>
            </w:r>
          </w:p>
        </w:tc>
      </w:tr>
      <w:tr w:rsidR="005E3593" w:rsidRPr="005058F2" w14:paraId="201BF3D6" w14:textId="77777777" w:rsidTr="00FD124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FDB9" w14:textId="48C3C5EA" w:rsidR="005E3593" w:rsidRPr="005058F2" w:rsidRDefault="005E3593" w:rsidP="005E359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DF5" w14:textId="3D817A67" w:rsidR="005E3593" w:rsidRPr="00F12F53" w:rsidRDefault="005E3593" w:rsidP="005E3593">
            <w:pPr>
              <w:pStyle w:val="Style2"/>
              <w:spacing w:before="120" w:after="12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12F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takrolimus</w:t>
            </w:r>
            <w:proofErr w:type="spellEnd"/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AB1F" w14:textId="2B41A945" w:rsidR="005E3593" w:rsidRPr="00C02B10" w:rsidRDefault="005E3593" w:rsidP="005E3593">
            <w:pPr>
              <w:pStyle w:val="Style2"/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idiopatyczny zespół nerczycowy - w przypadku nietolerancji </w:t>
            </w:r>
            <w:proofErr w:type="spellStart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cyklosporyny</w:t>
            </w:r>
            <w:proofErr w:type="spellEnd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lub oporności na </w:t>
            </w:r>
            <w:proofErr w:type="spellStart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cyklosporynę</w:t>
            </w:r>
            <w:proofErr w:type="spellEnd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; toczniowe zapalenie nerek - w przypadku nietolerancji </w:t>
            </w:r>
            <w:proofErr w:type="spellStart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cyklosporyny</w:t>
            </w:r>
            <w:proofErr w:type="spellEnd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lub oporności na </w:t>
            </w:r>
            <w:proofErr w:type="spellStart"/>
            <w:r w:rsidRPr="00C02B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cyklosporynę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AA2A" w14:textId="11078C78" w:rsidR="005E3593" w:rsidRPr="00347B18" w:rsidRDefault="005E3593" w:rsidP="005E359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Negatywna opinia Konsultanta Krajowego.</w:t>
            </w:r>
          </w:p>
        </w:tc>
      </w:tr>
    </w:tbl>
    <w:p w14:paraId="4A66E96F" w14:textId="768BC88B" w:rsidR="000A4576" w:rsidRDefault="000A4576" w:rsidP="0068046C">
      <w:pPr>
        <w:suppressAutoHyphens w:val="0"/>
        <w:rPr>
          <w:rFonts w:ascii="Arial Rounded MT Bold" w:hAnsi="Arial Rounded MT Bold"/>
          <w:b/>
          <w:bCs/>
          <w:color w:val="00B0F0"/>
        </w:rPr>
      </w:pPr>
    </w:p>
    <w:p w14:paraId="778609C7" w14:textId="198F15DA" w:rsidR="00D84C41" w:rsidRDefault="00D84C41" w:rsidP="00D84C41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 w:rsidRPr="00D84C41">
        <w:rPr>
          <w:rFonts w:ascii="Calibri Light" w:hAnsi="Calibri Light" w:cs="Calibri Light"/>
          <w:sz w:val="24"/>
          <w:szCs w:val="24"/>
        </w:rPr>
        <w:t xml:space="preserve">Po analizie </w:t>
      </w:r>
      <w:r>
        <w:rPr>
          <w:rFonts w:ascii="Calibri Light" w:hAnsi="Calibri Light" w:cs="Calibri Light"/>
          <w:sz w:val="24"/>
          <w:szCs w:val="24"/>
        </w:rPr>
        <w:t>zapisów ChPL</w:t>
      </w:r>
      <w:r>
        <w:rPr>
          <w:rFonts w:ascii="Calibri Light" w:hAnsi="Calibri Light" w:cs="Calibri Light"/>
          <w:sz w:val="24"/>
          <w:szCs w:val="24"/>
        </w:rPr>
        <w:t xml:space="preserve"> wskazanie refundacyjne dla leków inhalacyjnych zawierających </w:t>
      </w:r>
      <w:proofErr w:type="spellStart"/>
      <w:r>
        <w:rPr>
          <w:rFonts w:ascii="Calibri Light" w:hAnsi="Calibri Light" w:cs="Calibri Light"/>
          <w:i/>
          <w:iCs/>
          <w:sz w:val="24"/>
          <w:szCs w:val="24"/>
        </w:rPr>
        <w:t>beklomtazon</w:t>
      </w:r>
      <w:proofErr w:type="spellEnd"/>
      <w:r>
        <w:rPr>
          <w:rFonts w:ascii="Calibri Light" w:hAnsi="Calibri Light" w:cs="Calibri Light"/>
          <w:i/>
          <w:iCs/>
          <w:sz w:val="24"/>
          <w:szCs w:val="24"/>
        </w:rPr>
        <w:t xml:space="preserve"> + </w:t>
      </w:r>
      <w:proofErr w:type="spellStart"/>
      <w:r>
        <w:rPr>
          <w:rFonts w:ascii="Calibri Light" w:hAnsi="Calibri Light" w:cs="Calibri Light"/>
          <w:i/>
          <w:iCs/>
          <w:sz w:val="24"/>
          <w:szCs w:val="24"/>
        </w:rPr>
        <w:t>formoterol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w dawce 200+6 </w:t>
      </w:r>
      <w:r w:rsidRPr="00D84C41">
        <w:rPr>
          <w:rFonts w:ascii="Calibri Light" w:hAnsi="Calibri Light" w:cs="Calibri Light"/>
          <w:sz w:val="24"/>
          <w:szCs w:val="24"/>
        </w:rPr>
        <w:t>µg/dawkę</w:t>
      </w:r>
      <w:r>
        <w:rPr>
          <w:rFonts w:ascii="Calibri Light" w:hAnsi="Calibri Light" w:cs="Calibri Light"/>
          <w:sz w:val="24"/>
          <w:szCs w:val="24"/>
        </w:rPr>
        <w:t xml:space="preserve"> zostało zawężone do </w:t>
      </w:r>
      <w:r>
        <w:rPr>
          <w:rFonts w:ascii="Calibri Light" w:hAnsi="Calibri Light" w:cs="Calibri Light"/>
          <w:i/>
          <w:iCs/>
          <w:sz w:val="24"/>
          <w:szCs w:val="24"/>
        </w:rPr>
        <w:t>Astma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54A02437" w14:textId="77777777" w:rsidR="00D84C41" w:rsidRPr="00D84C41" w:rsidRDefault="00D84C41" w:rsidP="00D84C41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</w:p>
    <w:p w14:paraId="0F53E7DF" w14:textId="412F9144" w:rsidR="00452095" w:rsidRDefault="00D84C41" w:rsidP="00347B18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Uprzejmie informujemy, że l</w:t>
      </w:r>
      <w:r w:rsidR="00347B18" w:rsidRPr="00347B18">
        <w:rPr>
          <w:rFonts w:ascii="Calibri Light" w:hAnsi="Calibri Light" w:cs="Calibri Light"/>
          <w:sz w:val="24"/>
          <w:szCs w:val="24"/>
        </w:rPr>
        <w:t xml:space="preserve">ek </w:t>
      </w:r>
      <w:proofErr w:type="spellStart"/>
      <w:r w:rsidR="00347B18">
        <w:rPr>
          <w:rFonts w:ascii="Calibri Light" w:hAnsi="Calibri Light" w:cs="Calibri Light"/>
          <w:b/>
          <w:bCs/>
          <w:sz w:val="24"/>
          <w:szCs w:val="24"/>
        </w:rPr>
        <w:t>Tresiba</w:t>
      </w:r>
      <w:proofErr w:type="spellEnd"/>
      <w:r w:rsidR="00347B18">
        <w:rPr>
          <w:rFonts w:ascii="Calibri Light" w:hAnsi="Calibri Light" w:cs="Calibri Light"/>
          <w:b/>
          <w:bCs/>
          <w:sz w:val="24"/>
          <w:szCs w:val="24"/>
        </w:rPr>
        <w:t xml:space="preserve"> (insulina </w:t>
      </w:r>
      <w:proofErr w:type="spellStart"/>
      <w:r w:rsidR="00347B18">
        <w:rPr>
          <w:rFonts w:ascii="Calibri Light" w:hAnsi="Calibri Light" w:cs="Calibri Light"/>
          <w:b/>
          <w:bCs/>
          <w:sz w:val="24"/>
          <w:szCs w:val="24"/>
        </w:rPr>
        <w:t>degludec</w:t>
      </w:r>
      <w:proofErr w:type="spellEnd"/>
      <w:r w:rsidR="00347B18">
        <w:rPr>
          <w:rFonts w:ascii="Calibri Light" w:hAnsi="Calibri Light" w:cs="Calibri Light"/>
          <w:b/>
          <w:bCs/>
          <w:sz w:val="24"/>
          <w:szCs w:val="24"/>
        </w:rPr>
        <w:t>)</w:t>
      </w:r>
      <w:r w:rsidR="00347B18" w:rsidRPr="00347B18">
        <w:rPr>
          <w:rFonts w:ascii="Calibri Light" w:hAnsi="Calibri Light" w:cs="Calibri Light"/>
          <w:sz w:val="24"/>
          <w:szCs w:val="24"/>
        </w:rPr>
        <w:t xml:space="preserve"> refundowany dotychczas w </w:t>
      </w:r>
      <w:r w:rsidR="00347B18">
        <w:rPr>
          <w:rFonts w:ascii="Calibri Light" w:hAnsi="Calibri Light" w:cs="Calibri Light"/>
          <w:sz w:val="24"/>
          <w:szCs w:val="24"/>
        </w:rPr>
        <w:t>aptece we wskazaniu</w:t>
      </w:r>
      <w:r w:rsidR="00452095">
        <w:rPr>
          <w:rFonts w:ascii="Calibri Light" w:hAnsi="Calibri Light" w:cs="Calibri Light"/>
          <w:sz w:val="24"/>
          <w:szCs w:val="24"/>
        </w:rPr>
        <w:t>:</w:t>
      </w:r>
    </w:p>
    <w:p w14:paraId="252A8452" w14:textId="44ED2225" w:rsidR="00452095" w:rsidRPr="00452095" w:rsidRDefault="00452095" w:rsidP="00452095">
      <w:pPr>
        <w:pStyle w:val="Akapitzlist"/>
        <w:numPr>
          <w:ilvl w:val="0"/>
          <w:numId w:val="17"/>
        </w:numPr>
        <w:spacing w:line="252" w:lineRule="auto"/>
        <w:jc w:val="both"/>
        <w:textAlignment w:val="auto"/>
        <w:rPr>
          <w:rFonts w:ascii="Calibri Light" w:hAnsi="Calibri Light" w:cs="Calibri Light"/>
          <w:i/>
          <w:iCs/>
          <w:sz w:val="24"/>
          <w:szCs w:val="24"/>
        </w:rPr>
      </w:pPr>
      <w:r w:rsidRPr="00452095">
        <w:rPr>
          <w:rFonts w:ascii="Calibri Light" w:hAnsi="Calibri Light" w:cs="Calibri Light"/>
          <w:i/>
          <w:iCs/>
          <w:sz w:val="24"/>
          <w:szCs w:val="24"/>
        </w:rPr>
        <w:t xml:space="preserve">Cukrzyca typu I u dorosłych; Cukrzyca typu 2 u dorosłych pacjentów leczonych insuliną NPH od co najmniej 6 miesięcy i z HbA1c ≥8% oraz cukrzyca typu 2 u dorosłych pacjentów leczonych insuliną NPH od co najmniej 6 miesięcy i z udokumentowanymi nawracającymi epizodami ciężkiej lub nocnej hipoglikemii oraz cukrzyca o znanej przyczynie (zgodnie z definicją wg WHO); </w:t>
      </w:r>
    </w:p>
    <w:p w14:paraId="3754E674" w14:textId="601137C2" w:rsidR="00452095" w:rsidRPr="00452095" w:rsidRDefault="00452095" w:rsidP="00452095">
      <w:pPr>
        <w:pStyle w:val="Akapitzlist"/>
        <w:numPr>
          <w:ilvl w:val="0"/>
          <w:numId w:val="17"/>
        </w:numPr>
        <w:spacing w:line="252" w:lineRule="auto"/>
        <w:jc w:val="both"/>
        <w:textAlignment w:val="auto"/>
        <w:rPr>
          <w:rFonts w:ascii="Calibri Light" w:hAnsi="Calibri Light" w:cs="Calibri Light"/>
          <w:i/>
          <w:iCs/>
          <w:sz w:val="24"/>
          <w:szCs w:val="24"/>
        </w:rPr>
      </w:pPr>
      <w:r w:rsidRPr="00452095">
        <w:rPr>
          <w:rFonts w:ascii="Calibri Light" w:hAnsi="Calibri Light" w:cs="Calibri Light"/>
          <w:i/>
          <w:iCs/>
          <w:sz w:val="24"/>
          <w:szCs w:val="24"/>
        </w:rPr>
        <w:t>Cukrzyca typu I u dzieci powyżej 1. roku życia i młodzieży.</w:t>
      </w:r>
      <w:r w:rsidR="00176E26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452095">
        <w:rPr>
          <w:rFonts w:ascii="Calibri Light" w:hAnsi="Calibri Light" w:cs="Calibri Light"/>
          <w:i/>
          <w:iCs/>
          <w:sz w:val="24"/>
          <w:szCs w:val="24"/>
        </w:rPr>
        <w:t>Cukrzyca typu 2 u dzieci powyżej 1. roku życia i młodzieży leczonych insuliną NPH od co najmniej 6 miesięcy i z HbA1c ≥8%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</w:r>
    </w:p>
    <w:p w14:paraId="4A792F34" w14:textId="5724E172" w:rsidR="00347B18" w:rsidRPr="00347B18" w:rsidRDefault="00347B18" w:rsidP="00347B18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 w:rsidRPr="00347B18">
        <w:rPr>
          <w:rFonts w:ascii="Calibri Light" w:hAnsi="Calibri Light" w:cs="Calibri Light"/>
          <w:sz w:val="24"/>
          <w:szCs w:val="24"/>
        </w:rPr>
        <w:t xml:space="preserve">nie znajdzie się na kolejnym wykazie refundacyjnym obowiązującym od </w:t>
      </w:r>
      <w:r w:rsidRPr="00347B18">
        <w:rPr>
          <w:rFonts w:ascii="Calibri Light" w:hAnsi="Calibri Light" w:cs="Calibri Light"/>
          <w:b/>
          <w:bCs/>
          <w:sz w:val="24"/>
          <w:szCs w:val="24"/>
        </w:rPr>
        <w:t xml:space="preserve">1 </w:t>
      </w:r>
      <w:r w:rsidRPr="00452095">
        <w:rPr>
          <w:rFonts w:ascii="Calibri Light" w:hAnsi="Calibri Light" w:cs="Calibri Light"/>
          <w:b/>
          <w:bCs/>
          <w:sz w:val="24"/>
          <w:szCs w:val="24"/>
        </w:rPr>
        <w:t>stycznia</w:t>
      </w:r>
      <w:r w:rsidRPr="00347B18">
        <w:rPr>
          <w:rFonts w:ascii="Calibri Light" w:hAnsi="Calibri Light" w:cs="Calibri Light"/>
          <w:b/>
          <w:bCs/>
          <w:sz w:val="24"/>
          <w:szCs w:val="24"/>
        </w:rPr>
        <w:t xml:space="preserve"> 202</w:t>
      </w:r>
      <w:r w:rsidRPr="00452095">
        <w:rPr>
          <w:rFonts w:ascii="Calibri Light" w:hAnsi="Calibri Light" w:cs="Calibri Light"/>
          <w:b/>
          <w:bCs/>
          <w:sz w:val="24"/>
          <w:szCs w:val="24"/>
        </w:rPr>
        <w:t>3</w:t>
      </w:r>
      <w:r w:rsidRPr="00347B18">
        <w:rPr>
          <w:rFonts w:ascii="Calibri Light" w:hAnsi="Calibri Light" w:cs="Calibri Light"/>
          <w:b/>
          <w:bCs/>
          <w:sz w:val="24"/>
          <w:szCs w:val="24"/>
        </w:rPr>
        <w:t xml:space="preserve"> r.</w:t>
      </w:r>
      <w:r w:rsidRPr="00347B18">
        <w:rPr>
          <w:rFonts w:ascii="Calibri Light" w:hAnsi="Calibri Light" w:cs="Calibri Light"/>
          <w:sz w:val="24"/>
          <w:szCs w:val="24"/>
        </w:rPr>
        <w:t>, ponieważ pod</w:t>
      </w:r>
      <w:bookmarkStart w:id="3" w:name="_Hlk122289578"/>
      <w:r w:rsidRPr="00347B18">
        <w:rPr>
          <w:rFonts w:ascii="Calibri Light" w:hAnsi="Calibri Light" w:cs="Calibri Light"/>
          <w:sz w:val="24"/>
          <w:szCs w:val="24"/>
        </w:rPr>
        <w:t>m</w:t>
      </w:r>
      <w:bookmarkEnd w:id="3"/>
      <w:r w:rsidRPr="00347B18">
        <w:rPr>
          <w:rFonts w:ascii="Calibri Light" w:hAnsi="Calibri Light" w:cs="Calibri Light"/>
          <w:sz w:val="24"/>
          <w:szCs w:val="24"/>
        </w:rPr>
        <w:t xml:space="preserve">iot odpowiedzialny </w:t>
      </w:r>
      <w:r w:rsidRPr="00412BE9">
        <w:rPr>
          <w:rFonts w:ascii="Calibri Light" w:hAnsi="Calibri Light" w:cs="Calibri Light"/>
          <w:b/>
          <w:bCs/>
          <w:sz w:val="24"/>
          <w:szCs w:val="24"/>
        </w:rPr>
        <w:t>Novo Nordisk Pharma Sp. z o.o.</w:t>
      </w:r>
      <w:r w:rsidRPr="00452095">
        <w:rPr>
          <w:rFonts w:ascii="Calibri Light" w:hAnsi="Calibri Light" w:cs="Calibri Light"/>
          <w:sz w:val="24"/>
          <w:szCs w:val="24"/>
        </w:rPr>
        <w:t xml:space="preserve"> </w:t>
      </w:r>
      <w:r w:rsidRPr="00347B18">
        <w:rPr>
          <w:rFonts w:ascii="Calibri Light" w:hAnsi="Calibri Light" w:cs="Calibri Light"/>
          <w:b/>
          <w:bCs/>
          <w:sz w:val="24"/>
          <w:szCs w:val="24"/>
        </w:rPr>
        <w:t>nie spełnił ustawowego warunku</w:t>
      </w:r>
      <w:r w:rsidRPr="00347B18">
        <w:rPr>
          <w:rFonts w:ascii="Calibri Light" w:hAnsi="Calibri Light" w:cs="Calibri Light"/>
          <w:sz w:val="24"/>
          <w:szCs w:val="24"/>
        </w:rPr>
        <w:t xml:space="preserve"> wynikającego z art. 13 ust. 2 ustawy z dnia 12 maja 2011 r. o </w:t>
      </w:r>
      <w:r w:rsidRPr="00347B18">
        <w:rPr>
          <w:rFonts w:ascii="Calibri Light" w:hAnsi="Calibri Light" w:cs="Calibri Light"/>
          <w:i/>
          <w:iCs/>
          <w:sz w:val="24"/>
          <w:szCs w:val="24"/>
        </w:rPr>
        <w:t>refundacji leków, środków spożywczych specjalnego przeznaczenia żywieniowego oraz wyrobów medycznych</w:t>
      </w:r>
      <w:r w:rsidRPr="00347B18">
        <w:rPr>
          <w:rFonts w:ascii="Calibri Light" w:hAnsi="Calibri Light" w:cs="Calibri Light"/>
          <w:sz w:val="24"/>
          <w:szCs w:val="24"/>
        </w:rPr>
        <w:t xml:space="preserve"> odnośnie konieczności obniżenia urzędowej ceny zbytu o 25% w związku z upływem okresu wyłączności rynkowej dla tego preparatu. Podmiot deklaruje jednak stałą dostępność obu prezentacji leku w aptekach ogólnodostępnych z ustaloną przez producenta ceną.</w:t>
      </w:r>
    </w:p>
    <w:p w14:paraId="4C32D403" w14:textId="34205B76" w:rsidR="00452095" w:rsidRPr="00452095" w:rsidRDefault="00452095" w:rsidP="00452095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 w:rsidRPr="00452095">
        <w:rPr>
          <w:rFonts w:ascii="Calibri Light" w:hAnsi="Calibri Light" w:cs="Calibri Light"/>
          <w:sz w:val="24"/>
          <w:szCs w:val="24"/>
        </w:rPr>
        <w:t xml:space="preserve">Decyzja o braku kontynuowania refundacji jest autonomiczną decyzją </w:t>
      </w:r>
      <w:r>
        <w:rPr>
          <w:rFonts w:ascii="Calibri Light" w:hAnsi="Calibri Light" w:cs="Calibri Light"/>
          <w:sz w:val="24"/>
          <w:szCs w:val="24"/>
        </w:rPr>
        <w:t>pod</w:t>
      </w:r>
      <w:r w:rsidRPr="00347B18">
        <w:rPr>
          <w:rFonts w:ascii="Calibri Light" w:hAnsi="Calibri Light" w:cs="Calibri Light"/>
          <w:sz w:val="24"/>
          <w:szCs w:val="24"/>
        </w:rPr>
        <w:t>m</w:t>
      </w:r>
      <w:r>
        <w:rPr>
          <w:rFonts w:ascii="Calibri Light" w:hAnsi="Calibri Light" w:cs="Calibri Light"/>
          <w:sz w:val="24"/>
          <w:szCs w:val="24"/>
        </w:rPr>
        <w:t xml:space="preserve">iot odpowiedzialny </w:t>
      </w:r>
      <w:r w:rsidRPr="00452095">
        <w:rPr>
          <w:rFonts w:ascii="Calibri Light" w:hAnsi="Calibri Light" w:cs="Calibri Light"/>
          <w:sz w:val="24"/>
          <w:szCs w:val="24"/>
        </w:rPr>
        <w:t xml:space="preserve">Novo Nordisk Pharma Sp. z o.o., a lek </w:t>
      </w:r>
      <w:proofErr w:type="spellStart"/>
      <w:r w:rsidRPr="00452095">
        <w:rPr>
          <w:rFonts w:ascii="Calibri Light" w:hAnsi="Calibri Light" w:cs="Calibri Light"/>
          <w:b/>
          <w:bCs/>
          <w:sz w:val="24"/>
          <w:szCs w:val="24"/>
        </w:rPr>
        <w:t>Tresiba</w:t>
      </w:r>
      <w:proofErr w:type="spellEnd"/>
      <w:r w:rsidRPr="00452095">
        <w:rPr>
          <w:rFonts w:ascii="Calibri Light" w:hAnsi="Calibri Light" w:cs="Calibri Light"/>
          <w:sz w:val="24"/>
          <w:szCs w:val="24"/>
        </w:rPr>
        <w:t xml:space="preserve"> będzie mógł być ponownie objęty refundacją, o ile firma złoży odpowiedni wniosek, spełniający warunki opisane w ustawie o refundacji.</w:t>
      </w:r>
    </w:p>
    <w:p w14:paraId="6B996492" w14:textId="7BD7A4D8" w:rsidR="009D10B8" w:rsidRPr="00D84C41" w:rsidRDefault="009D10B8" w:rsidP="00D84C41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</w:p>
    <w:p w14:paraId="2116CC71" w14:textId="77777777" w:rsidR="00D84C41" w:rsidRPr="00D84C41" w:rsidRDefault="00D84C41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</w:p>
    <w:sectPr w:rsidR="00D84C41" w:rsidRPr="00D84C41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37BA" w14:textId="77777777" w:rsidR="00BA617F" w:rsidRDefault="00BA617F">
      <w:pPr>
        <w:spacing w:after="0" w:line="240" w:lineRule="auto"/>
      </w:pPr>
      <w:r>
        <w:separator/>
      </w:r>
    </w:p>
  </w:endnote>
  <w:endnote w:type="continuationSeparator" w:id="0">
    <w:p w14:paraId="7EA2E142" w14:textId="77777777" w:rsidR="00BA617F" w:rsidRDefault="00BA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E5D3" w14:textId="77777777" w:rsidR="00BA617F" w:rsidRDefault="00BA61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DFFD3" w14:textId="77777777" w:rsidR="00BA617F" w:rsidRDefault="00BA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4" w:name="_Hlk74147372"/>
    <w:bookmarkEnd w:id="4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8238B"/>
    <w:multiLevelType w:val="hybridMultilevel"/>
    <w:tmpl w:val="B8588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17178">
    <w:abstractNumId w:val="4"/>
  </w:num>
  <w:num w:numId="2" w16cid:durableId="299461446">
    <w:abstractNumId w:val="2"/>
  </w:num>
  <w:num w:numId="3" w16cid:durableId="85662104">
    <w:abstractNumId w:val="5"/>
  </w:num>
  <w:num w:numId="4" w16cid:durableId="1396705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4013882">
    <w:abstractNumId w:val="14"/>
  </w:num>
  <w:num w:numId="6" w16cid:durableId="405149118">
    <w:abstractNumId w:val="3"/>
  </w:num>
  <w:num w:numId="7" w16cid:durableId="611715632">
    <w:abstractNumId w:val="6"/>
  </w:num>
  <w:num w:numId="8" w16cid:durableId="1892421447">
    <w:abstractNumId w:val="7"/>
  </w:num>
  <w:num w:numId="9" w16cid:durableId="2027322848">
    <w:abstractNumId w:val="12"/>
  </w:num>
  <w:num w:numId="10" w16cid:durableId="2018538376">
    <w:abstractNumId w:val="0"/>
  </w:num>
  <w:num w:numId="11" w16cid:durableId="979110544">
    <w:abstractNumId w:val="15"/>
  </w:num>
  <w:num w:numId="12" w16cid:durableId="342778382">
    <w:abstractNumId w:val="1"/>
  </w:num>
  <w:num w:numId="13" w16cid:durableId="615218971">
    <w:abstractNumId w:val="8"/>
  </w:num>
  <w:num w:numId="14" w16cid:durableId="1647124833">
    <w:abstractNumId w:val="10"/>
  </w:num>
  <w:num w:numId="15" w16cid:durableId="1352222192">
    <w:abstractNumId w:val="9"/>
  </w:num>
  <w:num w:numId="16" w16cid:durableId="1942833627">
    <w:abstractNumId w:val="13"/>
  </w:num>
  <w:num w:numId="17" w16cid:durableId="2061128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31E9F"/>
    <w:rsid w:val="0005011B"/>
    <w:rsid w:val="00052E44"/>
    <w:rsid w:val="000702E4"/>
    <w:rsid w:val="00070A89"/>
    <w:rsid w:val="0008118E"/>
    <w:rsid w:val="00086074"/>
    <w:rsid w:val="000A4576"/>
    <w:rsid w:val="000A688D"/>
    <w:rsid w:val="000B21F0"/>
    <w:rsid w:val="000B6696"/>
    <w:rsid w:val="000B7075"/>
    <w:rsid w:val="000D02C0"/>
    <w:rsid w:val="000D2FED"/>
    <w:rsid w:val="000E3BBE"/>
    <w:rsid w:val="000F077F"/>
    <w:rsid w:val="000F3ED2"/>
    <w:rsid w:val="000F5E24"/>
    <w:rsid w:val="001030B2"/>
    <w:rsid w:val="001204EA"/>
    <w:rsid w:val="00134D7A"/>
    <w:rsid w:val="0014120D"/>
    <w:rsid w:val="00143D0B"/>
    <w:rsid w:val="00155C8E"/>
    <w:rsid w:val="00161605"/>
    <w:rsid w:val="00173D8E"/>
    <w:rsid w:val="00176E26"/>
    <w:rsid w:val="00180F5C"/>
    <w:rsid w:val="00186CB7"/>
    <w:rsid w:val="001A7E82"/>
    <w:rsid w:val="001B0859"/>
    <w:rsid w:val="001B354B"/>
    <w:rsid w:val="001B7475"/>
    <w:rsid w:val="001C5BF0"/>
    <w:rsid w:val="001E2320"/>
    <w:rsid w:val="001E610A"/>
    <w:rsid w:val="001E721F"/>
    <w:rsid w:val="00205C55"/>
    <w:rsid w:val="00206C0B"/>
    <w:rsid w:val="00221A2A"/>
    <w:rsid w:val="002270E2"/>
    <w:rsid w:val="00230BB7"/>
    <w:rsid w:val="0024697E"/>
    <w:rsid w:val="00255E53"/>
    <w:rsid w:val="00263108"/>
    <w:rsid w:val="00275115"/>
    <w:rsid w:val="00281BE7"/>
    <w:rsid w:val="00286651"/>
    <w:rsid w:val="00287196"/>
    <w:rsid w:val="0029403F"/>
    <w:rsid w:val="002C0340"/>
    <w:rsid w:val="002D5078"/>
    <w:rsid w:val="002D55B8"/>
    <w:rsid w:val="002E46AC"/>
    <w:rsid w:val="002F61E3"/>
    <w:rsid w:val="003130CA"/>
    <w:rsid w:val="00326537"/>
    <w:rsid w:val="00337B00"/>
    <w:rsid w:val="00347B18"/>
    <w:rsid w:val="00355899"/>
    <w:rsid w:val="00356E75"/>
    <w:rsid w:val="00374DBE"/>
    <w:rsid w:val="0037714E"/>
    <w:rsid w:val="003841AB"/>
    <w:rsid w:val="003935E8"/>
    <w:rsid w:val="003975D4"/>
    <w:rsid w:val="003A5B7D"/>
    <w:rsid w:val="003A6433"/>
    <w:rsid w:val="003A6691"/>
    <w:rsid w:val="003D2AB4"/>
    <w:rsid w:val="003D2AE2"/>
    <w:rsid w:val="003D71C6"/>
    <w:rsid w:val="003E025A"/>
    <w:rsid w:val="003E1719"/>
    <w:rsid w:val="003E49DC"/>
    <w:rsid w:val="00404F9B"/>
    <w:rsid w:val="0040572D"/>
    <w:rsid w:val="00411C64"/>
    <w:rsid w:val="00412BE9"/>
    <w:rsid w:val="004156E6"/>
    <w:rsid w:val="00415707"/>
    <w:rsid w:val="0041703B"/>
    <w:rsid w:val="004403B4"/>
    <w:rsid w:val="00446466"/>
    <w:rsid w:val="00452095"/>
    <w:rsid w:val="00453B55"/>
    <w:rsid w:val="00466FE8"/>
    <w:rsid w:val="0048011A"/>
    <w:rsid w:val="00490715"/>
    <w:rsid w:val="00491267"/>
    <w:rsid w:val="00491300"/>
    <w:rsid w:val="00492285"/>
    <w:rsid w:val="004A5135"/>
    <w:rsid w:val="004B2F38"/>
    <w:rsid w:val="004C35E7"/>
    <w:rsid w:val="004D7DDC"/>
    <w:rsid w:val="004E4723"/>
    <w:rsid w:val="004E5AC4"/>
    <w:rsid w:val="004F1511"/>
    <w:rsid w:val="004F3FEF"/>
    <w:rsid w:val="005058F2"/>
    <w:rsid w:val="0055182D"/>
    <w:rsid w:val="0056748F"/>
    <w:rsid w:val="00574D83"/>
    <w:rsid w:val="005871C9"/>
    <w:rsid w:val="005B06B3"/>
    <w:rsid w:val="005B598A"/>
    <w:rsid w:val="005C499F"/>
    <w:rsid w:val="005C6551"/>
    <w:rsid w:val="005C6B7A"/>
    <w:rsid w:val="005D269A"/>
    <w:rsid w:val="005D3140"/>
    <w:rsid w:val="005D5D31"/>
    <w:rsid w:val="005E1857"/>
    <w:rsid w:val="005E3593"/>
    <w:rsid w:val="005E4CF5"/>
    <w:rsid w:val="006008CD"/>
    <w:rsid w:val="0064109C"/>
    <w:rsid w:val="0064487F"/>
    <w:rsid w:val="006648F3"/>
    <w:rsid w:val="00670C14"/>
    <w:rsid w:val="0068046C"/>
    <w:rsid w:val="00680B0E"/>
    <w:rsid w:val="00687B5F"/>
    <w:rsid w:val="00687E5A"/>
    <w:rsid w:val="006922A7"/>
    <w:rsid w:val="006967BC"/>
    <w:rsid w:val="006A03EB"/>
    <w:rsid w:val="006A7DCE"/>
    <w:rsid w:val="006B1374"/>
    <w:rsid w:val="006C1B62"/>
    <w:rsid w:val="006C4ED5"/>
    <w:rsid w:val="006D079B"/>
    <w:rsid w:val="006D183E"/>
    <w:rsid w:val="006D7964"/>
    <w:rsid w:val="007156F6"/>
    <w:rsid w:val="00715B91"/>
    <w:rsid w:val="007321D8"/>
    <w:rsid w:val="00734732"/>
    <w:rsid w:val="00740ABA"/>
    <w:rsid w:val="0074295D"/>
    <w:rsid w:val="0078723A"/>
    <w:rsid w:val="007A4FB5"/>
    <w:rsid w:val="007B043E"/>
    <w:rsid w:val="007C4332"/>
    <w:rsid w:val="007C4C95"/>
    <w:rsid w:val="007D6A3A"/>
    <w:rsid w:val="007F016E"/>
    <w:rsid w:val="008008F6"/>
    <w:rsid w:val="00823875"/>
    <w:rsid w:val="00827986"/>
    <w:rsid w:val="008279BD"/>
    <w:rsid w:val="00843352"/>
    <w:rsid w:val="00844624"/>
    <w:rsid w:val="00870981"/>
    <w:rsid w:val="008771C8"/>
    <w:rsid w:val="00882DCA"/>
    <w:rsid w:val="0088727A"/>
    <w:rsid w:val="008B00C4"/>
    <w:rsid w:val="008C0493"/>
    <w:rsid w:val="008C0E92"/>
    <w:rsid w:val="008E18D7"/>
    <w:rsid w:val="008E28B3"/>
    <w:rsid w:val="008E33C7"/>
    <w:rsid w:val="008F1D35"/>
    <w:rsid w:val="009066C7"/>
    <w:rsid w:val="0092216D"/>
    <w:rsid w:val="009943F4"/>
    <w:rsid w:val="00995FDD"/>
    <w:rsid w:val="00996389"/>
    <w:rsid w:val="009A2234"/>
    <w:rsid w:val="009A26C9"/>
    <w:rsid w:val="009A6D46"/>
    <w:rsid w:val="009B2F99"/>
    <w:rsid w:val="009D10B8"/>
    <w:rsid w:val="009D43CC"/>
    <w:rsid w:val="009D4951"/>
    <w:rsid w:val="009E2331"/>
    <w:rsid w:val="009F413F"/>
    <w:rsid w:val="009F7497"/>
    <w:rsid w:val="00A01F60"/>
    <w:rsid w:val="00A118F0"/>
    <w:rsid w:val="00A159DA"/>
    <w:rsid w:val="00A22A7B"/>
    <w:rsid w:val="00A242D8"/>
    <w:rsid w:val="00A434EB"/>
    <w:rsid w:val="00A5351C"/>
    <w:rsid w:val="00A61C07"/>
    <w:rsid w:val="00A633F0"/>
    <w:rsid w:val="00A6481E"/>
    <w:rsid w:val="00A66140"/>
    <w:rsid w:val="00A7064A"/>
    <w:rsid w:val="00A7345A"/>
    <w:rsid w:val="00A90CB0"/>
    <w:rsid w:val="00A9374D"/>
    <w:rsid w:val="00A960EA"/>
    <w:rsid w:val="00AA4608"/>
    <w:rsid w:val="00AA6179"/>
    <w:rsid w:val="00AB1235"/>
    <w:rsid w:val="00AB2D5E"/>
    <w:rsid w:val="00AD08C5"/>
    <w:rsid w:val="00AE069A"/>
    <w:rsid w:val="00AF1EBC"/>
    <w:rsid w:val="00B1467F"/>
    <w:rsid w:val="00B31928"/>
    <w:rsid w:val="00B326A9"/>
    <w:rsid w:val="00B45ED3"/>
    <w:rsid w:val="00B543E9"/>
    <w:rsid w:val="00B9538B"/>
    <w:rsid w:val="00BA617F"/>
    <w:rsid w:val="00BB30C0"/>
    <w:rsid w:val="00BD18E8"/>
    <w:rsid w:val="00BD20BC"/>
    <w:rsid w:val="00C02B10"/>
    <w:rsid w:val="00C15673"/>
    <w:rsid w:val="00C15E6F"/>
    <w:rsid w:val="00C210A9"/>
    <w:rsid w:val="00C243BF"/>
    <w:rsid w:val="00C25F63"/>
    <w:rsid w:val="00C276AE"/>
    <w:rsid w:val="00C33777"/>
    <w:rsid w:val="00C55C85"/>
    <w:rsid w:val="00C6097A"/>
    <w:rsid w:val="00C65204"/>
    <w:rsid w:val="00C70530"/>
    <w:rsid w:val="00C77217"/>
    <w:rsid w:val="00CA1AD2"/>
    <w:rsid w:val="00CB2E2B"/>
    <w:rsid w:val="00CB3D33"/>
    <w:rsid w:val="00CD47C3"/>
    <w:rsid w:val="00D17D3E"/>
    <w:rsid w:val="00D26422"/>
    <w:rsid w:val="00D44A5D"/>
    <w:rsid w:val="00D510E8"/>
    <w:rsid w:val="00D554A2"/>
    <w:rsid w:val="00D5628B"/>
    <w:rsid w:val="00D6426A"/>
    <w:rsid w:val="00D66456"/>
    <w:rsid w:val="00D77CD0"/>
    <w:rsid w:val="00D84C41"/>
    <w:rsid w:val="00DB0B88"/>
    <w:rsid w:val="00DD52BD"/>
    <w:rsid w:val="00DD6D00"/>
    <w:rsid w:val="00DF6B3A"/>
    <w:rsid w:val="00E10271"/>
    <w:rsid w:val="00E35DF6"/>
    <w:rsid w:val="00E52765"/>
    <w:rsid w:val="00E64133"/>
    <w:rsid w:val="00E66456"/>
    <w:rsid w:val="00E738D5"/>
    <w:rsid w:val="00E8288D"/>
    <w:rsid w:val="00E8348C"/>
    <w:rsid w:val="00E900DE"/>
    <w:rsid w:val="00E90807"/>
    <w:rsid w:val="00E91E64"/>
    <w:rsid w:val="00EC0C4F"/>
    <w:rsid w:val="00EC2B8F"/>
    <w:rsid w:val="00EC74BA"/>
    <w:rsid w:val="00ED15F0"/>
    <w:rsid w:val="00EE4BD7"/>
    <w:rsid w:val="00EF3551"/>
    <w:rsid w:val="00F12F53"/>
    <w:rsid w:val="00F147FC"/>
    <w:rsid w:val="00F42214"/>
    <w:rsid w:val="00F5061B"/>
    <w:rsid w:val="00F61A7D"/>
    <w:rsid w:val="00F63AA8"/>
    <w:rsid w:val="00F67CA2"/>
    <w:rsid w:val="00F80652"/>
    <w:rsid w:val="00F85BD4"/>
    <w:rsid w:val="00F9203E"/>
    <w:rsid w:val="00F953D5"/>
    <w:rsid w:val="00F957B7"/>
    <w:rsid w:val="00FA53DF"/>
    <w:rsid w:val="00FA7F18"/>
    <w:rsid w:val="00FB2364"/>
    <w:rsid w:val="00FB30AC"/>
    <w:rsid w:val="00FB3B6F"/>
    <w:rsid w:val="00FC712D"/>
    <w:rsid w:val="00FD1241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2023 r. - ONKO/NIEONKO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175784099197666E-3"/>
                  <c:y val="6.9150971271673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31-41F9-8DA9-CCDCFD830806}"/>
                </c:ext>
              </c:extLst>
            </c:dLbl>
            <c:dLbl>
              <c:idx val="1"/>
              <c:layout>
                <c:manualLayout>
                  <c:x val="-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31-41F9-8DA9-CCDCFD830806}"/>
                </c:ext>
              </c:extLst>
            </c:dLbl>
            <c:dLbl>
              <c:idx val="2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31-41F9-8DA9-CCDCFD830806}"/>
                </c:ext>
              </c:extLst>
            </c:dLbl>
            <c:dLbl>
              <c:idx val="3"/>
              <c:layout>
                <c:manualLayout>
                  <c:x val="0"/>
                  <c:y val="8.298116552600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31-41F9-8DA9-CCDCFD830806}"/>
                </c:ext>
              </c:extLst>
            </c:dLbl>
            <c:dLbl>
              <c:idx val="4"/>
              <c:layout>
                <c:manualLayout>
                  <c:x val="-1.0697663922712641E-16"/>
                  <c:y val="6.9150971271673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A31-41F9-8DA9-CCDCFD830806}"/>
                </c:ext>
              </c:extLst>
            </c:dLbl>
            <c:dLbl>
              <c:idx val="5"/>
              <c:layout>
                <c:manualLayout>
                  <c:x val="0"/>
                  <c:y val="8.298116552600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31-41F9-8DA9-CCDCFD830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31-41F9-8DA9-CCDCFD830806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3761036023118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A31-41F9-8DA9-CCDCFD830806}"/>
                </c:ext>
              </c:extLst>
            </c:dLbl>
            <c:dLbl>
              <c:idx val="1"/>
              <c:layout>
                <c:manualLayout>
                  <c:x val="2.917578409919713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A31-41F9-8DA9-CCDCFD830806}"/>
                </c:ext>
              </c:extLst>
            </c:dLbl>
            <c:dLbl>
              <c:idx val="2"/>
              <c:layout>
                <c:manualLayout>
                  <c:x val="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A31-41F9-8DA9-CCDCFD830806}"/>
                </c:ext>
              </c:extLst>
            </c:dLbl>
            <c:dLbl>
              <c:idx val="3"/>
              <c:layout>
                <c:manualLayout>
                  <c:x val="0"/>
                  <c:y val="8.2981165526008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A31-41F9-8DA9-CCDCFD830806}"/>
                </c:ext>
              </c:extLst>
            </c:dLbl>
            <c:dLbl>
              <c:idx val="4"/>
              <c:layout>
                <c:manualLayout>
                  <c:x val="-1.0697663922712641E-16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A31-41F9-8DA9-CCDCFD830806}"/>
                </c:ext>
              </c:extLst>
            </c:dLbl>
            <c:dLbl>
              <c:idx val="5"/>
              <c:layout>
                <c:manualLayout>
                  <c:x val="2.9175784099198738E-3"/>
                  <c:y val="6.915097127167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A31-41F9-8DA9-CCDCFD830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A31-41F9-8DA9-CCDCFD8308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2023 r. - choroby rzadkie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5790806650328337E-17"/>
                  <c:y val="8.2981165526008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FB-4C5B-BCFD-4D4FA612BB82}"/>
                </c:ext>
              </c:extLst>
            </c:dLbl>
            <c:dLbl>
              <c:idx val="1"/>
              <c:layout>
                <c:manualLayout>
                  <c:x val="3.1581613300656674E-17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FB-4C5B-BCFD-4D4FA612BB82}"/>
                </c:ext>
              </c:extLst>
            </c:dLbl>
            <c:dLbl>
              <c:idx val="2"/>
              <c:layout>
                <c:manualLayout>
                  <c:x val="-5.1569962159068325E-17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FB-4C5B-BCFD-4D4FA612BB82}"/>
                </c:ext>
              </c:extLst>
            </c:dLbl>
            <c:dLbl>
              <c:idx val="3"/>
              <c:layout>
                <c:manualLayout>
                  <c:x val="-1.0313992431813665E-16"/>
                  <c:y val="6.410256410256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FB-4C5B-BCFD-4D4FA612BB82}"/>
                </c:ext>
              </c:extLst>
            </c:dLbl>
            <c:dLbl>
              <c:idx val="4"/>
              <c:layout>
                <c:manualLayout>
                  <c:x val="0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FB-4C5B-BCFD-4D4FA612BB82}"/>
                </c:ext>
              </c:extLst>
            </c:dLbl>
            <c:dLbl>
              <c:idx val="5"/>
              <c:layout>
                <c:manualLayout>
                  <c:x val="-1.0313992431813665E-16"/>
                  <c:y val="6.4102564102564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FB-4C5B-BCFD-4D4FA612BB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8FB-4C5B-BCFD-4D4FA612BB82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FB-4C5B-BCFD-4D4FA612BB82}"/>
                </c:ext>
              </c:extLst>
            </c:dLbl>
            <c:dLbl>
              <c:idx val="1"/>
              <c:layout>
                <c:manualLayout>
                  <c:x val="3.445306705543471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FB-4C5B-BCFD-4D4FA612BB82}"/>
                </c:ext>
              </c:extLst>
            </c:dLbl>
            <c:dLbl>
              <c:idx val="2"/>
              <c:layout>
                <c:manualLayout>
                  <c:x val="0"/>
                  <c:y val="8.9743589743589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FB-4C5B-BCFD-4D4FA612BB82}"/>
                </c:ext>
              </c:extLst>
            </c:dLbl>
            <c:dLbl>
              <c:idx val="3"/>
              <c:layout>
                <c:manualLayout>
                  <c:x val="0"/>
                  <c:y val="6.8376068376068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8FB-4C5B-BCFD-4D4FA612BB82}"/>
                </c:ext>
              </c:extLst>
            </c:dLbl>
            <c:dLbl>
              <c:idx val="4"/>
              <c:layout>
                <c:manualLayout>
                  <c:x val="2.8129395218002813E-3"/>
                  <c:y val="8.547008547008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FB-4C5B-BCFD-4D4FA612BB82}"/>
                </c:ext>
              </c:extLst>
            </c:dLbl>
            <c:dLbl>
              <c:idx val="5"/>
              <c:layout>
                <c:manualLayout>
                  <c:x val="-1.0313992431813665E-16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8FB-4C5B-BCFD-4D4FA612BB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8FB-4C5B-BCFD-4D4FA612BB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Cząsteczko-wskazania onkologiczne w 2023 r. (stan na styczeń)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335360923596481E-2"/>
          <c:y val="0.13055558411102014"/>
          <c:w val="0.94307181030422693"/>
          <c:h val="0.80500476924863718"/>
        </c:manualLayout>
      </c:layout>
      <c:bar3DChart>
        <c:barDir val="col"/>
        <c:grouping val="clustered"/>
        <c:varyColors val="0"/>
        <c:ser>
          <c:idx val="9"/>
          <c:order val="0"/>
          <c:tx>
            <c:strRef>
              <c:f>'onko_2012_-_2021_1'!$B$2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5D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('onko_2012_-_2021_1'!$A$6,'onko_2012_-_2021_1'!$A$12)</c:f>
              <c:strCache>
                <c:ptCount val="2"/>
                <c:pt idx="0">
                  <c:v>Nowotwory układu 
oddechowego</c:v>
                </c:pt>
                <c:pt idx="1">
                  <c:v>Hematoonkologia</c:v>
                </c:pt>
              </c:strCache>
              <c:extLst/>
            </c:strRef>
          </c:cat>
          <c:val>
            <c:numRef>
              <c:f>('onko_2012_-_2021_1'!$B$6,'onko_2012_-_2021_1'!$B$12)</c:f>
              <c:numCache>
                <c:formatCode>General</c:formatCode>
                <c:ptCount val="2"/>
                <c:pt idx="0">
                  <c:v>7</c:v>
                </c:pt>
                <c:pt idx="1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D25-48BF-9AB7-831F551113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6"/>
        <c:gapDepth val="18"/>
        <c:shape val="box"/>
        <c:axId val="604057935"/>
        <c:axId val="604061679"/>
        <c:axId val="0"/>
        <c:extLst>
          <c:ext xmlns:c15="http://schemas.microsoft.com/office/drawing/2012/chart" uri="{02D57815-91ED-43cb-92C2-25804820EDAC}">
            <c15:filteredBarSeries>
              <c15:ser>
                <c:idx val="1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('onko_2012_-_2021_1'!$A$6,'onko_2012_-_2021_1'!$A$12)</c15:sqref>
                        </c15:formulaRef>
                      </c:ext>
                    </c:extLst>
                    <c:strCache>
                      <c:ptCount val="2"/>
                      <c:pt idx="0">
                        <c:v>Nowotwory układu 
oddechowego</c:v>
                      </c:pt>
                      <c:pt idx="1">
                        <c:v>Hematoonkologia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('onko_2012_-_2021_1'!$C$6,'onko_2012_-_2021_1'!$C$12)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14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D25-48BF-9AB7-831F55111316}"/>
                  </c:ext>
                </c:extLst>
              </c15:ser>
            </c15:filteredBarSeries>
            <c15:filteredBarSeries>
              <c15:ser>
                <c:idx val="0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('onko_2012_-_2021_1'!$A$6,'onko_2012_-_2021_1'!$A$12)</c15:sqref>
                        </c15:formulaRef>
                      </c:ext>
                    </c:extLst>
                    <c:strCache>
                      <c:ptCount val="2"/>
                      <c:pt idx="0">
                        <c:v>Nowotwory układu 
oddechowego</c:v>
                      </c:pt>
                      <c:pt idx="1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('onko_2012_-_2021_1'!$D$6,'onko_2012_-_2021_1'!$D$12)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7</c:v>
                      </c:pt>
                      <c:pt idx="1">
                        <c:v>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0D25-48BF-9AB7-831F55111316}"/>
                  </c:ext>
                </c:extLst>
              </c15:ser>
            </c15:filteredBarSeries>
          </c:ext>
        </c:extLst>
      </c:bar3DChart>
      <c:catAx>
        <c:axId val="604057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4061679"/>
        <c:crosses val="autoZero"/>
        <c:auto val="1"/>
        <c:lblAlgn val="ctr"/>
        <c:lblOffset val="100"/>
        <c:noMultiLvlLbl val="0"/>
      </c:catAx>
      <c:valAx>
        <c:axId val="60406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4057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Cząsteczko-wskazania nieonkologiczne w 2023 r. (stan na styczeń)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834592959030656E-2"/>
          <c:y val="0.14383585517945716"/>
          <c:w val="0.91458582632305563"/>
          <c:h val="0.74019129082968227"/>
        </c:manualLayout>
      </c:layout>
      <c:bar3DChart>
        <c:barDir val="col"/>
        <c:grouping val="clustered"/>
        <c:varyColors val="0"/>
        <c:ser>
          <c:idx val="19"/>
          <c:order val="0"/>
          <c:tx>
            <c:strRef>
              <c:f>'nieonko_2016_-_2021'!$B$2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5D93D1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1-B15E-402C-A1B0-A9C5BA00A3F5}"/>
              </c:ext>
            </c:extLst>
          </c:dPt>
          <c:cat>
            <c:strRef>
              <c:f>'nieonko_2016_-_2021'!$A$13</c:f>
              <c:strCache>
                <c:ptCount val="1"/>
                <c:pt idx="0">
                  <c:v>Hematologia</c:v>
                </c:pt>
              </c:strCache>
              <c:extLst/>
            </c:strRef>
          </c:cat>
          <c:val>
            <c:numRef>
              <c:f>'nieonko_2016_-_2021'!$B$13</c:f>
              <c:numCache>
                <c:formatCode>General</c:formatCode>
                <c:ptCount val="1"/>
                <c:pt idx="0">
                  <c:v>2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2-B15E-402C-A1B0-A9C5BA00A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gapDepth val="7"/>
        <c:shape val="box"/>
        <c:axId val="604057935"/>
        <c:axId val="604061679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'nieonko_2016_-_2021'!$A$13</c15:sqref>
                        </c15:formulaRef>
                      </c:ext>
                    </c:extLst>
                    <c:strCache>
                      <c:ptCount val="1"/>
                      <c:pt idx="0">
                        <c:v>Hematologia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'nieonko_2016_-_2021'!$C$13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15E-402C-A1B0-A9C5BA00A3F5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'nieonko_2016_-_2021'!$A$13</c15:sqref>
                        </c15:formulaRef>
                      </c:ext>
                    </c:extLst>
                    <c:strCache>
                      <c:ptCount val="1"/>
                      <c:pt idx="0">
                        <c:v>Hematologia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'nieonko_2016_-_2021'!$D$13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15E-402C-A1B0-A9C5BA00A3F5}"/>
                  </c:ext>
                </c:extLst>
              </c15:ser>
            </c15:filteredBarSeries>
          </c:ext>
        </c:extLst>
      </c:bar3DChart>
      <c:catAx>
        <c:axId val="604057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4061679"/>
        <c:crosses val="autoZero"/>
        <c:auto val="1"/>
        <c:lblAlgn val="ctr"/>
        <c:lblOffset val="100"/>
        <c:noMultiLvlLbl val="0"/>
      </c:catAx>
      <c:valAx>
        <c:axId val="604061679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4057935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2522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4</cp:revision>
  <dcterms:created xsi:type="dcterms:W3CDTF">2022-12-21T09:11:00Z</dcterms:created>
  <dcterms:modified xsi:type="dcterms:W3CDTF">2022-12-21T12:28:00Z</dcterms:modified>
</cp:coreProperties>
</file>