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55"/>
        <w:gridCol w:w="1283"/>
        <w:gridCol w:w="1730"/>
        <w:gridCol w:w="2588"/>
        <w:gridCol w:w="3745"/>
        <w:gridCol w:w="3066"/>
        <w:gridCol w:w="2521"/>
      </w:tblGrid>
      <w:tr w:rsidR="00446A0E" w:rsidRPr="00224554" w14:paraId="3385205C" w14:textId="190E76B6" w:rsidTr="00446A0E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6E49" w14:textId="77777777" w:rsidR="00446A0E" w:rsidRPr="00224554" w:rsidRDefault="00446A0E">
            <w:pPr>
              <w:pageBreakBefore/>
              <w:rPr>
                <w:rFonts w:ascii="Lato" w:hAnsi="Lato" w:cstheme="minorHAnsi"/>
                <w:b/>
                <w:i/>
                <w:sz w:val="18"/>
                <w:szCs w:val="18"/>
              </w:rPr>
            </w:pPr>
            <w:bookmarkStart w:id="0" w:name="_Hlk215840607"/>
            <w:bookmarkEnd w:id="0"/>
            <w:r w:rsidRPr="00224554">
              <w:rPr>
                <w:rFonts w:ascii="Lato" w:hAnsi="Lato" w:cstheme="minorHAnsi"/>
                <w:b/>
                <w:i/>
                <w:sz w:val="18"/>
                <w:szCs w:val="18"/>
              </w:rPr>
              <w:t>Nazwa dokumentu:</w:t>
            </w:r>
          </w:p>
          <w:p w14:paraId="052AA53D" w14:textId="77777777" w:rsidR="00446A0E" w:rsidRPr="00224554" w:rsidRDefault="00446A0E">
            <w:pPr>
              <w:rPr>
                <w:rFonts w:ascii="Lato" w:hAnsi="Lato" w:cstheme="minorHAnsi"/>
                <w:b/>
                <w:i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opisu założeń projektu informatycznego pn. </w:t>
            </w:r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Opracowanie i wdrożenie systemu Elektroniczna Platforma Usług Konsularnych (</w:t>
            </w:r>
            <w:proofErr w:type="spellStart"/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)</w:t>
            </w:r>
          </w:p>
          <w:p w14:paraId="5AECF603" w14:textId="77777777" w:rsidR="00446A0E" w:rsidRPr="00224554" w:rsidRDefault="00446A0E">
            <w:pPr>
              <w:pageBreakBefore/>
              <w:rPr>
                <w:rFonts w:ascii="Lato" w:hAnsi="Lato" w:cstheme="minorHAnsi"/>
                <w:b/>
                <w:i/>
                <w:sz w:val="18"/>
                <w:szCs w:val="18"/>
              </w:rPr>
            </w:pPr>
          </w:p>
        </w:tc>
      </w:tr>
      <w:tr w:rsidR="00446A0E" w:rsidRPr="00224554" w14:paraId="1886F4C8" w14:textId="4FA6BF62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748A9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B29B4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Organ wnoszący uwagi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B9B9B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Jednostka redakcyjna, do której wnoszone są uwagi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728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Treść uwagi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EBFF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Propozycja zmian zapisu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3F5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Odniesienie do uwagi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FAD4" w14:textId="39850B0E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446A0E">
              <w:rPr>
                <w:rFonts w:ascii="Lato" w:hAnsi="Lato" w:cstheme="minorHAnsi"/>
                <w:b/>
                <w:sz w:val="18"/>
                <w:szCs w:val="18"/>
              </w:rPr>
              <w:t>Stanowisko autora uwagi do odniesienia projektodawcy</w:t>
            </w:r>
          </w:p>
        </w:tc>
      </w:tr>
      <w:tr w:rsidR="00446A0E" w:rsidRPr="00224554" w14:paraId="1EFD580F" w14:textId="328B63E5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89239B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bookmarkStart w:id="1" w:name="_Hlk215840607_kopia_1"/>
            <w:bookmarkEnd w:id="1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14:paraId="1CBDF1C3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DF0811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E95DCA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1.1. Identyfikacja problemu i potrzeb</w:t>
            </w:r>
          </w:p>
        </w:tc>
        <w:tc>
          <w:tcPr>
            <w:tcW w:w="841" w:type="pct"/>
            <w:shd w:val="clear" w:color="auto" w:fill="auto"/>
          </w:tcPr>
          <w:p w14:paraId="663E9F1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tabeli w części dotyczącej interesariusza (str. 5) – </w:t>
            </w:r>
            <w:r w:rsidRPr="00224554">
              <w:rPr>
                <w:rFonts w:ascii="Lato" w:hAnsi="Lato" w:cs="Roboto-Regular"/>
                <w:i/>
                <w:sz w:val="18"/>
                <w:szCs w:val="18"/>
              </w:rPr>
              <w:t>Zainteresowane jednostki organizacyjne państwa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, w opisie zidentyfikowanych problemów, nie uwzględniono braku bezpośredniego dostępu konsula do centralnego rejestru danych o nabyciu i utracie obywatelstwa polskiego oraz centralnego rejestru danych o repatriacji.</w:t>
            </w:r>
          </w:p>
          <w:p w14:paraId="0B6A774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Centralny rejestr danych o nabyciu i utracie obywatelstwa polskiego oraz rejestry w sprawach repatriacji prowadzone są w ramach systemu informatycznego Pobyt będącego zbiorem rejestrów o których mowa w przepisie art. 449</w:t>
            </w:r>
            <w:r w:rsidRPr="00224554">
              <w:rPr>
                <w:rFonts w:ascii="Lato" w:hAnsi="Lato"/>
                <w:b/>
                <w:bCs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/>
                <w:sz w:val="18"/>
                <w:szCs w:val="18"/>
              </w:rPr>
              <w:t> ust. 2 ustawy o cudzoziemcach.</w:t>
            </w:r>
          </w:p>
          <w:p w14:paraId="0E6E6F35" w14:textId="77777777" w:rsidR="00446A0E" w:rsidRPr="00224554" w:rsidRDefault="00446A0E" w:rsidP="00224554">
            <w:pPr>
              <w:tabs>
                <w:tab w:val="left" w:pos="720"/>
              </w:tabs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Opis założeń systemu Elektronicznej Platformy Usług Konsularnych (</w:t>
            </w:r>
            <w:proofErr w:type="spellStart"/>
            <w:r w:rsidRPr="00224554">
              <w:rPr>
                <w:rFonts w:ascii="Lato" w:hAnsi="Lato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/>
                <w:sz w:val="18"/>
                <w:szCs w:val="18"/>
              </w:rPr>
              <w:t>) pomija problem braku możliwości realizacji przez konsula zadań wynikających z ustawy o obywatelstwie polskim oraz ustawy o repatriacji związanych z ww. rejestrami (por. pkt 3 i 4 tabeli uwag), pomimo, iż uwzględnia bezpośredni dostęp konsula do systemu Pobyt, w ramach którego prowadzone są te rejestry.</w:t>
            </w:r>
          </w:p>
        </w:tc>
        <w:tc>
          <w:tcPr>
            <w:tcW w:w="1217" w:type="pct"/>
            <w:shd w:val="clear" w:color="auto" w:fill="auto"/>
          </w:tcPr>
          <w:p w14:paraId="3DACEF4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Dodanie kolejnych zidentyfikowanych problemów:</w:t>
            </w:r>
          </w:p>
          <w:p w14:paraId="2E63C13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brak możliwości rejestracji przez konsula wniosków i rozstrzygnięć w centralnym rejestrze danych o nabyciu i utracie obywatelstwa polskiego oraz centralnym rejestrze danych o repatriacji, prowadzonych w ramach systemu Pobyt;</w:t>
            </w:r>
          </w:p>
          <w:p w14:paraId="43F8600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brak możliwości bezpośredniego pozyskania przez konsula informacji na temat historii migracyjnej w Polsce osoby aplikującej o wizę, w szczególności informacji w zakresie nabycia przez tę osobę obywatelstwa polskiego. </w:t>
            </w:r>
          </w:p>
        </w:tc>
        <w:tc>
          <w:tcPr>
            <w:tcW w:w="996" w:type="pct"/>
          </w:tcPr>
          <w:p w14:paraId="2A89C35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OZPI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zostanie uzupełnione o problemy wskazane w uwadze nr 1 MSWiA.</w:t>
            </w:r>
          </w:p>
          <w:p w14:paraId="0217BAA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36118B2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związku z wymogami w zakresie trybu wnioskowania w sprawach obywatelskich (obecnie wykluczona forma czysto elektroniczna) ewentualne e-usługi nie mogą być wdrożone w ramach tego projektu. Jednocześnie system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będzie służył do przetwarzania wszystkich danych i wniosków składanych w urzędach konsularnych, w tym również składanych w formie tradycyjnej, co umożliwi automatyzację rejestracji danych w odpowiednich rejestrach. Zostanie to uwzględnione w liście przepływów.</w:t>
            </w:r>
          </w:p>
        </w:tc>
        <w:tc>
          <w:tcPr>
            <w:tcW w:w="818" w:type="pct"/>
          </w:tcPr>
          <w:p w14:paraId="05488A51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F2EC4">
              <w:rPr>
                <w:rFonts w:ascii="Lato" w:hAnsi="Lato" w:cstheme="minorHAnsi"/>
                <w:sz w:val="18"/>
                <w:szCs w:val="18"/>
              </w:rPr>
              <w:t>Podtrzymanie uwagi</w:t>
            </w:r>
          </w:p>
          <w:p w14:paraId="4AEF087C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2884099B" w14:textId="28240E44" w:rsidR="00446A0E" w:rsidRPr="0022455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theme="minorHAnsi"/>
                <w:sz w:val="18"/>
                <w:szCs w:val="18"/>
              </w:rPr>
              <w:t>- wprowadzania do centralnego rejestru danych o nabyciu i utracie obywatelstwa polskiego  /System Pobyt/ wniosków o nabycie  obywatelstwa polskiego oraz wyrażenie zgody na zrzeczenie się obywatelstwa polskiego, składanych w formie papierowej.</w:t>
            </w:r>
          </w:p>
        </w:tc>
      </w:tr>
      <w:tr w:rsidR="00446A0E" w:rsidRPr="00224554" w14:paraId="4EEC4B03" w14:textId="6C7148B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827F76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14:paraId="304C622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7D5F0DC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2A02BF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1.2. Opis stanu obecnego</w:t>
            </w:r>
          </w:p>
        </w:tc>
        <w:tc>
          <w:tcPr>
            <w:tcW w:w="841" w:type="pct"/>
            <w:shd w:val="clear" w:color="auto" w:fill="auto"/>
          </w:tcPr>
          <w:p w14:paraId="15C35DB4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 nie uwzględnia braku możliwości realizacji przez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konsula zadań wynikających z ustawy o obywatelstwie polskim i ustawy o repatriacji. </w:t>
            </w:r>
          </w:p>
          <w:p w14:paraId="02EE73F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(szczegółowe informacje zawarte w pkt 3 i 4 tabeli uwag).</w:t>
            </w:r>
          </w:p>
        </w:tc>
        <w:tc>
          <w:tcPr>
            <w:tcW w:w="1217" w:type="pct"/>
            <w:shd w:val="clear" w:color="auto" w:fill="auto"/>
          </w:tcPr>
          <w:p w14:paraId="10E4BA8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Dodanie w drugim akapicie zdania: </w:t>
            </w:r>
          </w:p>
          <w:p w14:paraId="31D5A6E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Pomimo modernizacji W-K</w:t>
            </w:r>
            <w:r w:rsidRPr="00224554">
              <w:rPr>
                <w:rFonts w:ascii="Lato" w:hAnsi="Lato"/>
                <w:sz w:val="18"/>
                <w:szCs w:val="18"/>
              </w:rPr>
              <w:t>, konsulowie nadal nie posiadają bezpośredniego dostępu do centralnego rejestru danych o nabyciu i utracie obywatelstwa polskiego oraz centralnego rejestru danych o repatriacji, prowadzonych w ramach sytemu Pobyt , a w konsekwencji nie realizują ustawowych obowiązków wynikających z art. 60 ust. 5 ustawy o obywatelstwie polskim oraz art. 34 ust. 3 ustawy o repatriacji. Obecnie powyższe zadania konsula realizowane są w zastępstwie przez Departament Obywatelstwa i Repatriacji MSWiA.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96" w:type="pct"/>
          </w:tcPr>
          <w:p w14:paraId="6C713AD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Uwaga jest słuszna, jednak w tej pozycji formularza OZPI nie ma już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miejsca na jakiekolwiek dodatkowe treści. Zostanie uzupełniona części dot. interesariuszy (str. 5) – </w:t>
            </w:r>
            <w:r w:rsidRPr="00224554">
              <w:rPr>
                <w:rFonts w:ascii="Lato" w:hAnsi="Lato" w:cs="Roboto-Regular"/>
                <w:i/>
                <w:sz w:val="18"/>
                <w:szCs w:val="18"/>
              </w:rPr>
              <w:t>Zainteresowane jednostki organizacyjne państwa</w:t>
            </w:r>
          </w:p>
        </w:tc>
        <w:tc>
          <w:tcPr>
            <w:tcW w:w="818" w:type="pct"/>
          </w:tcPr>
          <w:p w14:paraId="510054CC" w14:textId="03508B7C" w:rsidR="00446A0E" w:rsidRPr="00224554" w:rsidRDefault="002F2EC4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lastRenderedPageBreak/>
              <w:t>Akceptacja</w:t>
            </w:r>
          </w:p>
        </w:tc>
      </w:tr>
      <w:tr w:rsidR="00446A0E" w:rsidRPr="00224554" w14:paraId="68D5D634" w14:textId="14C203B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5A068F6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14:paraId="48B7352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78027B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A805093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37A000F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Zaproponowane e-usługi nie uwzględniają zadań konsula wynikających z art. 60 ust. 5 ustawy o obywatelstwie polskim.</w:t>
            </w:r>
          </w:p>
          <w:p w14:paraId="10524E0A" w14:textId="77777777" w:rsidR="00446A0E" w:rsidRPr="00224554" w:rsidRDefault="00446A0E" w:rsidP="00224554">
            <w:pPr>
              <w:pStyle w:val="divparagraph"/>
              <w:spacing w:line="240" w:lineRule="auto"/>
              <w:jc w:val="both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Zgodnie z art. 59 ust. </w:t>
            </w:r>
            <w:r w:rsidRPr="00224554">
              <w:rPr>
                <w:rFonts w:ascii="Lato" w:hAnsi="Lato"/>
                <w:color w:val="auto"/>
              </w:rPr>
              <w:t>1 u</w:t>
            </w:r>
            <w:r w:rsidRPr="00224554">
              <w:rPr>
                <w:rFonts w:ascii="Lato" w:hAnsi="Lato"/>
                <w:bCs/>
                <w:color w:val="auto"/>
              </w:rPr>
              <w:t xml:space="preserve">stawy z dnia 2 kwietnia 2009 r. o obywatelstwie polskim, </w:t>
            </w:r>
            <w:r w:rsidRPr="00224554">
              <w:rPr>
                <w:rFonts w:ascii="Lato" w:hAnsi="Lato"/>
                <w:color w:val="auto"/>
              </w:rPr>
              <w:t xml:space="preserve">minister właściwy do spraw wewnętrznych tworzy i prowadzi w systemie teleinformatycznym </w:t>
            </w:r>
            <w:r w:rsidRPr="00224554">
              <w:rPr>
                <w:rFonts w:ascii="Lato" w:hAnsi="Lato"/>
                <w:i/>
                <w:color w:val="auto"/>
              </w:rPr>
              <w:t>centralny rejestr danych o nabyciu i utracie obywatelstwa polskiego</w:t>
            </w:r>
            <w:r w:rsidRPr="00224554">
              <w:rPr>
                <w:rFonts w:ascii="Lato" w:hAnsi="Lato"/>
                <w:color w:val="auto"/>
              </w:rPr>
              <w:t>, zwany dalej rejestrem centralnym. Natomiast stosownie do przepisu art. 59 ust. 3 ustawy, rejestr centralny obejmuje dane z rejestrów prowadzonych w sprawach:</w:t>
            </w:r>
          </w:p>
          <w:p w14:paraId="40889998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1) </w:t>
            </w:r>
            <w:r w:rsidRPr="00224554">
              <w:rPr>
                <w:rFonts w:ascii="Lato" w:hAnsi="Lato"/>
                <w:color w:val="auto"/>
              </w:rPr>
              <w:t xml:space="preserve"> nadania obywatelstwa polskiego;</w:t>
            </w:r>
          </w:p>
          <w:p w14:paraId="53792C64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2) </w:t>
            </w:r>
            <w:r w:rsidRPr="00224554">
              <w:rPr>
                <w:rFonts w:ascii="Lato" w:hAnsi="Lato"/>
                <w:color w:val="auto"/>
              </w:rPr>
              <w:t xml:space="preserve"> uznania za obywatela polskiego;</w:t>
            </w:r>
          </w:p>
          <w:p w14:paraId="6AA8DFCD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3) </w:t>
            </w:r>
            <w:r w:rsidRPr="00224554">
              <w:rPr>
                <w:rFonts w:ascii="Lato" w:hAnsi="Lato"/>
                <w:color w:val="auto"/>
              </w:rPr>
              <w:t xml:space="preserve"> przywrócenia obywatelstwa polskiego;</w:t>
            </w:r>
          </w:p>
          <w:p w14:paraId="6B9EB5C1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4) </w:t>
            </w:r>
            <w:r w:rsidRPr="00224554">
              <w:rPr>
                <w:rFonts w:ascii="Lato" w:hAnsi="Lato"/>
                <w:color w:val="auto"/>
              </w:rPr>
              <w:t xml:space="preserve"> wyrażenia zgody na zrzeczenie się obywatelstwa polskiego;</w:t>
            </w:r>
          </w:p>
          <w:p w14:paraId="42AF97BD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5) </w:t>
            </w:r>
            <w:r w:rsidRPr="00224554">
              <w:rPr>
                <w:rFonts w:ascii="Lato" w:hAnsi="Lato"/>
                <w:color w:val="auto"/>
              </w:rPr>
              <w:t xml:space="preserve"> wyboru dla małoletniego obywatelstwa innego państwa.</w:t>
            </w:r>
          </w:p>
          <w:p w14:paraId="655CF36B" w14:textId="77777777" w:rsidR="00446A0E" w:rsidRPr="00224554" w:rsidRDefault="00446A0E" w:rsidP="00224554">
            <w:pPr>
              <w:pStyle w:val="divparagraph"/>
              <w:spacing w:line="240" w:lineRule="auto"/>
              <w:jc w:val="both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Jednocześnie, zgodnie z art. 60 ustawy, rejestry, o których </w:t>
            </w:r>
            <w:r w:rsidRPr="00224554">
              <w:rPr>
                <w:rFonts w:ascii="Lato" w:hAnsi="Lato"/>
                <w:color w:val="auto"/>
              </w:rPr>
              <w:lastRenderedPageBreak/>
              <w:t>mowa w:</w:t>
            </w:r>
          </w:p>
          <w:p w14:paraId="39F32DD5" w14:textId="642F91D9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1 i 4, prowadzi minister właściwy do spraw wewnętrznych, wojewoda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>, każdy w zakresie swojej właściwości (ust. 1);</w:t>
            </w:r>
          </w:p>
          <w:p w14:paraId="413215AD" w14:textId="2DF5ABE8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>art. 59 ust. 3 pkt 2, prowadzi minister właściwy do spraw wewnętrznych i wojewoda, każdy w zakresie swojej właściwości (ust. 2);</w:t>
            </w:r>
          </w:p>
          <w:p w14:paraId="39766AC2" w14:textId="14E6179A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3, prowadzi minister właściwy do spraw wewnętrznych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>, każdy w zakresie swojej właściwości (ust. 3);</w:t>
            </w:r>
          </w:p>
          <w:p w14:paraId="0EEA774F" w14:textId="3B00D01A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5, prowadzi wojewoda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 xml:space="preserve"> (ust. 4).</w:t>
            </w:r>
          </w:p>
          <w:p w14:paraId="53EFDB94" w14:textId="77777777" w:rsidR="00446A0E" w:rsidRPr="00224554" w:rsidRDefault="00446A0E" w:rsidP="00224554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 xml:space="preserve">Wymaga również podkreślenia, iż stosownie do przepisu art. 60 ust. 5 ustawy, wojewoda i </w:t>
            </w:r>
            <w:r w:rsidRPr="00224554">
              <w:rPr>
                <w:rFonts w:ascii="Lato" w:hAnsi="Lato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 przekazują do rejestru centralnego dane zawarte w prowadzonych przez siebie rejestrach niezwłocznie po ich umieszczeniu we właściwym rejestrze.</w:t>
            </w:r>
          </w:p>
        </w:tc>
        <w:tc>
          <w:tcPr>
            <w:tcW w:w="1217" w:type="pct"/>
            <w:shd w:val="clear" w:color="auto" w:fill="auto"/>
          </w:tcPr>
          <w:p w14:paraId="33C79A5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Dodanie kolejnych e-usług:</w:t>
            </w:r>
          </w:p>
          <w:p w14:paraId="0B794385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przyjęcie wniosku o nadanie przez Prezydenta RP obywatelstwa polskiego; zakres działania: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 korzystający z usług konsularnych (rocznie ok 350 transakcji),</w:t>
            </w:r>
          </w:p>
          <w:p w14:paraId="461FEA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- przyjęcie wniosku skierowanego do MSWiA o przywrócenie obywatelstwa polskiego;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zakres działania 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 korzystający z usług konsularnych (rocznie ok 150 transakcji),</w:t>
            </w:r>
          </w:p>
          <w:p w14:paraId="5164EEC4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- przyjęcie wniosku o wyrażenie zgody przez Prezydenta RP na zrzeczenie się obywatelstwa polskiego;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>zakres działania : obywatele polscy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 korzystający z usług konsularnych (rocznie ok 400 transakcji).</w:t>
            </w:r>
          </w:p>
        </w:tc>
        <w:tc>
          <w:tcPr>
            <w:tcW w:w="996" w:type="pct"/>
          </w:tcPr>
          <w:p w14:paraId="2828B0B1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Na etapie przygotowania OZPI przeprowadzono analizę prawną spraw możliwych do </w:t>
            </w:r>
            <w:proofErr w:type="spellStart"/>
            <w:r w:rsidRPr="00224554">
              <w:rPr>
                <w:rFonts w:ascii="Lato" w:hAnsi="Lato" w:cs="Roboto-Regular"/>
                <w:sz w:val="18"/>
                <w:szCs w:val="18"/>
              </w:rPr>
              <w:t>zcyfryzowania</w:t>
            </w:r>
            <w:proofErr w:type="spellEnd"/>
            <w:r w:rsidRPr="00224554">
              <w:rPr>
                <w:rFonts w:ascii="Lato" w:hAnsi="Lato" w:cs="Roboto-Regular"/>
                <w:sz w:val="18"/>
                <w:szCs w:val="18"/>
              </w:rPr>
              <w:t xml:space="preserve"> i uruchomienia jako e-usługi projektu, uwzględniając wymagania dla projektów dofinansowanych z FERC (4 poziom dojrzałości).</w:t>
            </w:r>
          </w:p>
          <w:p w14:paraId="3C0F47D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Zgodnie z zapisami art. 21 ust. 1 oraz art. 49 ust. 1 Ustawy o Obywatelstwie Polskim, wniosek o nadanie obywatelstwa polskiego oraz wniosek o wyrażenie zgody na zrzeczenie się obywatelstwa polskiego składa się osobiście lub korespondencyjnie z urzędowo poświadczonym podpisem, a formalności należy dokonać za pośrednictwem wojewody (jeśli jesteś w Polsce) lub konsula (jeśli za granicą).</w:t>
            </w:r>
          </w:p>
          <w:p w14:paraId="314335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Reasumując </w:t>
            </w:r>
            <w:r w:rsidRPr="00224554">
              <w:rPr>
                <w:rFonts w:ascii="Lato" w:hAnsi="Lato" w:cs="Roboto-Regular"/>
                <w:b/>
                <w:bCs/>
                <w:sz w:val="18"/>
                <w:szCs w:val="18"/>
              </w:rPr>
              <w:t>w obecnym stanie prawnym proces nadania i zrzeczenia się obywatelstwa jest nadal procesem wymagającym wizyty i fizycznego złożenia dokumentów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, ale z możliwością elektronicznej rezerwacji terminu. W przypadku wniosku o przywrócenie obywatelstwa polskiego, zgodnie z art. 42, istnieje możliwość składania wniosku w formie elektronicznej. Poniżej podsumowanie tabelaryczne i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wyjaśnienie: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</w:r>
            <w:r w:rsidRPr="00224554">
              <w:rPr>
                <w:rFonts w:ascii="Lato" w:hAnsi="Lato"/>
                <w:noProof/>
                <w:sz w:val="18"/>
                <w:szCs w:val="18"/>
              </w:rPr>
              <w:drawing>
                <wp:inline distT="0" distB="0" distL="0" distR="0" wp14:anchorId="13F958BD" wp14:editId="5FCDF9B7">
                  <wp:extent cx="1805534" cy="849086"/>
                  <wp:effectExtent l="0" t="0" r="4445" b="8255"/>
                  <wp:docPr id="1" name="Obraz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017" cy="8568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592346" w14:textId="77777777" w:rsidR="00446A0E" w:rsidRPr="00224554" w:rsidRDefault="00446A0E" w:rsidP="00224554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* 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w postępowaniu o przywrócenie obywatelstwa </w:t>
            </w:r>
            <w:r w:rsidRPr="00224554">
              <w:rPr>
                <w:rStyle w:val="Pogrubienie"/>
                <w:rFonts w:ascii="Lato" w:hAnsi="Lato"/>
                <w:sz w:val="18"/>
                <w:szCs w:val="18"/>
              </w:rPr>
              <w:t>stosuje się przepisy KPA</w:t>
            </w:r>
            <w:r w:rsidRPr="00224554">
              <w:rPr>
                <w:rFonts w:ascii="Lato" w:hAnsi="Lato"/>
                <w:sz w:val="18"/>
                <w:szCs w:val="18"/>
              </w:rPr>
              <w:t>, w tym potencjalnie przepisy o składaniu podań drogą elektroniczną (art. 63 § 1</w:t>
            </w:r>
          </w:p>
          <w:p w14:paraId="48AB25C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Jednocześnie, w przypadku wprowadzenia odpowiednich zmian w ustawie o obywatelstwie polskim możliwe będzie uruchomienie e-usług w obszarze obywatelskim na wymaganym 4 poziomie dojrzałości. MSZ jest otwarty na współpracę z MSWiA w tek kwestii.</w:t>
            </w:r>
          </w:p>
        </w:tc>
        <w:tc>
          <w:tcPr>
            <w:tcW w:w="818" w:type="pct"/>
          </w:tcPr>
          <w:p w14:paraId="05981F3F" w14:textId="659EA72F" w:rsidR="002F2EC4" w:rsidRPr="002F2EC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lastRenderedPageBreak/>
              <w:t>Podtrzymanie uwagi</w:t>
            </w:r>
            <w:r w:rsidRPr="002F2EC4">
              <w:rPr>
                <w:rFonts w:ascii="Lato" w:hAnsi="Lato" w:cs="Roboto-Regular"/>
                <w:sz w:val="18"/>
                <w:szCs w:val="18"/>
              </w:rPr>
              <w:t xml:space="preserve"> </w:t>
            </w:r>
          </w:p>
          <w:p w14:paraId="37F357A1" w14:textId="77777777" w:rsidR="002F2EC4" w:rsidRPr="002F2EC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7215ECCE" w14:textId="43A74EAA" w:rsidR="00446A0E" w:rsidRPr="0022455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="Roboto-Regular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="Roboto-Regular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="Roboto-Regular"/>
                <w:sz w:val="18"/>
                <w:szCs w:val="18"/>
              </w:rPr>
              <w:t>- wprowadzania do centralnego rejestru danych o nabyciu i utracie obywatelstwa polskiego  /System Pobyt/ wniosków o nabycie  obywatelstwa polskiego oraz wyrażenie zgody na zrzeczenie się obywatelstwa polskiego, składanych w formie papierowej.</w:t>
            </w:r>
          </w:p>
        </w:tc>
      </w:tr>
      <w:tr w:rsidR="00446A0E" w:rsidRPr="00224554" w14:paraId="2229868F" w14:textId="4E2A8CCD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6E87739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14:paraId="5D6A3481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E6D322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E2A9EB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5418DA4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Zaproponowane e-usługi nie uwzględniają zadań konsula wynikających z  art. 34 ust. 3 ustawy o repatriacji.</w:t>
            </w:r>
          </w:p>
          <w:p w14:paraId="587ACE47" w14:textId="77777777" w:rsidR="00446A0E" w:rsidRPr="00224554" w:rsidRDefault="00446A0E" w:rsidP="00224554">
            <w:pPr>
              <w:shd w:val="clear" w:color="auto" w:fill="FFFFFF"/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Stosownie do art. 34 ustawy z dnia 9 listopada 2000 r. o repatriacji</w:t>
            </w:r>
            <w:r w:rsidRPr="00224554">
              <w:rPr>
                <w:rStyle w:val="Odwoanieprzypisudolnego"/>
                <w:rFonts w:ascii="Lato" w:hAnsi="Lato" w:cs="Arial"/>
                <w:sz w:val="18"/>
                <w:szCs w:val="18"/>
              </w:rPr>
              <w:footnoteReference w:id="1"/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, minister właściwy do spraw wewnętrznych, </w:t>
            </w:r>
            <w:r w:rsidRPr="00224554">
              <w:rPr>
                <w:rFonts w:ascii="Lato" w:hAnsi="Lato"/>
                <w:sz w:val="18"/>
                <w:szCs w:val="18"/>
              </w:rPr>
              <w:t>w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celu zapewnienia prawidłowej realizacji procesu repatriacji, tworzy i prowadzi w systemie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teleinformatycznym centralny rejestr danych o repatriacji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. Zgodnie z przepisem art. 33 ustawy o repatriacji: </w:t>
            </w:r>
          </w:p>
          <w:p w14:paraId="7A4856A0" w14:textId="5E8CB1B4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m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inister właściwy do spraw wewnętrznych i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 w:cs="Arial"/>
                <w:sz w:val="18"/>
                <w:szCs w:val="18"/>
              </w:rPr>
              <w:t>, każdy w zakresie swojej właściwości, prowadzą rejestr dotyczący wiz krajowych w celu repatriacji (ust. 1);</w:t>
            </w:r>
            <w:bookmarkStart w:id="2" w:name="mip63714994"/>
            <w:bookmarkEnd w:id="2"/>
          </w:p>
          <w:p w14:paraId="44303A5A" w14:textId="0C03491C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minister właściwy do spraw wewnętrznych i wojewoda, każdy w zakresie swojej właściwości, prowadzą rejestr dotyczący uznania za repatrianta (ust. 2);</w:t>
            </w:r>
          </w:p>
          <w:p w14:paraId="093B5CD9" w14:textId="44AEF4C1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bookmarkStart w:id="3" w:name="mip63714995"/>
            <w:bookmarkEnd w:id="3"/>
            <w:r w:rsidRPr="00224554">
              <w:rPr>
                <w:rFonts w:ascii="Lato" w:hAnsi="Lato" w:cs="Arial"/>
                <w:sz w:val="18"/>
                <w:szCs w:val="18"/>
              </w:rPr>
              <w:t xml:space="preserve">minister właściwy do spraw wewnętrznych, Pełnomocnik, wojewoda i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 w:cs="Arial"/>
                <w:sz w:val="18"/>
                <w:szCs w:val="18"/>
              </w:rPr>
              <w:t>, każdy w zakresie swojej właściwości, prowadzą rejestr dotyczący udzielania pomocy repatriantom ze środków budżetu państwa (ust. 3).</w:t>
            </w:r>
          </w:p>
          <w:p w14:paraId="4565B59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 xml:space="preserve">Wymaga również podkreślenia, iż stosownie do przepisu art. 34 ust. 3 ustawy, </w:t>
            </w:r>
            <w:r w:rsidRPr="00224554">
              <w:rPr>
                <w:rFonts w:ascii="Lato" w:hAnsi="Lato" w:cs="Arial"/>
                <w:sz w:val="18"/>
                <w:szCs w:val="18"/>
                <w:shd w:val="clear" w:color="auto" w:fill="FFFFFF"/>
              </w:rPr>
              <w:t xml:space="preserve">pełnomocnik, wojewoda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  <w:shd w:val="clear" w:color="auto" w:fill="FFFFFF"/>
              </w:rPr>
              <w:t>i konsul</w:t>
            </w:r>
            <w:r w:rsidRPr="00224554">
              <w:rPr>
                <w:rFonts w:ascii="Lato" w:hAnsi="Lato" w:cs="Arial"/>
                <w:sz w:val="18"/>
                <w:szCs w:val="18"/>
                <w:shd w:val="clear" w:color="auto" w:fill="FFFFFF"/>
              </w:rPr>
              <w:t xml:space="preserve"> przekazują do centralnego rejestru dane zawarte w prowadzonych przez siebie rejestrach niezwłocznie po ich umieszczeniu we właściwym rejestrze</w:t>
            </w:r>
            <w:r w:rsidRPr="00224554">
              <w:rPr>
                <w:rFonts w:ascii="Lato" w:hAnsi="Lato"/>
                <w:sz w:val="18"/>
                <w:szCs w:val="18"/>
              </w:rPr>
              <w:t>.</w:t>
            </w:r>
          </w:p>
        </w:tc>
        <w:tc>
          <w:tcPr>
            <w:tcW w:w="1217" w:type="pct"/>
            <w:shd w:val="clear" w:color="auto" w:fill="auto"/>
          </w:tcPr>
          <w:p w14:paraId="69F53E7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Dodanie kolejnych e-usług:</w:t>
            </w:r>
          </w:p>
          <w:p w14:paraId="006B6EA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przyjęcie wniosku o wydanie wizy krajowej w celu repatriacji; zakres działania: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</w:t>
            </w:r>
          </w:p>
          <w:p w14:paraId="348087F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korzystający z usług konsularnych (rocznie ok 530 transakcji),</w:t>
            </w:r>
          </w:p>
          <w:p w14:paraId="41ED926F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wydanie decyzji w sprawie stwierdzenia polskiego pochodzenia osoby ubiegającej się o wydanie wizy krajowej w celu repatriacji lub o uznanie za repatrianta (rocznie ok. 330 transakcji),</w:t>
            </w:r>
          </w:p>
          <w:p w14:paraId="52178108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- wydanie przez konsula decyzji o zakwalifikowaniu do wydania wizy krajowej w celu repatriacji (rocznie ok. 330 transakcji),</w:t>
            </w:r>
          </w:p>
          <w:p w14:paraId="6ABDE3D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wydanie wizy krajowej w celu repatriacji (rocznie ok. 730 transakcji),</w:t>
            </w:r>
          </w:p>
          <w:p w14:paraId="11DA0047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udzielenie pomocy repatriantom ze środków budżetu państwa (rocznie do 20 transakcji).</w:t>
            </w:r>
          </w:p>
          <w:p w14:paraId="73496979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996" w:type="pct"/>
          </w:tcPr>
          <w:p w14:paraId="6260444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Wprowadzenie możliwości elektronicznego składania wniosku o wydanie wizy krajowej w celu repatriacji  wymagałoby wprowadzenia takich zmian legislacyjnych w ustawie, które dawałyby konsulowi możliwość rozmowy z wnioskodawcą za pomocą środków komunikowania się na odległość w celu umożliwienia konsulowi wydania decyzji w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sprawie uznania za osobę polskiego pochodzenia oraz oceny stopnia znajomości języka polskiego. Co prawda, w przypadku procedury uznania za repatrianta (przeprowadza ją wojewoda) konsul może być proszony o wydanie decyzji o uznaniu za osobę polskiego pochodzenia (art. 16a ust. 5 ustawy o repatriacji), co odbywa się na podstawie przesłanych dokumentów. W przypadku e-usługi związanej z wydaniem decyzji o zakwalifikowaniu do wydania wizy krajowej w celu repatriacji, to jest to procedura wpadkowa w postępowaniu wszczynanym wnioskiem o wydanie wizy krajowej w celu repatriacji, trudno więc ocenić zasadność wprowadzenia takiej usługi, skoro dla jej zainicjowania nie jest konieczny odrębny wniosek wnioskodawcy, poza wnioskiem o wydanie wizy krajowej w celu repatriacji. Wydanie tej decyzji następuje na podstawie postanowienia Ministra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SWiA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, które przekazywane jest konsulowi przez MSWiA. E-usługa związana z udzielaniem pomocy finansowej – wymaga wyjaśnienia po stronie zgłaszającego uwagę, czy chodzi o możliwość wnioskowania przez Ministra SZ do Ministra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SWiA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a potem Ministra Finansów za pośrednictwem tej usługi o środki finansowe z rezerwy, czy też chodzi o składanie wniosków przez wnioskodawców do konsulów w tej sprawie. Z uwagi na incydentalność tych wniosków (w 2023 – 1, w 2024 – 1, 2025 – 1) nie wydaje się projektowanie takiej usługi w żadnym z tych dwóch zakresów.</w:t>
            </w:r>
          </w:p>
        </w:tc>
        <w:tc>
          <w:tcPr>
            <w:tcW w:w="818" w:type="pct"/>
          </w:tcPr>
          <w:p w14:paraId="597EC6F3" w14:textId="7C12B0DD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lastRenderedPageBreak/>
              <w:t>Podtrzymanie uwagi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</w:t>
            </w:r>
          </w:p>
          <w:p w14:paraId="6FA341D9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5221F69" w14:textId="58190ECC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theme="minorHAnsi"/>
                <w:sz w:val="18"/>
                <w:szCs w:val="18"/>
              </w:rPr>
              <w:t>- wprowadzania wniosków i rozstrzygnięć w sprawach repatriacji /System Pobyt/.</w:t>
            </w:r>
          </w:p>
          <w:p w14:paraId="516878F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7D38BE67" w14:textId="2FF4F25F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2E1BD91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417" w:type="pct"/>
            <w:shd w:val="clear" w:color="auto" w:fill="auto"/>
          </w:tcPr>
          <w:p w14:paraId="7D64299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69C3E5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3310DB09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28AFC80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związku z prowadzonymi postępowaniami o wydanie paszportów, konsulowie występują do MSWiA o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udostępnienie danych z centralnego rejestru danych o nabyciu i utracie obywatelstwa polskiego prowadzonego w ramach systemu Pobyt. Dotychczas konsulowie występują w formie tradycyjnej – na formularzu wniosku, stosownie do przepisu art. 62 ust. 6 ustawy o obywatelstwie polskim. Mając na uwadze, iż uprawnienie do dostępu do danych w centralnym rejestrze wynika nie tylko z przepisu art. 62 ust. 2 pkt 1 ustawy ale również wprost z treści art. 60 ustawy, zasadnym jest usprawnienie tej procedury poprzez umożliwienie konsulowi bezpośredniego dostępu do systemu Pobyt. W konsekwencji konsul nie będzie zobowiązany do przygotowania zapytania na określonym przepisami formularzu wniosku i przesyłania go do MSWiA a następnie oczekiwania na odpowiedź. Informacje takie konsul uzyska bezpośrednio z systemu Pobyt. </w:t>
            </w:r>
          </w:p>
        </w:tc>
        <w:tc>
          <w:tcPr>
            <w:tcW w:w="1217" w:type="pct"/>
            <w:shd w:val="clear" w:color="auto" w:fill="auto"/>
          </w:tcPr>
          <w:p w14:paraId="7A9993A0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Dodanie kolejnej e-usługi:</w:t>
            </w:r>
          </w:p>
          <w:p w14:paraId="70C14E38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uzyskanie danych o utracie obywatelstwa polskiego bezpośrednio z centralnego rejestru danych o nabyciu i utracie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obywatelstwa polskiego prowadzonego w ramach systemu Pobyt; zakres działania 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obywatele polscy korzystający z usług konsularnych (rocznie ok 5000 transakcji).</w:t>
            </w:r>
          </w:p>
          <w:p w14:paraId="42E2A62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996" w:type="pct"/>
          </w:tcPr>
          <w:p w14:paraId="0C0D81C9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Zdecydowanie popieramy ideę umożliwienia konsulom bezpośredniego dostępu do centralnego Rejestru danych o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nabyciu i utracie obywatelstwa polskiego, prowadzonego przez MSWiA (CRDUNOP), za pośrednictwem systemu Pobyt. Podobne rozwiązanie funkcjonuje z powodzeniem w systemie RDP, gdzie możliwe jest przeprowadzanie sprawdzeń w Rejestrze Aktów Stanu Cywilnego oraz w Rejestrze Dowodów Osobistych za pomocą systemu Źródło. Obecnie stosowany sposób pozyskiwania informacji z MSWiA – na podstawie skanu wniosku wysyłanego szyfrowanym mailem jest archaiczny, pracochłonny i w naszej opinii wymaga usprawnienia. Jednocześnie dalszej analizy wymaga kwestia odpowiedniej podstawy prawnej. Skontaktujemy się w tej sprawie bezpośrednio z MSWiA. Kwestia braku bezpośredniego dostępu do CRDUNOP został wskazanym w zmodyfikowanym zgodnie ze stanowiskiem do uwagi nr 1.</w:t>
            </w:r>
          </w:p>
        </w:tc>
        <w:tc>
          <w:tcPr>
            <w:tcW w:w="818" w:type="pct"/>
          </w:tcPr>
          <w:p w14:paraId="6302F629" w14:textId="0A50C824" w:rsidR="00446A0E" w:rsidRPr="00224554" w:rsidRDefault="002F2EC4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lastRenderedPageBreak/>
              <w:t>Akceptacja</w:t>
            </w:r>
          </w:p>
        </w:tc>
      </w:tr>
      <w:tr w:rsidR="00446A0E" w:rsidRPr="00224554" w14:paraId="1527E8F3" w14:textId="03AA5FF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04ED731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417" w:type="pct"/>
            <w:shd w:val="clear" w:color="auto" w:fill="auto"/>
          </w:tcPr>
          <w:p w14:paraId="24646AE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B66194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56E582B3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e-usługi. Pkt 7 tabeli: Potwierdzenie obywatelstwa</w:t>
            </w:r>
          </w:p>
        </w:tc>
        <w:tc>
          <w:tcPr>
            <w:tcW w:w="841" w:type="pct"/>
            <w:shd w:val="clear" w:color="auto" w:fill="auto"/>
          </w:tcPr>
          <w:p w14:paraId="3DD4042A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Z opisu e-usługi wynika, iż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Usługa pozwala na złożenie wniosku i uzyskanie od Konsula potwierdzenia posiadania lub utraty obywatelstwa polskiego.</w:t>
            </w:r>
          </w:p>
          <w:p w14:paraId="09B091C2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Należy podkreślić, iż stosownie do przepisu art. 55 ustawy o obywatelstwie polskim, organem wyłącznie właściwym do potwierdzenia posiadania obywatelstwa polskiego jest wojewoda. Konsul jest jedynie organem, za pośrednictwem którego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 xml:space="preserve">zainteresowana osoba może wystąpić z wnioskiem do właściwego wojewody o potwierdzenie posiadania obywatelstwa polskiego oraz uzyskać za jego pośrednictwem decyzję w ww. sprawie wydaną przez wojewodę. Aktualnie czynności związane z postępowaniem o potwierdzenie posiadania obywatelstwa polskiego nie są rejestrowane w ramach systemu Pobyt. Każdy wojewoda prowadzi oddzielny (własny) rejestr prowadzonych postępowanie o potwierdzenie posiadania obywatelstwa polskiego. </w:t>
            </w:r>
          </w:p>
        </w:tc>
        <w:tc>
          <w:tcPr>
            <w:tcW w:w="1217" w:type="pct"/>
            <w:shd w:val="clear" w:color="auto" w:fill="auto"/>
          </w:tcPr>
          <w:p w14:paraId="55D4726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 xml:space="preserve">Niezbędne jest doprecyzowanie na czym dokładanie miałaby polegać usługa zaproponowana w dokumencie. </w:t>
            </w:r>
          </w:p>
        </w:tc>
        <w:tc>
          <w:tcPr>
            <w:tcW w:w="996" w:type="pct"/>
          </w:tcPr>
          <w:p w14:paraId="5236AD3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Zapis w OZPI zostanie doprecyzowany, propozycja poniżej:</w:t>
            </w:r>
          </w:p>
          <w:p w14:paraId="16A00D3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„Usługa pozwala na złożenie wniosku i uzyskanie za pośrednictwem Konsula potwierdzenia posiadania lub utraty obywatelstwa polskiego.”</w:t>
            </w:r>
          </w:p>
        </w:tc>
        <w:tc>
          <w:tcPr>
            <w:tcW w:w="818" w:type="pct"/>
          </w:tcPr>
          <w:p w14:paraId="66D7A36A" w14:textId="7A694832" w:rsidR="002F2EC4" w:rsidRPr="002F2EC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t>Odniesienie projektodawcy do uwagi jest niezrozumiałe.</w:t>
            </w:r>
          </w:p>
          <w:p w14:paraId="79A517D5" w14:textId="77777777" w:rsidR="002F2EC4" w:rsidRPr="002F2EC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3A300469" w14:textId="3403A4DE" w:rsidR="00446A0E" w:rsidRPr="0022455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F2EC4">
              <w:rPr>
                <w:rFonts w:ascii="Lato" w:hAnsi="Lato" w:cs="Roboto-Regular"/>
                <w:sz w:val="18"/>
                <w:szCs w:val="18"/>
              </w:rPr>
              <w:t>Postępowanie o potwierdzenie posiadania lub utraty obywatelstwa polskiego nie są prowadzone w ramach centralnego rejestru o nabyciu i utracie obywatelstwa polskiego /System Pobyt/</w:t>
            </w:r>
            <w:r>
              <w:rPr>
                <w:rFonts w:ascii="Lato" w:hAnsi="Lato" w:cs="Roboto-Regular"/>
                <w:sz w:val="18"/>
                <w:szCs w:val="18"/>
              </w:rPr>
              <w:t>.</w:t>
            </w:r>
          </w:p>
        </w:tc>
      </w:tr>
      <w:tr w:rsidR="00446A0E" w:rsidRPr="00224554" w14:paraId="493E880A" w14:textId="5F25F1C8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3720705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7</w:t>
            </w:r>
          </w:p>
        </w:tc>
        <w:tc>
          <w:tcPr>
            <w:tcW w:w="417" w:type="pct"/>
            <w:shd w:val="clear" w:color="auto" w:fill="auto"/>
          </w:tcPr>
          <w:p w14:paraId="7281BC8C" w14:textId="5C9198C7" w:rsidR="00446A0E" w:rsidRPr="00224554" w:rsidRDefault="007B2F1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MSWiA</w:t>
            </w:r>
            <w:bookmarkStart w:id="4" w:name="_GoBack"/>
            <w:bookmarkEnd w:id="4"/>
          </w:p>
        </w:tc>
        <w:tc>
          <w:tcPr>
            <w:tcW w:w="562" w:type="pct"/>
            <w:shd w:val="clear" w:color="auto" w:fill="auto"/>
          </w:tcPr>
          <w:p w14:paraId="762B40FD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shd w:val="clear" w:color="auto" w:fill="auto"/>
          </w:tcPr>
          <w:p w14:paraId="74692D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Pkt 5, zawierający odniesienie do ustawy z dnia 2 kwietnia 2009 r. o obywatelstwie polskim, nie wskazuje na zmiany tekstu jednolitego ustawy).</w:t>
            </w:r>
          </w:p>
        </w:tc>
        <w:tc>
          <w:tcPr>
            <w:tcW w:w="1217" w:type="pct"/>
            <w:shd w:val="clear" w:color="auto" w:fill="auto"/>
          </w:tcPr>
          <w:p w14:paraId="01F4671D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W przywołanym publikatorze należy uwzględnić zmiany wprowadzone do tekstu jednolitego ustawy  - Dz. U. z 2023 r. poz. 1989, z </w:t>
            </w:r>
            <w:proofErr w:type="spellStart"/>
            <w:r w:rsidRPr="00224554">
              <w:rPr>
                <w:rFonts w:ascii="Lato" w:hAnsi="Lato" w:cs="Roboto-Regular"/>
                <w:sz w:val="18"/>
                <w:szCs w:val="18"/>
              </w:rPr>
              <w:t>póżn</w:t>
            </w:r>
            <w:proofErr w:type="spellEnd"/>
            <w:r w:rsidRPr="00224554">
              <w:rPr>
                <w:rFonts w:ascii="Lato" w:hAnsi="Lato" w:cs="Roboto-Regular"/>
                <w:sz w:val="18"/>
                <w:szCs w:val="18"/>
              </w:rPr>
              <w:t>. zm.</w:t>
            </w:r>
          </w:p>
        </w:tc>
        <w:tc>
          <w:tcPr>
            <w:tcW w:w="996" w:type="pct"/>
          </w:tcPr>
          <w:p w14:paraId="1824723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</w:tcPr>
          <w:p w14:paraId="4DB963FE" w14:textId="372A2CBD" w:rsidR="00446A0E" w:rsidRPr="00224554" w:rsidRDefault="002F2EC4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t>Akceptacja</w:t>
            </w:r>
          </w:p>
        </w:tc>
      </w:tr>
      <w:tr w:rsidR="00446A0E" w:rsidRPr="00224554" w14:paraId="6B59BAEC" w14:textId="5C3DD50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EF5D33A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7" w:type="pct"/>
            <w:shd w:val="clear" w:color="auto" w:fill="auto"/>
          </w:tcPr>
          <w:p w14:paraId="37B551F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216D20A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0084AAE5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shd w:val="clear" w:color="auto" w:fill="auto"/>
          </w:tcPr>
          <w:p w14:paraId="7C9CBDD2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Tabela z aktami prawnymi nie zawiera odniesienia do ustawy z </w:t>
            </w:r>
            <w:r w:rsidRPr="00224554">
              <w:rPr>
                <w:rFonts w:ascii="Lato" w:hAnsi="Lato" w:cs="Arial"/>
                <w:sz w:val="18"/>
                <w:szCs w:val="18"/>
              </w:rPr>
              <w:t>o repatriacji</w:t>
            </w:r>
          </w:p>
        </w:tc>
        <w:tc>
          <w:tcPr>
            <w:tcW w:w="1217" w:type="pct"/>
            <w:shd w:val="clear" w:color="auto" w:fill="auto"/>
          </w:tcPr>
          <w:p w14:paraId="242B2F0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Dodanie informacji dot. aktu prawnego :</w:t>
            </w:r>
          </w:p>
          <w:p w14:paraId="27B90494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- ustawa z dnia 9 listopada 2000 r. o repatriacji (t. j. Dz.U. z 2022 r. poz. 1105,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 Ustawa nie wymaga zmian.</w:t>
            </w:r>
          </w:p>
        </w:tc>
        <w:tc>
          <w:tcPr>
            <w:tcW w:w="996" w:type="pct"/>
          </w:tcPr>
          <w:p w14:paraId="7FF1691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Dodano w OZPI wskazany akt prawny zgodnie z propozycją.</w:t>
            </w:r>
          </w:p>
        </w:tc>
        <w:tc>
          <w:tcPr>
            <w:tcW w:w="818" w:type="pct"/>
          </w:tcPr>
          <w:p w14:paraId="4B231C07" w14:textId="03719F46" w:rsidR="00446A0E" w:rsidRPr="00224554" w:rsidRDefault="002F2EC4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F2EC4">
              <w:rPr>
                <w:rFonts w:ascii="Lato" w:hAnsi="Lato" w:cs="Roboto-Regular"/>
                <w:sz w:val="18"/>
                <w:szCs w:val="18"/>
              </w:rPr>
              <w:t>Akceptacja</w:t>
            </w:r>
          </w:p>
        </w:tc>
      </w:tr>
      <w:tr w:rsidR="00446A0E" w:rsidRPr="00224554" w14:paraId="6E306BBC" w14:textId="1CF71D40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6C64DDA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417" w:type="pct"/>
            <w:shd w:val="clear" w:color="auto" w:fill="auto"/>
          </w:tcPr>
          <w:p w14:paraId="74983B7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F2F12F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1BF643A7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7.2. Widok kooperacji aplikacji. </w:t>
            </w:r>
          </w:p>
          <w:p w14:paraId="518E159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 wykorzystywanych w projekcie.</w:t>
            </w:r>
          </w:p>
        </w:tc>
        <w:tc>
          <w:tcPr>
            <w:tcW w:w="841" w:type="pct"/>
            <w:shd w:val="clear" w:color="auto" w:fill="auto"/>
          </w:tcPr>
          <w:p w14:paraId="52DE227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Punkt 13 tabeli zawiera opis sytemu Pobyt (gestor systemu: Urząd do Spraw Cudzoziemców). Opis nie zawiera informacji, iż elementami przedmiotowego systemu jest centralny rejestr danych o nabyciu i utracie obywatelstwa polskiego oraz rejestry w sprawach repatriacji.</w:t>
            </w:r>
          </w:p>
        </w:tc>
        <w:tc>
          <w:tcPr>
            <w:tcW w:w="1217" w:type="pct"/>
            <w:shd w:val="clear" w:color="auto" w:fill="auto"/>
          </w:tcPr>
          <w:p w14:paraId="2EDDBB7A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Proponuje dodanie do opisu systemu:</w:t>
            </w:r>
          </w:p>
          <w:p w14:paraId="0B6DF54A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System Pobyt umożliwia pozyskanie informacji o nabyciu i utracie obywatelstwa polskiego oraz o prowadzonych postępowania o nabycie lub zrzeczenie się obywatelstwa polskiego, a także w sprawach nabycia obywatelstwa polskiego w drodze repatriacji.</w:t>
            </w:r>
          </w:p>
        </w:tc>
        <w:tc>
          <w:tcPr>
            <w:tcW w:w="996" w:type="pct"/>
          </w:tcPr>
          <w:p w14:paraId="1467D3A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Opis systemu Pobyt w OZPI zostanie rozbudowany o przesłaną propozycję</w:t>
            </w:r>
          </w:p>
        </w:tc>
        <w:tc>
          <w:tcPr>
            <w:tcW w:w="818" w:type="pct"/>
          </w:tcPr>
          <w:p w14:paraId="4F29D885" w14:textId="1634F79A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43219F41" w14:textId="13644FF8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52A20DF9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417" w:type="pct"/>
            <w:shd w:val="clear" w:color="auto" w:fill="auto"/>
          </w:tcPr>
          <w:p w14:paraId="2DFEDAE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2520BAC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73A9CBCA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7.2. Widok kooperacji aplikacji. </w:t>
            </w:r>
          </w:p>
          <w:p w14:paraId="53FBF56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przepływów.</w:t>
            </w:r>
          </w:p>
        </w:tc>
        <w:tc>
          <w:tcPr>
            <w:tcW w:w="841" w:type="pct"/>
            <w:shd w:val="clear" w:color="auto" w:fill="auto"/>
          </w:tcPr>
          <w:p w14:paraId="04013A6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Punkt 17 tabeli zawiera zakres wymienianych danych. Powinien on również odnosić się do wyżej zgłoszonych uwag w zakresie zadań konsula realizowanych na podstawie ustawy o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obywatelstwie polskim oraz ustawy o repatriacji.</w:t>
            </w:r>
          </w:p>
        </w:tc>
        <w:tc>
          <w:tcPr>
            <w:tcW w:w="1217" w:type="pct"/>
            <w:shd w:val="clear" w:color="auto" w:fill="auto"/>
          </w:tcPr>
          <w:p w14:paraId="3E2AECD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Uzupełnienie zakresu wymienianych danych.</w:t>
            </w:r>
          </w:p>
        </w:tc>
        <w:tc>
          <w:tcPr>
            <w:tcW w:w="996" w:type="pct"/>
          </w:tcPr>
          <w:p w14:paraId="0FCCE95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Zakres wymienianych danych w OZPI zostanie uzupełniony</w:t>
            </w:r>
          </w:p>
        </w:tc>
        <w:tc>
          <w:tcPr>
            <w:tcW w:w="818" w:type="pct"/>
          </w:tcPr>
          <w:p w14:paraId="0A5C94EB" w14:textId="19329F6F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BF84707" w14:textId="1CC9BB3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4DD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FB89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B878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Lista przepływów (Lp. 11 - str. 54 i 55; część 7 Architektura)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BD9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tabeli - Lista przepływów (Lp. 11 - str. 54 i 55; część 7 Architektura) wskazuje, iż zakres wymienianych danych  – pomiędzy systemem źródłowym, tj. Rejestrem Dokumentów Paszportowych i systemem docelowym, tj.  Elektroniczną Platformą usług konsularnych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– to, cyt. Dane wniosku paszportowego. Weryfikacja danych.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311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Prośba o doprecyzowanie powyższego zapisu poprzez wskazanie, iż wymieniane dane będą dotyczyć dokumentu paszportowego.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46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uszczegółowiono:</w:t>
            </w:r>
          </w:p>
          <w:p w14:paraId="781D029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„Dane wniosku oraz dokumentu paszportowego. Weryfikacja danych”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72B" w14:textId="5FB5CAF4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736FB0C0" w14:textId="1A8E4A37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7CA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295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F9CB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wykorzystywanych w projekcie pkt 12  tabeli - PESEL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B3C5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 zawiera m.in. informacje dot. osób, których dane są gromadzone w rejestrze PESEL, wskazując 1. obywateli polskich zamieszkujących na terytorium Rzeczypospolitej Polskiej; 2. obywateli polskich zamieszkujących poza granicami Rzeczypospolitej Polskiej w związku z ubieganiem się o polski dokument tożsamości; 3. cudzoziemców zamieszkujących na terytorium Rzeczypospolitej Polskiej, którzy uzyskali prawa stałego pobytu, zezwolenie na pobyt stały lub inny status określony w ustawie o ewidencji ludności lub na podstawie odrębnych przepisów zobowiązane są do posiadania numeru PESEL.                 W systemie, w szczególności gromadzone są w nim także dane obywateli Ukrainy i ich małżonków, którzy przybyli do Polski w związku z działaniami wojennymi prowadzonymi na terytorium Ukrainy i którym nadano numer PESEL. </w:t>
            </w:r>
          </w:p>
          <w:p w14:paraId="6C4C49E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Zgodnie z art. 7 ust. 1 i 2 ustawy z dnia 24 września 2010 r. o ewidencji ludności  w rejestrze PESEL gromadzone są dane:</w:t>
            </w:r>
          </w:p>
          <w:p w14:paraId="45BD2699" w14:textId="0675FAD4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1) obywateli polskich zamieszkujących                        na terytorium Rzeczypospolitej Polskiej;</w:t>
            </w:r>
          </w:p>
          <w:p w14:paraId="047E8E3B" w14:textId="47B7A505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2) obywateli polskich zamieszkujących poza granicami Rzeczypospolitej Polskiej w związku                       z ubieganiem się o polski dokument tożsamości;</w:t>
            </w:r>
          </w:p>
          <w:p w14:paraId="06232E53" w14:textId="74CDC9AE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3) cudzoziemców zamieszkujących na terytorium Rzeczypospolitej Polskiej.</w:t>
            </w:r>
          </w:p>
          <w:p w14:paraId="0EB4E52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Dodatkowo w rejestrze PESEL mogą być gromadzone dane osób obowiązanych na podstawie odrębnych przepisów do posiadania numeru PESEL.</w:t>
            </w:r>
          </w:p>
          <w:p w14:paraId="4CC8733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związku z powyższym zapis dotyczący cudzoziemców wymaga zmiany w celu uwzględnienia obowiązującego stanu prawnego.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FC7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Proponuje się zastąpić dotychczasowy zapis (pkt 3) w następujący sposób:</w:t>
            </w:r>
          </w:p>
          <w:p w14:paraId="515682F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„3. cudzoziemców zamieszkujących na terytorium Rzeczypospolitej Polskiej,</w:t>
            </w:r>
          </w:p>
          <w:p w14:paraId="7EEB50F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4. osób obowiązanych na podstawie odrębnych przepisów do posiadania numeru PESEL.”.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EAA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F4C" w14:textId="63FC8FF4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2596043D" w14:textId="2BA043BF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BCC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B7B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F13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wykorzystywanych w projekcie pkt 17  tabeli – RDO Rejestr Dowodów Osobistych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BF9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1. Z opisu wynika, że RDO jest jednym                                            z komponentów Systemu Rejestrów Państwowych, wraz z aplikacją Źródło umożliwia pełną obsługę spraw dowodowych: wnioskowanie o dowód osobisty, wydanie dowodu osobistego, aktywacja i dezaktywacja warstwy elektronicznej. W RDO prowadzony jest także częściowo Rejestr Obywateli Ukrainy, którym nadano numer PESEL (w zakresie danych, które nie są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przechowywane w PESEL, np. odciski palców). Należy wskazać, że aplikacja Źródło jest wykorzystywana do obsługi Systemu Rejestrów Państwowych, w tym rejestru PESEL czy RDP. Nie jest też jasne o jaką dezaktywację warstwy elektronicznej chodzi. Przepisy ustawy o dowodach osobistych nie wypowiadają się w tej kwestii.</w:t>
            </w:r>
          </w:p>
          <w:p w14:paraId="19FF35E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EC30F1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2. Rejestr Obywateli Ukrainy (ROU) prowadzi się w systemie teleinformatycznym, o którym mowa w art. 55 ustawy z dnia 6 sierpnia 2010 r. o dowodach osobistych, ale jest to jednak odrębny od RDO rejestr prowadzony na podstawie przepisów ustawy z dnia 12 marca 2022 r. o pomocy obywatelom Ukrainy w związku z konfliktem zbrojnym na terytorium tego Państwa.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E0F1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1. Nie wydaje się zasadne wskazywanie aplikacji Źródło w opisie RDO. Ponadto informację o dezaktywacji warstwy elektronicznej należy usunąć.</w:t>
            </w:r>
          </w:p>
          <w:p w14:paraId="30ED5EE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2. Nie jest zasadne w opisie RDO wskazywanie ROU jako elementu Rejestru Dowodów Osobistych.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C1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Proponujemy skrócić opis systemu RDO w OZPI do poniższego:</w:t>
            </w:r>
          </w:p>
          <w:p w14:paraId="34D05B75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385164D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„Rejestr Dowodów Osobistych (RDO) to centralny, państwowy rejestr teleinformatyczny, gromadzący dane o dowodach osobistych w Polsce.”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C7C2" w14:textId="4048F2BD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6CFAE04F" w14:textId="2F23415B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6F3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E07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237FC0E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KGSG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DE18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 POWODY PODJĘCIA PROJEKTU</w:t>
            </w:r>
          </w:p>
          <w:p w14:paraId="100D400C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1.1.Identyfikacja problemu i potrzeb, Str.5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D39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tabeli w wierszu dot. Zainteresowane jednostki organizacyjne państwa wskazano KGSG/straż pożarna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244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KGSG/Straż Graniczna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D0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EC4" w14:textId="3B45FB9A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5F2B270C" w14:textId="6B9C35D1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C1FD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B58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5F88ACD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916C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AEB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ETIAS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154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2018/1240 z dnia 12 września 2018 r. ustanawiające europejski system informacji o podróży oraz zezwoleń na podróż (ETIAS) i zmieniające rozporządzenia (UE) nr 1077/2011, (UE) nr 515/2014, (UE) 2016/399, (UE) 2016/1624 i (UE) 2017/2226 (Dz. Urz. UE L 236 z 19.09.2018, str. 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</w:t>
            </w:r>
          </w:p>
          <w:p w14:paraId="4FA2FF8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E1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936D" w14:textId="41F0AB46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0EE24A1" w14:textId="6A29AA37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DBC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B0F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582DC78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B562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3D5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SIS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EF0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Ustawa z dnia 24 sierpnia 2007 r. o udziale Rzeczypospolitej Polskiej w Systemie Informacyjnym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Wizowym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Systemie Informacyjnym, (Dz. U. z 2023 r. poz. 1355).</w:t>
            </w:r>
          </w:p>
          <w:p w14:paraId="1DCABC0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059B51C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2018/1860 z dnia 28 listopada 2018 r. w sprawie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do celów powrotu nielegalnie przebywających obywateli państw trzecich (Dz. Urz. UE L 312 z 07.12.2018, s. 1).</w:t>
            </w:r>
          </w:p>
          <w:p w14:paraId="329BEEF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232C619D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2018/1861 z dnia 28 listopada 2018 r. w sprawie utworzenia, funkcjonowania i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(SIS) w dziedzinie odpraw granicznych, zmiany konwencji wykonawczej do układu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zmiany i uchylenia rozporządzenia (WE) nr 1987/2006 (Dz. Urz. UE L 312 z 07.12.2018, s. 14,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. zm.). </w:t>
            </w:r>
          </w:p>
          <w:p w14:paraId="78A9879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1AC4B27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2018/1862 z dnia 28 listopada 2018 r. w sprawie utworzenia, funkcjonowania i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(SIS) w dziedzinie współpracy policyjnej i współpracy wymiarów sprawiedliwości w sprawach karnych, zmiany i uchylenia decyzji Rady 2007/533/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WSiSW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uchylenia rozporządzenia Parlamentu Europejskiego i Rady (WE) nr 1986/2006 i decyzji Komisji 2010/261/UE (Dz. Urz. UE L 312 z 07.12.2018, s. 56,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84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637" w14:textId="7155366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4AD12586" w14:textId="0AB98DF3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DFD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4E5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597681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B1BE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7DC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VIS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CDC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Rozporządzenie (WE) nr 767/2008 Parlamentu Europejskiego i Rady z dnia 9 lipca 2008 r. w sprawie Wizowego Systemu Informacyjnego (VIS) oraz wymiany danych pomiędzy państwami członkowskimi na temat wiz krótkoterminowych</w:t>
            </w:r>
            <w:r w:rsidRPr="00224554" w:rsidDel="00DD54C8">
              <w:rPr>
                <w:rFonts w:ascii="Lato" w:hAnsi="Lato" w:cs="Arial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(Dz. Urz. UE L 218 z 13.08.2008, s. 60,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  <w:p w14:paraId="4BFC0624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1E8476A9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2021/1133 w sprawie zmiany rozporządzeń (UE) nr 603/2013, (UE) 2016/794, (UE) 2018/1862, (UE) 2019/816 i (UE) 2019/818 w odniesieniu do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 xml:space="preserve">ustanowienia warunków dostępu do innych systemów informacyjnych UE do celów Wizowego Systemu Informacyjnego (Dz. Urz. UE L 248 z 13.07.2021, s. 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  <w:p w14:paraId="5AC8F43B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6A4E562B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Rozporządzenie Parlamentu Europejskiego i Rady (UE) 2021/1134 z dnia 7 lipca 2021 r. w sprawie zmiany rozporządzeń Parlamentu Europejskiego i Rady (WE) nr 767/2008, (WE) nr 810/2009, (UE) 2016/399, (UE) 2017/2226, (UE) 2018/1240, (UE) 2018/1860, (UE) 2018/1861, (UE) 2019/817 i (UE) 2019/1896 oraz uchylenia decyzji Rady 2004/512/WE i (WE) nr 2008/633/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WSiSW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w celu zreformowania Wizowego Systemu Informacyjnego</w:t>
            </w:r>
            <w:r w:rsidRPr="00224554" w:rsidDel="00A836EE">
              <w:rPr>
                <w:rFonts w:ascii="Lato" w:hAnsi="Lato" w:cs="Arial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(Dz. Urz. UE L 248 z 13.07.2021, s.11,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E8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152" w14:textId="06FBD476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6305525C" w14:textId="63AD498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586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2F4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6EDF71A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3DF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9E14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EES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1AE5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Ustawa z dnia 18 października 2024 r. o udziale Rzeczypospolitej Polskiej w Systemie Wjazdu/Wyjazdu (Dz. U. poz. 1688).</w:t>
            </w:r>
          </w:p>
          <w:p w14:paraId="6A15877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56FA32D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2017/2226 z dnia 30 listopada 2017 r. obywateli ustanawiające system wjazdu/wyjazdu (EES) w celu rejestrowania danych dotyczących wjazdu i wyjazdu państw trzecich przekraczających granice zewnętrzne państw członkowskich i danych dotyczących odmowy wjazdu w odniesieniu do takich obywateli oraz określające warunki dostępu do EES na potrzeby ochrony porządku publicznego i zmieniające konwencję wykonawczą do układu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i rozporządzenia (WE) nr 767/2008 i (UE) nr 1077/2011(Dz. Urz. UE L 327 z 09.12.2017, s. 20).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9FA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9FF" w14:textId="7ACFC09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4317160" w14:textId="29B3E1F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6FF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F05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1555B18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FD3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7.ARCHITEKTURA 7.1. Widok kooperacji aplikacji</w:t>
            </w:r>
          </w:p>
          <w:p w14:paraId="0966C0A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Lista systemów wykorzystywanych w projekcie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B8AA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Pozycja 5 w tabeli,  wpisany jest status „Planowany”. </w:t>
            </w:r>
          </w:p>
          <w:p w14:paraId="3E8B295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011E3796" w14:textId="15BF1352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System EES został uruchomiony 12.10.2025 r.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186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Zmiana Statusu na Istniejący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059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84A" w14:textId="4E00069E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85730D7" w14:textId="45DDDB7D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179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B9A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3CFCFC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EC6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7.ARCHITEKTURA 7.1. Widok kooperacji aplikacji</w:t>
            </w:r>
          </w:p>
          <w:p w14:paraId="6C13B621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-Lista systemów wykorzystywanych w projekcie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0F37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Pozycja 10 w tabeli, wpisany jest status „Planowany”. </w:t>
            </w:r>
          </w:p>
          <w:p w14:paraId="4D379B4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91E95B3" w14:textId="5E54F50C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System KSI EES został uruchomiony 12.10.2025 r.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EE4F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Zmiana Statusu na Istniejący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75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26F2" w14:textId="218123B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2ADD60EE" w14:textId="30F4F844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D4D4" w14:textId="172CE29B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21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A062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proofErr w:type="spellStart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MFiPR</w:t>
            </w:r>
            <w:proofErr w:type="spellEnd"/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A17F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2.1. Cele i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korzysci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wynikające z projektu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736E" w14:textId="77777777" w:rsidR="00446A0E" w:rsidRPr="00224554" w:rsidRDefault="00446A0E" w:rsidP="00224554">
            <w:pPr>
              <w:spacing w:after="12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przypadku niektórych wskaźników, które zostały zaproponowane przez wnioskodawcę (nie pochodzą z listy wskaźników określonych w działaniu 2.1 FERC),  tj.:</w:t>
            </w:r>
          </w:p>
          <w:p w14:paraId="4ED32B30" w14:textId="77777777" w:rsidR="00446A0E" w:rsidRPr="00224554" w:rsidRDefault="00446A0E" w:rsidP="00224554">
            <w:pPr>
              <w:pStyle w:val="Akapitzlist"/>
              <w:numPr>
                <w:ilvl w:val="0"/>
                <w:numId w:val="3"/>
              </w:num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Liczba zoptymalizowanych procesów z obszaru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back-office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>,</w:t>
            </w:r>
          </w:p>
          <w:p w14:paraId="162C9D51" w14:textId="77777777" w:rsidR="00446A0E" w:rsidRPr="00224554" w:rsidRDefault="00446A0E" w:rsidP="00224554">
            <w:pPr>
              <w:pStyle w:val="Akapitzlist"/>
              <w:numPr>
                <w:ilvl w:val="0"/>
                <w:numId w:val="3"/>
              </w:num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Czas potrzebny na wprowadzenie danych wniosku do systemu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>,</w:t>
            </w:r>
          </w:p>
          <w:p w14:paraId="489BEDD7" w14:textId="77777777" w:rsidR="00446A0E" w:rsidRPr="00224554" w:rsidRDefault="00446A0E" w:rsidP="00224554">
            <w:pPr>
              <w:pStyle w:val="Akapitzlist"/>
              <w:numPr>
                <w:ilvl w:val="0"/>
                <w:numId w:val="3"/>
              </w:num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Liczba wdrożonych rozwiązań z obszaru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back-office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>,</w:t>
            </w:r>
          </w:p>
          <w:p w14:paraId="21001A8A" w14:textId="77777777" w:rsidR="00446A0E" w:rsidRPr="00224554" w:rsidRDefault="00446A0E" w:rsidP="00224554">
            <w:pPr>
              <w:pStyle w:val="Akapitzlist"/>
              <w:numPr>
                <w:ilvl w:val="0"/>
                <w:numId w:val="3"/>
              </w:num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Ograniczenie liczby serwerów wykorzystywanych w ramach systemu na placówkach dyplomatycznych,</w:t>
            </w:r>
          </w:p>
          <w:p w14:paraId="1C06D3E9" w14:textId="77777777" w:rsidR="00446A0E" w:rsidRPr="00224554" w:rsidRDefault="00446A0E" w:rsidP="00224554">
            <w:pPr>
              <w:pStyle w:val="Akapitzlist"/>
              <w:numPr>
                <w:ilvl w:val="0"/>
                <w:numId w:val="3"/>
              </w:num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Liczba rozwiązań typu „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OpenData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>”</w:t>
            </w:r>
          </w:p>
          <w:p w14:paraId="4CFC58D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zalecane jest podanie ich definicji.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85E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przypadku zastosowania wymienionych wskaźników specyficznych dla projektu, proszę o wskazanie ich krótkich definicji.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CACA" w14:textId="712F0456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  <w:shd w:val="clear" w:color="auto" w:fill="FFFF00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OZPI nie przewiduje miejsca na rozbudowane definicje wskaźników własnych. Zostanie to uwzględnione i rozbudowane we wniosku o dofinansowanie i załącznikach (w tym Studium wykonalności). Wskazane wskaźniki są określone w OZPI za pomocą nazwy (jednoznacznie oddającej właściwość wskaźnika) oraz poprzez określenie wartości aktualnej i docelowej, metody, źródła i częstotliwości pomiaru. Ponadto, część wskazanych wskaźników została uszczegółowiona i rozbudowana w odpowiedzi na uwagi zgłoszone przez RA IT.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275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6B26049B" w14:textId="3222F7E4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511F" w14:textId="42299CE9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D0C0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proofErr w:type="spellStart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MNiSW</w:t>
            </w:r>
            <w:proofErr w:type="spellEnd"/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4252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wykorzystywanych w projekcie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532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Zgodnie z art. 342 ustawy Prawo o szkolnictwie wyższym i nauce (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PSWiN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) to Minister Nauki prowadzi Zintegrowany System Informacji o Szkolnictwie Wyższym i Nauce POL-on. Gestorem systemu POL-on nie jest więc OPI PIB, lecz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MNiSW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. OPI PIB pełni wyłącznie funkcję podmiotu administrującego na zlecenie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MNiSW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>, a nie właściciela ani gestora.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CE1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punkcie 14 tabeli [gestor systemu]: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</w:r>
            <w:r w:rsidRPr="00224554">
              <w:rPr>
                <w:rFonts w:ascii="Lato" w:hAnsi="Lato" w:cstheme="minorHAnsi"/>
                <w:b/>
                <w:bCs/>
                <w:sz w:val="18"/>
                <w:szCs w:val="18"/>
              </w:rPr>
              <w:t>Ministerstwo Nauki i Szkolnictwa Wyższego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3E69" w14:textId="0C3C53D2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  <w:shd w:val="clear" w:color="auto" w:fill="158466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Zapis w OZPI poprawiono zgodnie z propozycją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404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759C1129" w14:textId="6D488D4A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8C92" w14:textId="23D5FAC9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8400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proofErr w:type="spellStart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MNiSW</w:t>
            </w:r>
            <w:proofErr w:type="spellEnd"/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A801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przepływów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E41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systemie POL-on istnieje wykaz cudzoziemców,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gromadzący dane studentów cudzoziemców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  <w:t xml:space="preserve">i doktorantów cudzoziemców, do którego MSZ ma już zapewniony dostęp. OZPI wskazuje jedynie na przekazywanie danych studentów zagranicznych.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  <w:t xml:space="preserve">W ocenie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MNiSW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powinien otrzymywać dane nie tylko studentów cudzoziemców, ale także doktorantów podejmujących kształcenie w szkołach doktorskich.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0E6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W punkcie 22 tabeli [Zakres wymienianych danych]: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Dane studentów </w:t>
            </w:r>
            <w:r w:rsidRPr="00224554">
              <w:rPr>
                <w:rFonts w:ascii="Lato" w:hAnsi="Lato" w:cstheme="minorHAnsi"/>
                <w:b/>
                <w:bCs/>
                <w:sz w:val="18"/>
                <w:szCs w:val="18"/>
              </w:rPr>
              <w:t>i doktorantów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zagranicznych podejmujących naukę na wyższych uczelniach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3E84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  <w:shd w:val="clear" w:color="auto" w:fill="81D41A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46C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65740AA6" w14:textId="15E5D4B5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4F79" w14:textId="7BF0F9D1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24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CAD3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MC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A97E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2.1. Cele i korzyści wynikające z projektu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FA06" w14:textId="77777777" w:rsidR="00446A0E" w:rsidRPr="00224554" w:rsidRDefault="00446A0E" w:rsidP="00224554">
            <w:pPr>
              <w:numPr>
                <w:ilvl w:val="0"/>
                <w:numId w:val="13"/>
              </w:numPr>
              <w:ind w:left="36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Należy rozważyć dodanie następujących wskaźników:</w:t>
            </w:r>
          </w:p>
          <w:p w14:paraId="04AB9B50" w14:textId="77777777" w:rsidR="00446A0E" w:rsidRPr="00224554" w:rsidRDefault="00446A0E" w:rsidP="00224554">
            <w:pPr>
              <w:numPr>
                <w:ilvl w:val="0"/>
                <w:numId w:val="4"/>
              </w:num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Wartość usług, produktów i procesów cyfrowych opracowanych dla przedsiębiorstw.</w:t>
            </w:r>
          </w:p>
          <w:p w14:paraId="46720B74" w14:textId="77777777" w:rsidR="00446A0E" w:rsidRPr="00224554" w:rsidRDefault="00446A0E" w:rsidP="00224554">
            <w:pPr>
              <w:numPr>
                <w:ilvl w:val="0"/>
                <w:numId w:val="4"/>
              </w:num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Liczba rejestrów publicznych o poprawionej interoperacyjności.</w:t>
            </w:r>
          </w:p>
          <w:p w14:paraId="202E2E3E" w14:textId="77777777" w:rsidR="00446A0E" w:rsidRPr="00224554" w:rsidRDefault="00446A0E" w:rsidP="00224554">
            <w:pPr>
              <w:numPr>
                <w:ilvl w:val="0"/>
                <w:numId w:val="12"/>
              </w:numPr>
              <w:ind w:left="36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Dla wskaźnika „Liczba uruchomionych systemów teleinformatycznych w podmiotach wykonujących zadania publiczne” wskazano wartość bazową równą docelowej. Proszę o weryfikację wartości wskaźnika.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D6D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Proszę o analizę i korektę opisu założeń.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7548" w14:textId="29DB779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Ad. 1: Projekt nie zakłada uruchomienia e-usług dla przedsiębiorców (A2B), stąd w ramach projektu nie ujęto wskaźnika „Wartość usług, produktów i procesów cyfrowych opracowanych dla przedsiębiorstw”.</w:t>
            </w:r>
          </w:p>
          <w:p w14:paraId="4CE22080" w14:textId="7E377B35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Projekt nie zakłada utworzenia nowego lub modernizacji istniejących rejestrów publicznych. W ramach projektu zakładana jest komunikacja z rejestrami publicznymi (określona  w pkt 7.4 OZPI). W zawiązku z tym, również wskaźnik „Liczba rejestrów publicznych o poprawionej interoperacyjności” nie został ujęty w ramach projektu.</w:t>
            </w:r>
          </w:p>
          <w:p w14:paraId="2C2B9B82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A05A412" w14:textId="34368F7E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Ad. 2: Poprawiono zapis w OZPI.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DA0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6304EB1A" w14:textId="6D411F51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606A" w14:textId="0C409BAC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25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A1BE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MC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CAB2" w14:textId="77777777" w:rsidR="00446A0E" w:rsidRPr="00224554" w:rsidRDefault="00446A0E" w:rsidP="00224554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3. Kamienie milowe</w:t>
            </w:r>
          </w:p>
          <w:p w14:paraId="7F95CBE0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2.4 Produkty końcowe projektu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5FF0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MC dostrzega konieczność przeprowadzenia oceny skutków dla ochrony danych osobowych o której mowa w art. 35 RODO. Niewątpliwie świadczenie usług publicznych drogą elektroniczną będzie się wiązało z przetwarzaniem danych osobowych w ramach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czynności administracyjnych, w tym wydawaniem karty Polaka,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mlegitymacji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>, wydawaniem zezwoleń MRG . Oprócz niewątpliwych korzyści o których wspomniano w projekcie związanych z :</w:t>
            </w:r>
          </w:p>
          <w:p w14:paraId="1F5C54E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możliwością szybkiego i sprawnego załatwiania spraw przez klientów bez konieczności osobistego stawiennictwa w urzędzie;</w:t>
            </w:r>
          </w:p>
          <w:p w14:paraId="3432E0A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skróceniem czasu poświęconego na realizację spraw;</w:t>
            </w:r>
          </w:p>
          <w:p w14:paraId="1EE1A80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zmniejszeniem liczby wizyt w urzędach;</w:t>
            </w:r>
          </w:p>
          <w:p w14:paraId="51F91A2B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zmniejszeniem kosztów obsługi bezpośredniej klientów;</w:t>
            </w:r>
          </w:p>
          <w:p w14:paraId="5C6DD1D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możliwością bezpiecznego i skutecznego weryfikowania tożsamości klientów (obywateli i cudzoziemców) zgłaszających się w formie elektronicznej;</w:t>
            </w:r>
          </w:p>
          <w:p w14:paraId="7C18065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zwiększeniem dostępności usług administracji publicznej, szczególnie dla osób niepełnosprawnych oraz borykających się z wykluczeniem komunikacyjnym;</w:t>
            </w:r>
          </w:p>
          <w:p w14:paraId="40B8EEC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podniesieniem kwalifikacji personelu wpływające korzystnie na efektywność, bezpieczeństwo i ciągłość działania systemów teleinformatycznych oraz zapewnienie szybszej i na wyższym poziomie obsługi klientów;</w:t>
            </w:r>
          </w:p>
          <w:p w14:paraId="11AD562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procesy wiązać będą się z możliwymi zagrożeniami dla prywatności osób w przypadku: niedziałania systemu, dostępem do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systemu osób nieuprawnionych, wyciekiem informacji i danych z systemu.</w:t>
            </w:r>
          </w:p>
          <w:p w14:paraId="41CE2A4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Na dzień dzisiejszy opis projektu nie zawiera informacji o planowanych działaniach związanych z analizą projektu pod kątem wpływu na prywatność osób i jego bezpieczeństwo, o których mowa w art. 35 RODO. Tym samym w projekt wymaga uzupełnienia o ocenę skutków dla ochrony danych osobowych.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83B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Proszę o analizę i korektę opisu założeń.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E2FD" w14:textId="317E9658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projekcie założono przeprowadzenie inicjalnego testu prywatności w początkowej fazie projektu i weryfikacyjnego testu prywatności w końcowej fazie wdrożenia. Zakłada się dokonywanie okresowej weryfikacji założeń w trakcie całego trwania projektu, jak również w okresie eksploatacji systemu.</w:t>
            </w:r>
          </w:p>
          <w:p w14:paraId="34B0B48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7A0AE78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Planowany do przeprowadzenia test prywatności wynika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 dotyczy weryfikacji zasad przetwarzania danych osobowych określonych w art. 5 rozporządzenia, w szczególności zgodności z prawem, rzetelności i przejrzystości, ograniczenia przechowywania, integralności i poufności oraz zasadę rozliczalności. Test prywatności obejmuje m.in.:</w:t>
            </w:r>
          </w:p>
          <w:p w14:paraId="0F61E8C3" w14:textId="77777777" w:rsidR="00446A0E" w:rsidRPr="00224554" w:rsidRDefault="00446A0E" w:rsidP="00224554">
            <w:pPr>
              <w:numPr>
                <w:ilvl w:val="0"/>
                <w:numId w:val="9"/>
              </w:num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analizę potrzeb i wdrożenie środków technicznych i organizacyjnych w celu skutecznej realizacji zasad ochrony danych oraz nadania przetwarzaniu niezbędnych zabezpieczeń (art. 25 ogólnego rozporządzenie o ochronie danych),</w:t>
            </w:r>
          </w:p>
          <w:p w14:paraId="3A2B40E7" w14:textId="0CCF23AA" w:rsidR="00446A0E" w:rsidRPr="00224554" w:rsidRDefault="00446A0E" w:rsidP="00224554">
            <w:pPr>
              <w:numPr>
                <w:ilvl w:val="0"/>
                <w:numId w:val="9"/>
              </w:num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ocenę skutków dla ochrony danych (art. 35 ogólnego rozporządzenie o ochronie danych).</w:t>
            </w:r>
          </w:p>
          <w:p w14:paraId="2865C35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Zakres testu prywatności będzie uzależniony od aspektów przetwarzania danych osobowych, jakich dotyczy projekt i w tym zakresie będzie dokonana pogłębiona analiza.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672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723AA432" w14:textId="2B911F68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2B3F" w14:textId="4E7947A5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lastRenderedPageBreak/>
              <w:t>26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F1D2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MC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C847" w14:textId="77777777" w:rsidR="00446A0E" w:rsidRPr="00224554" w:rsidRDefault="00446A0E" w:rsidP="00224554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5.2 Ryzyka wpływające na utrzymanie efektów</w:t>
            </w:r>
          </w:p>
          <w:p w14:paraId="74400E1A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F22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projekcie wskazuje się ryzyko związane z awarią infrastruktury. W ocenie MC projekt wymaga szerszego spojrzenia pod kątem możliwych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ryzyk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>: w tym cyberataków, podatności dotyczących bezpieczeństwa dla powstającego systemu, które mogą mieć wpływ na bezpieczeństwo danych w systemie, osób, których te dane dotyczą oraz na interes prawny i wizerunkowy MSZ.</w:t>
            </w:r>
          </w:p>
          <w:p w14:paraId="737AD16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ocenie MC  konieczne jest wdrożenie procesu zarządzania tymi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ryzykami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np. stosowanie zasady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privacy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by design na każdym etapie projektu, zaangażowanie IOD MSZ, identyfikowanie podatności dot. bezpieczeństwa dla systemu oraz prowadzenie regularnych audytów bezpieczeństwa.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281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Proszę o analizę i korektę opisu założeń.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17DE" w14:textId="5F659921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Dokonano ponownej analizy i zamieszczono dodatkowe ryzyko w pkt 5.2 OZPI.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A35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1FBC365D" w14:textId="247CE9D1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F871" w14:textId="2DC5139F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DEA4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proofErr w:type="spellStart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MFiG</w:t>
            </w:r>
            <w:proofErr w:type="spellEnd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/</w:t>
            </w: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br/>
              <w:t>Ministerstwo Finansów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2062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Pkt 7 ust. 7.1. wiersz 3 tabeli „Lista systemów wykorzystywanych w projekcie”.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0B2B" w14:textId="77777777" w:rsidR="00446A0E" w:rsidRPr="00224554" w:rsidRDefault="00446A0E" w:rsidP="00224554">
            <w:pPr>
              <w:pStyle w:val="Akapitzlist"/>
              <w:numPr>
                <w:ilvl w:val="0"/>
                <w:numId w:val="5"/>
              </w:numPr>
              <w:ind w:left="319" w:hanging="319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Brak wskazanego celu wraz z uzasadnieniem pobierania danych z CRP KEP.</w:t>
            </w:r>
          </w:p>
          <w:p w14:paraId="1C4A59F9" w14:textId="77777777" w:rsidR="00446A0E" w:rsidRPr="00224554" w:rsidRDefault="00446A0E" w:rsidP="00224554">
            <w:pPr>
              <w:pStyle w:val="Akapitzlist"/>
              <w:numPr>
                <w:ilvl w:val="0"/>
                <w:numId w:val="5"/>
              </w:numPr>
              <w:ind w:left="319" w:hanging="319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Brak podstawy prawnej do udostępniania danych z CRP KEP (art. 15 ust. 1 ustawy o zasadach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ewidencji i identyfikacji podatników i płatników przewiduje, że dane zawarte w CRP KEP objęte są tajemnicą skarbową, natomiast art. 15 ust. 2 wskazuje na zamknięty katalog osób i instytucji, którym dane są udostępniane).</w:t>
            </w:r>
          </w:p>
          <w:p w14:paraId="6B6A67C4" w14:textId="77777777" w:rsidR="00446A0E" w:rsidRPr="00224554" w:rsidRDefault="00446A0E" w:rsidP="00224554">
            <w:pPr>
              <w:pStyle w:val="Akapitzlist"/>
              <w:numPr>
                <w:ilvl w:val="0"/>
                <w:numId w:val="5"/>
              </w:numPr>
              <w:ind w:left="319" w:hanging="319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Korekta „opis systemu”.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C0E3" w14:textId="77777777" w:rsidR="00446A0E" w:rsidRPr="00224554" w:rsidRDefault="00446A0E" w:rsidP="00224554">
            <w:pPr>
              <w:pStyle w:val="Akapitzlist"/>
              <w:numPr>
                <w:ilvl w:val="0"/>
                <w:numId w:val="6"/>
              </w:numPr>
              <w:ind w:left="320" w:hanging="320"/>
              <w:jc w:val="both"/>
              <w:rPr>
                <w:rFonts w:ascii="Lato" w:hAnsi="Lato" w:cs="Calibri"/>
                <w:sz w:val="18"/>
                <w:szCs w:val="18"/>
              </w:rPr>
            </w:pPr>
            <w:r w:rsidRPr="00224554">
              <w:rPr>
                <w:rFonts w:ascii="Lato" w:hAnsi="Lato" w:cs="Calibri"/>
                <w:sz w:val="18"/>
                <w:szCs w:val="18"/>
              </w:rPr>
              <w:lastRenderedPageBreak/>
              <w:t>Wskazanie celu, dla którego pobór danych z CRP KEP jest niezbędny dla realizacji projektu.</w:t>
            </w:r>
          </w:p>
          <w:p w14:paraId="7FC3B9E0" w14:textId="77777777" w:rsidR="00446A0E" w:rsidRPr="00224554" w:rsidRDefault="00446A0E" w:rsidP="00224554">
            <w:pPr>
              <w:pStyle w:val="Akapitzlist"/>
              <w:numPr>
                <w:ilvl w:val="0"/>
                <w:numId w:val="6"/>
              </w:numPr>
              <w:ind w:left="320" w:hanging="320"/>
              <w:jc w:val="both"/>
              <w:rPr>
                <w:rFonts w:ascii="Lato" w:hAnsi="Lato" w:cs="Calibri"/>
                <w:sz w:val="18"/>
                <w:szCs w:val="18"/>
              </w:rPr>
            </w:pPr>
            <w:r w:rsidRPr="00224554">
              <w:rPr>
                <w:rFonts w:ascii="Lato" w:hAnsi="Lato" w:cs="Calibri"/>
                <w:sz w:val="18"/>
                <w:szCs w:val="18"/>
              </w:rPr>
              <w:t>Wskazanie podstawy prawnej udostępnianych informacji</w:t>
            </w:r>
          </w:p>
          <w:p w14:paraId="12BEB87E" w14:textId="77777777" w:rsidR="00446A0E" w:rsidRPr="00224554" w:rsidRDefault="00446A0E" w:rsidP="00224554">
            <w:pPr>
              <w:pStyle w:val="Akapitzlist"/>
              <w:numPr>
                <w:ilvl w:val="0"/>
                <w:numId w:val="6"/>
              </w:numPr>
              <w:ind w:left="320" w:hanging="320"/>
              <w:jc w:val="both"/>
              <w:rPr>
                <w:rFonts w:ascii="Lato" w:hAnsi="Lato" w:cs="Calibri"/>
                <w:i/>
                <w:iCs/>
                <w:sz w:val="18"/>
                <w:szCs w:val="18"/>
              </w:rPr>
            </w:pPr>
            <w:r w:rsidRPr="00224554">
              <w:rPr>
                <w:rFonts w:ascii="Lato" w:hAnsi="Lato" w:cs="Calibri"/>
                <w:sz w:val="18"/>
                <w:szCs w:val="18"/>
              </w:rPr>
              <w:t xml:space="preserve">Dodanie do pkt 2 „Ewidencja i identyfikacja podatników i płatników podatków oraz płatników składek na </w:t>
            </w:r>
            <w:r w:rsidRPr="00224554">
              <w:rPr>
                <w:rFonts w:ascii="Lato" w:hAnsi="Lato" w:cs="Calibri"/>
                <w:sz w:val="18"/>
                <w:szCs w:val="18"/>
              </w:rPr>
              <w:lastRenderedPageBreak/>
              <w:t>ubezpieczenie społeczne i zdrowotne” frazy:</w:t>
            </w:r>
          </w:p>
          <w:p w14:paraId="39B885D4" w14:textId="77777777" w:rsidR="00446A0E" w:rsidRPr="00224554" w:rsidRDefault="00446A0E" w:rsidP="00224554">
            <w:pPr>
              <w:ind w:left="32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Calibri"/>
                <w:sz w:val="18"/>
                <w:szCs w:val="18"/>
              </w:rPr>
              <w:t>Po: „nadawanie Identyfikatora NIP”, dodanie:</w:t>
            </w:r>
            <w:r w:rsidRPr="00224554">
              <w:rPr>
                <w:rFonts w:ascii="Lato" w:hAnsi="Lato" w:cs="Calibri"/>
                <w:b/>
                <w:bCs/>
                <w:sz w:val="18"/>
                <w:szCs w:val="18"/>
              </w:rPr>
              <w:t xml:space="preserve"> „</w:t>
            </w:r>
            <w:r w:rsidRPr="00224554">
              <w:rPr>
                <w:rFonts w:ascii="Lato" w:hAnsi="Lato" w:cs="Calibri"/>
                <w:i/>
                <w:iCs/>
                <w:sz w:val="18"/>
                <w:szCs w:val="18"/>
              </w:rPr>
              <w:t>o ile taki obowiązek wynika z przepisu ustawy”</w:t>
            </w:r>
            <w:r w:rsidRPr="00224554">
              <w:rPr>
                <w:rFonts w:ascii="Lato" w:hAnsi="Lato" w:cs="Calibri"/>
                <w:sz w:val="18"/>
                <w:szCs w:val="18"/>
              </w:rPr>
              <w:t>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9B4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Cel: Przeprowadzenie postępowania w sprawie wydania, cofnięcia lub unieważnienia wizy.</w:t>
            </w:r>
          </w:p>
          <w:p w14:paraId="3A07B492" w14:textId="77777777" w:rsidR="00446A0E" w:rsidRPr="00224554" w:rsidRDefault="00446A0E" w:rsidP="00224554">
            <w:pPr>
              <w:numPr>
                <w:ilvl w:val="1"/>
                <w:numId w:val="2"/>
              </w:num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77023AB1" w14:textId="02323B50" w:rsidR="00446A0E" w:rsidRPr="00224554" w:rsidRDefault="00446A0E" w:rsidP="00224554">
            <w:pPr>
              <w:numPr>
                <w:ilvl w:val="1"/>
                <w:numId w:val="2"/>
              </w:num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Podstawa prawna: Ustawa z dnia 4 kwietnia 2025 r. o zmianie niektórych ustaw w celu wyeliminowania nieprawidłowości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w systemie wizowym Rzeczypospolitej Polskiej.</w:t>
            </w:r>
          </w:p>
          <w:p w14:paraId="3597028D" w14:textId="17FBD03B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„Art. 2. W ustawie z dnia 29 sierpnia 1997 r. – Ordynacja podatkowa (Dz. U. z 2025 r. poz. 111, 497 i 621) w art. 298 po pkt 6aa dodaje się pkt 6ab w brzmieniu:</w:t>
            </w:r>
          </w:p>
          <w:p w14:paraId="3B8535ED" w14:textId="2573F400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„6ab) ministrowi właściwemu do spraw zagranicznych oraz konsulowi – w zakresie niezbędnym do przeprowadzenia postępowania w sprawie wydania, cofnięcia lub unieważnienia wizy;””.</w:t>
            </w:r>
          </w:p>
          <w:p w14:paraId="48454EF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70203C75" w14:textId="4355F862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Dodano wskazany akt prawny do pkt 6 OZPI (otoczenie prawne). Skorygowano opis systemu zgodnie z propozycją.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CD2B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224554" w14:paraId="326AFD2E" w14:textId="3D25C715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49F5" w14:textId="30D85935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28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EA03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proofErr w:type="spellStart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MFiG</w:t>
            </w:r>
            <w:proofErr w:type="spellEnd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/</w:t>
            </w: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br/>
              <w:t>Ministerstwo Finansów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3CCD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Pkt 7 ust. 7.1. wiersz 4 tabeli „Lista przepływów”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316E" w14:textId="77777777" w:rsidR="00446A0E" w:rsidRPr="00224554" w:rsidRDefault="00446A0E" w:rsidP="00224554">
            <w:pPr>
              <w:pStyle w:val="Akapitzlist"/>
              <w:numPr>
                <w:ilvl w:val="0"/>
                <w:numId w:val="7"/>
              </w:numPr>
              <w:ind w:left="319" w:hanging="319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Korekta „zakresu wymienianych danych” bowiem CRP KEP nie zawiera zakładki „dane o rejestracji cudzoziemców” (brak dedykowanych oznaczeń dla tej grupy osób fizycznych).</w:t>
            </w:r>
          </w:p>
          <w:p w14:paraId="186B2234" w14:textId="77777777" w:rsidR="00446A0E" w:rsidRPr="00224554" w:rsidRDefault="00446A0E" w:rsidP="00224554">
            <w:pPr>
              <w:pStyle w:val="Akapitzlist"/>
              <w:numPr>
                <w:ilvl w:val="0"/>
                <w:numId w:val="7"/>
              </w:numPr>
              <w:ind w:left="319" w:hanging="319"/>
              <w:jc w:val="both"/>
              <w:rPr>
                <w:rFonts w:ascii="Lato" w:hAnsi="Lato" w:cs="Calibri"/>
                <w:sz w:val="18"/>
                <w:szCs w:val="18"/>
              </w:rPr>
            </w:pPr>
            <w:r w:rsidRPr="00224554">
              <w:rPr>
                <w:rFonts w:ascii="Lato" w:hAnsi="Lato" w:cs="Calibri"/>
                <w:sz w:val="18"/>
                <w:szCs w:val="18"/>
              </w:rPr>
              <w:t xml:space="preserve">Wątpliwości w zakresie Typ </w:t>
            </w:r>
            <w:proofErr w:type="spellStart"/>
            <w:r w:rsidRPr="00224554">
              <w:rPr>
                <w:rFonts w:ascii="Lato" w:hAnsi="Lato" w:cs="Calibri"/>
                <w:sz w:val="18"/>
                <w:szCs w:val="18"/>
              </w:rPr>
              <w:t>intefejsu</w:t>
            </w:r>
            <w:proofErr w:type="spellEnd"/>
            <w:r w:rsidRPr="00224554">
              <w:rPr>
                <w:rFonts w:ascii="Lato" w:hAnsi="Lato" w:cs="Calibri"/>
                <w:sz w:val="18"/>
                <w:szCs w:val="18"/>
              </w:rPr>
              <w:t xml:space="preserve"> „REST API”.</w:t>
            </w:r>
          </w:p>
          <w:p w14:paraId="610BE52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E9B5" w14:textId="77777777" w:rsidR="00446A0E" w:rsidRPr="00224554" w:rsidRDefault="00446A0E" w:rsidP="00224554">
            <w:pPr>
              <w:pStyle w:val="Akapitzlist"/>
              <w:numPr>
                <w:ilvl w:val="0"/>
                <w:numId w:val="8"/>
              </w:numPr>
              <w:ind w:left="320" w:hanging="32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Zmiana zapisu na:</w:t>
            </w:r>
          </w:p>
          <w:p w14:paraId="34098FFC" w14:textId="77777777" w:rsidR="00446A0E" w:rsidRPr="00224554" w:rsidRDefault="00446A0E" w:rsidP="00224554">
            <w:pPr>
              <w:pStyle w:val="Akapitzlist"/>
              <w:ind w:left="320" w:hanging="32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      „Dane o podatnikach, płatnikach podatków oraz płatnikach składek na ubezpieczenie społeczne oraz ubezpieczenia zdrowotne” mając na uwadze, że zostanie określony cel i podstawa prawna poboru tych danych.</w:t>
            </w:r>
          </w:p>
          <w:p w14:paraId="6DE5781B" w14:textId="77777777" w:rsidR="00446A0E" w:rsidRPr="00224554" w:rsidRDefault="00446A0E" w:rsidP="00224554">
            <w:pPr>
              <w:pStyle w:val="Akapitzlist"/>
              <w:numPr>
                <w:ilvl w:val="0"/>
                <w:numId w:val="8"/>
              </w:numPr>
              <w:ind w:left="320" w:hanging="32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Jeżeli planowane są zmiany ustawowe, które umożliwią pobieranie danych z CRP KEP, w celu ich przekazania niezbędne będzie zbudowanie funkcjonalności umożliwiającej przesyłanie tych danych (API), na które projekt powinien zabezpieczyć środki finansowe.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B0D6" w14:textId="1127F97A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Ad. 1: Zmodyfikowano opis przepływu nr 4 zgodnie z uwagą.</w:t>
            </w:r>
          </w:p>
          <w:p w14:paraId="5270DBE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EE67C8F" w14:textId="71FB5821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Ad. 2: System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będzie przygotowywany na odbiór danych, z systemu CRP KEP, wynikających z ustawy z dnia 4 kwietnia 2025 r. o zmianie niektórych ustaw w celu wyeliminowania nieprawidłowości w systemie wizowym Rzeczypospolitej Polskiej.</w:t>
            </w:r>
          </w:p>
          <w:p w14:paraId="5A1B598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73DA18B" w14:textId="35E2D53D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Zmodyfikowano zapis w tabeli przepływów – Typ interfejsu: „REQUEST/RESPONSE”.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500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  <w:tr w:rsidR="00446A0E" w:rsidRPr="00AA2794" w14:paraId="6B5EA20C" w14:textId="303165B2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A394" w14:textId="0244AB0B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29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44C0" w14:textId="77777777" w:rsidR="00446A0E" w:rsidRPr="00224554" w:rsidRDefault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proofErr w:type="spellStart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MFiG</w:t>
            </w:r>
            <w:proofErr w:type="spellEnd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/</w:t>
            </w: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br/>
              <w:t>Ministerstwo Finansów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4760" w14:textId="77777777" w:rsidR="00446A0E" w:rsidRPr="00224554" w:rsidRDefault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Pkt 7 ust. 7.4 wiersz 5 tabeli „Ewidencja podatników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  <w:t>i płatników”.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0E9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Wątpliwości co do nazwy rejestru, który obejmuje „zbiór danych o płatnikach podatku PIT, CIT i VAT”. CRP KEP nie zawiera informacji o składanych deklaracjach czy zeznaniach dla potrzeb konkretnego podatku.</w:t>
            </w:r>
          </w:p>
          <w:p w14:paraId="52C93D4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C480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Dookreślenie rejestru i podstawy prawnej, z którego dane mają pochodzić.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2CD4" w14:textId="47E1B60C" w:rsidR="00446A0E" w:rsidRPr="00AA279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Zweryfikowano i zmodyfikowano zapisy dotyczące rejestru nr 5.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3900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</w:tr>
    </w:tbl>
    <w:p w14:paraId="2E86462B" w14:textId="77777777" w:rsidR="00836E96" w:rsidRPr="00AA2794" w:rsidRDefault="00836E96" w:rsidP="00AA2794">
      <w:pPr>
        <w:rPr>
          <w:rFonts w:ascii="Lato" w:hAnsi="Lato"/>
          <w:sz w:val="18"/>
          <w:szCs w:val="18"/>
        </w:rPr>
      </w:pPr>
    </w:p>
    <w:sectPr w:rsidR="00836E96" w:rsidRPr="00AA2794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78832" w14:textId="77777777" w:rsidR="002F2EC4" w:rsidRDefault="002F2EC4">
      <w:r>
        <w:separator/>
      </w:r>
    </w:p>
  </w:endnote>
  <w:endnote w:type="continuationSeparator" w:id="0">
    <w:p w14:paraId="2DD1FB58" w14:textId="77777777" w:rsidR="002F2EC4" w:rsidRDefault="002F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rlito">
    <w:altName w:val="Calibri"/>
    <w:charset w:val="01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Robo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F9E5A" w14:textId="77777777" w:rsidR="002F2EC4" w:rsidRDefault="002F2EC4">
      <w:r>
        <w:separator/>
      </w:r>
    </w:p>
  </w:footnote>
  <w:footnote w:type="continuationSeparator" w:id="0">
    <w:p w14:paraId="28492D42" w14:textId="77777777" w:rsidR="002F2EC4" w:rsidRDefault="002F2EC4">
      <w:r>
        <w:continuationSeparator/>
      </w:r>
    </w:p>
  </w:footnote>
  <w:footnote w:id="1">
    <w:p w14:paraId="7BF1BE03" w14:textId="77777777" w:rsidR="002F2EC4" w:rsidRPr="00004C2B" w:rsidRDefault="002F2EC4" w:rsidP="00AA2794">
      <w:pPr>
        <w:pStyle w:val="Tekstprzypisudolnego"/>
        <w:ind w:firstLine="0"/>
        <w:rPr>
          <w:rFonts w:ascii="Lato" w:hAnsi="Lato"/>
          <w:sz w:val="18"/>
          <w:szCs w:val="18"/>
        </w:rPr>
      </w:pPr>
      <w:r w:rsidRPr="00004C2B">
        <w:rPr>
          <w:rStyle w:val="Odwoanieprzypisudolnego"/>
          <w:rFonts w:ascii="Lato" w:hAnsi="Lato"/>
          <w:sz w:val="18"/>
          <w:szCs w:val="18"/>
        </w:rPr>
        <w:footnoteRef/>
      </w:r>
      <w:r w:rsidRPr="00004C2B">
        <w:rPr>
          <w:rFonts w:ascii="Lato" w:hAnsi="Lato"/>
          <w:sz w:val="18"/>
          <w:szCs w:val="18"/>
        </w:rPr>
        <w:t xml:space="preserve"> </w:t>
      </w:r>
      <w:r w:rsidRPr="00004C2B">
        <w:rPr>
          <w:rFonts w:ascii="Lato" w:hAnsi="Lato" w:cs="Arial"/>
          <w:sz w:val="18"/>
          <w:szCs w:val="18"/>
        </w:rPr>
        <w:t>Dz.U. z 2022 r. poz. 1105 ze zm.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61C1"/>
    <w:multiLevelType w:val="multilevel"/>
    <w:tmpl w:val="F50A41F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2623B6"/>
    <w:multiLevelType w:val="hybridMultilevel"/>
    <w:tmpl w:val="7F3A48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0B57DD"/>
    <w:multiLevelType w:val="multilevel"/>
    <w:tmpl w:val="1D1E64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5E6255"/>
    <w:multiLevelType w:val="multilevel"/>
    <w:tmpl w:val="21DA2C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D94FD5"/>
    <w:multiLevelType w:val="multilevel"/>
    <w:tmpl w:val="AAECC7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B3F1160"/>
    <w:multiLevelType w:val="multilevel"/>
    <w:tmpl w:val="90B60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41D0795D"/>
    <w:multiLevelType w:val="multilevel"/>
    <w:tmpl w:val="8B1E9E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3A7227B"/>
    <w:multiLevelType w:val="multilevel"/>
    <w:tmpl w:val="F5AECD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F5659C0"/>
    <w:multiLevelType w:val="multilevel"/>
    <w:tmpl w:val="CC8A40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42974CE"/>
    <w:multiLevelType w:val="multilevel"/>
    <w:tmpl w:val="C60A2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56E130FC"/>
    <w:multiLevelType w:val="hybridMultilevel"/>
    <w:tmpl w:val="C6E619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695276"/>
    <w:multiLevelType w:val="multilevel"/>
    <w:tmpl w:val="98882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7E6790B"/>
    <w:multiLevelType w:val="multilevel"/>
    <w:tmpl w:val="EE9A0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B2D4D0F"/>
    <w:multiLevelType w:val="multilevel"/>
    <w:tmpl w:val="1D6C0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11"/>
  </w:num>
  <w:num w:numId="7">
    <w:abstractNumId w:val="13"/>
  </w:num>
  <w:num w:numId="8">
    <w:abstractNumId w:val="8"/>
  </w:num>
  <w:num w:numId="9">
    <w:abstractNumId w:val="9"/>
  </w:num>
  <w:num w:numId="10">
    <w:abstractNumId w:val="5"/>
  </w:num>
  <w:num w:numId="11">
    <w:abstractNumId w:val="3"/>
  </w:num>
  <w:num w:numId="12">
    <w:abstractNumId w:val="4"/>
  </w:num>
  <w:num w:numId="13">
    <w:abstractNumId w:val="4"/>
    <w:lvlOverride w:ilvl="0">
      <w:startOverride w:val="1"/>
    </w:lvlOverride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96"/>
    <w:rsid w:val="000232EE"/>
    <w:rsid w:val="001E3A3C"/>
    <w:rsid w:val="001F5E8C"/>
    <w:rsid w:val="00224554"/>
    <w:rsid w:val="002F2EC4"/>
    <w:rsid w:val="003463A3"/>
    <w:rsid w:val="003D2E16"/>
    <w:rsid w:val="00420D21"/>
    <w:rsid w:val="004462DA"/>
    <w:rsid w:val="00446A0E"/>
    <w:rsid w:val="00585EA5"/>
    <w:rsid w:val="00755BA5"/>
    <w:rsid w:val="007B2F1E"/>
    <w:rsid w:val="00803C99"/>
    <w:rsid w:val="00836E96"/>
    <w:rsid w:val="00856D66"/>
    <w:rsid w:val="008D7377"/>
    <w:rsid w:val="00973DF3"/>
    <w:rsid w:val="00A53426"/>
    <w:rsid w:val="00AA2794"/>
    <w:rsid w:val="00C33975"/>
    <w:rsid w:val="00C65711"/>
    <w:rsid w:val="00CF278A"/>
    <w:rsid w:val="00D56AF5"/>
    <w:rsid w:val="00E01636"/>
    <w:rsid w:val="00E031B9"/>
    <w:rsid w:val="00F5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F682"/>
  <w15:docId w15:val="{3FB085DD-DCFB-429A-AAF3-D575EDF9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agwekuser"/>
    <w:next w:val="Tekstpodstawowy"/>
    <w:qFormat/>
    <w:pPr>
      <w:numPr>
        <w:ilvl w:val="1"/>
        <w:numId w:val="2"/>
      </w:numPr>
      <w:spacing w:before="200"/>
      <w:outlineLvl w:val="1"/>
    </w:pPr>
    <w:rPr>
      <w:rFonts w:eastAsia="DejaVu Sans" w:cs="DejaVu Sans"/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06425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93672"/>
    <w:rPr>
      <w:rFonts w:ascii="Calibri" w:eastAsia="Calibri" w:hAnsi="Calibri"/>
      <w:lang w:eastAsia="en-US"/>
    </w:rPr>
  </w:style>
  <w:style w:type="character" w:customStyle="1" w:styleId="Znakiprzypiswdolnychuser">
    <w:name w:val="Znaki przypisów dolnych (user)"/>
    <w:uiPriority w:val="99"/>
    <w:unhideWhenUsed/>
    <w:qFormat/>
    <w:rsid w:val="00393672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uiPriority w:val="99"/>
    <w:qFormat/>
    <w:rPr>
      <w:vertAlign w:val="superscript"/>
    </w:rPr>
  </w:style>
  <w:style w:type="character" w:styleId="Numerwiersza">
    <w:name w:val="line number"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matkomentarzaZnak">
    <w:name w:val="Temat komentarza Znak"/>
    <w:basedOn w:val="TekstkomentarzaZnak"/>
    <w:qFormat/>
    <w:rPr>
      <w:b/>
      <w:bCs/>
    </w:rPr>
  </w:style>
  <w:style w:type="character" w:customStyle="1" w:styleId="TekstkomentarzaZnak">
    <w:name w:val="Tekst komentarza Znak"/>
    <w:basedOn w:val="Domylnaczcionkaakapitu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numeracjiuser">
    <w:name w:val="Znaki numeracji (user)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Noto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"/>
    </w:rPr>
  </w:style>
  <w:style w:type="paragraph" w:styleId="Tekstdymka">
    <w:name w:val="Balloon Text"/>
    <w:basedOn w:val="Normalny"/>
    <w:link w:val="TekstdymkaZnak"/>
    <w:qFormat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167"/>
    <w:pPr>
      <w:ind w:left="720"/>
      <w:contextualSpacing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393672"/>
    <w:pPr>
      <w:ind w:firstLine="709"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divpoint">
    <w:name w:val="div.point"/>
    <w:uiPriority w:val="99"/>
    <w:qFormat/>
    <w:rsid w:val="00393672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qFormat/>
    <w:rsid w:val="00393672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styleId="Poprawka">
    <w:name w:val="Revision"/>
    <w:uiPriority w:val="99"/>
    <w:semiHidden/>
    <w:qFormat/>
    <w:rsid w:val="00240C5B"/>
    <w:rPr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7699"/>
        <w:tab w:val="right" w:pos="1539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customStyle="1" w:styleId="Zawartolistyuser">
    <w:name w:val="Zawartość listy (user)"/>
    <w:basedOn w:val="Normalny"/>
    <w:qFormat/>
    <w:pPr>
      <w:ind w:left="567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DE6A4-D1DE-4667-A9B5-EE0C422B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5170</Words>
  <Characters>31025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dc:description/>
  <cp:lastModifiedBy>Ścisło Marta</cp:lastModifiedBy>
  <cp:revision>3</cp:revision>
  <dcterms:created xsi:type="dcterms:W3CDTF">2026-01-02T13:52:00Z</dcterms:created>
  <dcterms:modified xsi:type="dcterms:W3CDTF">2026-01-02T14:17:00Z</dcterms:modified>
  <dc:language>pl-PL</dc:language>
</cp:coreProperties>
</file>