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B4444">
      <w:pPr>
        <w:tabs>
          <w:tab w:val="center" w:pos="1418"/>
        </w:tabs>
        <w:snapToGrid w:val="0"/>
        <w:ind w:right="15"/>
        <w:jc w:val="center"/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4171950" cy="69532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l="1972" t="12694" r="1947" b="1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444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19 czerwca 2024</w:t>
      </w:r>
      <w:bookmarkEnd w:id="0"/>
      <w:r>
        <w:rPr>
          <w:sz w:val="24"/>
          <w:szCs w:val="24"/>
        </w:rPr>
        <w:t xml:space="preserve"> r.</w:t>
      </w:r>
    </w:p>
    <w:p w:rsidR="00FB4444">
      <w:pPr>
        <w:tabs>
          <w:tab w:val="center" w:pos="1985"/>
        </w:tabs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GPB-II.747.25.2023</w:t>
      </w:r>
      <w:bookmarkEnd w:id="1"/>
      <w:r>
        <w:rPr>
          <w:sz w:val="24"/>
          <w:szCs w:val="24"/>
        </w:rPr>
        <w:t>.HJ</w:t>
      </w:r>
    </w:p>
    <w:p w:rsidR="00FB4444">
      <w:pPr>
        <w:snapToGrid w:val="0"/>
        <w:rPr>
          <w:sz w:val="24"/>
          <w:szCs w:val="24"/>
        </w:rPr>
      </w:pPr>
    </w:p>
    <w:p w:rsidR="00FB4444">
      <w:pPr>
        <w:jc w:val="center"/>
      </w:pPr>
      <w:r>
        <w:rPr>
          <w:b/>
          <w:sz w:val="24"/>
          <w:szCs w:val="24"/>
        </w:rPr>
        <w:t>OBWIESZCZENIE</w:t>
      </w:r>
    </w:p>
    <w:p w:rsidR="00FB4444">
      <w:pPr>
        <w:jc w:val="center"/>
      </w:pPr>
      <w:r>
        <w:rPr>
          <w:b/>
          <w:sz w:val="24"/>
          <w:szCs w:val="24"/>
        </w:rPr>
        <w:t>WOJEWODY ŁÓDZKIEGO</w:t>
      </w:r>
    </w:p>
    <w:p w:rsidR="00FB4444">
      <w:pPr>
        <w:spacing w:before="200"/>
        <w:ind w:firstLine="709"/>
        <w:jc w:val="both"/>
      </w:pPr>
      <w:r>
        <w:rPr>
          <w:sz w:val="23"/>
          <w:szCs w:val="23"/>
        </w:rPr>
        <w:t xml:space="preserve">Na podstawie art. 104, art. 49 i art. 49a ustawy z dnia 14 czerwca 1960 r. – Kodeks postępowania administracyjnego, zwanej dalej „kpa”, </w:t>
      </w:r>
      <w:r>
        <w:rPr>
          <w:rFonts w:eastAsia="Arial Unicode MS"/>
          <w:iCs/>
          <w:sz w:val="23"/>
          <w:szCs w:val="23"/>
          <w:shd w:val="clear" w:color="auto" w:fill="FFFFFF"/>
        </w:rPr>
        <w:t xml:space="preserve">w związku z art. 120g ust. 3 ustawy </w:t>
      </w:r>
      <w:r>
        <w:rPr>
          <w:rFonts w:eastAsia="Arial Unicode MS" w:cs="Calibri"/>
          <w:iCs/>
          <w:sz w:val="23"/>
          <w:szCs w:val="23"/>
          <w:shd w:val="clear" w:color="auto" w:fill="FFFFFF"/>
        </w:rPr>
        <w:t xml:space="preserve">z dnia </w:t>
      </w:r>
      <w:r>
        <w:rPr>
          <w:rFonts w:eastAsia="Arial Unicode MS" w:cs="Calibri"/>
          <w:iCs/>
          <w:sz w:val="23"/>
          <w:szCs w:val="23"/>
          <w:shd w:val="clear" w:color="auto" w:fill="FFFFFF"/>
        </w:rPr>
        <w:t>10 maja 2018 r. o Centralnym Porcie Komunika</w:t>
      </w:r>
      <w:r>
        <w:rPr>
          <w:sz w:val="23"/>
          <w:szCs w:val="23"/>
        </w:rPr>
        <w:t xml:space="preserve">cyjnym, zwanej dalej „specustawą CPK”, Wojewoda Łódzki zawiadamia, że w dniu 17.06.2024 r. wydana została decyzja Nr </w:t>
      </w:r>
      <w:r>
        <w:rPr>
          <w:bCs/>
          <w:iCs/>
          <w:sz w:val="23"/>
          <w:szCs w:val="23"/>
          <w:lang w:eastAsia="pl-PL"/>
        </w:rPr>
        <w:t>91</w:t>
      </w:r>
      <w:r>
        <w:rPr>
          <w:sz w:val="23"/>
          <w:szCs w:val="23"/>
        </w:rPr>
        <w:t xml:space="preserve">/24, udzielająca Inwestorowi - spółce Centralny Port Komunikacyjny Sp. z o.o., </w:t>
      </w:r>
      <w:r>
        <w:rPr>
          <w:color w:val="000000"/>
          <w:sz w:val="23"/>
          <w:szCs w:val="23"/>
        </w:rPr>
        <w:t>z siedzibą prz</w:t>
      </w:r>
      <w:r>
        <w:rPr>
          <w:color w:val="000000"/>
          <w:sz w:val="23"/>
          <w:szCs w:val="23"/>
        </w:rPr>
        <w:t>y Al. Jerozolimskich 142B w Warszawie</w:t>
      </w:r>
      <w:r>
        <w:rPr>
          <w:sz w:val="23"/>
          <w:szCs w:val="23"/>
        </w:rPr>
        <w:t xml:space="preserve">, zezwolenia </w:t>
      </w:r>
      <w:r>
        <w:rPr>
          <w:color w:val="000000"/>
          <w:sz w:val="23"/>
          <w:szCs w:val="23"/>
        </w:rPr>
        <w:t xml:space="preserve">na wejście na teren nieruchomości lub ich części położonych </w:t>
      </w:r>
      <w:r>
        <w:rPr>
          <w:sz w:val="23"/>
          <w:szCs w:val="23"/>
        </w:rPr>
        <w:t xml:space="preserve">w województwie łódzkim, na terenie powiatu brzezińskiego, </w:t>
      </w:r>
      <w:r>
        <w:rPr>
          <w:rFonts w:eastAsia="NSimSun"/>
          <w:sz w:val="23"/>
          <w:szCs w:val="23"/>
        </w:rPr>
        <w:t>oznaczonych niżej wymienionymi numerami ewidencyjnymi działek według katastru nieruchomo</w:t>
      </w:r>
      <w:r>
        <w:rPr>
          <w:rFonts w:eastAsia="NSimSun"/>
          <w:sz w:val="23"/>
          <w:szCs w:val="23"/>
        </w:rPr>
        <w:t>ści</w:t>
      </w:r>
      <w:r>
        <w:rPr>
          <w:sz w:val="23"/>
          <w:szCs w:val="23"/>
        </w:rPr>
        <w:t>:</w:t>
      </w:r>
    </w:p>
    <w:p w:rsidR="00FB4444">
      <w:pPr>
        <w:suppressAutoHyphens w:val="0"/>
        <w:spacing w:after="170"/>
        <w:jc w:val="both"/>
      </w:pPr>
      <w:r>
        <w:rPr>
          <w:b/>
          <w:sz w:val="24"/>
          <w:szCs w:val="24"/>
          <w:u w:val="single"/>
        </w:rPr>
        <w:t>Gmina Dmosin</w:t>
      </w:r>
    </w:p>
    <w:p w:rsidR="00FB4444">
      <w:pPr>
        <w:suppressAutoHyphens w:val="0"/>
        <w:jc w:val="both"/>
      </w:pPr>
      <w:r>
        <w:rPr>
          <w:b/>
          <w:sz w:val="24"/>
          <w:szCs w:val="24"/>
        </w:rPr>
        <w:t xml:space="preserve">Obręb 10 Kuźmy: </w:t>
      </w:r>
      <w:r>
        <w:rPr>
          <w:sz w:val="24"/>
          <w:szCs w:val="24"/>
        </w:rPr>
        <w:t>26, 25, 6, 5, 56, 24, 85, 86, 9, 10, 55, 54, 98, 109, 78, 27, 10, 23, 57;</w:t>
      </w:r>
    </w:p>
    <w:p w:rsidR="00FB4444">
      <w:pPr>
        <w:suppressAutoHyphens w:val="0"/>
        <w:jc w:val="both"/>
      </w:pPr>
      <w:r>
        <w:rPr>
          <w:b/>
          <w:sz w:val="24"/>
          <w:szCs w:val="24"/>
        </w:rPr>
        <w:t>Obręb 12 Nadolna Wieś:</w:t>
      </w:r>
      <w:r>
        <w:rPr>
          <w:sz w:val="24"/>
          <w:szCs w:val="24"/>
        </w:rPr>
        <w:t xml:space="preserve"> 35, 34, 2/2, 281/1, 417/2, 292, 4/3, 3/1, 36, 282/1, 280/2, 416/2, 297, 295, 294;</w:t>
      </w:r>
    </w:p>
    <w:p w:rsidR="00FB4444">
      <w:pPr>
        <w:suppressAutoHyphens w:val="0"/>
        <w:jc w:val="both"/>
      </w:pPr>
      <w:r>
        <w:rPr>
          <w:b/>
          <w:sz w:val="24"/>
          <w:szCs w:val="24"/>
        </w:rPr>
        <w:t>Obręb 13 Nadolna Kolonia:</w:t>
      </w:r>
      <w:r>
        <w:rPr>
          <w:sz w:val="24"/>
          <w:szCs w:val="24"/>
        </w:rPr>
        <w:t xml:space="preserve"> 114/2, 179/2, 177</w:t>
      </w:r>
      <w:r>
        <w:rPr>
          <w:sz w:val="24"/>
          <w:szCs w:val="24"/>
        </w:rPr>
        <w:t>, 174, 186/2, 185/2, 182/2, 181/2, 284/2, 187/2,178, 112/3;</w:t>
      </w:r>
    </w:p>
    <w:p w:rsidR="00FB4444">
      <w:pPr>
        <w:suppressAutoHyphens w:val="0"/>
        <w:jc w:val="both"/>
      </w:pPr>
      <w:r>
        <w:rPr>
          <w:b/>
          <w:sz w:val="24"/>
          <w:szCs w:val="24"/>
        </w:rPr>
        <w:t>Obręb 8 Kołacinek:</w:t>
      </w:r>
      <w:r>
        <w:rPr>
          <w:sz w:val="24"/>
          <w:szCs w:val="24"/>
        </w:rPr>
        <w:t xml:space="preserve"> 46/1, 86/2, 85/2, 116, 206/1, 205/1, 217, 207, 44/1, 43/1, 42/1, 38/1;</w:t>
      </w:r>
    </w:p>
    <w:p w:rsidR="00FB4444">
      <w:pPr>
        <w:suppressAutoHyphens w:val="0"/>
        <w:jc w:val="both"/>
      </w:pPr>
      <w:r>
        <w:rPr>
          <w:b/>
          <w:sz w:val="24"/>
          <w:szCs w:val="24"/>
        </w:rPr>
        <w:t>Obręb 7 Kołacin:</w:t>
      </w:r>
      <w:r>
        <w:rPr>
          <w:sz w:val="24"/>
          <w:szCs w:val="24"/>
        </w:rPr>
        <w:t xml:space="preserve"> 163, 169, 94, 326, 164/1, 166, 98/8, 114, 116, 333, 329, 330, 89, 165, 96, 105, 115, 336,</w:t>
      </w:r>
      <w:r>
        <w:rPr>
          <w:sz w:val="24"/>
          <w:szCs w:val="24"/>
        </w:rPr>
        <w:t xml:space="preserve"> 335, 334, 332, 99, 164/2, 171, 331;</w:t>
      </w:r>
    </w:p>
    <w:p w:rsidR="00FB4444">
      <w:pPr>
        <w:suppressAutoHyphens w:val="0"/>
        <w:jc w:val="both"/>
      </w:pPr>
      <w:r>
        <w:rPr>
          <w:b/>
          <w:bCs/>
          <w:sz w:val="24"/>
          <w:szCs w:val="24"/>
        </w:rPr>
        <w:t>Obręb 20 Kraszew Wielki:</w:t>
      </w:r>
      <w:r>
        <w:rPr>
          <w:sz w:val="24"/>
          <w:szCs w:val="24"/>
        </w:rPr>
        <w:t xml:space="preserve"> 48.</w:t>
      </w:r>
    </w:p>
    <w:p w:rsidR="00FB4444">
      <w:pPr>
        <w:suppressAutoHyphens w:val="0"/>
        <w:spacing w:before="113" w:after="170"/>
        <w:jc w:val="both"/>
      </w:pPr>
      <w:r>
        <w:rPr>
          <w:b/>
          <w:sz w:val="24"/>
          <w:szCs w:val="24"/>
          <w:u w:val="single"/>
        </w:rPr>
        <w:t>Gmina Brzeziny</w:t>
      </w:r>
    </w:p>
    <w:p w:rsidR="00FB4444">
      <w:pPr>
        <w:suppressAutoHyphens w:val="0"/>
        <w:jc w:val="both"/>
      </w:pPr>
      <w:r>
        <w:rPr>
          <w:b/>
          <w:sz w:val="24"/>
          <w:szCs w:val="24"/>
        </w:rPr>
        <w:t>Obręb 26 Szymaniszki:</w:t>
      </w:r>
      <w:r>
        <w:rPr>
          <w:sz w:val="24"/>
          <w:szCs w:val="24"/>
        </w:rPr>
        <w:t xml:space="preserve"> 78, 196, 204/1, 203;</w:t>
      </w:r>
    </w:p>
    <w:p w:rsidR="00FB4444">
      <w:pPr>
        <w:suppressAutoHyphens w:val="0"/>
        <w:jc w:val="both"/>
      </w:pPr>
      <w:r>
        <w:rPr>
          <w:b/>
          <w:sz w:val="24"/>
          <w:szCs w:val="24"/>
        </w:rPr>
        <w:t>Obręb 19 Paprotnia:</w:t>
      </w:r>
      <w:r>
        <w:rPr>
          <w:sz w:val="24"/>
          <w:szCs w:val="24"/>
        </w:rPr>
        <w:t xml:space="preserve"> 74, 73/6, 165, 164, 161/1, 166/1, 173, 169, 155, 206, 205, 170, 171, 207, 210, 157, 161/2, 172, 184;</w:t>
      </w:r>
    </w:p>
    <w:p w:rsidR="00FB4444">
      <w:pPr>
        <w:suppressAutoHyphens w:val="0"/>
        <w:jc w:val="both"/>
      </w:pPr>
      <w:r>
        <w:rPr>
          <w:b/>
          <w:bCs/>
          <w:sz w:val="24"/>
          <w:szCs w:val="24"/>
        </w:rPr>
        <w:t>Obręb 11 He</w:t>
      </w:r>
      <w:r>
        <w:rPr>
          <w:b/>
          <w:bCs/>
          <w:sz w:val="24"/>
          <w:szCs w:val="24"/>
        </w:rPr>
        <w:t>lenów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79/2, 78, 28/5, 12, 11/26, 15, 11/24, 76, 79/4;</w:t>
      </w:r>
    </w:p>
    <w:p w:rsidR="00FB4444">
      <w:pPr>
        <w:suppressAutoHyphens w:val="0"/>
        <w:jc w:val="both"/>
      </w:pPr>
      <w:r>
        <w:rPr>
          <w:b/>
          <w:bCs/>
          <w:sz w:val="24"/>
          <w:szCs w:val="24"/>
        </w:rPr>
        <w:t>Obręb 25 Syberia:</w:t>
      </w:r>
      <w:r>
        <w:rPr>
          <w:sz w:val="24"/>
          <w:szCs w:val="24"/>
        </w:rPr>
        <w:t xml:space="preserve"> 263.</w:t>
      </w:r>
    </w:p>
    <w:p w:rsidR="00FB4444">
      <w:pPr>
        <w:suppressAutoHyphens w:val="0"/>
        <w:spacing w:before="113" w:after="170"/>
        <w:jc w:val="both"/>
      </w:pPr>
      <w:r>
        <w:rPr>
          <w:b/>
          <w:bCs/>
          <w:sz w:val="24"/>
          <w:szCs w:val="24"/>
          <w:u w:val="single"/>
        </w:rPr>
        <w:t>Miasto Brzeziny</w:t>
      </w:r>
    </w:p>
    <w:p w:rsidR="00FB4444">
      <w:pPr>
        <w:suppressAutoHyphens w:val="0"/>
        <w:jc w:val="both"/>
      </w:pPr>
      <w:r>
        <w:rPr>
          <w:b/>
          <w:bCs/>
          <w:sz w:val="24"/>
          <w:szCs w:val="24"/>
        </w:rPr>
        <w:t>Obręb 3:</w:t>
      </w:r>
      <w:r>
        <w:rPr>
          <w:sz w:val="24"/>
          <w:szCs w:val="24"/>
        </w:rPr>
        <w:t xml:space="preserve"> 479, 482, 971/1, 481, 484/6, 487/2, 546, 547, 549, 447, 478/3, 608;</w:t>
      </w:r>
    </w:p>
    <w:p w:rsidR="00FB4444">
      <w:pPr>
        <w:suppressAutoHyphens w:val="0"/>
        <w:jc w:val="both"/>
      </w:pPr>
      <w:r>
        <w:rPr>
          <w:b/>
          <w:bCs/>
          <w:sz w:val="24"/>
          <w:szCs w:val="24"/>
        </w:rPr>
        <w:t>Obręb 2:</w:t>
      </w:r>
      <w:r>
        <w:rPr>
          <w:sz w:val="24"/>
          <w:szCs w:val="24"/>
        </w:rPr>
        <w:t xml:space="preserve"> 255/1, 261, 84, 58, 206/2, 200, 195/3, 75, 192/2, 208/2, 54, 53, 267, 93, 56, 78, 199, 82, 269;</w:t>
      </w:r>
    </w:p>
    <w:p w:rsidR="00FB4444">
      <w:pPr>
        <w:suppressAutoHyphens w:val="0"/>
        <w:jc w:val="both"/>
      </w:pPr>
      <w:r>
        <w:rPr>
          <w:b/>
          <w:bCs/>
          <w:sz w:val="24"/>
          <w:szCs w:val="24"/>
        </w:rPr>
        <w:t>Obręb 1:</w:t>
      </w:r>
      <w:r>
        <w:rPr>
          <w:sz w:val="24"/>
          <w:szCs w:val="24"/>
        </w:rPr>
        <w:t xml:space="preserve"> 74, 75/1, 222, 207/2, 76, 142, 202, 221, 220, 224, 223, 217, 214, 215, 213, 211, 281, 143/5, 144/4, 144/6, 201, 219, 276;</w:t>
      </w:r>
    </w:p>
    <w:p w:rsidR="00FB4444">
      <w:pPr>
        <w:suppressAutoHyphens w:val="0"/>
        <w:spacing w:after="170"/>
        <w:jc w:val="both"/>
      </w:pPr>
      <w:r>
        <w:rPr>
          <w:rFonts w:eastAsia="NSimSun" w:cs="Courier New"/>
          <w:b/>
          <w:bCs/>
          <w:color w:val="000000"/>
          <w:sz w:val="24"/>
          <w:szCs w:val="24"/>
        </w:rPr>
        <w:t>Obręb 5:</w:t>
      </w:r>
      <w:r>
        <w:rPr>
          <w:rFonts w:eastAsia="NSimSun" w:cs="Courier New"/>
          <w:color w:val="000000"/>
          <w:sz w:val="24"/>
          <w:szCs w:val="24"/>
        </w:rPr>
        <w:t xml:space="preserve"> 1271/1, 1201, 1198/</w:t>
      </w:r>
      <w:r>
        <w:rPr>
          <w:rFonts w:eastAsia="NSimSun" w:cs="Courier New"/>
          <w:color w:val="000000"/>
          <w:sz w:val="24"/>
          <w:szCs w:val="24"/>
        </w:rPr>
        <w:t>1, 1192/1, 1215, 1202/1, 1173/3, 1211, 1203, 1183, 1182/2, 1174, 1191/1, 1204, 1172/2, 1205, 1208/2, 1213/2, 1240/2;</w:t>
      </w:r>
    </w:p>
    <w:p w:rsidR="00FB4444">
      <w:pPr>
        <w:jc w:val="both"/>
      </w:pPr>
      <w:r>
        <w:rPr>
          <w:rFonts w:cs="Courier New"/>
          <w:color w:val="000000"/>
          <w:sz w:val="23"/>
          <w:szCs w:val="23"/>
        </w:rPr>
        <w:t xml:space="preserve">- </w:t>
      </w:r>
      <w:r>
        <w:rPr>
          <w:rFonts w:eastAsia="NSimSun" w:cs="Courier New"/>
          <w:color w:val="000000"/>
          <w:sz w:val="24"/>
          <w:szCs w:val="24"/>
        </w:rPr>
        <w:t>w celu wykonania badań podłoża gruntowego dla zrealizowania pełnego zakresu prac terenowych: geologicznych, geotechnicznych i geofizyczny</w:t>
      </w:r>
      <w:r>
        <w:rPr>
          <w:rFonts w:eastAsia="NSimSun" w:cs="Courier New"/>
          <w:color w:val="000000"/>
          <w:sz w:val="24"/>
          <w:szCs w:val="24"/>
        </w:rPr>
        <w:t xml:space="preserve">ch, </w:t>
      </w:r>
      <w:bookmarkStart w:id="2" w:name="__DdeLink__338_2990523897"/>
      <w:r>
        <w:rPr>
          <w:rFonts w:eastAsia="NSimSun" w:cs="Courier New"/>
          <w:color w:val="000000"/>
          <w:sz w:val="24"/>
          <w:szCs w:val="24"/>
        </w:rPr>
        <w:t>w tym objętych Programem Badań Geotechnicznych wraz z Programem Badań Geofizycznych</w:t>
      </w:r>
      <w:bookmarkEnd w:id="2"/>
      <w:r>
        <w:rPr>
          <w:rFonts w:eastAsia="NSimSun" w:cs="Courier New"/>
          <w:color w:val="000000"/>
          <w:sz w:val="24"/>
          <w:szCs w:val="24"/>
        </w:rPr>
        <w:t xml:space="preserve"> dla projektu pn. „Budowa linii kolejowej Nr 85 na odc. Warszawa Zachodnia-CPK-Łódź </w:t>
      </w:r>
      <w:r>
        <w:rPr>
          <w:rFonts w:eastAsia="NSimSun" w:cs="Courier New"/>
          <w:color w:val="000000"/>
          <w:sz w:val="24"/>
          <w:szCs w:val="24"/>
        </w:rPr>
        <w:t>Niciarniana</w:t>
      </w:r>
      <w:r>
        <w:rPr>
          <w:rFonts w:eastAsia="NSimSun" w:cs="Courier New"/>
          <w:color w:val="000000"/>
          <w:sz w:val="24"/>
          <w:szCs w:val="24"/>
        </w:rPr>
        <w:t xml:space="preserve"> bez odcinka </w:t>
      </w:r>
      <w:r>
        <w:rPr>
          <w:rFonts w:eastAsia="NSimSun" w:cs="Courier New"/>
          <w:color w:val="000000"/>
          <w:sz w:val="24"/>
          <w:szCs w:val="24"/>
        </w:rPr>
        <w:t>w obrębie Węzła kolejowego CPK”</w:t>
      </w:r>
      <w:r>
        <w:rPr>
          <w:rFonts w:cs="Courier New"/>
          <w:color w:val="000000"/>
          <w:sz w:val="24"/>
          <w:szCs w:val="24"/>
        </w:rPr>
        <w:t>.</w:t>
      </w:r>
      <w:r>
        <w:rPr>
          <w:rFonts w:cs="Courier New"/>
          <w:color w:val="000000"/>
          <w:sz w:val="23"/>
          <w:szCs w:val="23"/>
        </w:rPr>
        <w:t xml:space="preserve"> W treści decyzji określono t</w:t>
      </w:r>
      <w:r>
        <w:rPr>
          <w:sz w:val="23"/>
          <w:szCs w:val="23"/>
        </w:rPr>
        <w:t xml:space="preserve">ermin korzystani z nieruchomości w celu wykonania badań - do dnia 17 grudnia 2024 r. Decyzja jest ważna do dnia 17 czerwca 2027 r.  </w:t>
      </w:r>
      <w:r>
        <w:rPr>
          <w:rFonts w:cs="Courier New"/>
          <w:color w:val="000000"/>
          <w:sz w:val="23"/>
          <w:szCs w:val="23"/>
        </w:rPr>
        <w:t xml:space="preserve">Decyzji </w:t>
      </w:r>
      <w:r>
        <w:rPr>
          <w:sz w:val="23"/>
          <w:szCs w:val="23"/>
        </w:rPr>
        <w:t>został nadany rygor natychmiastowej wykonalności.</w:t>
      </w:r>
    </w:p>
    <w:p w:rsidR="00FB4444">
      <w:pPr>
        <w:spacing w:line="276" w:lineRule="auto"/>
        <w:ind w:firstLine="567"/>
        <w:jc w:val="both"/>
      </w:pPr>
      <w:r>
        <w:rPr>
          <w:sz w:val="23"/>
          <w:szCs w:val="23"/>
        </w:rPr>
        <w:t>Zajęcie terenu w obrębie wskazanych nieruchomości będzie ograniczo</w:t>
      </w:r>
      <w:r>
        <w:rPr>
          <w:sz w:val="23"/>
          <w:szCs w:val="23"/>
        </w:rPr>
        <w:t>ne do punktu badawczego wraz z terenem niezbędnym do pracy sprzętu mechanicznego oraz drogi dojazdowej do badanego punktu. Dopuszcza się zmianę lokalizacji punktu badawczego w obrębie tej samej nieruchomości, jeżeli będzie to uzasadnione utrudnionym dojazd</w:t>
      </w:r>
      <w:r>
        <w:rPr>
          <w:sz w:val="23"/>
          <w:szCs w:val="23"/>
        </w:rPr>
        <w:t xml:space="preserve">em do miejsca wykonania badań, ograniczeniem powstania szkody na działce lub jeśli potrzeba taka będzie wynikała z Programu Badań Geotechnicznych wraz z Programem Badań Geofizycznych. </w:t>
      </w:r>
    </w:p>
    <w:p w:rsidR="00FB4444" w:rsidRPr="00F356DB">
      <w:pPr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Inwestor, po wykonaniu badań, jest obowiązany przywrócić nieruchomość d</w:t>
      </w:r>
      <w:r>
        <w:rPr>
          <w:sz w:val="23"/>
          <w:szCs w:val="23"/>
        </w:rPr>
        <w:t>o stanu poprzedniego. Jeżeli przywrócenie nieruchomości do stanu poprzedniego nie jest możliwe, właścicielom lub użytkownikom wieczystym nieruchomości przysługuje odszkodowanie (art. 120h ust. 1 specustawy CPK). Decyzję w zakresie odszkodowania wydaje woje</w:t>
      </w:r>
      <w:r>
        <w:rPr>
          <w:sz w:val="23"/>
          <w:szCs w:val="23"/>
        </w:rPr>
        <w:t>woda. Obowiązek zapłaty odszkodowania obciąża Inwestora, który może na podstawie odrębnego porozumienia zawartego z wojewodą, pokryć koszty powstałe w związku z ustaleniem wysokości odszkodowań. (art. 120h ust. 3 specustawy CPK). Odszkodowanie powinno odpo</w:t>
      </w:r>
      <w:r>
        <w:rPr>
          <w:sz w:val="23"/>
          <w:szCs w:val="23"/>
        </w:rPr>
        <w:t xml:space="preserve">wiadać wartości </w:t>
      </w:r>
      <w:r w:rsidRPr="00F356DB">
        <w:rPr>
          <w:sz w:val="23"/>
          <w:szCs w:val="23"/>
        </w:rPr>
        <w:t>poniesionych szkód oraz uwzględniać brak dostępu do nieruchomości lub jej części w czasie wykonywania czynności, o których mowa w art. 120g specustawy CPK. Jeżeli wskutek poniesionych szkód zmniejszy się wartość nieruchomości, w odszkodowan</w:t>
      </w:r>
      <w:r w:rsidRPr="00F356DB">
        <w:rPr>
          <w:sz w:val="23"/>
          <w:szCs w:val="23"/>
        </w:rPr>
        <w:t>iu uwzględnia się kwotę odpowiadającą temu zmniejszeniu. (art. 120h ust. 2 specustawy CPK).</w:t>
      </w:r>
    </w:p>
    <w:p w:rsidR="00FB4444" w:rsidRPr="00F356DB">
      <w:pPr>
        <w:spacing w:line="276" w:lineRule="auto"/>
        <w:jc w:val="both"/>
        <w:rPr>
          <w:sz w:val="23"/>
          <w:szCs w:val="23"/>
        </w:rPr>
      </w:pPr>
      <w:r w:rsidRPr="00F356DB">
        <w:rPr>
          <w:sz w:val="23"/>
          <w:szCs w:val="23"/>
        </w:rPr>
        <w:tab/>
        <w:t xml:space="preserve">Ponadto Wojewoda Łódzki umorzył w części postępowanie </w:t>
      </w:r>
      <w:r w:rsidRPr="00F356DB">
        <w:rPr>
          <w:rFonts w:cs="Courier New"/>
          <w:color w:val="000000"/>
          <w:sz w:val="23"/>
          <w:szCs w:val="23"/>
        </w:rPr>
        <w:t xml:space="preserve">w zakresie działki o numerze ewidencyjnym 8, położonej </w:t>
      </w:r>
      <w:r w:rsidRPr="00F356DB">
        <w:rPr>
          <w:rFonts w:eastAsia="NSimSun" w:cs="Courier New"/>
          <w:color w:val="000000"/>
          <w:sz w:val="23"/>
          <w:szCs w:val="23"/>
        </w:rPr>
        <w:t xml:space="preserve">w obrębie geodezyjnym 11 Helenów, </w:t>
      </w:r>
      <w:bookmarkStart w:id="3" w:name="__DdeLink__878_290806649611"/>
      <w:r w:rsidRPr="00F356DB">
        <w:rPr>
          <w:rFonts w:eastAsia="NSimSun" w:cs="Courier New"/>
          <w:color w:val="000000"/>
          <w:sz w:val="23"/>
          <w:szCs w:val="23"/>
        </w:rPr>
        <w:t>w</w:t>
      </w:r>
      <w:bookmarkEnd w:id="3"/>
      <w:r w:rsidR="00F356DB">
        <w:rPr>
          <w:rFonts w:eastAsia="NSimSun" w:cs="Courier New"/>
          <w:color w:val="000000"/>
          <w:sz w:val="23"/>
          <w:szCs w:val="23"/>
        </w:rPr>
        <w:t xml:space="preserve"> </w:t>
      </w:r>
      <w:r w:rsidRPr="00F356DB">
        <w:rPr>
          <w:rFonts w:eastAsia="NSimSun" w:cs="Courier New"/>
          <w:color w:val="000000"/>
          <w:sz w:val="23"/>
          <w:szCs w:val="23"/>
        </w:rPr>
        <w:t>Gminie Brzeziny, w</w:t>
      </w:r>
      <w:r w:rsidR="00F356DB">
        <w:rPr>
          <w:rFonts w:eastAsia="NSimSun" w:cs="Courier New"/>
          <w:color w:val="000000"/>
          <w:sz w:val="23"/>
          <w:szCs w:val="23"/>
        </w:rPr>
        <w:t xml:space="preserve"> </w:t>
      </w:r>
      <w:bookmarkStart w:id="4" w:name="_GoBack"/>
      <w:bookmarkEnd w:id="4"/>
      <w:r w:rsidRPr="00F356DB">
        <w:rPr>
          <w:rFonts w:eastAsia="NSimSun" w:cs="Courier New"/>
          <w:color w:val="000000"/>
          <w:sz w:val="23"/>
          <w:szCs w:val="23"/>
        </w:rPr>
        <w:t xml:space="preserve">powiecie brzezińskim, </w:t>
      </w:r>
      <w:r w:rsidRPr="00F356DB">
        <w:rPr>
          <w:rFonts w:cs="Courier New"/>
          <w:color w:val="000000"/>
          <w:sz w:val="23"/>
          <w:szCs w:val="23"/>
        </w:rPr>
        <w:t>w województwie łódzkim.</w:t>
      </w:r>
    </w:p>
    <w:p w:rsidR="00FB4444">
      <w:pPr>
        <w:spacing w:line="276" w:lineRule="auto"/>
        <w:ind w:firstLine="709"/>
        <w:jc w:val="both"/>
      </w:pPr>
      <w:r w:rsidRPr="00F356DB">
        <w:rPr>
          <w:sz w:val="23"/>
          <w:szCs w:val="23"/>
        </w:rPr>
        <w:t xml:space="preserve">Od ww. decyzji stronom przysługuje prawo do wniesienia odwołania w terminie 14 dni od skutecznego doręczenia, do </w:t>
      </w:r>
      <w:r w:rsidRPr="00F356DB">
        <w:rPr>
          <w:rFonts w:eastAsia="Arial Unicode MS" w:cs="Tahoma"/>
          <w:sz w:val="23"/>
          <w:szCs w:val="23"/>
        </w:rPr>
        <w:t>Ministra Rozwoju i Technologii w Warszawie, Pl. Trzech Krzyży 3/5</w:t>
      </w:r>
      <w:r w:rsidRPr="00F356DB">
        <w:rPr>
          <w:sz w:val="23"/>
          <w:szCs w:val="23"/>
        </w:rPr>
        <w:t>, za pośrednictwem Wojewody Łód</w:t>
      </w:r>
      <w:r w:rsidRPr="00F356DB">
        <w:rPr>
          <w:sz w:val="23"/>
          <w:szCs w:val="23"/>
        </w:rPr>
        <w:t>zkiego. Zawiadomienie uważa się za dokonane po upływie 14 dni od dnia publicznego ogłoszenia (art. 49 § 2 kpa). Dzień publicznego ogłoszenia – 24</w:t>
      </w:r>
      <w:r>
        <w:rPr>
          <w:sz w:val="23"/>
          <w:szCs w:val="23"/>
        </w:rPr>
        <w:t xml:space="preserve">.06.2024 r. </w:t>
      </w:r>
    </w:p>
    <w:p w:rsidR="00FB4444">
      <w:pPr>
        <w:snapToGrid w:val="0"/>
        <w:spacing w:line="276" w:lineRule="auto"/>
        <w:ind w:firstLine="709"/>
        <w:jc w:val="both"/>
      </w:pPr>
      <w:r>
        <w:rPr>
          <w:color w:val="000000"/>
          <w:sz w:val="23"/>
          <w:szCs w:val="23"/>
          <w:lang w:eastAsia="pl-PL"/>
        </w:rPr>
        <w:t>Z treścią przedmiotowej decyzji oraz z dokumentacją sprawy, można się zapoznać w Wydziale Gospodar</w:t>
      </w:r>
      <w:r>
        <w:rPr>
          <w:color w:val="000000"/>
          <w:sz w:val="23"/>
          <w:szCs w:val="23"/>
          <w:lang w:eastAsia="pl-PL"/>
        </w:rPr>
        <w:t>ki Przestrzennej i Budownictwa Łódzkiego Urzędu Wojewódzkiego w Łodzi, ul. Piotrkowska 104 – wyłącznie po wcześniejszym telefonicznym umówieniu terminu wizyty - tel. 42 664-12-20. Udostępnienie t</w:t>
      </w:r>
      <w:r>
        <w:rPr>
          <w:rFonts w:eastAsia="NSimSun"/>
          <w:color w:val="000000"/>
          <w:sz w:val="23"/>
          <w:szCs w:val="23"/>
          <w:lang w:eastAsia="pl-PL"/>
        </w:rPr>
        <w:t xml:space="preserve">reści decyzji na stronie Biuletynu Informacji Publicznej ŁUW </w:t>
      </w:r>
      <w:r>
        <w:rPr>
          <w:rFonts w:eastAsia="NSimSun"/>
          <w:color w:val="000000"/>
          <w:sz w:val="23"/>
          <w:szCs w:val="23"/>
          <w:lang w:eastAsia="pl-PL"/>
        </w:rPr>
        <w:t xml:space="preserve">pod adresem: https://www.gov.pl/web/uw-lodzki/wykaz-decyzji-wojewody-lodzkiego – od dnia </w:t>
      </w:r>
      <w:bookmarkStart w:id="5" w:name="_GoBack1"/>
      <w:bookmarkEnd w:id="5"/>
      <w:r>
        <w:rPr>
          <w:rFonts w:eastAsia="NSimSun"/>
          <w:color w:val="000000"/>
          <w:sz w:val="23"/>
          <w:szCs w:val="23"/>
          <w:lang w:eastAsia="pl-PL"/>
        </w:rPr>
        <w:t>24.06.2024 r.</w:t>
      </w:r>
    </w:p>
    <w:p w:rsidR="00FB4444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FB4444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Magdalena Nurczyńska</w:t>
      </w:r>
    </w:p>
    <w:p w:rsidR="00FB4444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 xml:space="preserve">Kierownik </w:t>
      </w:r>
    </w:p>
    <w:p w:rsidR="00FB4444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 xml:space="preserve">Oddziału Administracji Architektoniczno-Budowlanej w Wydziale Gospodarki Przestrzennej </w:t>
      </w:r>
      <w:r>
        <w:rPr>
          <w:b/>
          <w:bCs/>
          <w:iCs/>
          <w:color w:val="000000"/>
          <w:sz w:val="24"/>
          <w:szCs w:val="24"/>
          <w:lang w:eastAsia="pl-PL"/>
        </w:rPr>
        <w:t>i Budownictwa</w:t>
      </w:r>
    </w:p>
    <w:p w:rsidR="00FB4444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bookmarkStart w:id="6" w:name="ezdPracownikWydzialAtrybut3"/>
      <w:r>
        <w:rPr>
          <w:sz w:val="24"/>
          <w:szCs w:val="24"/>
        </w:rPr>
        <w:t>(podpisano elektronicznie)</w:t>
      </w:r>
      <w:bookmarkEnd w:id="6"/>
    </w:p>
    <w:p w:rsidR="00FB4444">
      <w:pPr>
        <w:suppressAutoHyphens w:val="0"/>
        <w:jc w:val="both"/>
        <w:rPr>
          <w:sz w:val="24"/>
          <w:szCs w:val="24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444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444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FB4444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 xml:space="preserve">: </w:t>
    </w:r>
    <w:r>
      <w:rPr>
        <w:sz w:val="14"/>
      </w:rPr>
      <w:t>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FB4444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FB4444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</w:t>
    </w:r>
    <w:r>
      <w:rPr>
        <w:sz w:val="14"/>
      </w:rPr>
      <w:t xml:space="preserve">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444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444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cp:lastModifiedBy>Magdalena Nurczyńska (mnurczynska)</cp:lastModifiedBy>
  <cp:revision>8</cp:revision>
  <cp:lastPrinted>2024-02-06T13:14:00Z</cp:lastPrinted>
  <dcterms:created xsi:type="dcterms:W3CDTF">2024-01-18T10:45:00Z</dcterms:created>
  <dcterms:modified xsi:type="dcterms:W3CDTF">2024-06-19T09:23:00Z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