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20A5A6B5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</w:t>
      </w:r>
      <w:r w:rsidR="007077CD">
        <w:rPr>
          <w:sz w:val="20"/>
        </w:rPr>
        <w:t>Astanie</w:t>
      </w:r>
      <w:r w:rsidR="003619AD">
        <w:rPr>
          <w:sz w:val="20"/>
        </w:rPr>
        <w:t xml:space="preserve">, z siedzibą </w:t>
      </w:r>
      <w:r w:rsidR="007077CD">
        <w:rPr>
          <w:sz w:val="20"/>
        </w:rPr>
        <w:t>Astanie</w:t>
      </w:r>
      <w:r w:rsidR="003619AD">
        <w:rPr>
          <w:sz w:val="20"/>
        </w:rPr>
        <w:t>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503A208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DF0A15">
        <w:rPr>
          <w:sz w:val="20"/>
        </w:rPr>
        <w:t xml:space="preserve"> Funkcję tę pełni Pan Daniel Szczęsny</w:t>
      </w:r>
      <w:r w:rsidR="0025761E" w:rsidRPr="008A3E01">
        <w:rPr>
          <w:sz w:val="20"/>
        </w:rPr>
        <w:t xml:space="preserve">.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6F569E96" w:rsidR="00544835" w:rsidRPr="00857CEF" w:rsidRDefault="0017389F" w:rsidP="0024575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077CD">
              <w:rPr>
                <w:rFonts w:cs="Arial"/>
                <w:sz w:val="18"/>
                <w:szCs w:val="18"/>
              </w:rPr>
              <w:t>Ustawa</w:t>
            </w:r>
            <w:r w:rsidR="00465F34" w:rsidRPr="007077CD">
              <w:t xml:space="preserve"> </w:t>
            </w:r>
            <w:r w:rsidR="00465F34" w:rsidRPr="007077CD">
              <w:rPr>
                <w:rFonts w:cs="Arial"/>
                <w:sz w:val="18"/>
                <w:szCs w:val="18"/>
              </w:rPr>
              <w:t>z dnia 25 czerwca 2015 r</w:t>
            </w:r>
            <w:r w:rsidR="00175608" w:rsidRPr="007077CD">
              <w:rPr>
                <w:rFonts w:cs="Arial"/>
                <w:sz w:val="18"/>
                <w:szCs w:val="18"/>
              </w:rPr>
              <w:t xml:space="preserve"> </w:t>
            </w:r>
            <w:r w:rsidR="00BD1F51" w:rsidRPr="007077CD">
              <w:rPr>
                <w:rFonts w:cs="Arial"/>
                <w:sz w:val="18"/>
                <w:szCs w:val="18"/>
              </w:rPr>
              <w:t>– Prawo konsula</w:t>
            </w:r>
            <w:r w:rsidR="00245268" w:rsidRPr="007077CD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7077CD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7077CD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7077CD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7077CD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7077CD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7077CD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5F3841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650654B0" w:rsidR="00544835" w:rsidRPr="005F3841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7077CD">
              <w:rPr>
                <w:color w:val="000000" w:themeColor="text1"/>
              </w:rPr>
              <w:t xml:space="preserve"> </w:t>
            </w:r>
            <w:r w:rsidR="00105604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7077C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298197EF" w14:textId="23743B41" w:rsidR="00671B3E" w:rsidRPr="005F3841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 zniszczeni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E38465" w14:textId="21FED0AD" w:rsidR="00544835" w:rsidRPr="005F3841" w:rsidRDefault="00544835" w:rsidP="00FD64E4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5F3841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B66E" w14:textId="77777777" w:rsidR="00341AE4" w:rsidRDefault="00341AE4" w:rsidP="007C2BF9">
      <w:pPr>
        <w:spacing w:after="0" w:line="240" w:lineRule="auto"/>
      </w:pPr>
      <w:r>
        <w:separator/>
      </w:r>
    </w:p>
  </w:endnote>
  <w:endnote w:type="continuationSeparator" w:id="0">
    <w:p w14:paraId="524D83E5" w14:textId="77777777" w:rsidR="00341AE4" w:rsidRDefault="00341AE4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74823" w14:textId="77777777" w:rsidR="00341AE4" w:rsidRDefault="00341AE4" w:rsidP="007C2BF9">
      <w:pPr>
        <w:spacing w:after="0" w:line="240" w:lineRule="auto"/>
      </w:pPr>
      <w:r>
        <w:separator/>
      </w:r>
    </w:p>
  </w:footnote>
  <w:footnote w:type="continuationSeparator" w:id="0">
    <w:p w14:paraId="220E12BD" w14:textId="77777777" w:rsidR="00341AE4" w:rsidRDefault="00341AE4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7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1AE4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077CD"/>
    <w:rsid w:val="0071188D"/>
    <w:rsid w:val="007209C6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8F51EC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484C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6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0751-7971-412F-AF86-950C8390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9494</Characters>
  <Application>Microsoft Office Word</Application>
  <DocSecurity>2</DocSecurity>
  <Lines>79</Lines>
  <Paragraphs>22</Paragraphs>
  <ScaleCrop>false</ScaleCrop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2022-12-03T14:29:00Z</dcterms:created>
  <dcterms:modified xsi:type="dcterms:W3CDTF">2022-12-03T14:29:00Z</dcterms:modified>
</cp:coreProperties>
</file>