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971CC" w14:textId="1913982C" w:rsidR="00D75E14" w:rsidRDefault="005301AA" w:rsidP="00D75E14">
      <w:pPr>
        <w:pStyle w:val="Tekstpodstawowy"/>
        <w:spacing w:before="5"/>
        <w:jc w:val="left"/>
        <w:rPr>
          <w:rFonts w:ascii="Times New Roman"/>
          <w:sz w:val="21"/>
        </w:rPr>
      </w:pPr>
      <w:r>
        <w:rPr>
          <w:noProof/>
        </w:rPr>
        <w:drawing>
          <wp:anchor distT="0" distB="0" distL="0" distR="0" simplePos="0" relativeHeight="251656192" behindDoc="0" locked="0" layoutInCell="1" allowOverlap="1" wp14:anchorId="32C5E1F2" wp14:editId="198B8901">
            <wp:simplePos x="0" y="0"/>
            <wp:positionH relativeFrom="page">
              <wp:posOffset>490220</wp:posOffset>
            </wp:positionH>
            <wp:positionV relativeFrom="paragraph">
              <wp:posOffset>3810</wp:posOffset>
            </wp:positionV>
            <wp:extent cx="2391410" cy="88519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F66F9" w14:textId="77777777" w:rsidR="00D75E14" w:rsidRDefault="00D75E14" w:rsidP="00D75E14">
      <w:pPr>
        <w:pStyle w:val="Tekstpodstawowy"/>
        <w:ind w:left="8311"/>
        <w:jc w:val="left"/>
        <w:rPr>
          <w:rFonts w:ascii="Times New Roman"/>
        </w:rPr>
      </w:pPr>
    </w:p>
    <w:p w14:paraId="3D5E09FB" w14:textId="77777777" w:rsidR="00D75E14" w:rsidRDefault="00D75E14" w:rsidP="00D75E14">
      <w:pPr>
        <w:pStyle w:val="Tekstpodstawowy"/>
        <w:spacing w:before="5"/>
        <w:jc w:val="left"/>
        <w:rPr>
          <w:rFonts w:ascii="Times New Roman"/>
          <w:sz w:val="29"/>
        </w:rPr>
      </w:pPr>
    </w:p>
    <w:p w14:paraId="5BB1C138" w14:textId="77777777" w:rsidR="00D75E14" w:rsidRDefault="00D75E14" w:rsidP="00D75E14">
      <w:pPr>
        <w:pStyle w:val="Tekstpodstawowy"/>
        <w:spacing w:before="5"/>
        <w:jc w:val="left"/>
        <w:rPr>
          <w:rFonts w:ascii="Times New Roman"/>
          <w:sz w:val="29"/>
        </w:rPr>
      </w:pPr>
    </w:p>
    <w:p w14:paraId="4D4E6EE3" w14:textId="77777777" w:rsidR="0032651E" w:rsidRDefault="00D75E14" w:rsidP="00CC3767">
      <w:pPr>
        <w:pStyle w:val="Tekstpodstawowy"/>
        <w:ind w:right="504"/>
        <w:jc w:val="right"/>
      </w:pP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sidRPr="003954E6">
        <w:t xml:space="preserve">Zestawienie </w:t>
      </w:r>
      <w:r w:rsidR="0032651E">
        <w:t xml:space="preserve">tematyczne </w:t>
      </w:r>
    </w:p>
    <w:p w14:paraId="5500E9BB" w14:textId="77777777" w:rsidR="00D75E14" w:rsidRDefault="00D75E14" w:rsidP="00CC3767">
      <w:pPr>
        <w:pStyle w:val="Tekstpodstawowy"/>
        <w:ind w:left="3686" w:right="504" w:firstLine="708"/>
        <w:jc w:val="right"/>
        <w:rPr>
          <w:rFonts w:ascii="Times New Roman"/>
          <w:sz w:val="29"/>
        </w:rPr>
      </w:pPr>
      <w:r w:rsidRPr="003954E6">
        <w:t xml:space="preserve">– </w:t>
      </w:r>
      <w:r w:rsidR="0032651E">
        <w:t>Ekstradycja i k</w:t>
      </w:r>
      <w:r w:rsidRPr="003954E6">
        <w:t>ara dożywotniego pozbawienia wolności</w:t>
      </w:r>
    </w:p>
    <w:p w14:paraId="1F13A106" w14:textId="591C24F6" w:rsidR="00CC3767" w:rsidRDefault="005301AA" w:rsidP="00CC3767">
      <w:pPr>
        <w:spacing w:before="100"/>
        <w:ind w:right="504"/>
        <w:jc w:val="right"/>
        <w:rPr>
          <w:sz w:val="8"/>
          <w:szCs w:val="20"/>
        </w:rPr>
      </w:pPr>
      <w:r>
        <w:rPr>
          <w:noProof/>
        </w:rPr>
        <mc:AlternateContent>
          <mc:Choice Requires="wps">
            <w:drawing>
              <wp:anchor distT="4294967295" distB="4294967295" distL="0" distR="0" simplePos="0" relativeHeight="251657216" behindDoc="1" locked="0" layoutInCell="1" allowOverlap="1" wp14:anchorId="6C79C625" wp14:editId="5B760149">
                <wp:simplePos x="0" y="0"/>
                <wp:positionH relativeFrom="page">
                  <wp:posOffset>465455</wp:posOffset>
                </wp:positionH>
                <wp:positionV relativeFrom="paragraph">
                  <wp:posOffset>242569</wp:posOffset>
                </wp:positionV>
                <wp:extent cx="6629400" cy="0"/>
                <wp:effectExtent l="0" t="0" r="0" b="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09965E" id="Line 1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" strokecolor="gray">
                <w10:wrap type="topAndBottom" anchorx="page"/>
              </v:line>
            </w:pict>
          </mc:Fallback>
        </mc:AlternateContent>
      </w:r>
    </w:p>
    <w:p w14:paraId="74965321" w14:textId="77777777" w:rsidR="005E3A5E" w:rsidRDefault="00D75E14" w:rsidP="00CC3767">
      <w:pPr>
        <w:spacing w:before="100"/>
        <w:ind w:right="504"/>
        <w:jc w:val="right"/>
        <w:rPr>
          <w:color w:val="EB7E12"/>
          <w:sz w:val="18"/>
        </w:rPr>
      </w:pPr>
      <w:r w:rsidRPr="003954E6">
        <w:rPr>
          <w:sz w:val="8"/>
          <w:szCs w:val="20"/>
        </w:rPr>
        <w:t xml:space="preserve"> </w:t>
      </w:r>
      <w:r>
        <w:rPr>
          <w:color w:val="EB7E12"/>
          <w:sz w:val="18"/>
        </w:rPr>
        <w:t xml:space="preserve"> </w:t>
      </w:r>
    </w:p>
    <w:p w14:paraId="4F1520D8" w14:textId="28E5CE64" w:rsidR="00D75E14" w:rsidRDefault="005E3A5E" w:rsidP="00CC3767">
      <w:pPr>
        <w:spacing w:before="100"/>
        <w:ind w:right="504"/>
        <w:jc w:val="right"/>
        <w:rPr>
          <w:color w:val="EB7E12"/>
          <w:sz w:val="18"/>
        </w:rPr>
      </w:pPr>
      <w:r>
        <w:rPr>
          <w:color w:val="EB7E12"/>
          <w:sz w:val="18"/>
        </w:rPr>
        <w:t>Kwiecień 2024</w:t>
      </w:r>
      <w:r w:rsidR="00D75E14">
        <w:rPr>
          <w:color w:val="EB7E12"/>
          <w:sz w:val="18"/>
        </w:rPr>
        <w:t xml:space="preserve"> </w:t>
      </w:r>
      <w:r w:rsidR="00D75E14" w:rsidRPr="003954E6">
        <w:rPr>
          <w:color w:val="EB7E12"/>
          <w:sz w:val="18"/>
        </w:rPr>
        <w:t>r.</w:t>
      </w:r>
    </w:p>
    <w:p w14:paraId="7899EB1D" w14:textId="77777777" w:rsidR="00D75E14" w:rsidRPr="008E49CB" w:rsidRDefault="00D75E14" w:rsidP="00CC3767">
      <w:pPr>
        <w:ind w:left="1247" w:right="504" w:firstLine="720"/>
        <w:jc w:val="right"/>
        <w:rPr>
          <w:color w:val="ED7D31"/>
          <w:sz w:val="18"/>
        </w:rPr>
      </w:pPr>
      <w:r>
        <w:rPr>
          <w:color w:val="EB7E12"/>
          <w:sz w:val="18"/>
        </w:rPr>
        <w:t xml:space="preserve"> </w:t>
      </w:r>
      <w:r w:rsidRPr="008E49CB">
        <w:rPr>
          <w:color w:val="ED7D31"/>
          <w:sz w:val="18"/>
        </w:rPr>
        <w:t xml:space="preserve">Niniejsze zestawienie nie jest wiążące dla Trybunału </w:t>
      </w:r>
      <w:r w:rsidR="003A0899">
        <w:rPr>
          <w:color w:val="ED7D31"/>
          <w:sz w:val="18"/>
        </w:rPr>
        <w:br/>
      </w:r>
      <w:r w:rsidRPr="008E49CB">
        <w:rPr>
          <w:color w:val="ED7D31"/>
          <w:sz w:val="18"/>
        </w:rPr>
        <w:t xml:space="preserve">i nie ma charakteru wyczerpującego </w:t>
      </w:r>
    </w:p>
    <w:p w14:paraId="43DD9FE9" w14:textId="77777777" w:rsidR="00D75E14" w:rsidRPr="008E49CB" w:rsidRDefault="00D75E14" w:rsidP="00CC3767">
      <w:pPr>
        <w:pStyle w:val="Tekstpodstawowy"/>
        <w:spacing w:before="11"/>
        <w:ind w:left="170" w:right="504" w:firstLine="720"/>
        <w:jc w:val="left"/>
        <w:rPr>
          <w:color w:val="ED7D31"/>
          <w:sz w:val="19"/>
        </w:rPr>
      </w:pPr>
    </w:p>
    <w:p w14:paraId="284C8889" w14:textId="17157FEF" w:rsidR="00D75E14" w:rsidRPr="0032651E" w:rsidRDefault="005301AA" w:rsidP="00CC3767">
      <w:pPr>
        <w:pStyle w:val="Tekstpodstawowy"/>
        <w:spacing w:before="11"/>
        <w:ind w:left="57" w:right="-63"/>
        <w:jc w:val="left"/>
        <w:rPr>
          <w:color w:val="ED7D31"/>
          <w:sz w:val="36"/>
          <w:szCs w:val="36"/>
        </w:rPr>
      </w:pPr>
      <w:r w:rsidRPr="0032651E">
        <w:rPr>
          <w:noProof/>
          <w:sz w:val="36"/>
          <w:szCs w:val="36"/>
        </w:rPr>
        <mc:AlternateContent>
          <mc:Choice Requires="wps">
            <w:drawing>
              <wp:anchor distT="4294967295" distB="4294967295" distL="0" distR="0" simplePos="0" relativeHeight="251659264" behindDoc="1" locked="0" layoutInCell="1" allowOverlap="1" wp14:anchorId="16B3735A" wp14:editId="68296506">
                <wp:simplePos x="0" y="0"/>
                <wp:positionH relativeFrom="page">
                  <wp:posOffset>838200</wp:posOffset>
                </wp:positionH>
                <wp:positionV relativeFrom="paragraph">
                  <wp:posOffset>300354</wp:posOffset>
                </wp:positionV>
                <wp:extent cx="6210935" cy="12700"/>
                <wp:effectExtent l="0" t="0" r="18415" b="635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935" cy="12700"/>
                        </a:xfrm>
                        <a:prstGeom prst="line">
                          <a:avLst/>
                        </a:prstGeom>
                        <a:noFill/>
                        <a:ln w="18288">
                          <a:solidFill>
                            <a:srgbClr val="99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90C96" id="Line 11"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6pt,23.65pt" to="555.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" strokecolor="#999" strokeweight="1.44pt">
                <w10:wrap type="topAndBottom" anchorx="page"/>
              </v:line>
            </w:pict>
          </mc:Fallback>
        </mc:AlternateContent>
      </w:r>
      <w:r w:rsidR="00CC3767">
        <w:rPr>
          <w:color w:val="0070C0"/>
          <w:sz w:val="36"/>
          <w:szCs w:val="36"/>
        </w:rPr>
        <w:t xml:space="preserve">   </w:t>
      </w:r>
      <w:r w:rsidR="0032651E" w:rsidRPr="0032651E">
        <w:rPr>
          <w:color w:val="0070C0"/>
          <w:sz w:val="36"/>
          <w:szCs w:val="36"/>
        </w:rPr>
        <w:t>Ekstradycja i k</w:t>
      </w:r>
      <w:r w:rsidR="00023EED" w:rsidRPr="0032651E">
        <w:rPr>
          <w:color w:val="0070C0"/>
          <w:sz w:val="36"/>
          <w:szCs w:val="36"/>
        </w:rPr>
        <w:t>ara dożywotniego pozbawienia wolności</w:t>
      </w:r>
    </w:p>
    <w:p w14:paraId="1B1EAFE9" w14:textId="77777777" w:rsidR="00D75E14" w:rsidRDefault="00D75E14" w:rsidP="00CC3767">
      <w:pPr>
        <w:pStyle w:val="Tekstpodstawowy"/>
        <w:spacing w:before="11"/>
        <w:ind w:right="504"/>
        <w:jc w:val="left"/>
        <w:rPr>
          <w:color w:val="0070C0"/>
        </w:rPr>
      </w:pPr>
    </w:p>
    <w:p w14:paraId="034F43B5" w14:textId="7DDAE12F" w:rsidR="00EC167B" w:rsidRPr="00E42316" w:rsidRDefault="005301AA" w:rsidP="00CC3767">
      <w:pPr>
        <w:pStyle w:val="Nagwek2"/>
        <w:ind w:right="504"/>
        <w:rPr>
          <w:b w:val="0"/>
          <w:bCs w:val="0"/>
          <w:color w:val="ED7D31"/>
          <w:u w:val="none"/>
        </w:rPr>
      </w:pPr>
      <w:r>
        <w:rPr>
          <w:noProof/>
        </w:rPr>
        <mc:AlternateContent>
          <mc:Choice Requires="wps">
            <w:drawing>
              <wp:anchor distT="0" distB="0" distL="0" distR="0" simplePos="0" relativeHeight="251658240" behindDoc="1" locked="0" layoutInCell="1" allowOverlap="1" wp14:anchorId="7D5D0B8C" wp14:editId="6399217F">
                <wp:simplePos x="0" y="0"/>
                <wp:positionH relativeFrom="margin">
                  <wp:posOffset>393700</wp:posOffset>
                </wp:positionH>
                <wp:positionV relativeFrom="paragraph">
                  <wp:posOffset>410210</wp:posOffset>
                </wp:positionV>
                <wp:extent cx="6012180" cy="571500"/>
                <wp:effectExtent l="0" t="0" r="7620" b="0"/>
                <wp:wrapTopAndBottom/>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571500"/>
                        </a:xfrm>
                        <a:prstGeom prst="rect">
                          <a:avLst/>
                        </a:prstGeom>
                        <a:noFill/>
                        <a:ln w="6097">
                          <a:solidFill>
                            <a:srgbClr val="000000"/>
                          </a:solidFill>
                          <a:prstDash val="sysDot"/>
                          <a:miter lim="800000"/>
                          <a:headEnd/>
                          <a:tailEnd/>
                        </a:ln>
                      </wps:spPr>
                      <wps:txbx>
                        <w:txbxContent>
                          <w:p w14:paraId="514C1441" w14:textId="32DFC8D1" w:rsidR="00097CC1" w:rsidRDefault="00097CC1" w:rsidP="00E42316">
                            <w:pPr>
                              <w:pStyle w:val="Nagwek2"/>
                              <w:shd w:val="clear" w:color="auto" w:fill="F2F2F2"/>
                              <w:ind w:left="113"/>
                              <w:rPr>
                                <w:color w:val="0070C0"/>
                              </w:rPr>
                            </w:pPr>
                            <w:r w:rsidRPr="006A39A0">
                              <w:rPr>
                                <w:b w:val="0"/>
                                <w:bCs w:val="0"/>
                                <w:u w:val="none"/>
                              </w:rPr>
                              <w:t>Artykuł 3</w:t>
                            </w:r>
                            <w:r w:rsidRPr="006A39A0">
                              <w:rPr>
                                <w:color w:val="7F7F7F"/>
                                <w:u w:val="none"/>
                              </w:rPr>
                              <w:t xml:space="preserve"> </w:t>
                            </w:r>
                            <w:hyperlink r:id="rId9" w:history="1">
                              <w:r w:rsidRPr="005E3A5E">
                                <w:rPr>
                                  <w:rStyle w:val="Hipercze"/>
                                </w:rPr>
                                <w:t>Europejskiej Konwencji Praw Człowieka</w:t>
                              </w:r>
                            </w:hyperlink>
                            <w:r w:rsidRPr="006A39A0">
                              <w:rPr>
                                <w:u w:val="none"/>
                              </w:rPr>
                              <w:t>:</w:t>
                            </w:r>
                          </w:p>
                          <w:p w14:paraId="6EB1EA6F" w14:textId="77777777" w:rsidR="00097CC1" w:rsidRPr="006A39A0" w:rsidRDefault="00097CC1" w:rsidP="00E42316">
                            <w:pPr>
                              <w:pStyle w:val="Nagwek2"/>
                              <w:shd w:val="clear" w:color="auto" w:fill="F2F2F2"/>
                              <w:ind w:left="107"/>
                              <w:rPr>
                                <w:color w:val="0070C0"/>
                                <w:u w:val="none"/>
                              </w:rPr>
                            </w:pPr>
                            <w:r w:rsidRPr="006A39A0">
                              <w:rPr>
                                <w:sz w:val="18"/>
                                <w:szCs w:val="18"/>
                                <w:u w:val="none"/>
                              </w:rPr>
                              <w:t xml:space="preserve">"Nikt nie może być poddany torturom ani nieludzkiemu lub poniżającemu traktowaniu </w:t>
                            </w:r>
                            <w:r>
                              <w:rPr>
                                <w:sz w:val="18"/>
                                <w:szCs w:val="18"/>
                                <w:u w:val="none"/>
                              </w:rPr>
                              <w:br/>
                            </w:r>
                            <w:r w:rsidRPr="006A39A0">
                              <w:rPr>
                                <w:sz w:val="18"/>
                                <w:szCs w:val="18"/>
                                <w:u w:val="none"/>
                              </w:rPr>
                              <w:t>albo karaniu."</w:t>
                            </w:r>
                          </w:p>
                          <w:p w14:paraId="3A7BA8F3" w14:textId="77777777" w:rsidR="00097CC1" w:rsidRPr="008E49CB" w:rsidRDefault="00097CC1" w:rsidP="00E42316">
                            <w:pPr>
                              <w:pStyle w:val="Tekstpodstawowy"/>
                              <w:shd w:val="clear" w:color="auto" w:fill="F2F2F2"/>
                              <w:spacing w:before="19" w:after="240"/>
                              <w:ind w:left="107" w:right="102"/>
                              <w:rPr>
                                <w:color w:val="7F7F7F"/>
                              </w:rPr>
                            </w:pPr>
                            <w:r w:rsidRPr="008E49CB">
                              <w:rPr>
                                <w:color w:val="7F7F7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D0B8C" id="_x0000_t202" coordsize="21600,21600" o:spt="202" path="m,l,21600r21600,l21600,xe">
                <v:stroke joinstyle="miter"/>
                <v:path gradientshapeok="t" o:connecttype="rect"/>
              </v:shapetype>
              <v:shape id="Text Box 12" o:spid="_x0000_s1026" type="#_x0000_t202" style="position:absolute;left:0;text-align:left;margin-left:31pt;margin-top:32.3pt;width:473.4pt;height:4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" filled="f" strokeweight=".16936mm">
                <v:stroke dashstyle="1 1"/>
                <v:textbox inset="0,0,0,0">
                  <w:txbxContent>
                    <w:p w14:paraId="514C1441" w14:textId="32DFC8D1" w:rsidR="00097CC1" w:rsidRDefault="00097CC1" w:rsidP="00E42316">
                      <w:pPr>
                        <w:pStyle w:val="Nagwek2"/>
                        <w:shd w:val="clear" w:color="auto" w:fill="F2F2F2"/>
                        <w:ind w:left="113"/>
                        <w:rPr>
                          <w:color w:val="0070C0"/>
                        </w:rPr>
                      </w:pPr>
                      <w:r w:rsidRPr="006A39A0">
                        <w:rPr>
                          <w:b w:val="0"/>
                          <w:bCs w:val="0"/>
                          <w:u w:val="none"/>
                        </w:rPr>
                        <w:t>Artykuł 3</w:t>
                      </w:r>
                      <w:r w:rsidRPr="006A39A0">
                        <w:rPr>
                          <w:color w:val="7F7F7F"/>
                          <w:u w:val="none"/>
                        </w:rPr>
                        <w:t xml:space="preserve"> </w:t>
                      </w:r>
                      <w:hyperlink r:id="rId10" w:history="1">
                        <w:r w:rsidRPr="005E3A5E">
                          <w:rPr>
                            <w:rStyle w:val="Hipercze"/>
                          </w:rPr>
                          <w:t>Europejskiej Konwencji Praw Człowieka</w:t>
                        </w:r>
                      </w:hyperlink>
                      <w:r w:rsidRPr="006A39A0">
                        <w:rPr>
                          <w:u w:val="none"/>
                        </w:rPr>
                        <w:t>:</w:t>
                      </w:r>
                    </w:p>
                    <w:p w14:paraId="6EB1EA6F" w14:textId="77777777" w:rsidR="00097CC1" w:rsidRPr="006A39A0" w:rsidRDefault="00097CC1" w:rsidP="00E42316">
                      <w:pPr>
                        <w:pStyle w:val="Nagwek2"/>
                        <w:shd w:val="clear" w:color="auto" w:fill="F2F2F2"/>
                        <w:ind w:left="107"/>
                        <w:rPr>
                          <w:color w:val="0070C0"/>
                          <w:u w:val="none"/>
                        </w:rPr>
                      </w:pPr>
                      <w:r w:rsidRPr="006A39A0">
                        <w:rPr>
                          <w:sz w:val="18"/>
                          <w:szCs w:val="18"/>
                          <w:u w:val="none"/>
                        </w:rPr>
                        <w:t xml:space="preserve">"Nikt nie może być poddany torturom ani nieludzkiemu lub poniżającemu traktowaniu </w:t>
                      </w:r>
                      <w:r>
                        <w:rPr>
                          <w:sz w:val="18"/>
                          <w:szCs w:val="18"/>
                          <w:u w:val="none"/>
                        </w:rPr>
                        <w:br/>
                      </w:r>
                      <w:r w:rsidRPr="006A39A0">
                        <w:rPr>
                          <w:sz w:val="18"/>
                          <w:szCs w:val="18"/>
                          <w:u w:val="none"/>
                        </w:rPr>
                        <w:t>albo karaniu."</w:t>
                      </w:r>
                    </w:p>
                    <w:p w14:paraId="3A7BA8F3" w14:textId="77777777" w:rsidR="00097CC1" w:rsidRPr="008E49CB" w:rsidRDefault="00097CC1" w:rsidP="00E42316">
                      <w:pPr>
                        <w:pStyle w:val="Tekstpodstawowy"/>
                        <w:shd w:val="clear" w:color="auto" w:fill="F2F2F2"/>
                        <w:spacing w:before="19" w:after="240"/>
                        <w:ind w:left="107" w:right="102"/>
                        <w:rPr>
                          <w:color w:val="7F7F7F"/>
                        </w:rPr>
                      </w:pPr>
                      <w:r w:rsidRPr="008E49CB">
                        <w:rPr>
                          <w:color w:val="7F7F7F"/>
                        </w:rPr>
                        <w:t xml:space="preserve"> </w:t>
                      </w:r>
                    </w:p>
                  </w:txbxContent>
                </v:textbox>
                <w10:wrap type="topAndBottom" anchorx="margin"/>
              </v:shape>
            </w:pict>
          </mc:Fallback>
        </mc:AlternateContent>
      </w:r>
      <w:r w:rsidR="00EC167B" w:rsidRPr="00E42316">
        <w:rPr>
          <w:b w:val="0"/>
          <w:bCs w:val="0"/>
          <w:color w:val="ED7D31"/>
          <w:u w:val="none"/>
        </w:rPr>
        <w:t xml:space="preserve">Zobacz również zestawienie </w:t>
      </w:r>
      <w:r w:rsidR="00EC167B" w:rsidRPr="00E42316">
        <w:rPr>
          <w:b w:val="0"/>
          <w:bCs w:val="0"/>
          <w:color w:val="4472C4"/>
        </w:rPr>
        <w:t>„</w:t>
      </w:r>
      <w:hyperlink r:id="rId11" w:history="1">
        <w:r w:rsidR="006A39A0" w:rsidRPr="005E3A5E">
          <w:rPr>
            <w:rStyle w:val="Hipercze"/>
            <w:b w:val="0"/>
            <w:bCs w:val="0"/>
          </w:rPr>
          <w:t>Kara dożywotniego pozbawienia wolności</w:t>
        </w:r>
      </w:hyperlink>
      <w:r w:rsidR="00EC167B" w:rsidRPr="00E42316">
        <w:rPr>
          <w:b w:val="0"/>
          <w:bCs w:val="0"/>
          <w:color w:val="4472C4"/>
        </w:rPr>
        <w:t>”</w:t>
      </w:r>
      <w:r w:rsidR="006A39A0" w:rsidRPr="00E42316">
        <w:rPr>
          <w:b w:val="0"/>
          <w:bCs w:val="0"/>
          <w:color w:val="4472C4"/>
        </w:rPr>
        <w:t>.</w:t>
      </w:r>
    </w:p>
    <w:p w14:paraId="12E523DD" w14:textId="77777777" w:rsidR="00EC167B" w:rsidRDefault="00EC167B" w:rsidP="00CC3767">
      <w:pPr>
        <w:pStyle w:val="Nagwek2"/>
        <w:ind w:right="504"/>
        <w:rPr>
          <w:color w:val="0070C0"/>
        </w:rPr>
      </w:pPr>
    </w:p>
    <w:bookmarkStart w:id="0" w:name="bookmark2"/>
    <w:p w14:paraId="7B9D9619" w14:textId="290DEBE5" w:rsidR="00C91123" w:rsidRPr="00277B99" w:rsidRDefault="005E3A5E" w:rsidP="00CC3767">
      <w:pPr>
        <w:spacing w:after="22" w:line="220" w:lineRule="exact"/>
        <w:ind w:right="504" w:firstLine="708"/>
        <w:rPr>
          <w:b/>
          <w:bCs/>
          <w:sz w:val="20"/>
          <w:szCs w:val="20"/>
        </w:rPr>
      </w:pPr>
      <w:r w:rsidRPr="00277B99">
        <w:rPr>
          <w:rStyle w:val="Heading30"/>
          <w:rFonts w:ascii="Verdana" w:hAnsi="Verdana"/>
          <w:b w:val="0"/>
          <w:bCs w:val="0"/>
          <w:sz w:val="20"/>
          <w:szCs w:val="20"/>
          <w:lang w:val="pl-PL"/>
        </w:rPr>
        <w:fldChar w:fldCharType="begin"/>
      </w:r>
      <w:r w:rsidRPr="00277B99">
        <w:rPr>
          <w:rStyle w:val="Heading30"/>
          <w:rFonts w:ascii="Verdana" w:hAnsi="Verdana"/>
          <w:b w:val="0"/>
          <w:bCs w:val="0"/>
          <w:sz w:val="20"/>
          <w:szCs w:val="20"/>
          <w:lang w:val="pl-PL"/>
        </w:rPr>
        <w:instrText>HYPERLINK "https://hudoc.echr.coe.int/eng?i=001-23082"</w:instrText>
      </w:r>
      <w:r w:rsidRPr="00277B99">
        <w:rPr>
          <w:rStyle w:val="Heading30"/>
          <w:rFonts w:ascii="Verdana" w:hAnsi="Verdana"/>
          <w:b w:val="0"/>
          <w:bCs w:val="0"/>
          <w:sz w:val="20"/>
          <w:szCs w:val="20"/>
          <w:lang w:val="pl-PL"/>
        </w:rPr>
      </w:r>
      <w:r w:rsidRPr="00277B99">
        <w:rPr>
          <w:rStyle w:val="Heading30"/>
          <w:rFonts w:ascii="Verdana" w:hAnsi="Verdana"/>
          <w:b w:val="0"/>
          <w:bCs w:val="0"/>
          <w:sz w:val="20"/>
          <w:szCs w:val="20"/>
          <w:lang w:val="pl-PL"/>
        </w:rPr>
        <w:fldChar w:fldCharType="separate"/>
      </w:r>
      <w:r w:rsidR="00C91123" w:rsidRPr="00277B99">
        <w:rPr>
          <w:rStyle w:val="Hipercze"/>
          <w:rFonts w:eastAsia="Arial" w:cs="Arial"/>
          <w:b/>
          <w:bCs/>
          <w:sz w:val="20"/>
          <w:szCs w:val="20"/>
        </w:rPr>
        <w:t>Nivette przeciwko Francji</w:t>
      </w:r>
      <w:bookmarkEnd w:id="0"/>
      <w:r w:rsidRPr="00277B99">
        <w:rPr>
          <w:rStyle w:val="Heading30"/>
          <w:rFonts w:ascii="Verdana" w:hAnsi="Verdana"/>
          <w:b w:val="0"/>
          <w:bCs w:val="0"/>
          <w:sz w:val="20"/>
          <w:szCs w:val="20"/>
          <w:lang w:val="pl-PL"/>
        </w:rPr>
        <w:fldChar w:fldCharType="end"/>
      </w:r>
    </w:p>
    <w:p w14:paraId="6794327E" w14:textId="77777777" w:rsidR="00DB7907" w:rsidRDefault="00D75E14" w:rsidP="00DB7907">
      <w:pPr>
        <w:spacing w:before="63" w:line="218" w:lineRule="exact"/>
        <w:ind w:firstLine="708"/>
        <w:rPr>
          <w:color w:val="808080"/>
          <w:sz w:val="18"/>
        </w:rPr>
      </w:pPr>
      <w:r>
        <w:rPr>
          <w:color w:val="808080"/>
          <w:sz w:val="18"/>
        </w:rPr>
        <w:t>1</w:t>
      </w:r>
      <w:r w:rsidR="00DB7907">
        <w:rPr>
          <w:color w:val="808080"/>
          <w:sz w:val="18"/>
        </w:rPr>
        <w:t xml:space="preserve">3 lipca </w:t>
      </w:r>
      <w:r>
        <w:rPr>
          <w:color w:val="808080"/>
          <w:sz w:val="18"/>
        </w:rPr>
        <w:t>200</w:t>
      </w:r>
      <w:r w:rsidR="00DB7907">
        <w:rPr>
          <w:color w:val="808080"/>
          <w:sz w:val="18"/>
        </w:rPr>
        <w:t>1</w:t>
      </w:r>
      <w:r>
        <w:rPr>
          <w:color w:val="808080"/>
          <w:sz w:val="18"/>
        </w:rPr>
        <w:t xml:space="preserve"> r. (</w:t>
      </w:r>
      <w:r w:rsidR="00DB7907">
        <w:rPr>
          <w:color w:val="808080"/>
          <w:sz w:val="18"/>
        </w:rPr>
        <w:t>decyzja o dopuszczalności</w:t>
      </w:r>
      <w:r>
        <w:rPr>
          <w:color w:val="808080"/>
          <w:sz w:val="18"/>
        </w:rPr>
        <w:t>)</w:t>
      </w:r>
      <w:r w:rsidR="00DB7907">
        <w:rPr>
          <w:color w:val="808080"/>
          <w:sz w:val="18"/>
        </w:rPr>
        <w:t xml:space="preserve"> </w:t>
      </w:r>
    </w:p>
    <w:p w14:paraId="3B61FDE4" w14:textId="77777777" w:rsidR="00C91123" w:rsidRPr="009F660D" w:rsidRDefault="00C91123" w:rsidP="00DB7907">
      <w:pPr>
        <w:spacing w:before="63" w:line="218" w:lineRule="exact"/>
        <w:ind w:left="680" w:right="567"/>
        <w:jc w:val="both"/>
        <w:rPr>
          <w:sz w:val="20"/>
          <w:szCs w:val="20"/>
        </w:rPr>
      </w:pPr>
      <w:r w:rsidRPr="009F660D">
        <w:rPr>
          <w:sz w:val="20"/>
          <w:szCs w:val="20"/>
        </w:rPr>
        <w:t>Skarżący, obywatel Stanów Zjednoczonych, podejrzany</w:t>
      </w:r>
      <w:r w:rsidR="00A61228">
        <w:rPr>
          <w:sz w:val="20"/>
          <w:szCs w:val="20"/>
        </w:rPr>
        <w:t xml:space="preserve"> o zamordowanie swojej</w:t>
      </w:r>
      <w:r w:rsidR="00DB7907" w:rsidRPr="009F660D">
        <w:rPr>
          <w:sz w:val="20"/>
          <w:szCs w:val="20"/>
        </w:rPr>
        <w:t xml:space="preserve">       </w:t>
      </w:r>
      <w:r w:rsidRPr="00EC1A2B">
        <w:rPr>
          <w:sz w:val="20"/>
          <w:szCs w:val="20"/>
        </w:rPr>
        <w:t>przyjaciółki, podniósł w szczególności, że jego ekstradycja do Stanów Zjednoczonych stanowiłaby naruszenie</w:t>
      </w:r>
      <w:r w:rsidRPr="009F660D">
        <w:rPr>
          <w:sz w:val="20"/>
          <w:szCs w:val="20"/>
        </w:rPr>
        <w:t xml:space="preserve"> Artykułu 3 Europejskiej Konwencji Praw Człowieka, gdyby został skazany na dożywotnie pozbawienie wolności </w:t>
      </w:r>
      <w:r w:rsidRPr="00EC1A2B">
        <w:rPr>
          <w:sz w:val="20"/>
          <w:szCs w:val="20"/>
        </w:rPr>
        <w:t>bez żadnej</w:t>
      </w:r>
      <w:r w:rsidRPr="009F660D">
        <w:rPr>
          <w:sz w:val="20"/>
          <w:szCs w:val="20"/>
        </w:rPr>
        <w:t xml:space="preserve"> możliwości przedterminowego zwolnienia.</w:t>
      </w:r>
    </w:p>
    <w:p w14:paraId="2E77C2B8" w14:textId="5D623800" w:rsidR="00C91123" w:rsidRPr="00997CD7" w:rsidRDefault="00C91123" w:rsidP="00997CD7">
      <w:pPr>
        <w:spacing w:line="258" w:lineRule="exact"/>
        <w:ind w:left="680" w:right="567"/>
        <w:jc w:val="both"/>
        <w:rPr>
          <w:rStyle w:val="Bodytext2Italic"/>
          <w:rFonts w:ascii="Verdana" w:eastAsia="Verdana" w:hAnsi="Verdana" w:cs="Verdana"/>
          <w:i w:val="0"/>
          <w:iCs w:val="0"/>
          <w:color w:val="auto"/>
          <w:sz w:val="20"/>
          <w:szCs w:val="20"/>
          <w:lang w:val="pl-PL"/>
        </w:rPr>
      </w:pPr>
      <w:r w:rsidRPr="009F660D">
        <w:rPr>
          <w:rStyle w:val="Bodytext20"/>
          <w:rFonts w:ascii="Verdana" w:hAnsi="Verdana"/>
          <w:sz w:val="20"/>
          <w:szCs w:val="20"/>
          <w:lang w:val="pl-PL"/>
        </w:rPr>
        <w:t>Europejski Trybunał Praw Człowieka uznał skarg</w:t>
      </w:r>
      <w:r w:rsidR="002B5552">
        <w:rPr>
          <w:rStyle w:val="Bodytext20"/>
          <w:rFonts w:ascii="Verdana" w:hAnsi="Verdana"/>
          <w:sz w:val="20"/>
          <w:szCs w:val="20"/>
          <w:lang w:val="pl-PL"/>
        </w:rPr>
        <w:t xml:space="preserve">ę za niedopuszczalną jako oczywiście bezzasadną. Zwracając uwagę w szczególności, że Prokurator Okręgowy </w:t>
      </w:r>
      <w:r w:rsidRPr="009F660D">
        <w:rPr>
          <w:rStyle w:val="Bodytext20"/>
          <w:rFonts w:ascii="Verdana" w:hAnsi="Verdana"/>
          <w:sz w:val="20"/>
          <w:szCs w:val="20"/>
          <w:lang w:val="pl-PL"/>
        </w:rPr>
        <w:t>Hrabstwa Sacramento przyrzekła pod przysięgą, że niezależnie od okoliczności, stan Kalifornia nie powoła się na szczególne okoliczności będące wymogiem orzeczenia kary śmierci lub dożywotniego pozbawienia wolności bez możliwości przedterminowego zwolnienia oraz że jej przyrzeczenie wiąże zarówno jej następców prawnych, jak i stan Kalifornia, Trybunał uznał, że gwarancje uzyskane przez rząd francuski oddaliły zagrożenie skazania skarżącego na karę pozbawienia wolności bez możliwości przedterminowego zwolnienia. Tym samym ekstradycja nie mogła narazić go na poważne ryzyko poddania traktowaniu lub karaniu zabronionemu przez Artykuł 3 Konwencji.</w:t>
      </w:r>
    </w:p>
    <w:p w14:paraId="175AF694" w14:textId="77777777" w:rsidR="00997CD7" w:rsidRDefault="00997CD7" w:rsidP="009F660D">
      <w:pPr>
        <w:spacing w:after="63" w:line="220" w:lineRule="exact"/>
        <w:ind w:firstLine="708"/>
        <w:jc w:val="both"/>
        <w:rPr>
          <w:rStyle w:val="Bodytext2Italic"/>
          <w:rFonts w:ascii="Verdana" w:hAnsi="Verdana"/>
          <w:sz w:val="20"/>
          <w:szCs w:val="20"/>
          <w:lang w:val="pl-PL"/>
        </w:rPr>
      </w:pPr>
    </w:p>
    <w:p w14:paraId="4375E15D" w14:textId="4E686E44" w:rsidR="00C91123" w:rsidRPr="009F660D" w:rsidRDefault="00C91123" w:rsidP="009F660D">
      <w:pPr>
        <w:spacing w:after="63" w:line="220" w:lineRule="exact"/>
        <w:ind w:firstLine="708"/>
        <w:jc w:val="both"/>
        <w:rPr>
          <w:sz w:val="20"/>
          <w:szCs w:val="20"/>
        </w:rPr>
      </w:pPr>
      <w:r w:rsidRPr="009F660D">
        <w:rPr>
          <w:rStyle w:val="Bodytext2Italic"/>
          <w:rFonts w:ascii="Verdana" w:hAnsi="Verdana"/>
          <w:sz w:val="20"/>
          <w:szCs w:val="20"/>
          <w:lang w:val="pl-PL"/>
        </w:rPr>
        <w:t xml:space="preserve">Zobacz </w:t>
      </w:r>
      <w:r w:rsidR="009F660D" w:rsidRPr="009F660D">
        <w:rPr>
          <w:rStyle w:val="Bodytext2Italic"/>
          <w:rFonts w:ascii="Verdana" w:hAnsi="Verdana"/>
          <w:sz w:val="20"/>
          <w:szCs w:val="20"/>
          <w:lang w:val="pl-PL"/>
        </w:rPr>
        <w:t>również</w:t>
      </w:r>
      <w:r w:rsidRPr="009F660D">
        <w:rPr>
          <w:i/>
          <w:iCs/>
          <w:sz w:val="20"/>
          <w:szCs w:val="20"/>
        </w:rPr>
        <w:t>:</w:t>
      </w:r>
      <w:r w:rsidRPr="009F660D">
        <w:rPr>
          <w:sz w:val="20"/>
          <w:szCs w:val="20"/>
        </w:rPr>
        <w:t xml:space="preserve"> </w:t>
      </w:r>
      <w:hyperlink r:id="rId12" w:history="1">
        <w:r w:rsidRPr="005E3A5E">
          <w:rPr>
            <w:rStyle w:val="Hipercze"/>
            <w:rFonts w:eastAsia="Arial" w:cs="Arial"/>
            <w:sz w:val="20"/>
            <w:szCs w:val="20"/>
          </w:rPr>
          <w:t>Olaechea Cahuas przeciwko Hiszpanii</w:t>
        </w:r>
      </w:hyperlink>
      <w:r w:rsidRPr="009F660D">
        <w:rPr>
          <w:rStyle w:val="Bodytext2BoldItalic"/>
          <w:rFonts w:ascii="Verdana" w:hAnsi="Verdana"/>
          <w:sz w:val="20"/>
          <w:szCs w:val="20"/>
          <w:lang w:val="pl-PL"/>
        </w:rPr>
        <w:t>,</w:t>
      </w:r>
      <w:r w:rsidRPr="009F660D">
        <w:rPr>
          <w:rStyle w:val="Bodytext20"/>
          <w:rFonts w:ascii="Verdana" w:hAnsi="Verdana"/>
          <w:sz w:val="20"/>
          <w:szCs w:val="20"/>
          <w:lang w:val="pl-PL"/>
        </w:rPr>
        <w:t xml:space="preserve"> </w:t>
      </w:r>
      <w:r w:rsidRPr="009F660D">
        <w:rPr>
          <w:sz w:val="20"/>
          <w:szCs w:val="20"/>
        </w:rPr>
        <w:t>wyrok z 10 sierpnia 2006 r.</w:t>
      </w:r>
    </w:p>
    <w:p w14:paraId="1C53826E" w14:textId="77777777" w:rsidR="00C91123" w:rsidRPr="009F660D" w:rsidRDefault="00C91123" w:rsidP="00C91123">
      <w:pPr>
        <w:spacing w:after="63" w:line="220" w:lineRule="exact"/>
        <w:ind w:firstLine="76"/>
        <w:jc w:val="both"/>
        <w:rPr>
          <w:sz w:val="20"/>
          <w:szCs w:val="20"/>
        </w:rPr>
      </w:pPr>
    </w:p>
    <w:bookmarkStart w:id="1" w:name="bookmark3"/>
    <w:p w14:paraId="4ABF810A" w14:textId="71E44EBF" w:rsidR="00C91123" w:rsidRPr="00277B99" w:rsidRDefault="005E3A5E" w:rsidP="009F660D">
      <w:pPr>
        <w:spacing w:after="17" w:line="220" w:lineRule="exact"/>
        <w:ind w:firstLine="708"/>
        <w:rPr>
          <w:b/>
          <w:bCs/>
          <w:sz w:val="20"/>
          <w:szCs w:val="20"/>
        </w:rPr>
      </w:pPr>
      <w:r w:rsidRPr="00277B99">
        <w:rPr>
          <w:rStyle w:val="Heading30"/>
          <w:rFonts w:ascii="Verdana" w:hAnsi="Verdana"/>
          <w:b w:val="0"/>
          <w:bCs w:val="0"/>
          <w:sz w:val="20"/>
          <w:szCs w:val="20"/>
          <w:lang w:val="pl-PL"/>
        </w:rPr>
        <w:fldChar w:fldCharType="begin"/>
      </w:r>
      <w:r w:rsidRPr="00277B99">
        <w:rPr>
          <w:rStyle w:val="Heading30"/>
          <w:rFonts w:ascii="Verdana" w:hAnsi="Verdana"/>
          <w:b w:val="0"/>
          <w:bCs w:val="0"/>
          <w:sz w:val="20"/>
          <w:szCs w:val="20"/>
          <w:lang w:val="pl-PL"/>
        </w:rPr>
        <w:instrText>HYPERLINK "https://hudoc.echr.coe.int/eng?i=001-22159"</w:instrText>
      </w:r>
      <w:r w:rsidRPr="00277B99">
        <w:rPr>
          <w:rStyle w:val="Heading30"/>
          <w:rFonts w:ascii="Verdana" w:hAnsi="Verdana"/>
          <w:b w:val="0"/>
          <w:bCs w:val="0"/>
          <w:sz w:val="20"/>
          <w:szCs w:val="20"/>
          <w:lang w:val="pl-PL"/>
        </w:rPr>
      </w:r>
      <w:r w:rsidRPr="00277B99">
        <w:rPr>
          <w:rStyle w:val="Heading30"/>
          <w:rFonts w:ascii="Verdana" w:hAnsi="Verdana"/>
          <w:b w:val="0"/>
          <w:bCs w:val="0"/>
          <w:sz w:val="20"/>
          <w:szCs w:val="20"/>
          <w:lang w:val="pl-PL"/>
        </w:rPr>
        <w:fldChar w:fldCharType="separate"/>
      </w:r>
      <w:r w:rsidR="00C91123" w:rsidRPr="00277B99">
        <w:rPr>
          <w:rStyle w:val="Hipercze"/>
          <w:rFonts w:eastAsia="Arial" w:cs="Arial"/>
          <w:b/>
          <w:bCs/>
          <w:sz w:val="20"/>
          <w:szCs w:val="20"/>
        </w:rPr>
        <w:t>Einhorn przeciwko Francji</w:t>
      </w:r>
      <w:bookmarkEnd w:id="1"/>
      <w:r w:rsidRPr="00277B99">
        <w:rPr>
          <w:rStyle w:val="Heading30"/>
          <w:rFonts w:ascii="Verdana" w:hAnsi="Verdana"/>
          <w:b w:val="0"/>
          <w:bCs w:val="0"/>
          <w:sz w:val="20"/>
          <w:szCs w:val="20"/>
          <w:lang w:val="pl-PL"/>
        </w:rPr>
        <w:fldChar w:fldCharType="end"/>
      </w:r>
    </w:p>
    <w:p w14:paraId="2FC6369F" w14:textId="77777777" w:rsidR="00C91123" w:rsidRPr="00E42316" w:rsidRDefault="00C91123" w:rsidP="009F660D">
      <w:pPr>
        <w:spacing w:line="258" w:lineRule="exact"/>
        <w:ind w:firstLine="708"/>
        <w:jc w:val="both"/>
        <w:rPr>
          <w:color w:val="A6A6A6"/>
          <w:sz w:val="18"/>
          <w:szCs w:val="18"/>
        </w:rPr>
      </w:pPr>
      <w:r w:rsidRPr="00E42316">
        <w:rPr>
          <w:color w:val="A6A6A6"/>
          <w:sz w:val="18"/>
          <w:szCs w:val="18"/>
        </w:rPr>
        <w:t>16 października 2001 r. (decyzja w sprawie dopuszczalności)</w:t>
      </w:r>
    </w:p>
    <w:p w14:paraId="622A515E" w14:textId="77777777" w:rsidR="00C91123" w:rsidRPr="00EC1A2B" w:rsidRDefault="00C91123" w:rsidP="00393371">
      <w:pPr>
        <w:spacing w:line="258" w:lineRule="exact"/>
        <w:ind w:left="680" w:right="567"/>
        <w:jc w:val="both"/>
        <w:rPr>
          <w:sz w:val="20"/>
          <w:szCs w:val="20"/>
        </w:rPr>
      </w:pPr>
      <w:r w:rsidRPr="00EC1A2B">
        <w:rPr>
          <w:sz w:val="20"/>
          <w:szCs w:val="20"/>
        </w:rPr>
        <w:t>Skarżący, obywatel Stanów Zjednoczonych, opuścił USA po ty</w:t>
      </w:r>
      <w:r w:rsidR="002B5552">
        <w:rPr>
          <w:sz w:val="20"/>
          <w:szCs w:val="20"/>
        </w:rPr>
        <w:t>m</w:t>
      </w:r>
      <w:r w:rsidRPr="00EC1A2B">
        <w:rPr>
          <w:sz w:val="20"/>
          <w:szCs w:val="20"/>
        </w:rPr>
        <w:t xml:space="preserve">, jak został oskarżony </w:t>
      </w:r>
      <w:r w:rsidR="00EC1A2B">
        <w:rPr>
          <w:sz w:val="20"/>
          <w:szCs w:val="20"/>
        </w:rPr>
        <w:br/>
      </w:r>
      <w:r w:rsidRPr="00EC1A2B">
        <w:rPr>
          <w:sz w:val="20"/>
          <w:szCs w:val="20"/>
        </w:rPr>
        <w:t xml:space="preserve">o zamordowanie swojej byłej partnerki. Został uznany winnym morderstwa i skazany </w:t>
      </w:r>
      <w:r w:rsidR="00EC1A2B">
        <w:rPr>
          <w:sz w:val="20"/>
          <w:szCs w:val="20"/>
        </w:rPr>
        <w:br/>
      </w:r>
      <w:r w:rsidRPr="00EC1A2B">
        <w:rPr>
          <w:i/>
          <w:sz w:val="20"/>
          <w:szCs w:val="20"/>
        </w:rPr>
        <w:t>in absentia</w:t>
      </w:r>
      <w:r w:rsidRPr="00EC1A2B">
        <w:rPr>
          <w:sz w:val="20"/>
          <w:szCs w:val="20"/>
        </w:rPr>
        <w:t xml:space="preserve"> na dożywotnie pozbawienie wolności. Rząd francuski zgodził się na ekstradycję uzasadniając, że skarżący skorzysta z nowego i sprawiedliwego procesu jeśli powróci do Pensylwanii oraz że nie grozi mu kara śmierci. Skarż</w:t>
      </w:r>
      <w:r w:rsidR="00EC1A2B">
        <w:rPr>
          <w:sz w:val="20"/>
          <w:szCs w:val="20"/>
        </w:rPr>
        <w:t>ą</w:t>
      </w:r>
      <w:r w:rsidRPr="00EC1A2B">
        <w:rPr>
          <w:sz w:val="20"/>
          <w:szCs w:val="20"/>
        </w:rPr>
        <w:t xml:space="preserve">cy odwołał się, a francuski </w:t>
      </w:r>
      <w:r w:rsidRPr="00393371">
        <w:rPr>
          <w:rStyle w:val="Bodytext2BoldItalic"/>
          <w:rFonts w:ascii="Verdana" w:hAnsi="Verdana"/>
          <w:b w:val="0"/>
          <w:bCs w:val="0"/>
          <w:color w:val="auto"/>
          <w:sz w:val="20"/>
          <w:szCs w:val="20"/>
          <w:u w:val="none"/>
          <w:lang w:val="pl-PL"/>
        </w:rPr>
        <w:t>Conseil d'Etat</w:t>
      </w:r>
      <w:r w:rsidRPr="00393371">
        <w:rPr>
          <w:b/>
          <w:bCs/>
          <w:sz w:val="20"/>
          <w:szCs w:val="20"/>
        </w:rPr>
        <w:t xml:space="preserve"> </w:t>
      </w:r>
      <w:r w:rsidRPr="00393371">
        <w:rPr>
          <w:sz w:val="20"/>
          <w:szCs w:val="20"/>
        </w:rPr>
        <w:t>o</w:t>
      </w:r>
      <w:r w:rsidRPr="00EC1A2B">
        <w:rPr>
          <w:sz w:val="20"/>
          <w:szCs w:val="20"/>
        </w:rPr>
        <w:t>drzucił jego odwołanie. Skarżący podniósł przed Trybunałem, że zgoda na</w:t>
      </w:r>
      <w:r w:rsidR="00393371">
        <w:rPr>
          <w:sz w:val="20"/>
          <w:szCs w:val="20"/>
        </w:rPr>
        <w:t xml:space="preserve"> </w:t>
      </w:r>
      <w:r w:rsidRPr="00EC1A2B">
        <w:rPr>
          <w:sz w:val="20"/>
          <w:szCs w:val="20"/>
        </w:rPr>
        <w:t xml:space="preserve">ekstradycję została wydana z naruszeniem Artykułu 3 Konwencji, w szczególności dlatego, że istniało prawdopodobieństwo wymierzenia mu kary dożywotniego pozbawienia wolności bez realnej </w:t>
      </w:r>
      <w:r w:rsidRPr="00EC1A2B">
        <w:rPr>
          <w:sz w:val="20"/>
          <w:szCs w:val="20"/>
        </w:rPr>
        <w:lastRenderedPageBreak/>
        <w:t>możliwości złagodzenia wyroku lub warunkowego przedterminowego zwolnienia.</w:t>
      </w:r>
    </w:p>
    <w:p w14:paraId="0C807AAA" w14:textId="77777777" w:rsidR="00D7307D" w:rsidRDefault="00C91123" w:rsidP="00D7307D">
      <w:pPr>
        <w:spacing w:line="258" w:lineRule="exact"/>
        <w:ind w:left="680" w:right="567"/>
        <w:jc w:val="both"/>
        <w:rPr>
          <w:rStyle w:val="Bodytext20"/>
          <w:rFonts w:ascii="Verdana" w:hAnsi="Verdana"/>
          <w:sz w:val="20"/>
          <w:szCs w:val="20"/>
          <w:lang w:val="pl-PL"/>
        </w:rPr>
      </w:pPr>
      <w:r w:rsidRPr="00EC1A2B">
        <w:rPr>
          <w:rStyle w:val="Bodytext20"/>
          <w:rFonts w:ascii="Verdana" w:hAnsi="Verdana"/>
          <w:sz w:val="20"/>
          <w:szCs w:val="20"/>
          <w:lang w:val="pl-PL"/>
        </w:rPr>
        <w:t xml:space="preserve">Trybunał uznał skargę za </w:t>
      </w:r>
      <w:r w:rsidRPr="00EC1A2B">
        <w:rPr>
          <w:rStyle w:val="Bodytext2Bold"/>
          <w:rFonts w:ascii="Verdana" w:hAnsi="Verdana"/>
          <w:sz w:val="20"/>
          <w:szCs w:val="20"/>
          <w:lang w:val="pl-PL"/>
        </w:rPr>
        <w:t>niedopuszczalną</w:t>
      </w:r>
      <w:r w:rsidR="00393371">
        <w:rPr>
          <w:rStyle w:val="Bodytext2Bold"/>
          <w:rFonts w:ascii="Verdana" w:hAnsi="Verdana"/>
          <w:sz w:val="20"/>
          <w:szCs w:val="20"/>
          <w:lang w:val="pl-PL"/>
        </w:rPr>
        <w:t xml:space="preserve"> </w:t>
      </w:r>
      <w:r w:rsidR="00393371" w:rsidRPr="00393371">
        <w:rPr>
          <w:rStyle w:val="Bodytext2Bold"/>
          <w:rFonts w:ascii="Verdana" w:hAnsi="Verdana"/>
          <w:b w:val="0"/>
          <w:bCs w:val="0"/>
          <w:sz w:val="20"/>
          <w:szCs w:val="20"/>
          <w:lang w:val="pl-PL"/>
        </w:rPr>
        <w:t>jako oczywiście bezzasadną</w:t>
      </w:r>
      <w:r w:rsidR="00393371">
        <w:rPr>
          <w:rStyle w:val="Bodytext2Bold"/>
          <w:rFonts w:ascii="Verdana" w:hAnsi="Verdana"/>
          <w:b w:val="0"/>
          <w:bCs w:val="0"/>
          <w:sz w:val="20"/>
          <w:szCs w:val="20"/>
          <w:lang w:val="pl-PL"/>
        </w:rPr>
        <w:t xml:space="preserve">. Powtarzając, że nie można wykluczyć, że wymierzenie nieredukowalnej </w:t>
      </w:r>
      <w:r w:rsidRPr="00EC1A2B">
        <w:rPr>
          <w:rStyle w:val="Bodytext20"/>
          <w:rFonts w:ascii="Verdana" w:hAnsi="Verdana"/>
          <w:sz w:val="20"/>
          <w:szCs w:val="20"/>
          <w:lang w:val="pl-PL"/>
        </w:rPr>
        <w:t>kary dożywotniego pozbawienia wolności może wzbudzać wątpliwości w świetle Artykułu 3 Konwencji oraz odwołując się w tym zakresie do dokumentów Rady Europy na ten temat</w:t>
      </w:r>
      <w:r w:rsidR="00393371">
        <w:rPr>
          <w:rStyle w:val="Odwoanieprzypisudolnego"/>
          <w:rFonts w:eastAsia="Arial" w:cs="Arial"/>
          <w:color w:val="0071BA"/>
          <w:sz w:val="20"/>
          <w:szCs w:val="20"/>
        </w:rPr>
        <w:footnoteReference w:id="1"/>
      </w:r>
      <w:r w:rsidRPr="00EC1A2B">
        <w:rPr>
          <w:rStyle w:val="Bodytext20"/>
          <w:rFonts w:ascii="Verdana" w:hAnsi="Verdana"/>
          <w:sz w:val="20"/>
          <w:szCs w:val="20"/>
          <w:lang w:val="pl-PL"/>
        </w:rPr>
        <w:t>, Trybunał doszedł do wniosku, że nie można również wykluczyć, iż ekstradycja osoby do stanu, w którym grozi mu skazanie na karę dożywotniego pozbawienia wolności bez możliwości przedterminowego zwolnienia</w:t>
      </w:r>
      <w:r w:rsidR="00393371">
        <w:rPr>
          <w:rStyle w:val="Bodytext20"/>
          <w:rFonts w:ascii="Verdana" w:hAnsi="Verdana"/>
          <w:sz w:val="20"/>
          <w:szCs w:val="20"/>
          <w:lang w:val="pl-PL"/>
        </w:rPr>
        <w:t xml:space="preserve"> może </w:t>
      </w:r>
      <w:r w:rsidR="00D7307D" w:rsidRPr="00D7307D">
        <w:rPr>
          <w:rStyle w:val="Bodytext20"/>
          <w:rFonts w:ascii="Verdana" w:hAnsi="Verdana"/>
          <w:sz w:val="20"/>
          <w:szCs w:val="20"/>
          <w:lang w:val="pl-PL"/>
        </w:rPr>
        <w:t>wzbudzać wątpliwości w świetle Artykułu 3 Konwencji.</w:t>
      </w:r>
      <w:r w:rsidR="00393371" w:rsidRPr="00D7307D">
        <w:rPr>
          <w:rStyle w:val="Bodytext20"/>
          <w:rFonts w:ascii="Verdana" w:hAnsi="Verdana"/>
          <w:sz w:val="20"/>
          <w:szCs w:val="20"/>
          <w:lang w:val="pl-PL"/>
        </w:rPr>
        <w:t xml:space="preserve"> </w:t>
      </w:r>
    </w:p>
    <w:p w14:paraId="5CE3C909" w14:textId="77777777" w:rsidR="00997CD7" w:rsidRDefault="00D7307D" w:rsidP="00997CD7">
      <w:pPr>
        <w:spacing w:line="258" w:lineRule="exact"/>
        <w:ind w:left="680" w:right="567"/>
        <w:jc w:val="both"/>
        <w:rPr>
          <w:rStyle w:val="Bodytext20"/>
          <w:rFonts w:ascii="Verdana" w:hAnsi="Verdana"/>
          <w:sz w:val="20"/>
          <w:szCs w:val="20"/>
          <w:lang w:val="pl-PL"/>
        </w:rPr>
      </w:pPr>
      <w:r w:rsidRPr="00D7307D">
        <w:rPr>
          <w:rStyle w:val="Bodytext20"/>
          <w:rFonts w:ascii="Verdana" w:hAnsi="Verdana"/>
          <w:sz w:val="20"/>
          <w:szCs w:val="20"/>
          <w:lang w:val="pl-PL"/>
        </w:rPr>
        <w:t xml:space="preserve">W niniejszej sprawie Trybunał zauważył jednak, że Gubernator stanu Pensylwania może zamienić karę dożywotniego pozbawienia wolności na inną karę, której czas trwania pozwala na zastosowanie przedterminowego zwolnienia. W związku z tym, choć możliwość przedterminowego zwolnienia więźniów odbywających karę dożywotniego pozbawienia wolności w stanie Pensylwania była ograniczona, nie można z tego jednak wnioskować, </w:t>
      </w:r>
      <w:r>
        <w:rPr>
          <w:rStyle w:val="Bodytext20"/>
          <w:rFonts w:ascii="Verdana" w:hAnsi="Verdana"/>
          <w:sz w:val="20"/>
          <w:szCs w:val="20"/>
          <w:lang w:val="pl-PL"/>
        </w:rPr>
        <w:br/>
      </w:r>
      <w:r w:rsidRPr="00D7307D">
        <w:rPr>
          <w:rStyle w:val="Bodytext20"/>
          <w:rFonts w:ascii="Verdana" w:hAnsi="Verdana"/>
          <w:sz w:val="20"/>
          <w:szCs w:val="20"/>
          <w:lang w:val="pl-PL"/>
        </w:rPr>
        <w:t>że jeśli skarżący zostałby skazany po nowym procesie w Pensylwanii na karę dożywotniego pozbawienia wolności, to nie mógłby uzyskać warunkowego zwolnienia, a nie przedstawił on żadnego dowodu, który nakazywałby wyciągnięcie takich wniosków.</w:t>
      </w:r>
    </w:p>
    <w:p w14:paraId="34A58EEA" w14:textId="77777777" w:rsidR="00997CD7" w:rsidRDefault="00997CD7" w:rsidP="00997CD7">
      <w:pPr>
        <w:spacing w:line="258" w:lineRule="exact"/>
        <w:ind w:left="680" w:right="567"/>
        <w:jc w:val="both"/>
        <w:rPr>
          <w:rStyle w:val="FontStyle19"/>
          <w:sz w:val="20"/>
          <w:szCs w:val="20"/>
        </w:rPr>
      </w:pPr>
    </w:p>
    <w:p w14:paraId="51F32538" w14:textId="0A63E06E" w:rsidR="003B7B96" w:rsidRPr="00997CD7" w:rsidRDefault="00D7307D" w:rsidP="00997CD7">
      <w:pPr>
        <w:spacing w:line="258" w:lineRule="exact"/>
        <w:ind w:left="680" w:right="567"/>
        <w:jc w:val="both"/>
        <w:rPr>
          <w:rStyle w:val="FontStyle22"/>
          <w:rFonts w:eastAsia="Arial" w:cs="Arial"/>
          <w:color w:val="0071BA"/>
          <w:sz w:val="20"/>
          <w:szCs w:val="20"/>
        </w:rPr>
      </w:pPr>
      <w:r w:rsidRPr="00D7307D">
        <w:rPr>
          <w:rStyle w:val="FontStyle19"/>
          <w:sz w:val="20"/>
          <w:szCs w:val="20"/>
        </w:rPr>
        <w:t xml:space="preserve">Zobacz również: </w:t>
      </w:r>
      <w:hyperlink r:id="rId13" w:history="1">
        <w:r w:rsidRPr="00D7307D">
          <w:rPr>
            <w:rStyle w:val="Hipercze"/>
            <w:b/>
            <w:bCs/>
            <w:i/>
            <w:iCs/>
            <w:sz w:val="20"/>
            <w:szCs w:val="20"/>
          </w:rPr>
          <w:t>Schuchter przeciwko Włochom</w:t>
        </w:r>
      </w:hyperlink>
      <w:r w:rsidRPr="00D7307D">
        <w:rPr>
          <w:rStyle w:val="Hipercze"/>
          <w:b/>
          <w:bCs/>
          <w:i/>
          <w:iCs/>
          <w:color w:val="auto"/>
          <w:sz w:val="20"/>
          <w:szCs w:val="20"/>
        </w:rPr>
        <w:t>,</w:t>
      </w:r>
      <w:r w:rsidRPr="00D7307D">
        <w:rPr>
          <w:rStyle w:val="FontStyle18"/>
          <w:sz w:val="20"/>
          <w:szCs w:val="20"/>
        </w:rPr>
        <w:t xml:space="preserve"> </w:t>
      </w:r>
      <w:r w:rsidRPr="00D7307D">
        <w:rPr>
          <w:rStyle w:val="FontStyle22"/>
          <w:sz w:val="20"/>
          <w:szCs w:val="20"/>
        </w:rPr>
        <w:t>decyzja w sprawie dopuszc</w:t>
      </w:r>
      <w:r>
        <w:rPr>
          <w:rStyle w:val="FontStyle22"/>
          <w:sz w:val="20"/>
          <w:szCs w:val="20"/>
        </w:rPr>
        <w:t>z</w:t>
      </w:r>
      <w:r w:rsidRPr="00D7307D">
        <w:rPr>
          <w:rStyle w:val="FontStyle22"/>
          <w:sz w:val="20"/>
          <w:szCs w:val="20"/>
        </w:rPr>
        <w:t>alnośc</w:t>
      </w:r>
      <w:r>
        <w:rPr>
          <w:rStyle w:val="FontStyle22"/>
          <w:sz w:val="20"/>
          <w:szCs w:val="20"/>
        </w:rPr>
        <w:t xml:space="preserve">i </w:t>
      </w:r>
      <w:r>
        <w:rPr>
          <w:rStyle w:val="FontStyle22"/>
          <w:sz w:val="20"/>
          <w:szCs w:val="20"/>
        </w:rPr>
        <w:br/>
        <w:t xml:space="preserve">z dnia </w:t>
      </w:r>
      <w:r w:rsidRPr="00D7307D">
        <w:rPr>
          <w:rStyle w:val="FontStyle22"/>
          <w:sz w:val="20"/>
          <w:szCs w:val="20"/>
        </w:rPr>
        <w:t xml:space="preserve">11 </w:t>
      </w:r>
      <w:r>
        <w:rPr>
          <w:rStyle w:val="FontStyle22"/>
          <w:sz w:val="20"/>
          <w:szCs w:val="20"/>
        </w:rPr>
        <w:t xml:space="preserve">października </w:t>
      </w:r>
      <w:r w:rsidRPr="00D7307D">
        <w:rPr>
          <w:rStyle w:val="FontStyle22"/>
          <w:sz w:val="20"/>
          <w:szCs w:val="20"/>
        </w:rPr>
        <w:t>2011</w:t>
      </w:r>
      <w:r>
        <w:rPr>
          <w:rStyle w:val="FontStyle22"/>
          <w:sz w:val="20"/>
          <w:szCs w:val="20"/>
        </w:rPr>
        <w:t xml:space="preserve"> r.</w:t>
      </w:r>
      <w:r w:rsidRPr="00D7307D">
        <w:rPr>
          <w:rStyle w:val="FontStyle22"/>
          <w:sz w:val="20"/>
          <w:szCs w:val="20"/>
        </w:rPr>
        <w:t xml:space="preserve">; </w:t>
      </w:r>
      <w:hyperlink r:id="rId14" w:history="1">
        <w:r w:rsidRPr="00D7307D">
          <w:rPr>
            <w:rStyle w:val="Hipercze"/>
            <w:b/>
            <w:bCs/>
            <w:i/>
            <w:iCs/>
            <w:sz w:val="20"/>
            <w:szCs w:val="20"/>
          </w:rPr>
          <w:t xml:space="preserve">Segura Naranjo </w:t>
        </w:r>
        <w:r>
          <w:rPr>
            <w:rStyle w:val="Hipercze"/>
            <w:b/>
            <w:bCs/>
            <w:i/>
            <w:iCs/>
            <w:sz w:val="20"/>
            <w:szCs w:val="20"/>
          </w:rPr>
          <w:t xml:space="preserve">przeciwko </w:t>
        </w:r>
        <w:r w:rsidRPr="00D7307D">
          <w:rPr>
            <w:rStyle w:val="Hipercze"/>
            <w:b/>
            <w:bCs/>
            <w:i/>
            <w:iCs/>
            <w:sz w:val="20"/>
            <w:szCs w:val="20"/>
          </w:rPr>
          <w:t>Pol</w:t>
        </w:r>
        <w:r>
          <w:rPr>
            <w:rStyle w:val="Hipercze"/>
            <w:b/>
            <w:bCs/>
            <w:i/>
            <w:iCs/>
            <w:sz w:val="20"/>
            <w:szCs w:val="20"/>
          </w:rPr>
          <w:t>sce</w:t>
        </w:r>
      </w:hyperlink>
      <w:r w:rsidRPr="00D7307D">
        <w:rPr>
          <w:rStyle w:val="FontStyle18"/>
          <w:sz w:val="20"/>
          <w:szCs w:val="20"/>
        </w:rPr>
        <w:t xml:space="preserve">, </w:t>
      </w:r>
      <w:r w:rsidRPr="00D7307D">
        <w:rPr>
          <w:rStyle w:val="FontStyle22"/>
          <w:sz w:val="20"/>
          <w:szCs w:val="20"/>
        </w:rPr>
        <w:t>dec</w:t>
      </w:r>
      <w:r>
        <w:rPr>
          <w:rStyle w:val="FontStyle22"/>
          <w:sz w:val="20"/>
          <w:szCs w:val="20"/>
        </w:rPr>
        <w:t xml:space="preserve">yzja </w:t>
      </w:r>
      <w:r w:rsidRPr="00D7307D">
        <w:rPr>
          <w:rStyle w:val="FontStyle22"/>
          <w:sz w:val="20"/>
          <w:szCs w:val="20"/>
        </w:rPr>
        <w:t>w sprawie dopuszc</w:t>
      </w:r>
      <w:r>
        <w:rPr>
          <w:rStyle w:val="FontStyle22"/>
          <w:sz w:val="20"/>
          <w:szCs w:val="20"/>
        </w:rPr>
        <w:t>z</w:t>
      </w:r>
      <w:r w:rsidRPr="00D7307D">
        <w:rPr>
          <w:rStyle w:val="FontStyle22"/>
          <w:sz w:val="20"/>
          <w:szCs w:val="20"/>
        </w:rPr>
        <w:t>alnośc</w:t>
      </w:r>
      <w:r>
        <w:rPr>
          <w:rStyle w:val="FontStyle22"/>
          <w:sz w:val="20"/>
          <w:szCs w:val="20"/>
        </w:rPr>
        <w:t xml:space="preserve">i z </w:t>
      </w:r>
      <w:r w:rsidR="00EE0560">
        <w:rPr>
          <w:rStyle w:val="FontStyle22"/>
          <w:sz w:val="20"/>
          <w:szCs w:val="20"/>
        </w:rPr>
        <w:t xml:space="preserve">dnia </w:t>
      </w:r>
      <w:r w:rsidRPr="00D7307D">
        <w:rPr>
          <w:rStyle w:val="FontStyle22"/>
          <w:sz w:val="20"/>
          <w:szCs w:val="20"/>
        </w:rPr>
        <w:t xml:space="preserve">6 </w:t>
      </w:r>
      <w:r w:rsidR="00EE0560">
        <w:rPr>
          <w:rStyle w:val="FontStyle22"/>
          <w:sz w:val="20"/>
          <w:szCs w:val="20"/>
        </w:rPr>
        <w:t xml:space="preserve">grudnia </w:t>
      </w:r>
      <w:r w:rsidRPr="00D7307D">
        <w:rPr>
          <w:rStyle w:val="FontStyle22"/>
          <w:sz w:val="20"/>
          <w:szCs w:val="20"/>
        </w:rPr>
        <w:t>2011</w:t>
      </w:r>
      <w:r w:rsidR="00EE0560">
        <w:rPr>
          <w:rStyle w:val="FontStyle22"/>
          <w:sz w:val="20"/>
          <w:szCs w:val="20"/>
        </w:rPr>
        <w:t xml:space="preserve"> r.</w:t>
      </w:r>
      <w:r w:rsidR="003B7B96">
        <w:rPr>
          <w:rStyle w:val="FontStyle22"/>
          <w:sz w:val="20"/>
          <w:szCs w:val="20"/>
        </w:rPr>
        <w:t xml:space="preserve"> </w:t>
      </w:r>
      <w:bookmarkStart w:id="2" w:name="bookmark4"/>
    </w:p>
    <w:p w14:paraId="77E7C4D5" w14:textId="4B7BFC01" w:rsidR="003B7B96" w:rsidRPr="00277B99" w:rsidRDefault="00D7307D" w:rsidP="003B7B96">
      <w:pPr>
        <w:spacing w:before="240" w:line="258" w:lineRule="exact"/>
        <w:ind w:left="680" w:right="567"/>
        <w:jc w:val="both"/>
        <w:rPr>
          <w:rStyle w:val="Heading30"/>
          <w:rFonts w:ascii="Verdana" w:hAnsi="Verdana" w:cs="Times New Roman"/>
          <w:b w:val="0"/>
          <w:bCs w:val="0"/>
          <w:sz w:val="20"/>
          <w:szCs w:val="20"/>
          <w:lang w:val="pl-PL"/>
        </w:rPr>
      </w:pPr>
      <w:hyperlink r:id="rId15" w:history="1">
        <w:r w:rsidRPr="00277B99">
          <w:rPr>
            <w:rStyle w:val="Hipercze"/>
            <w:rFonts w:eastAsia="Arial" w:cs="Times New Roman"/>
            <w:b/>
            <w:bCs/>
            <w:sz w:val="20"/>
            <w:szCs w:val="20"/>
          </w:rPr>
          <w:t>Harkins i Edwards przeciwko Zjednoczonemu Królestwu</w:t>
        </w:r>
        <w:bookmarkEnd w:id="2"/>
      </w:hyperlink>
    </w:p>
    <w:p w14:paraId="11772A60" w14:textId="77777777" w:rsidR="003B7B96" w:rsidRPr="00E42316" w:rsidRDefault="00D7307D" w:rsidP="003B7B96">
      <w:pPr>
        <w:spacing w:line="258" w:lineRule="exact"/>
        <w:ind w:left="680" w:right="567"/>
        <w:jc w:val="both"/>
        <w:rPr>
          <w:rFonts w:cs="Times New Roman"/>
          <w:color w:val="A6A6A6"/>
          <w:sz w:val="18"/>
          <w:szCs w:val="18"/>
        </w:rPr>
      </w:pPr>
      <w:r w:rsidRPr="00E42316">
        <w:rPr>
          <w:rFonts w:cs="Times New Roman"/>
          <w:color w:val="A6A6A6"/>
          <w:sz w:val="18"/>
          <w:szCs w:val="18"/>
        </w:rPr>
        <w:t>17 stycznia 2012 r. (wyrok)</w:t>
      </w:r>
    </w:p>
    <w:p w14:paraId="23A15641" w14:textId="77777777" w:rsidR="008E2C77" w:rsidRDefault="00D7307D" w:rsidP="008E2C77">
      <w:pPr>
        <w:spacing w:line="258" w:lineRule="exact"/>
        <w:ind w:left="680" w:right="567"/>
        <w:jc w:val="both"/>
        <w:rPr>
          <w:rStyle w:val="Bodytext20"/>
          <w:rFonts w:ascii="Verdana" w:hAnsi="Verdana" w:cs="Times New Roman"/>
          <w:sz w:val="20"/>
          <w:szCs w:val="20"/>
          <w:lang w:val="pl-PL"/>
        </w:rPr>
      </w:pPr>
      <w:r w:rsidRPr="003B7B96">
        <w:rPr>
          <w:rFonts w:cs="Times New Roman"/>
          <w:sz w:val="20"/>
          <w:szCs w:val="20"/>
        </w:rPr>
        <w:t>Obaj skarżący stali w obliczu ekstradycji z Wielkiej Brytanii do Stanów Zjednoczonych</w:t>
      </w:r>
      <w:r w:rsidR="003B7B96">
        <w:rPr>
          <w:rFonts w:cs="Times New Roman"/>
          <w:sz w:val="20"/>
          <w:szCs w:val="20"/>
        </w:rPr>
        <w:t xml:space="preserve">, </w:t>
      </w:r>
      <w:r w:rsidRPr="003B7B96">
        <w:rPr>
          <w:rFonts w:cs="Times New Roman"/>
          <w:sz w:val="20"/>
          <w:szCs w:val="20"/>
        </w:rPr>
        <w:t>gdzie jak utrzymywali, groziła im kara śmierci lub dożywotnie pozbawienie wolności bez możliwości zwolnienia warunkowego. Władze USA</w:t>
      </w:r>
      <w:r w:rsidR="00A7685C">
        <w:rPr>
          <w:rFonts w:cs="Times New Roman"/>
          <w:sz w:val="20"/>
          <w:szCs w:val="20"/>
        </w:rPr>
        <w:t xml:space="preserve"> zapewniły</w:t>
      </w:r>
      <w:r w:rsidRPr="003B7B96">
        <w:rPr>
          <w:rFonts w:cs="Times New Roman"/>
          <w:sz w:val="20"/>
          <w:szCs w:val="20"/>
        </w:rPr>
        <w:t xml:space="preserve">, że w ich sprawach nie zostanie </w:t>
      </w:r>
      <w:r w:rsidR="00A7685C">
        <w:rPr>
          <w:rFonts w:cs="Times New Roman"/>
          <w:sz w:val="20"/>
          <w:szCs w:val="20"/>
        </w:rPr>
        <w:t xml:space="preserve">wymierzona </w:t>
      </w:r>
      <w:r w:rsidRPr="003B7B96">
        <w:rPr>
          <w:rFonts w:cs="Times New Roman"/>
          <w:sz w:val="20"/>
          <w:szCs w:val="20"/>
        </w:rPr>
        <w:t>kara śmierci, a maksymalną grożącą im karą było dożywotnie pozbawienie wolności.</w:t>
      </w:r>
      <w:r w:rsidR="006D7C00">
        <w:rPr>
          <w:rFonts w:cs="Times New Roman"/>
          <w:sz w:val="20"/>
          <w:szCs w:val="20"/>
        </w:rPr>
        <w:t xml:space="preserve"> </w:t>
      </w:r>
      <w:r w:rsidRPr="003B7B96">
        <w:rPr>
          <w:rStyle w:val="Bodytext20"/>
          <w:rFonts w:ascii="Verdana" w:hAnsi="Verdana" w:cs="Times New Roman"/>
          <w:sz w:val="20"/>
          <w:szCs w:val="20"/>
          <w:lang w:val="pl-PL"/>
        </w:rPr>
        <w:t>Odno</w:t>
      </w:r>
      <w:r w:rsidR="006D7C00">
        <w:rPr>
          <w:rStyle w:val="Bodytext20"/>
          <w:rFonts w:ascii="Verdana" w:hAnsi="Verdana" w:cs="Times New Roman"/>
          <w:sz w:val="20"/>
          <w:szCs w:val="20"/>
          <w:lang w:val="pl-PL"/>
        </w:rPr>
        <w:t xml:space="preserve">sząc się do </w:t>
      </w:r>
      <w:r w:rsidRPr="003B7B96">
        <w:rPr>
          <w:rStyle w:val="Bodytext20"/>
          <w:rFonts w:ascii="Verdana" w:hAnsi="Verdana" w:cs="Times New Roman"/>
          <w:sz w:val="20"/>
          <w:szCs w:val="20"/>
          <w:lang w:val="pl-PL"/>
        </w:rPr>
        <w:t xml:space="preserve">ryzyka dożywotniego pozbawienia wolności bez możliwości </w:t>
      </w:r>
      <w:r w:rsidR="006D7C00">
        <w:rPr>
          <w:rStyle w:val="Bodytext20"/>
          <w:rFonts w:ascii="Verdana" w:hAnsi="Verdana" w:cs="Times New Roman"/>
          <w:sz w:val="20"/>
          <w:szCs w:val="20"/>
          <w:lang w:val="pl-PL"/>
        </w:rPr>
        <w:t xml:space="preserve">warunkowego </w:t>
      </w:r>
      <w:r w:rsidRPr="003B7B96">
        <w:rPr>
          <w:rStyle w:val="Bodytext20"/>
          <w:rFonts w:ascii="Verdana" w:hAnsi="Verdana" w:cs="Times New Roman"/>
          <w:sz w:val="20"/>
          <w:szCs w:val="20"/>
          <w:lang w:val="pl-PL"/>
        </w:rPr>
        <w:t xml:space="preserve">zwolnienia Trybunał </w:t>
      </w:r>
      <w:r w:rsidR="006D7C00">
        <w:rPr>
          <w:rStyle w:val="Bodytext20"/>
          <w:rFonts w:ascii="Verdana" w:hAnsi="Verdana" w:cs="Times New Roman"/>
          <w:sz w:val="20"/>
          <w:szCs w:val="20"/>
          <w:lang w:val="pl-PL"/>
        </w:rPr>
        <w:t>stwierdził</w:t>
      </w:r>
      <w:r w:rsidRPr="003B7B96">
        <w:rPr>
          <w:rStyle w:val="Bodytext20"/>
          <w:rFonts w:ascii="Verdana" w:hAnsi="Verdana" w:cs="Times New Roman"/>
          <w:sz w:val="20"/>
          <w:szCs w:val="20"/>
          <w:lang w:val="pl-PL"/>
        </w:rPr>
        <w:t xml:space="preserve">, że </w:t>
      </w:r>
      <w:r w:rsidRPr="003B7B96">
        <w:rPr>
          <w:rStyle w:val="Bodytext20"/>
          <w:rFonts w:ascii="Verdana" w:hAnsi="Verdana" w:cs="Times New Roman"/>
          <w:b/>
          <w:sz w:val="20"/>
          <w:szCs w:val="20"/>
          <w:lang w:val="pl-PL"/>
        </w:rPr>
        <w:t xml:space="preserve">nie </w:t>
      </w:r>
      <w:r w:rsidR="006D7C00">
        <w:rPr>
          <w:rStyle w:val="Bodytext20"/>
          <w:rFonts w:ascii="Verdana" w:hAnsi="Verdana" w:cs="Times New Roman"/>
          <w:b/>
          <w:sz w:val="20"/>
          <w:szCs w:val="20"/>
          <w:lang w:val="pl-PL"/>
        </w:rPr>
        <w:t xml:space="preserve">nastąpi </w:t>
      </w:r>
      <w:r w:rsidRPr="003B7B96">
        <w:rPr>
          <w:rStyle w:val="Bodytext20"/>
          <w:rFonts w:ascii="Verdana" w:hAnsi="Verdana" w:cs="Times New Roman"/>
          <w:b/>
          <w:sz w:val="20"/>
          <w:szCs w:val="20"/>
          <w:lang w:val="pl-PL"/>
        </w:rPr>
        <w:t>naruszenie Artykułu 3</w:t>
      </w:r>
      <w:r w:rsidRPr="003B7B96">
        <w:rPr>
          <w:rStyle w:val="Bodytext20"/>
          <w:rFonts w:ascii="Verdana" w:hAnsi="Verdana" w:cs="Times New Roman"/>
          <w:sz w:val="20"/>
          <w:szCs w:val="20"/>
          <w:lang w:val="pl-PL"/>
        </w:rPr>
        <w:t xml:space="preserve"> (zakaz nieludzkiego lub poniżającego traktowania) Konwencji</w:t>
      </w:r>
      <w:r w:rsidR="00DE1100">
        <w:rPr>
          <w:rStyle w:val="Bodytext20"/>
          <w:rFonts w:ascii="Verdana" w:hAnsi="Verdana" w:cs="Times New Roman"/>
          <w:sz w:val="20"/>
          <w:szCs w:val="20"/>
          <w:lang w:val="pl-PL"/>
        </w:rPr>
        <w:t xml:space="preserve">, </w:t>
      </w:r>
      <w:r w:rsidR="00DE1100" w:rsidRPr="00DE1100">
        <w:rPr>
          <w:rStyle w:val="Bodytext20"/>
          <w:rFonts w:ascii="Verdana" w:hAnsi="Verdana" w:cs="Times New Roman"/>
          <w:b/>
          <w:bCs/>
          <w:sz w:val="20"/>
          <w:szCs w:val="20"/>
          <w:lang w:val="pl-PL"/>
        </w:rPr>
        <w:t>jeśli</w:t>
      </w:r>
      <w:r w:rsidR="00DE1100">
        <w:rPr>
          <w:rStyle w:val="Bodytext20"/>
          <w:rFonts w:ascii="Verdana" w:hAnsi="Verdana" w:cs="Times New Roman"/>
          <w:sz w:val="20"/>
          <w:szCs w:val="20"/>
          <w:lang w:val="pl-PL"/>
        </w:rPr>
        <w:t xml:space="preserve"> </w:t>
      </w:r>
      <w:r w:rsidRPr="00DE1100">
        <w:rPr>
          <w:rStyle w:val="Bodytext20"/>
          <w:rFonts w:ascii="Verdana" w:hAnsi="Verdana" w:cs="Times New Roman"/>
          <w:b/>
          <w:bCs/>
          <w:sz w:val="20"/>
          <w:szCs w:val="20"/>
          <w:lang w:val="pl-PL"/>
        </w:rPr>
        <w:t xml:space="preserve">skarżący </w:t>
      </w:r>
      <w:r w:rsidR="00DE1100" w:rsidRPr="00DE1100">
        <w:rPr>
          <w:rStyle w:val="Bodytext20"/>
          <w:rFonts w:ascii="Verdana" w:hAnsi="Verdana" w:cs="Times New Roman"/>
          <w:b/>
          <w:bCs/>
          <w:sz w:val="20"/>
          <w:szCs w:val="20"/>
          <w:lang w:val="pl-PL"/>
        </w:rPr>
        <w:t>zostaną poddani zostaną ekstradycji</w:t>
      </w:r>
      <w:r w:rsidR="00DE1100">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do Stanów Zjednoczonych, uznając ż</w:t>
      </w:r>
      <w:r w:rsidR="00DE1100">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żaden ze skarżących nie wykazał istnienia realnego ryzyka naruszenia Artykułu 3. W sprawie pierwszego skarżącego Trybunał nie został przekonany, ż</w:t>
      </w:r>
      <w:r w:rsidR="00DE1100">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orzeczenie w Stanach Zjednoczonych bezwzględnej kary dożywotniego pozbawienia wolności byłoby rażąco nieproporcjonalne. W chwili popełnienia zarzucanego </w:t>
      </w:r>
      <w:r w:rsidR="00EF71E2">
        <w:rPr>
          <w:rStyle w:val="Bodytext20"/>
          <w:rFonts w:ascii="Verdana" w:hAnsi="Verdana" w:cs="Times New Roman"/>
          <w:sz w:val="20"/>
          <w:szCs w:val="20"/>
          <w:lang w:val="pl-PL"/>
        </w:rPr>
        <w:t xml:space="preserve">mu </w:t>
      </w:r>
      <w:r w:rsidRPr="003B7B96">
        <w:rPr>
          <w:rStyle w:val="Bodytext20"/>
          <w:rFonts w:ascii="Verdana" w:hAnsi="Verdana" w:cs="Times New Roman"/>
          <w:sz w:val="20"/>
          <w:szCs w:val="20"/>
          <w:lang w:val="pl-PL"/>
        </w:rPr>
        <w:t>przestępstwa miał</w:t>
      </w:r>
      <w:r w:rsidR="00EF71E2">
        <w:rPr>
          <w:rStyle w:val="Bodytext20"/>
          <w:rFonts w:ascii="Verdana" w:hAnsi="Verdana" w:cs="Times New Roman"/>
          <w:sz w:val="20"/>
          <w:szCs w:val="20"/>
          <w:lang w:val="pl-PL"/>
        </w:rPr>
        <w:t xml:space="preserve"> ponad </w:t>
      </w:r>
      <w:r w:rsidRPr="003B7B96">
        <w:rPr>
          <w:rStyle w:val="Bodytext20"/>
          <w:rFonts w:ascii="Verdana" w:hAnsi="Verdana" w:cs="Times New Roman"/>
          <w:sz w:val="20"/>
          <w:szCs w:val="20"/>
          <w:lang w:val="pl-PL"/>
        </w:rPr>
        <w:t xml:space="preserve">18 lat, nie zostało u niego zdiagnozowane zaburzenie psychiczne, </w:t>
      </w:r>
      <w:r w:rsidR="00EF71E2">
        <w:rPr>
          <w:rStyle w:val="Bodytext20"/>
          <w:rFonts w:ascii="Verdana" w:hAnsi="Verdana" w:cs="Times New Roman"/>
          <w:sz w:val="20"/>
          <w:szCs w:val="20"/>
          <w:lang w:val="pl-PL"/>
        </w:rPr>
        <w:br/>
      </w:r>
      <w:r w:rsidRPr="003B7B96">
        <w:rPr>
          <w:rStyle w:val="Bodytext20"/>
          <w:rFonts w:ascii="Verdana" w:hAnsi="Verdana" w:cs="Times New Roman"/>
          <w:sz w:val="20"/>
          <w:szCs w:val="20"/>
          <w:lang w:val="pl-PL"/>
        </w:rPr>
        <w:t>a</w:t>
      </w:r>
      <w:r w:rsidR="00A7685C">
        <w:rPr>
          <w:rStyle w:val="Bodytext20"/>
          <w:rFonts w:ascii="Verdana" w:hAnsi="Verdana" w:cs="Times New Roman"/>
          <w:sz w:val="20"/>
          <w:szCs w:val="20"/>
          <w:lang w:val="pl-PL"/>
        </w:rPr>
        <w:t xml:space="preserve"> zabójstwo </w:t>
      </w:r>
      <w:r w:rsidRPr="003B7B96">
        <w:rPr>
          <w:rStyle w:val="Bodytext20"/>
          <w:rFonts w:ascii="Verdana" w:hAnsi="Verdana" w:cs="Times New Roman"/>
          <w:sz w:val="20"/>
          <w:szCs w:val="20"/>
          <w:lang w:val="pl-PL"/>
        </w:rPr>
        <w:t>stanowiło element usiłowania dokonania rozboju z użyciem broni palnej – okolicznoś</w:t>
      </w:r>
      <w:r w:rsidR="00C64D54">
        <w:rPr>
          <w:rStyle w:val="Bodytext20"/>
          <w:rFonts w:ascii="Verdana" w:hAnsi="Verdana" w:cs="Times New Roman"/>
          <w:sz w:val="20"/>
          <w:szCs w:val="20"/>
          <w:lang w:val="pl-PL"/>
        </w:rPr>
        <w:t xml:space="preserve">ci </w:t>
      </w:r>
      <w:r w:rsidRPr="003B7B96">
        <w:rPr>
          <w:rStyle w:val="Bodytext20"/>
          <w:rFonts w:ascii="Verdana" w:hAnsi="Verdana" w:cs="Times New Roman"/>
          <w:sz w:val="20"/>
          <w:szCs w:val="20"/>
          <w:lang w:val="pl-PL"/>
        </w:rPr>
        <w:t>obciążając</w:t>
      </w:r>
      <w:r w:rsidR="00C64D54">
        <w:rPr>
          <w:rStyle w:val="Bodytext20"/>
          <w:rFonts w:ascii="Verdana" w:hAnsi="Verdana" w:cs="Times New Roman"/>
          <w:sz w:val="20"/>
          <w:szCs w:val="20"/>
          <w:lang w:val="pl-PL"/>
        </w:rPr>
        <w:t>ej</w:t>
      </w:r>
      <w:r w:rsidRPr="003B7B96">
        <w:rPr>
          <w:rStyle w:val="Bodytext20"/>
          <w:rFonts w:ascii="Verdana" w:hAnsi="Verdana" w:cs="Times New Roman"/>
          <w:sz w:val="20"/>
          <w:szCs w:val="20"/>
          <w:lang w:val="pl-PL"/>
        </w:rPr>
        <w:t>. Ponadto nie został on jeszcze skazany</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 xml:space="preserve"> a nawet jeśli zostałby uznany winnym i skazany na obligatoryjną karę dożywotniego pozbawienia wolności, przetrzymywanie go w więzieniu przez resztę życia może nadal być uzasadnione. </w:t>
      </w:r>
      <w:r w:rsidR="00C64D54">
        <w:rPr>
          <w:rStyle w:val="Bodytext20"/>
          <w:rFonts w:ascii="Verdana" w:hAnsi="Verdana" w:cs="Times New Roman"/>
          <w:sz w:val="20"/>
          <w:szCs w:val="20"/>
          <w:lang w:val="pl-PL"/>
        </w:rPr>
        <w:t>Gdyby tak nie było</w:t>
      </w:r>
      <w:r w:rsidRPr="003B7B96">
        <w:rPr>
          <w:rStyle w:val="Bodytext20"/>
          <w:rFonts w:ascii="Verdana" w:hAnsi="Verdana" w:cs="Times New Roman"/>
          <w:sz w:val="20"/>
          <w:szCs w:val="20"/>
          <w:lang w:val="pl-PL"/>
        </w:rPr>
        <w:t>, Gubernator Florydy oraz Rada ds. Ułaskawień stanu Floryda mogą</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co do zasady</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 xml:space="preserve">zdecydować o złagodzeniu kary. </w:t>
      </w:r>
      <w:r w:rsidR="00C64D54">
        <w:rPr>
          <w:rStyle w:val="Bodytext20"/>
          <w:rFonts w:ascii="Verdana" w:hAnsi="Verdana" w:cs="Times New Roman"/>
          <w:sz w:val="20"/>
          <w:szCs w:val="20"/>
          <w:lang w:val="pl-PL"/>
        </w:rPr>
        <w:t xml:space="preserve">W odniesieniu do </w:t>
      </w:r>
      <w:r w:rsidRPr="003B7B96">
        <w:rPr>
          <w:rStyle w:val="Bodytext20"/>
          <w:rFonts w:ascii="Verdana" w:hAnsi="Verdana" w:cs="Times New Roman"/>
          <w:sz w:val="20"/>
          <w:szCs w:val="20"/>
          <w:lang w:val="pl-PL"/>
        </w:rPr>
        <w:t xml:space="preserve">drugiego skarżącego, groziła mu </w:t>
      </w:r>
      <w:r w:rsidR="00590829">
        <w:rPr>
          <w:rStyle w:val="Bodytext20"/>
          <w:rFonts w:ascii="Verdana" w:hAnsi="Verdana" w:cs="Times New Roman"/>
          <w:sz w:val="20"/>
          <w:szCs w:val="20"/>
          <w:lang w:val="pl-PL"/>
        </w:rPr>
        <w:t xml:space="preserve">– co najwyżej – uznaniowa </w:t>
      </w:r>
      <w:r w:rsidRPr="003B7B96">
        <w:rPr>
          <w:rStyle w:val="Bodytext20"/>
          <w:rFonts w:ascii="Verdana" w:hAnsi="Verdana" w:cs="Times New Roman"/>
          <w:sz w:val="20"/>
          <w:szCs w:val="20"/>
          <w:lang w:val="pl-PL"/>
        </w:rPr>
        <w:t xml:space="preserve">kara dożywotniego </w:t>
      </w:r>
      <w:r w:rsidR="00590829">
        <w:rPr>
          <w:rStyle w:val="Bodytext20"/>
          <w:rFonts w:ascii="Verdana" w:hAnsi="Verdana" w:cs="Times New Roman"/>
          <w:sz w:val="20"/>
          <w:szCs w:val="20"/>
          <w:lang w:val="pl-PL"/>
        </w:rPr>
        <w:t xml:space="preserve">pozbawienia wolności </w:t>
      </w:r>
      <w:r w:rsidRPr="003B7B96">
        <w:rPr>
          <w:rStyle w:val="Bodytext20"/>
          <w:rFonts w:ascii="Verdana" w:hAnsi="Verdana" w:cs="Times New Roman"/>
          <w:sz w:val="20"/>
          <w:szCs w:val="20"/>
          <w:lang w:val="pl-PL"/>
        </w:rPr>
        <w:t xml:space="preserve">bez możliwości </w:t>
      </w:r>
      <w:r w:rsidR="00590829">
        <w:rPr>
          <w:rStyle w:val="Bodytext20"/>
          <w:rFonts w:ascii="Verdana" w:hAnsi="Verdana" w:cs="Times New Roman"/>
          <w:sz w:val="20"/>
          <w:szCs w:val="20"/>
          <w:lang w:val="pl-PL"/>
        </w:rPr>
        <w:t xml:space="preserve">warunkowego </w:t>
      </w:r>
      <w:r w:rsidRPr="003B7B96">
        <w:rPr>
          <w:rStyle w:val="Bodytext20"/>
          <w:rFonts w:ascii="Verdana" w:hAnsi="Verdana" w:cs="Times New Roman"/>
          <w:sz w:val="20"/>
          <w:szCs w:val="20"/>
          <w:lang w:val="pl-PL"/>
        </w:rPr>
        <w:t xml:space="preserve">zwolnienia. Biorąc pod uwagę, że kara taka </w:t>
      </w:r>
      <w:r w:rsidR="00590829">
        <w:rPr>
          <w:rStyle w:val="Bodytext20"/>
          <w:rFonts w:ascii="Verdana" w:hAnsi="Verdana" w:cs="Times New Roman"/>
          <w:sz w:val="20"/>
          <w:szCs w:val="20"/>
          <w:lang w:val="pl-PL"/>
        </w:rPr>
        <w:t xml:space="preserve">mogłaby </w:t>
      </w:r>
      <w:r w:rsidRPr="003B7B96">
        <w:rPr>
          <w:rStyle w:val="Bodytext20"/>
          <w:rFonts w:ascii="Verdana" w:hAnsi="Verdana" w:cs="Times New Roman"/>
          <w:sz w:val="20"/>
          <w:szCs w:val="20"/>
          <w:lang w:val="pl-PL"/>
        </w:rPr>
        <w:t xml:space="preserve">zostać nałożona tylko po rozważeniu przez sędziego prowadzącego rozprawę wszystkich istotnych </w:t>
      </w:r>
      <w:r w:rsidR="00590829">
        <w:rPr>
          <w:rStyle w:val="Bodytext20"/>
          <w:rFonts w:ascii="Verdana" w:hAnsi="Verdana" w:cs="Times New Roman"/>
          <w:sz w:val="20"/>
          <w:szCs w:val="20"/>
          <w:lang w:val="pl-PL"/>
        </w:rPr>
        <w:t xml:space="preserve">okoliczności </w:t>
      </w:r>
      <w:r w:rsidRPr="003B7B96">
        <w:rPr>
          <w:rStyle w:val="Bodytext20"/>
          <w:rFonts w:ascii="Verdana" w:hAnsi="Verdana" w:cs="Times New Roman"/>
          <w:sz w:val="20"/>
          <w:szCs w:val="20"/>
          <w:lang w:val="pl-PL"/>
        </w:rPr>
        <w:t xml:space="preserve">i tylko </w:t>
      </w:r>
      <w:r w:rsidR="001161E3">
        <w:rPr>
          <w:rStyle w:val="Bodytext20"/>
          <w:rFonts w:ascii="Verdana" w:hAnsi="Verdana" w:cs="Times New Roman"/>
          <w:sz w:val="20"/>
          <w:szCs w:val="20"/>
          <w:lang w:val="pl-PL"/>
        </w:rPr>
        <w:t xml:space="preserve">wtedy, gdy zostanie uznany za winnego </w:t>
      </w:r>
      <w:r w:rsidRPr="003B7B96">
        <w:rPr>
          <w:rStyle w:val="Bodytext20"/>
          <w:rFonts w:ascii="Verdana" w:hAnsi="Verdana" w:cs="Times New Roman"/>
          <w:sz w:val="20"/>
          <w:szCs w:val="20"/>
          <w:lang w:val="pl-PL"/>
        </w:rPr>
        <w:t>popełnienia zabójstwa z premedytacją, Trybunał uznał, ż</w:t>
      </w:r>
      <w:r w:rsidR="001161E3">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taki wyrok nie byłby rażąco nieproporcjonalny.</w:t>
      </w:r>
      <w:bookmarkStart w:id="3" w:name="bookmark5"/>
    </w:p>
    <w:p w14:paraId="0B2FC89A" w14:textId="77777777" w:rsidR="00507D52" w:rsidRDefault="00507D52" w:rsidP="008E2C77">
      <w:pPr>
        <w:spacing w:line="258" w:lineRule="exact"/>
        <w:ind w:left="680" w:right="567"/>
        <w:jc w:val="both"/>
        <w:rPr>
          <w:rStyle w:val="Heading30"/>
          <w:lang w:val="pl-PL"/>
        </w:rPr>
      </w:pPr>
    </w:p>
    <w:p w14:paraId="1D84CAC6" w14:textId="77777777" w:rsidR="00997CD7" w:rsidRDefault="00997CD7" w:rsidP="008E2C77">
      <w:pPr>
        <w:spacing w:line="258" w:lineRule="exact"/>
        <w:ind w:left="680" w:right="567"/>
        <w:jc w:val="both"/>
        <w:rPr>
          <w:rStyle w:val="Heading30"/>
          <w:lang w:val="pl-PL"/>
        </w:rPr>
      </w:pPr>
    </w:p>
    <w:p w14:paraId="432F7FC1" w14:textId="06C1E379" w:rsidR="00507D52" w:rsidRPr="00D82C88" w:rsidRDefault="00D7307D" w:rsidP="00507D52">
      <w:pPr>
        <w:spacing w:line="258" w:lineRule="exact"/>
        <w:ind w:left="680" w:right="567"/>
        <w:jc w:val="both"/>
        <w:rPr>
          <w:rStyle w:val="Heading30"/>
          <w:rFonts w:ascii="Verdana" w:hAnsi="Verdana"/>
          <w:b w:val="0"/>
          <w:bCs w:val="0"/>
          <w:sz w:val="20"/>
          <w:szCs w:val="20"/>
          <w:lang w:val="pl-PL"/>
        </w:rPr>
      </w:pPr>
      <w:hyperlink r:id="rId16" w:history="1">
        <w:r w:rsidRPr="00D82C88">
          <w:rPr>
            <w:rStyle w:val="Hipercze"/>
            <w:rFonts w:eastAsia="Arial" w:cs="Arial"/>
            <w:b/>
            <w:bCs/>
            <w:sz w:val="20"/>
            <w:szCs w:val="20"/>
          </w:rPr>
          <w:t>Babar Ahmad i Inni przeciwko Zjednoczonemu Królestwu</w:t>
        </w:r>
        <w:bookmarkEnd w:id="3"/>
      </w:hyperlink>
    </w:p>
    <w:p w14:paraId="1044F7B7" w14:textId="77777777" w:rsidR="00507D52" w:rsidRPr="00B82F4B" w:rsidRDefault="00D7307D" w:rsidP="00507D52">
      <w:pPr>
        <w:spacing w:line="258" w:lineRule="exact"/>
        <w:ind w:left="680" w:right="567"/>
        <w:jc w:val="both"/>
        <w:rPr>
          <w:color w:val="A6A6A6"/>
          <w:sz w:val="18"/>
          <w:szCs w:val="18"/>
        </w:rPr>
      </w:pPr>
      <w:r w:rsidRPr="00B82F4B">
        <w:rPr>
          <w:color w:val="A6A6A6"/>
          <w:sz w:val="18"/>
          <w:szCs w:val="18"/>
        </w:rPr>
        <w:t>10 kwietnia 2012 r. (wyrok)</w:t>
      </w:r>
    </w:p>
    <w:p w14:paraId="40DFF0D6" w14:textId="77777777" w:rsidR="00507D52" w:rsidRPr="00507D52" w:rsidRDefault="00D7307D" w:rsidP="00507D52">
      <w:pPr>
        <w:spacing w:line="258" w:lineRule="exact"/>
        <w:ind w:left="680" w:right="567"/>
        <w:jc w:val="both"/>
        <w:rPr>
          <w:sz w:val="20"/>
          <w:szCs w:val="20"/>
        </w:rPr>
      </w:pPr>
      <w:r w:rsidRPr="00507D52">
        <w:rPr>
          <w:sz w:val="20"/>
          <w:szCs w:val="20"/>
        </w:rPr>
        <w:t xml:space="preserve">Skarżącym przedstawiony został szereg zarzutów związanych z działalnością terrorystyczną w Stanach Zjednoczonych, które zwróciły się o ich ekstradycję. Skarga dotyczyła ryzyka odbywania wyroku w więzieniu </w:t>
      </w:r>
      <w:r w:rsidR="001345B7">
        <w:rPr>
          <w:sz w:val="20"/>
          <w:szCs w:val="20"/>
        </w:rPr>
        <w:t>o zaostrzonym rygorze</w:t>
      </w:r>
      <w:r w:rsidRPr="00507D52">
        <w:rPr>
          <w:sz w:val="20"/>
          <w:szCs w:val="20"/>
        </w:rPr>
        <w:t xml:space="preserve">, gdzie skarżący mogliby zostać poddani specjalnym środkom administracyjnym, a także </w:t>
      </w:r>
      <w:r w:rsidR="001345B7">
        <w:rPr>
          <w:sz w:val="20"/>
          <w:szCs w:val="20"/>
        </w:rPr>
        <w:t xml:space="preserve">ryzyka </w:t>
      </w:r>
      <w:r w:rsidRPr="00507D52">
        <w:rPr>
          <w:sz w:val="20"/>
          <w:szCs w:val="20"/>
        </w:rPr>
        <w:t xml:space="preserve">skazania na </w:t>
      </w:r>
      <w:r w:rsidR="00B03B06">
        <w:rPr>
          <w:sz w:val="20"/>
          <w:szCs w:val="20"/>
        </w:rPr>
        <w:t>nieredukowalną karę dożywotniego pozbawienia wolności</w:t>
      </w:r>
      <w:r w:rsidRPr="00507D52">
        <w:rPr>
          <w:sz w:val="20"/>
          <w:szCs w:val="20"/>
        </w:rPr>
        <w:t>.</w:t>
      </w:r>
    </w:p>
    <w:p w14:paraId="6A2714E9" w14:textId="77777777" w:rsidR="00AE5DA0" w:rsidRDefault="00AE5DA0" w:rsidP="00115B1D">
      <w:pPr>
        <w:spacing w:after="240" w:line="258" w:lineRule="exact"/>
        <w:ind w:left="680" w:right="567"/>
        <w:jc w:val="both"/>
        <w:rPr>
          <w:rStyle w:val="Bodytext20"/>
          <w:rFonts w:ascii="Verdana" w:hAnsi="Verdana"/>
          <w:sz w:val="20"/>
          <w:szCs w:val="20"/>
          <w:lang w:val="pl-PL"/>
        </w:rPr>
      </w:pPr>
      <w:r>
        <w:rPr>
          <w:rStyle w:val="Bodytext20"/>
          <w:rFonts w:ascii="Verdana" w:hAnsi="Verdana"/>
          <w:sz w:val="20"/>
          <w:szCs w:val="20"/>
          <w:lang w:val="pl-PL"/>
        </w:rPr>
        <w:t>W</w:t>
      </w:r>
      <w:r w:rsidR="00D7307D" w:rsidRPr="00507D52">
        <w:rPr>
          <w:rStyle w:val="Bodytext20"/>
          <w:rFonts w:ascii="Verdana" w:hAnsi="Verdana"/>
          <w:sz w:val="20"/>
          <w:szCs w:val="20"/>
          <w:lang w:val="pl-PL"/>
        </w:rPr>
        <w:t xml:space="preserve"> odniesieniu do pi</w:t>
      </w:r>
      <w:r>
        <w:rPr>
          <w:rStyle w:val="Bodytext20"/>
          <w:rFonts w:ascii="Verdana" w:hAnsi="Verdana"/>
          <w:sz w:val="20"/>
          <w:szCs w:val="20"/>
          <w:lang w:val="pl-PL"/>
        </w:rPr>
        <w:t xml:space="preserve">ęciu </w:t>
      </w:r>
      <w:r w:rsidR="00D7307D" w:rsidRPr="00507D52">
        <w:rPr>
          <w:rStyle w:val="Bodytext20"/>
          <w:rFonts w:ascii="Verdana" w:hAnsi="Verdana"/>
          <w:sz w:val="20"/>
          <w:szCs w:val="20"/>
          <w:lang w:val="pl-PL"/>
        </w:rPr>
        <w:t>skarżących</w:t>
      </w:r>
      <w:r>
        <w:rPr>
          <w:rStyle w:val="Odwoanieprzypisudolnego"/>
          <w:rFonts w:eastAsia="Arial" w:cs="Arial"/>
          <w:color w:val="0071BA"/>
          <w:sz w:val="20"/>
          <w:szCs w:val="20"/>
        </w:rPr>
        <w:footnoteReference w:id="2"/>
      </w:r>
      <w:r>
        <w:rPr>
          <w:rStyle w:val="Bodytext20"/>
          <w:rFonts w:ascii="Verdana" w:hAnsi="Verdana"/>
          <w:sz w:val="20"/>
          <w:szCs w:val="20"/>
          <w:lang w:val="pl-PL"/>
        </w:rPr>
        <w:t xml:space="preserve"> </w:t>
      </w:r>
      <w:r w:rsidRPr="00507D52">
        <w:rPr>
          <w:rStyle w:val="Bodytext20"/>
          <w:rFonts w:ascii="Verdana" w:hAnsi="Verdana"/>
          <w:sz w:val="20"/>
          <w:szCs w:val="20"/>
          <w:lang w:val="pl-PL"/>
        </w:rPr>
        <w:t>Trybunał uznał</w:t>
      </w:r>
      <w:r w:rsidRPr="003B0574">
        <w:rPr>
          <w:rStyle w:val="Bodytext20"/>
          <w:rFonts w:ascii="Verdana" w:hAnsi="Verdana"/>
          <w:b/>
          <w:bCs/>
          <w:sz w:val="20"/>
          <w:szCs w:val="20"/>
          <w:lang w:val="pl-PL"/>
        </w:rPr>
        <w:t>,</w:t>
      </w:r>
      <w:r w:rsidR="00D7307D" w:rsidRPr="003B0574">
        <w:rPr>
          <w:rStyle w:val="Bodytext2Bold"/>
          <w:rFonts w:ascii="Verdana" w:hAnsi="Verdana"/>
          <w:b w:val="0"/>
          <w:bCs w:val="0"/>
          <w:sz w:val="20"/>
          <w:szCs w:val="20"/>
          <w:lang w:val="pl-PL"/>
        </w:rPr>
        <w:t xml:space="preserve"> że jeśli zostaną poddani ekstradycji</w:t>
      </w:r>
      <w:r w:rsidR="00D7307D" w:rsidRPr="00507D52">
        <w:rPr>
          <w:rStyle w:val="Bodytext2Bold"/>
          <w:rFonts w:ascii="Verdana" w:hAnsi="Verdana"/>
          <w:sz w:val="20"/>
          <w:szCs w:val="20"/>
          <w:lang w:val="pl-PL"/>
        </w:rPr>
        <w:t xml:space="preserve"> </w:t>
      </w:r>
      <w:r w:rsidR="00D7307D" w:rsidRPr="003B0574">
        <w:rPr>
          <w:rStyle w:val="Bodytext2Bold"/>
          <w:rFonts w:ascii="Verdana" w:hAnsi="Verdana"/>
          <w:b w:val="0"/>
          <w:bCs w:val="0"/>
          <w:sz w:val="20"/>
          <w:szCs w:val="20"/>
          <w:lang w:val="pl-PL"/>
        </w:rPr>
        <w:t>do Stanów Zjednoczonych,</w:t>
      </w:r>
      <w:r w:rsidR="00D7307D" w:rsidRPr="00507D52">
        <w:rPr>
          <w:rStyle w:val="Bodytext2Bold"/>
          <w:rFonts w:ascii="Verdana" w:hAnsi="Verdana"/>
          <w:sz w:val="20"/>
          <w:szCs w:val="20"/>
          <w:lang w:val="pl-PL"/>
        </w:rPr>
        <w:t xml:space="preserve"> nie </w:t>
      </w:r>
      <w:r>
        <w:rPr>
          <w:rStyle w:val="Bodytext2Bold"/>
          <w:rFonts w:ascii="Verdana" w:hAnsi="Verdana"/>
          <w:sz w:val="20"/>
          <w:szCs w:val="20"/>
          <w:lang w:val="pl-PL"/>
        </w:rPr>
        <w:t xml:space="preserve">dojdzie do </w:t>
      </w:r>
      <w:r w:rsidR="00D7307D" w:rsidRPr="00507D52">
        <w:rPr>
          <w:rStyle w:val="Bodytext2Bold"/>
          <w:rFonts w:ascii="Verdana" w:hAnsi="Verdana"/>
          <w:sz w:val="20"/>
          <w:szCs w:val="20"/>
          <w:lang w:val="pl-PL"/>
        </w:rPr>
        <w:t>naruszenia Artykułu 3 Konwencji</w:t>
      </w:r>
      <w:r>
        <w:rPr>
          <w:rStyle w:val="Bodytext2Bold"/>
          <w:rFonts w:ascii="Verdana" w:hAnsi="Verdana"/>
          <w:sz w:val="20"/>
          <w:szCs w:val="20"/>
          <w:lang w:val="pl-PL"/>
        </w:rPr>
        <w:t xml:space="preserve"> </w:t>
      </w:r>
      <w:r w:rsidR="003B0574">
        <w:rPr>
          <w:rStyle w:val="Bodytext2Bold"/>
          <w:rFonts w:ascii="Verdana" w:hAnsi="Verdana"/>
          <w:sz w:val="20"/>
          <w:szCs w:val="20"/>
          <w:lang w:val="pl-PL"/>
        </w:rPr>
        <w:br/>
      </w:r>
      <w:r w:rsidRPr="003B0574">
        <w:rPr>
          <w:rStyle w:val="Bodytext2Bold"/>
          <w:rFonts w:ascii="Verdana" w:hAnsi="Verdana"/>
          <w:b w:val="0"/>
          <w:bCs w:val="0"/>
          <w:sz w:val="20"/>
          <w:szCs w:val="20"/>
          <w:lang w:val="pl-PL"/>
        </w:rPr>
        <w:t xml:space="preserve">w związku z długością potencjalnie </w:t>
      </w:r>
      <w:r w:rsidR="003B0574" w:rsidRPr="003B0574">
        <w:rPr>
          <w:rStyle w:val="Bodytext2Bold"/>
          <w:rFonts w:ascii="Verdana" w:hAnsi="Verdana"/>
          <w:b w:val="0"/>
          <w:bCs w:val="0"/>
          <w:sz w:val="20"/>
          <w:szCs w:val="20"/>
          <w:lang w:val="pl-PL"/>
        </w:rPr>
        <w:t xml:space="preserve">orzeczonych wobec nich </w:t>
      </w:r>
      <w:r w:rsidRPr="003B0574">
        <w:rPr>
          <w:rStyle w:val="Bodytext2Bold"/>
          <w:rFonts w:ascii="Verdana" w:hAnsi="Verdana"/>
          <w:b w:val="0"/>
          <w:bCs w:val="0"/>
          <w:sz w:val="20"/>
          <w:szCs w:val="20"/>
          <w:lang w:val="pl-PL"/>
        </w:rPr>
        <w:t>kar</w:t>
      </w:r>
      <w:r w:rsidR="00D7307D" w:rsidRPr="003B0574">
        <w:rPr>
          <w:rStyle w:val="Bodytext2Bold"/>
          <w:rFonts w:ascii="Verdana" w:hAnsi="Verdana"/>
          <w:b w:val="0"/>
          <w:bCs w:val="0"/>
          <w:sz w:val="20"/>
          <w:szCs w:val="20"/>
          <w:lang w:val="pl-PL"/>
        </w:rPr>
        <w:t>.</w:t>
      </w:r>
      <w:r w:rsidR="00D7307D" w:rsidRPr="003B0574">
        <w:rPr>
          <w:rStyle w:val="Bodytext20"/>
          <w:rFonts w:ascii="Verdana" w:hAnsi="Verdana"/>
          <w:b/>
          <w:bCs/>
          <w:sz w:val="20"/>
          <w:szCs w:val="20"/>
          <w:lang w:val="pl-PL"/>
        </w:rPr>
        <w:t xml:space="preserve"> </w:t>
      </w:r>
      <w:r w:rsidR="00D7307D" w:rsidRPr="00507D52">
        <w:rPr>
          <w:rStyle w:val="Bodytext20"/>
          <w:rFonts w:ascii="Verdana" w:hAnsi="Verdana"/>
          <w:sz w:val="20"/>
          <w:szCs w:val="20"/>
          <w:lang w:val="pl-PL"/>
        </w:rPr>
        <w:t xml:space="preserve">Trybunał zauważył </w:t>
      </w:r>
      <w:r w:rsidR="00AF2107">
        <w:rPr>
          <w:rStyle w:val="Bodytext20"/>
          <w:rFonts w:ascii="Verdana" w:hAnsi="Verdana"/>
          <w:sz w:val="20"/>
          <w:szCs w:val="20"/>
          <w:lang w:val="pl-PL"/>
        </w:rPr>
        <w:br/>
      </w:r>
      <w:r w:rsidR="00D7307D" w:rsidRPr="00507D52">
        <w:rPr>
          <w:rStyle w:val="Bodytext20"/>
          <w:rFonts w:ascii="Verdana" w:hAnsi="Verdana"/>
          <w:sz w:val="20"/>
          <w:szCs w:val="20"/>
          <w:lang w:val="pl-PL"/>
        </w:rPr>
        <w:t xml:space="preserve">w szczególności, że nie </w:t>
      </w:r>
      <w:r w:rsidR="003B0574">
        <w:rPr>
          <w:rStyle w:val="Bodytext20"/>
          <w:rFonts w:ascii="Verdana" w:hAnsi="Verdana"/>
          <w:sz w:val="20"/>
          <w:szCs w:val="20"/>
          <w:lang w:val="pl-PL"/>
        </w:rPr>
        <w:t xml:space="preserve">jest </w:t>
      </w:r>
      <w:r w:rsidR="00D7307D" w:rsidRPr="00507D52">
        <w:rPr>
          <w:rStyle w:val="Bodytext20"/>
          <w:rFonts w:ascii="Verdana" w:hAnsi="Verdana"/>
          <w:sz w:val="20"/>
          <w:szCs w:val="20"/>
          <w:lang w:val="pl-PL"/>
        </w:rPr>
        <w:t xml:space="preserve">pewne, </w:t>
      </w:r>
      <w:r w:rsidR="003B0574">
        <w:rPr>
          <w:rStyle w:val="Bodytext20"/>
          <w:rFonts w:ascii="Verdana" w:hAnsi="Verdana"/>
          <w:sz w:val="20"/>
          <w:szCs w:val="20"/>
          <w:lang w:val="pl-PL"/>
        </w:rPr>
        <w:t xml:space="preserve">czy </w:t>
      </w:r>
      <w:r w:rsidR="00D7307D" w:rsidRPr="00507D52">
        <w:rPr>
          <w:rStyle w:val="Bodytext20"/>
          <w:rFonts w:ascii="Verdana" w:hAnsi="Verdana"/>
          <w:sz w:val="20"/>
          <w:szCs w:val="20"/>
          <w:lang w:val="pl-PL"/>
        </w:rPr>
        <w:t xml:space="preserve">– w razie ekstradycji – skarżący zostaliby skazani ani </w:t>
      </w:r>
      <w:r w:rsidR="003B0574">
        <w:rPr>
          <w:rStyle w:val="Bodytext20"/>
          <w:rFonts w:ascii="Verdana" w:hAnsi="Verdana"/>
          <w:sz w:val="20"/>
          <w:szCs w:val="20"/>
          <w:lang w:val="pl-PL"/>
        </w:rPr>
        <w:t xml:space="preserve">czy zostałaby orzeczona </w:t>
      </w:r>
      <w:r w:rsidR="00D7307D" w:rsidRPr="00507D52">
        <w:rPr>
          <w:rStyle w:val="Bodytext20"/>
          <w:rFonts w:ascii="Verdana" w:hAnsi="Verdana"/>
          <w:sz w:val="20"/>
          <w:szCs w:val="20"/>
          <w:lang w:val="pl-PL"/>
        </w:rPr>
        <w:t xml:space="preserve">wobec nich uznaniowa kara dożywotniego pozbawienia wolności. Jednakże nawet jeśli taka kara zostałaby nałożona na skarżących, biorąc pod uwagę ciężar </w:t>
      </w:r>
      <w:r w:rsidR="00A86AD9">
        <w:rPr>
          <w:rStyle w:val="Bodytext20"/>
          <w:rFonts w:ascii="Verdana" w:hAnsi="Verdana"/>
          <w:sz w:val="20"/>
          <w:szCs w:val="20"/>
          <w:lang w:val="pl-PL"/>
        </w:rPr>
        <w:t xml:space="preserve">postawionych im </w:t>
      </w:r>
      <w:r w:rsidR="00D7307D" w:rsidRPr="00507D52">
        <w:rPr>
          <w:rStyle w:val="Bodytext20"/>
          <w:rFonts w:ascii="Verdana" w:hAnsi="Verdana"/>
          <w:sz w:val="20"/>
          <w:szCs w:val="20"/>
          <w:lang w:val="pl-PL"/>
        </w:rPr>
        <w:t>zarzutów, Trybunał nie uznał</w:t>
      </w:r>
      <w:r w:rsidR="00A86AD9">
        <w:rPr>
          <w:rStyle w:val="Bodytext20"/>
          <w:rFonts w:ascii="Verdana" w:hAnsi="Verdana"/>
          <w:sz w:val="20"/>
          <w:szCs w:val="20"/>
          <w:lang w:val="pl-PL"/>
        </w:rPr>
        <w:t xml:space="preserve">, że byłaby ona </w:t>
      </w:r>
      <w:r w:rsidR="00D7307D" w:rsidRPr="00507D52">
        <w:rPr>
          <w:rStyle w:val="Bodytext20"/>
          <w:rFonts w:ascii="Verdana" w:hAnsi="Verdana"/>
          <w:sz w:val="20"/>
          <w:szCs w:val="20"/>
          <w:lang w:val="pl-PL"/>
        </w:rPr>
        <w:t>rażąco nieproporcjonaln</w:t>
      </w:r>
      <w:r w:rsidR="00A86AD9">
        <w:rPr>
          <w:rStyle w:val="Bodytext20"/>
          <w:rFonts w:ascii="Verdana" w:hAnsi="Verdana"/>
          <w:sz w:val="20"/>
          <w:szCs w:val="20"/>
          <w:lang w:val="pl-PL"/>
        </w:rPr>
        <w:t>a</w:t>
      </w:r>
      <w:r w:rsidR="00D7307D" w:rsidRPr="00507D52">
        <w:rPr>
          <w:rStyle w:val="Bodytext20"/>
          <w:rFonts w:ascii="Verdana" w:hAnsi="Verdana"/>
          <w:sz w:val="20"/>
          <w:szCs w:val="20"/>
          <w:lang w:val="pl-PL"/>
        </w:rPr>
        <w:t xml:space="preserve">. Ponadto, z uwagi na fakt, że żaden ze skarżących nie został jeszcze skazany ani nie rozpoczął </w:t>
      </w:r>
      <w:r w:rsidR="00A86AD9">
        <w:rPr>
          <w:rStyle w:val="Bodytext20"/>
          <w:rFonts w:ascii="Verdana" w:hAnsi="Verdana"/>
          <w:sz w:val="20"/>
          <w:szCs w:val="20"/>
          <w:lang w:val="pl-PL"/>
        </w:rPr>
        <w:t>odbywania kary</w:t>
      </w:r>
      <w:r w:rsidR="00D7307D" w:rsidRPr="00507D52">
        <w:rPr>
          <w:rStyle w:val="Bodytext20"/>
          <w:rFonts w:ascii="Verdana" w:hAnsi="Verdana"/>
          <w:sz w:val="20"/>
          <w:szCs w:val="20"/>
          <w:lang w:val="pl-PL"/>
        </w:rPr>
        <w:t>, Trybunał uznał, że nie wykazali oni że</w:t>
      </w:r>
      <w:r w:rsidR="00A86AD9">
        <w:rPr>
          <w:rStyle w:val="Bodytext20"/>
          <w:rFonts w:ascii="Verdana" w:hAnsi="Verdana"/>
          <w:sz w:val="20"/>
          <w:szCs w:val="20"/>
          <w:lang w:val="pl-PL"/>
        </w:rPr>
        <w:t xml:space="preserve">, </w:t>
      </w:r>
      <w:r w:rsidR="00D7307D" w:rsidRPr="00507D52">
        <w:rPr>
          <w:rStyle w:val="Bodytext20"/>
          <w:rFonts w:ascii="Verdana" w:hAnsi="Verdana"/>
          <w:sz w:val="20"/>
          <w:szCs w:val="20"/>
          <w:lang w:val="pl-PL"/>
        </w:rPr>
        <w:t>po ekstradycji</w:t>
      </w:r>
      <w:r w:rsidR="00A86AD9">
        <w:rPr>
          <w:rStyle w:val="Bodytext20"/>
          <w:rFonts w:ascii="Verdana" w:hAnsi="Verdana"/>
          <w:sz w:val="20"/>
          <w:szCs w:val="20"/>
          <w:lang w:val="pl-PL"/>
        </w:rPr>
        <w:t xml:space="preserve">, </w:t>
      </w:r>
      <w:r w:rsidR="00D7307D" w:rsidRPr="00507D52">
        <w:rPr>
          <w:rStyle w:val="Bodytext20"/>
          <w:rFonts w:ascii="Verdana" w:hAnsi="Verdana"/>
          <w:sz w:val="20"/>
          <w:szCs w:val="20"/>
          <w:lang w:val="pl-PL"/>
        </w:rPr>
        <w:t xml:space="preserve">ich </w:t>
      </w:r>
      <w:r w:rsidR="00A86AD9">
        <w:rPr>
          <w:rStyle w:val="Bodytext20"/>
          <w:rFonts w:ascii="Verdana" w:hAnsi="Verdana"/>
          <w:sz w:val="20"/>
          <w:szCs w:val="20"/>
          <w:lang w:val="pl-PL"/>
        </w:rPr>
        <w:t xml:space="preserve">osadzenie </w:t>
      </w:r>
      <w:r w:rsidR="00D7307D" w:rsidRPr="00507D52">
        <w:rPr>
          <w:rStyle w:val="Bodytext20"/>
          <w:rFonts w:ascii="Verdana" w:hAnsi="Verdana"/>
          <w:sz w:val="20"/>
          <w:szCs w:val="20"/>
          <w:lang w:val="pl-PL"/>
        </w:rPr>
        <w:t xml:space="preserve">w więzieniu w Stanach Zjednoczonych nie </w:t>
      </w:r>
      <w:r w:rsidR="00E87ABD">
        <w:rPr>
          <w:rStyle w:val="Bodytext20"/>
          <w:rFonts w:ascii="Verdana" w:hAnsi="Verdana"/>
          <w:sz w:val="20"/>
          <w:szCs w:val="20"/>
          <w:lang w:val="pl-PL"/>
        </w:rPr>
        <w:t xml:space="preserve">będzie </w:t>
      </w:r>
      <w:r w:rsidR="00D7307D" w:rsidRPr="00507D52">
        <w:rPr>
          <w:rStyle w:val="Bodytext20"/>
          <w:rFonts w:ascii="Verdana" w:hAnsi="Verdana"/>
          <w:sz w:val="20"/>
          <w:szCs w:val="20"/>
          <w:lang w:val="pl-PL"/>
        </w:rPr>
        <w:t xml:space="preserve">służyło żadnemu uzasadnionemu </w:t>
      </w:r>
      <w:r w:rsidR="00E87ABD">
        <w:rPr>
          <w:rStyle w:val="Bodytext20"/>
          <w:rFonts w:ascii="Verdana" w:hAnsi="Verdana"/>
          <w:sz w:val="20"/>
          <w:szCs w:val="20"/>
          <w:lang w:val="pl-PL"/>
        </w:rPr>
        <w:t xml:space="preserve">celowi </w:t>
      </w:r>
      <w:r w:rsidR="00D7307D" w:rsidRPr="00507D52">
        <w:rPr>
          <w:rStyle w:val="Bodytext20"/>
          <w:rFonts w:ascii="Verdana" w:hAnsi="Verdana"/>
          <w:sz w:val="20"/>
          <w:szCs w:val="20"/>
          <w:lang w:val="pl-PL"/>
        </w:rPr>
        <w:t xml:space="preserve">penologicznemu. </w:t>
      </w:r>
      <w:r w:rsidR="00E87ABD">
        <w:rPr>
          <w:rStyle w:val="Bodytext20"/>
          <w:rFonts w:ascii="Verdana" w:hAnsi="Verdana"/>
          <w:sz w:val="20"/>
          <w:szCs w:val="20"/>
          <w:lang w:val="pl-PL"/>
        </w:rPr>
        <w:t xml:space="preserve">Ponadto nie było </w:t>
      </w:r>
      <w:r w:rsidR="00D7307D" w:rsidRPr="00507D52">
        <w:rPr>
          <w:rStyle w:val="Bodytext20"/>
          <w:rFonts w:ascii="Verdana" w:hAnsi="Verdana"/>
          <w:sz w:val="20"/>
          <w:szCs w:val="20"/>
          <w:lang w:val="pl-PL"/>
        </w:rPr>
        <w:t>pewn</w:t>
      </w:r>
      <w:r w:rsidR="00E87ABD">
        <w:rPr>
          <w:rStyle w:val="Bodytext20"/>
          <w:rFonts w:ascii="Verdana" w:hAnsi="Verdana"/>
          <w:sz w:val="20"/>
          <w:szCs w:val="20"/>
          <w:lang w:val="pl-PL"/>
        </w:rPr>
        <w:t>e,</w:t>
      </w:r>
      <w:r w:rsidR="00D7307D" w:rsidRPr="00507D52">
        <w:rPr>
          <w:rStyle w:val="Bodytext20"/>
          <w:rFonts w:ascii="Verdana" w:hAnsi="Verdana"/>
          <w:sz w:val="20"/>
          <w:szCs w:val="20"/>
          <w:lang w:val="pl-PL"/>
        </w:rPr>
        <w:t xml:space="preserve"> czy w razie zaistnienia takiej okoliczności, władze USA odmówią skorzystania z mechanizmów dostępnych w ich systemie w celu skrócenia kar </w:t>
      </w:r>
      <w:r w:rsidR="00E87ABD">
        <w:rPr>
          <w:rStyle w:val="Bodytext20"/>
          <w:rFonts w:ascii="Verdana" w:hAnsi="Verdana"/>
          <w:sz w:val="20"/>
          <w:szCs w:val="20"/>
          <w:lang w:val="pl-PL"/>
        </w:rPr>
        <w:t>potencjalnie wymierzonych skarżącym</w:t>
      </w:r>
      <w:r w:rsidR="00D7307D" w:rsidRPr="00507D52">
        <w:rPr>
          <w:rStyle w:val="Bodytext20"/>
          <w:rFonts w:ascii="Verdana" w:hAnsi="Verdana"/>
          <w:sz w:val="20"/>
          <w:szCs w:val="20"/>
          <w:lang w:val="pl-PL"/>
        </w:rPr>
        <w:t>.</w:t>
      </w:r>
    </w:p>
    <w:bookmarkStart w:id="4" w:name="_Hlk45035600"/>
    <w:p w14:paraId="785A204F" w14:textId="77777777" w:rsidR="0019578A" w:rsidRPr="00AF2107" w:rsidRDefault="0019578A" w:rsidP="0019578A">
      <w:pPr>
        <w:pStyle w:val="Style3"/>
        <w:widowControl/>
        <w:spacing w:before="43"/>
        <w:ind w:left="680"/>
        <w:rPr>
          <w:rStyle w:val="FontStyle21"/>
          <w:b w:val="0"/>
          <w:bCs w:val="0"/>
          <w:color w:val="4472C4"/>
          <w:sz w:val="20"/>
          <w:szCs w:val="20"/>
          <w:u w:val="single"/>
          <w:lang w:eastAsia="en-US"/>
        </w:rPr>
      </w:pPr>
      <w:r w:rsidRPr="00AF2107">
        <w:fldChar w:fldCharType="begin"/>
      </w:r>
      <w:r w:rsidRPr="004F0D86">
        <w:rPr>
          <w:color w:val="4472C4"/>
          <w:sz w:val="20"/>
          <w:szCs w:val="20"/>
        </w:rPr>
        <w:instrText xml:space="preserve"> HYPERLINK "http://hudoc.echr.coe.int/eng-press?i=003-4832292-5894912" </w:instrText>
      </w:r>
      <w:r w:rsidRPr="00AF2107">
        <w:fldChar w:fldCharType="separate"/>
      </w:r>
      <w:r w:rsidR="00A61228" w:rsidRPr="00A61228">
        <w:rPr>
          <w:rStyle w:val="Bodytext20"/>
          <w:rFonts w:ascii="Verdana" w:hAnsi="Verdana"/>
          <w:b/>
          <w:bCs/>
          <w:sz w:val="20"/>
          <w:szCs w:val="20"/>
          <w:u w:val="single"/>
          <w:lang w:val="pl-PL"/>
        </w:rPr>
        <w:t xml:space="preserve">Čalovskis </w:t>
      </w:r>
      <w:r w:rsidR="00C676CC">
        <w:rPr>
          <w:rStyle w:val="Bodytext20"/>
          <w:rFonts w:ascii="Verdana" w:hAnsi="Verdana"/>
          <w:b/>
          <w:bCs/>
          <w:sz w:val="20"/>
          <w:szCs w:val="20"/>
          <w:u w:val="single"/>
          <w:lang w:val="pl-PL"/>
        </w:rPr>
        <w:t>p</w:t>
      </w:r>
      <w:r w:rsidR="00A61228" w:rsidRPr="00AF2107">
        <w:rPr>
          <w:rStyle w:val="Bodytext20"/>
          <w:rFonts w:ascii="Verdana" w:hAnsi="Verdana"/>
          <w:b/>
          <w:bCs/>
          <w:sz w:val="20"/>
          <w:szCs w:val="20"/>
          <w:u w:val="single"/>
          <w:lang w:val="pl-PL"/>
        </w:rPr>
        <w:t>rzeciwko Litwie</w:t>
      </w:r>
      <w:r w:rsidRPr="00AF2107">
        <w:rPr>
          <w:rStyle w:val="Hipercze"/>
          <w:b/>
          <w:bCs/>
          <w:color w:val="4472C4"/>
          <w:sz w:val="20"/>
          <w:szCs w:val="20"/>
          <w:lang w:val="en-US" w:eastAsia="en-US"/>
        </w:rPr>
        <w:fldChar w:fldCharType="end"/>
      </w:r>
    </w:p>
    <w:p w14:paraId="34966598" w14:textId="77777777" w:rsidR="0019578A" w:rsidRPr="004F0D86" w:rsidRDefault="0019578A" w:rsidP="0019578A">
      <w:pPr>
        <w:pStyle w:val="Style8"/>
        <w:widowControl/>
        <w:spacing w:before="43" w:line="240" w:lineRule="exact"/>
        <w:ind w:left="680"/>
        <w:rPr>
          <w:rStyle w:val="FontStyle17"/>
          <w:rFonts w:eastAsia="Arial"/>
          <w:color w:val="A6A6A6"/>
        </w:rPr>
      </w:pPr>
      <w:r w:rsidRPr="004F0D86">
        <w:rPr>
          <w:rStyle w:val="FontStyle17"/>
          <w:rFonts w:eastAsia="Arial"/>
          <w:color w:val="A6A6A6"/>
        </w:rPr>
        <w:t xml:space="preserve">24 </w:t>
      </w:r>
      <w:r w:rsidR="004F0D86" w:rsidRPr="004F0D86">
        <w:rPr>
          <w:rStyle w:val="FontStyle17"/>
          <w:rFonts w:eastAsia="Arial"/>
          <w:color w:val="A6A6A6"/>
        </w:rPr>
        <w:t xml:space="preserve">lipca </w:t>
      </w:r>
      <w:r w:rsidRPr="004F0D86">
        <w:rPr>
          <w:rStyle w:val="FontStyle17"/>
          <w:rFonts w:eastAsia="Arial"/>
          <w:color w:val="A6A6A6"/>
        </w:rPr>
        <w:t xml:space="preserve">2014 </w:t>
      </w:r>
      <w:r w:rsidR="004F0D86" w:rsidRPr="004F0D86">
        <w:rPr>
          <w:rStyle w:val="FontStyle17"/>
          <w:rFonts w:eastAsia="Arial"/>
          <w:color w:val="A6A6A6"/>
        </w:rPr>
        <w:t xml:space="preserve">r. </w:t>
      </w:r>
      <w:r w:rsidRPr="004F0D86">
        <w:rPr>
          <w:rStyle w:val="FontStyle17"/>
          <w:rFonts w:eastAsia="Arial"/>
          <w:color w:val="A6A6A6"/>
        </w:rPr>
        <w:t>(</w:t>
      </w:r>
      <w:r w:rsidR="004F0D86" w:rsidRPr="004F0D86">
        <w:rPr>
          <w:rStyle w:val="FontStyle17"/>
          <w:rFonts w:eastAsia="Arial"/>
          <w:color w:val="A6A6A6"/>
        </w:rPr>
        <w:t>wyrok</w:t>
      </w:r>
      <w:r w:rsidRPr="004F0D86">
        <w:rPr>
          <w:rStyle w:val="FontStyle17"/>
          <w:rFonts w:eastAsia="Arial"/>
          <w:color w:val="A6A6A6"/>
        </w:rPr>
        <w:t>)</w:t>
      </w:r>
    </w:p>
    <w:p w14:paraId="08C44B78" w14:textId="77777777" w:rsidR="0020403D" w:rsidRPr="00A5348B" w:rsidRDefault="008329C4" w:rsidP="00420C75">
      <w:pPr>
        <w:pStyle w:val="Style8"/>
        <w:widowControl/>
        <w:spacing w:before="43" w:line="240" w:lineRule="exact"/>
        <w:ind w:left="680" w:right="567"/>
        <w:jc w:val="both"/>
        <w:rPr>
          <w:rStyle w:val="FontStyle17"/>
          <w:rFonts w:eastAsia="Arial"/>
          <w:color w:val="000000"/>
          <w:sz w:val="20"/>
          <w:szCs w:val="20"/>
        </w:rPr>
      </w:pPr>
      <w:r w:rsidRPr="00A5348B">
        <w:rPr>
          <w:rStyle w:val="FontStyle17"/>
          <w:rFonts w:eastAsia="Arial"/>
          <w:color w:val="000000"/>
          <w:sz w:val="20"/>
          <w:szCs w:val="20"/>
        </w:rPr>
        <w:t xml:space="preserve">Sprawa dotyczyła zatrzymania </w:t>
      </w:r>
      <w:r w:rsidR="005F5C34" w:rsidRPr="00A5348B">
        <w:rPr>
          <w:rStyle w:val="FontStyle17"/>
          <w:rFonts w:eastAsia="Arial"/>
          <w:color w:val="000000"/>
          <w:sz w:val="20"/>
          <w:szCs w:val="20"/>
        </w:rPr>
        <w:t xml:space="preserve">i </w:t>
      </w:r>
      <w:r w:rsidR="005F5C34" w:rsidRPr="005F5C34">
        <w:rPr>
          <w:rStyle w:val="FontStyle17"/>
          <w:rFonts w:eastAsia="Arial"/>
          <w:color w:val="000000"/>
          <w:sz w:val="20"/>
          <w:szCs w:val="20"/>
        </w:rPr>
        <w:t xml:space="preserve">aresztowania </w:t>
      </w:r>
      <w:r w:rsidRPr="00A5348B">
        <w:rPr>
          <w:rStyle w:val="FontStyle17"/>
          <w:rFonts w:eastAsia="Arial"/>
          <w:color w:val="000000"/>
          <w:sz w:val="20"/>
          <w:szCs w:val="20"/>
        </w:rPr>
        <w:t xml:space="preserve">skarżącego </w:t>
      </w:r>
      <w:r w:rsidR="005F5C34" w:rsidRPr="00A5348B">
        <w:rPr>
          <w:rStyle w:val="FontStyle17"/>
          <w:rFonts w:eastAsia="Arial"/>
          <w:color w:val="000000"/>
          <w:sz w:val="20"/>
          <w:szCs w:val="20"/>
        </w:rPr>
        <w:t xml:space="preserve">do czasu </w:t>
      </w:r>
      <w:r w:rsidRPr="00A5348B">
        <w:rPr>
          <w:rStyle w:val="FontStyle17"/>
          <w:rFonts w:eastAsia="Arial"/>
          <w:color w:val="000000"/>
          <w:sz w:val="20"/>
          <w:szCs w:val="20"/>
        </w:rPr>
        <w:t>ekstradycj</w:t>
      </w:r>
      <w:r w:rsidR="005F5C34" w:rsidRPr="00A5348B">
        <w:rPr>
          <w:rStyle w:val="FontStyle17"/>
          <w:rFonts w:eastAsia="Arial"/>
          <w:color w:val="000000"/>
          <w:sz w:val="20"/>
          <w:szCs w:val="20"/>
        </w:rPr>
        <w:t>i</w:t>
      </w:r>
      <w:r w:rsidRPr="00A5348B">
        <w:rPr>
          <w:rStyle w:val="FontStyle17"/>
          <w:rFonts w:eastAsia="Arial"/>
          <w:color w:val="000000"/>
          <w:sz w:val="20"/>
          <w:szCs w:val="20"/>
        </w:rPr>
        <w:t xml:space="preserve">, jak również zezwolenia na jego ekstradycję do Stanów Zjednoczonych w celu postawienia go przed sądem w związku z zarzutem udziału w przestępstwach związanych z cyberprzestępczością. Skarżący twierdził w szczególności, że w przypadku ekstradycji z Łotwy groziłyby mu tortury </w:t>
      </w:r>
      <w:r w:rsidR="00A40C5B" w:rsidRPr="00A5348B">
        <w:rPr>
          <w:rStyle w:val="FontStyle17"/>
          <w:rFonts w:eastAsia="Arial"/>
          <w:color w:val="000000"/>
          <w:sz w:val="20"/>
          <w:szCs w:val="20"/>
        </w:rPr>
        <w:t xml:space="preserve">oraz orzeczenie </w:t>
      </w:r>
      <w:r w:rsidRPr="00A5348B">
        <w:rPr>
          <w:rStyle w:val="FontStyle17"/>
          <w:rFonts w:eastAsia="Arial"/>
          <w:color w:val="000000"/>
          <w:sz w:val="20"/>
          <w:szCs w:val="20"/>
        </w:rPr>
        <w:t>nieproporcjonalnie wysok</w:t>
      </w:r>
      <w:r w:rsidR="00A40C5B" w:rsidRPr="00A5348B">
        <w:rPr>
          <w:rStyle w:val="FontStyle17"/>
          <w:rFonts w:eastAsia="Arial"/>
          <w:color w:val="000000"/>
          <w:sz w:val="20"/>
          <w:szCs w:val="20"/>
        </w:rPr>
        <w:t xml:space="preserve">iej </w:t>
      </w:r>
      <w:r w:rsidRPr="00A5348B">
        <w:rPr>
          <w:rStyle w:val="FontStyle17"/>
          <w:rFonts w:eastAsia="Arial"/>
          <w:color w:val="000000"/>
          <w:sz w:val="20"/>
          <w:szCs w:val="20"/>
        </w:rPr>
        <w:t>kar</w:t>
      </w:r>
      <w:r w:rsidR="00A40C5B" w:rsidRPr="00A5348B">
        <w:rPr>
          <w:rStyle w:val="FontStyle17"/>
          <w:rFonts w:eastAsia="Arial"/>
          <w:color w:val="000000"/>
          <w:sz w:val="20"/>
          <w:szCs w:val="20"/>
        </w:rPr>
        <w:t>y</w:t>
      </w:r>
      <w:r w:rsidRPr="00A5348B">
        <w:rPr>
          <w:rStyle w:val="FontStyle17"/>
          <w:rFonts w:eastAsia="Arial"/>
          <w:color w:val="000000"/>
          <w:sz w:val="20"/>
          <w:szCs w:val="20"/>
        </w:rPr>
        <w:t xml:space="preserve"> pozbawienia wolności. </w:t>
      </w:r>
    </w:p>
    <w:p w14:paraId="6D8FE680" w14:textId="77777777" w:rsidR="0019578A" w:rsidRDefault="0020403D" w:rsidP="000B0737">
      <w:pPr>
        <w:pStyle w:val="Style8"/>
        <w:widowControl/>
        <w:spacing w:before="43" w:line="240" w:lineRule="exact"/>
        <w:ind w:left="680" w:right="397"/>
        <w:jc w:val="both"/>
        <w:rPr>
          <w:rStyle w:val="FontStyle22"/>
          <w:lang w:val="en-US" w:eastAsia="en-US"/>
        </w:rPr>
      </w:pPr>
      <w:r w:rsidRPr="00507D52">
        <w:rPr>
          <w:rStyle w:val="Bodytext20"/>
          <w:rFonts w:ascii="Verdana" w:hAnsi="Verdana"/>
          <w:sz w:val="20"/>
          <w:szCs w:val="20"/>
          <w:lang w:val="pl-PL"/>
        </w:rPr>
        <w:t xml:space="preserve">Trybunał </w:t>
      </w:r>
      <w:r>
        <w:rPr>
          <w:rStyle w:val="Bodytext20"/>
          <w:rFonts w:ascii="Verdana" w:hAnsi="Verdana"/>
          <w:sz w:val="20"/>
          <w:szCs w:val="20"/>
          <w:lang w:val="pl-PL"/>
        </w:rPr>
        <w:t>orzekł</w:t>
      </w:r>
      <w:r w:rsidRPr="003B0574">
        <w:rPr>
          <w:rStyle w:val="Bodytext20"/>
          <w:rFonts w:ascii="Verdana" w:hAnsi="Verdana"/>
          <w:b/>
          <w:bCs/>
          <w:sz w:val="20"/>
          <w:szCs w:val="20"/>
          <w:lang w:val="pl-PL"/>
        </w:rPr>
        <w:t>,</w:t>
      </w:r>
      <w:r w:rsidRPr="003B0574">
        <w:rPr>
          <w:rStyle w:val="Bodytext2Bold"/>
          <w:rFonts w:ascii="Verdana" w:hAnsi="Verdana"/>
          <w:b w:val="0"/>
          <w:bCs w:val="0"/>
          <w:sz w:val="20"/>
          <w:szCs w:val="20"/>
          <w:lang w:val="pl-PL"/>
        </w:rPr>
        <w:t xml:space="preserve"> że </w:t>
      </w:r>
      <w:r w:rsidRPr="00507D52">
        <w:rPr>
          <w:rStyle w:val="Bodytext2Bold"/>
          <w:rFonts w:ascii="Verdana" w:hAnsi="Verdana"/>
          <w:sz w:val="20"/>
          <w:szCs w:val="20"/>
          <w:lang w:val="pl-PL"/>
        </w:rPr>
        <w:t xml:space="preserve">nie </w:t>
      </w:r>
      <w:r>
        <w:rPr>
          <w:rStyle w:val="Bodytext2Bold"/>
          <w:rFonts w:ascii="Verdana" w:hAnsi="Verdana"/>
          <w:sz w:val="20"/>
          <w:szCs w:val="20"/>
          <w:lang w:val="pl-PL"/>
        </w:rPr>
        <w:t>do</w:t>
      </w:r>
      <w:r w:rsidR="00420C75">
        <w:rPr>
          <w:rStyle w:val="Bodytext2Bold"/>
          <w:rFonts w:ascii="Verdana" w:hAnsi="Verdana"/>
          <w:sz w:val="20"/>
          <w:szCs w:val="20"/>
          <w:lang w:val="pl-PL"/>
        </w:rPr>
        <w:t xml:space="preserve">szło </w:t>
      </w:r>
      <w:r>
        <w:rPr>
          <w:rStyle w:val="Bodytext2Bold"/>
          <w:rFonts w:ascii="Verdana" w:hAnsi="Verdana"/>
          <w:sz w:val="20"/>
          <w:szCs w:val="20"/>
          <w:lang w:val="pl-PL"/>
        </w:rPr>
        <w:t xml:space="preserve">do </w:t>
      </w:r>
      <w:r w:rsidRPr="00507D52">
        <w:rPr>
          <w:rStyle w:val="Bodytext2Bold"/>
          <w:rFonts w:ascii="Verdana" w:hAnsi="Verdana"/>
          <w:sz w:val="20"/>
          <w:szCs w:val="20"/>
          <w:lang w:val="pl-PL"/>
        </w:rPr>
        <w:t>naruszenia Artykułu 3 Konwencji</w:t>
      </w:r>
      <w:r>
        <w:rPr>
          <w:rStyle w:val="Bodytext2Bold"/>
          <w:rFonts w:ascii="Verdana" w:hAnsi="Verdana"/>
          <w:sz w:val="20"/>
          <w:szCs w:val="20"/>
          <w:lang w:val="pl-PL"/>
        </w:rPr>
        <w:t xml:space="preserve"> </w:t>
      </w:r>
      <w:r w:rsidRPr="0020403D">
        <w:rPr>
          <w:rStyle w:val="Bodytext2Bold"/>
          <w:rFonts w:ascii="Verdana" w:hAnsi="Verdana"/>
          <w:b w:val="0"/>
          <w:bCs w:val="0"/>
          <w:sz w:val="20"/>
          <w:szCs w:val="20"/>
          <w:lang w:val="pl-PL"/>
        </w:rPr>
        <w:t xml:space="preserve">w </w:t>
      </w:r>
      <w:r>
        <w:rPr>
          <w:rStyle w:val="Bodytext2Bold"/>
          <w:rFonts w:ascii="Verdana" w:hAnsi="Verdana"/>
          <w:b w:val="0"/>
          <w:bCs w:val="0"/>
          <w:sz w:val="20"/>
          <w:szCs w:val="20"/>
          <w:lang w:val="pl-PL"/>
        </w:rPr>
        <w:t>odniesieniu do wydania skarżącego w drodze ekstrady</w:t>
      </w:r>
      <w:r w:rsidR="00A40C5B">
        <w:rPr>
          <w:rStyle w:val="Bodytext2Bold"/>
          <w:rFonts w:ascii="Verdana" w:hAnsi="Verdana"/>
          <w:b w:val="0"/>
          <w:bCs w:val="0"/>
          <w:sz w:val="20"/>
          <w:szCs w:val="20"/>
          <w:lang w:val="pl-PL"/>
        </w:rPr>
        <w:t>cj</w:t>
      </w:r>
      <w:r>
        <w:rPr>
          <w:rStyle w:val="Bodytext2Bold"/>
          <w:rFonts w:ascii="Verdana" w:hAnsi="Verdana"/>
          <w:b w:val="0"/>
          <w:bCs w:val="0"/>
          <w:sz w:val="20"/>
          <w:szCs w:val="20"/>
          <w:lang w:val="pl-PL"/>
        </w:rPr>
        <w:t>i</w:t>
      </w:r>
      <w:r w:rsidR="00A40C5B">
        <w:rPr>
          <w:rStyle w:val="Bodytext2Bold"/>
          <w:rFonts w:ascii="Verdana" w:hAnsi="Verdana"/>
          <w:b w:val="0"/>
          <w:bCs w:val="0"/>
          <w:sz w:val="20"/>
          <w:szCs w:val="20"/>
          <w:lang w:val="pl-PL"/>
        </w:rPr>
        <w:t xml:space="preserve">, </w:t>
      </w:r>
      <w:r w:rsidR="00A40C5B" w:rsidRPr="00A40C5B">
        <w:rPr>
          <w:rStyle w:val="Bodytext2Bold"/>
          <w:rFonts w:ascii="Verdana" w:hAnsi="Verdana"/>
          <w:b w:val="0"/>
          <w:bCs w:val="0"/>
          <w:sz w:val="20"/>
          <w:szCs w:val="20"/>
          <w:lang w:val="pl-PL"/>
        </w:rPr>
        <w:t>s</w:t>
      </w:r>
      <w:r w:rsidR="00A40C5B">
        <w:rPr>
          <w:rStyle w:val="Bodytext2Bold"/>
          <w:rFonts w:ascii="Verdana" w:hAnsi="Verdana"/>
          <w:b w:val="0"/>
          <w:bCs w:val="0"/>
          <w:sz w:val="20"/>
          <w:szCs w:val="20"/>
          <w:lang w:val="pl-PL"/>
        </w:rPr>
        <w:t>t</w:t>
      </w:r>
      <w:r w:rsidR="00A40C5B" w:rsidRPr="00A40C5B">
        <w:rPr>
          <w:rStyle w:val="Bodytext2Bold"/>
          <w:rFonts w:ascii="Verdana" w:hAnsi="Verdana"/>
          <w:b w:val="0"/>
          <w:bCs w:val="0"/>
          <w:sz w:val="20"/>
          <w:szCs w:val="20"/>
          <w:lang w:val="pl-PL"/>
        </w:rPr>
        <w:t xml:space="preserve">wierdzając, że gdyby został poddany ekstradycji </w:t>
      </w:r>
      <w:r w:rsidR="00C35B8F">
        <w:rPr>
          <w:rStyle w:val="Bodytext2Bold"/>
          <w:rFonts w:ascii="Verdana" w:hAnsi="Verdana"/>
          <w:b w:val="0"/>
          <w:bCs w:val="0"/>
          <w:sz w:val="20"/>
          <w:szCs w:val="20"/>
          <w:lang w:val="pl-PL"/>
        </w:rPr>
        <w:br/>
        <w:t>d</w:t>
      </w:r>
      <w:r w:rsidR="00A40C5B" w:rsidRPr="00A40C5B">
        <w:rPr>
          <w:rStyle w:val="Bodytext2Bold"/>
          <w:rFonts w:ascii="Verdana" w:hAnsi="Verdana"/>
          <w:b w:val="0"/>
          <w:bCs w:val="0"/>
          <w:sz w:val="20"/>
          <w:szCs w:val="20"/>
          <w:lang w:val="pl-PL"/>
        </w:rPr>
        <w:t>o Stanów Zjednoczonych</w:t>
      </w:r>
      <w:r w:rsidR="00C35B8F">
        <w:rPr>
          <w:rStyle w:val="Bodytext2Bold"/>
          <w:rFonts w:ascii="Verdana" w:hAnsi="Verdana"/>
          <w:b w:val="0"/>
          <w:bCs w:val="0"/>
          <w:sz w:val="20"/>
          <w:szCs w:val="20"/>
          <w:lang w:val="pl-PL"/>
        </w:rPr>
        <w:t xml:space="preserve"> </w:t>
      </w:r>
      <w:r w:rsidR="00A40C5B" w:rsidRPr="00A40C5B">
        <w:rPr>
          <w:rStyle w:val="Bodytext2Bold"/>
          <w:rFonts w:ascii="Verdana" w:hAnsi="Verdana"/>
          <w:b w:val="0"/>
          <w:bCs w:val="0"/>
          <w:sz w:val="20"/>
          <w:szCs w:val="20"/>
          <w:lang w:val="pl-PL"/>
        </w:rPr>
        <w:t>w związku z postawieniem go w stan oskarżenia o przestępstwa związane z cyberprzestępczością</w:t>
      </w:r>
      <w:r w:rsidR="00112698">
        <w:rPr>
          <w:rStyle w:val="Bodytext2Bold"/>
          <w:rFonts w:ascii="Verdana" w:hAnsi="Verdana"/>
          <w:b w:val="0"/>
          <w:bCs w:val="0"/>
          <w:sz w:val="20"/>
          <w:szCs w:val="20"/>
          <w:lang w:val="pl-PL"/>
        </w:rPr>
        <w:t xml:space="preserve">, </w:t>
      </w:r>
      <w:r w:rsidR="00112698" w:rsidRPr="00A40C5B">
        <w:rPr>
          <w:rStyle w:val="Bodytext2Bold"/>
          <w:rFonts w:ascii="Verdana" w:hAnsi="Verdana"/>
          <w:b w:val="0"/>
          <w:bCs w:val="0"/>
          <w:sz w:val="20"/>
          <w:szCs w:val="20"/>
          <w:lang w:val="pl-PL"/>
        </w:rPr>
        <w:t>nie byłby narażony na rzeczywiste ryzyko złego traktowania</w:t>
      </w:r>
      <w:r w:rsidR="00A40C5B" w:rsidRPr="00A40C5B">
        <w:rPr>
          <w:rStyle w:val="Bodytext2Bold"/>
          <w:rFonts w:ascii="Verdana" w:hAnsi="Verdana"/>
          <w:b w:val="0"/>
          <w:bCs w:val="0"/>
          <w:sz w:val="20"/>
          <w:szCs w:val="20"/>
          <w:lang w:val="pl-PL"/>
        </w:rPr>
        <w:t xml:space="preserve">. W szczególności </w:t>
      </w:r>
      <w:r w:rsidR="000B0737">
        <w:rPr>
          <w:rStyle w:val="Bodytext2Bold"/>
          <w:rFonts w:ascii="Verdana" w:hAnsi="Verdana"/>
          <w:b w:val="0"/>
          <w:bCs w:val="0"/>
          <w:sz w:val="20"/>
          <w:szCs w:val="20"/>
          <w:lang w:val="pl-PL"/>
        </w:rPr>
        <w:t xml:space="preserve">w </w:t>
      </w:r>
      <w:r w:rsidR="00C35B8F" w:rsidRPr="00A40C5B">
        <w:rPr>
          <w:rStyle w:val="Bodytext2Bold"/>
          <w:rFonts w:ascii="Verdana" w:hAnsi="Verdana"/>
          <w:b w:val="0"/>
          <w:bCs w:val="0"/>
          <w:sz w:val="20"/>
          <w:szCs w:val="20"/>
          <w:lang w:val="pl-PL"/>
        </w:rPr>
        <w:t xml:space="preserve">odniesieniu </w:t>
      </w:r>
      <w:r w:rsidR="00A40C5B" w:rsidRPr="00A40C5B">
        <w:rPr>
          <w:rStyle w:val="Bodytext2Bold"/>
          <w:rFonts w:ascii="Verdana" w:hAnsi="Verdana"/>
          <w:b w:val="0"/>
          <w:bCs w:val="0"/>
          <w:sz w:val="20"/>
          <w:szCs w:val="20"/>
          <w:lang w:val="pl-PL"/>
        </w:rPr>
        <w:t xml:space="preserve">do zarzutu skarżącego, że jego wyrok w Stanach Zjednoczonych byłby znacznie wyższy niż na Łotwie, Trybunał zauważył, że porównanie to nie jest wystarczające do wykazania </w:t>
      </w:r>
      <w:r w:rsidR="00C35B8F">
        <w:rPr>
          <w:rStyle w:val="Bodytext2Bold"/>
          <w:rFonts w:ascii="Verdana" w:hAnsi="Verdana"/>
          <w:b w:val="0"/>
          <w:bCs w:val="0"/>
          <w:sz w:val="20"/>
          <w:szCs w:val="20"/>
          <w:lang w:val="pl-PL"/>
        </w:rPr>
        <w:t>„</w:t>
      </w:r>
      <w:r w:rsidR="00A40C5B" w:rsidRPr="00A40C5B">
        <w:rPr>
          <w:rStyle w:val="Bodytext2Bold"/>
          <w:rFonts w:ascii="Verdana" w:hAnsi="Verdana"/>
          <w:b w:val="0"/>
          <w:bCs w:val="0"/>
          <w:sz w:val="20"/>
          <w:szCs w:val="20"/>
          <w:lang w:val="pl-PL"/>
        </w:rPr>
        <w:t xml:space="preserve">rażącej nieproporcjonalności". </w:t>
      </w:r>
      <w:r w:rsidR="00C35B8F">
        <w:rPr>
          <w:rStyle w:val="Bodytext2Bold"/>
          <w:rFonts w:ascii="Verdana" w:hAnsi="Verdana"/>
          <w:b w:val="0"/>
          <w:bCs w:val="0"/>
          <w:sz w:val="20"/>
          <w:szCs w:val="20"/>
          <w:lang w:val="pl-PL"/>
        </w:rPr>
        <w:t xml:space="preserve">Skarżący </w:t>
      </w:r>
      <w:r w:rsidR="00A40C5B" w:rsidRPr="00A40C5B">
        <w:rPr>
          <w:rStyle w:val="Bodytext2Bold"/>
          <w:rFonts w:ascii="Verdana" w:hAnsi="Verdana"/>
          <w:b w:val="0"/>
          <w:bCs w:val="0"/>
          <w:sz w:val="20"/>
          <w:szCs w:val="20"/>
          <w:lang w:val="pl-PL"/>
        </w:rPr>
        <w:t xml:space="preserve">nie twierdził również, </w:t>
      </w:r>
      <w:r w:rsidR="00C35B8F">
        <w:rPr>
          <w:rStyle w:val="Bodytext2Bold"/>
          <w:rFonts w:ascii="Verdana" w:hAnsi="Verdana"/>
          <w:b w:val="0"/>
          <w:bCs w:val="0"/>
          <w:sz w:val="20"/>
          <w:szCs w:val="20"/>
          <w:lang w:val="pl-PL"/>
        </w:rPr>
        <w:br/>
      </w:r>
      <w:r w:rsidR="00A40C5B" w:rsidRPr="00A40C5B">
        <w:rPr>
          <w:rStyle w:val="Bodytext2Bold"/>
          <w:rFonts w:ascii="Verdana" w:hAnsi="Verdana"/>
          <w:b w:val="0"/>
          <w:bCs w:val="0"/>
          <w:sz w:val="20"/>
          <w:szCs w:val="20"/>
          <w:lang w:val="pl-PL"/>
        </w:rPr>
        <w:t xml:space="preserve">że w Stanach Zjednoczonych może zostać skazany na karę dożywotniego pozbawienia wolności bez </w:t>
      </w:r>
      <w:r w:rsidR="000B0737">
        <w:rPr>
          <w:rStyle w:val="Bodytext2Bold"/>
          <w:rFonts w:ascii="Verdana" w:hAnsi="Verdana"/>
          <w:b w:val="0"/>
          <w:bCs w:val="0"/>
          <w:sz w:val="20"/>
          <w:szCs w:val="20"/>
          <w:lang w:val="pl-PL"/>
        </w:rPr>
        <w:t>możliwości jej zweryfikowania</w:t>
      </w:r>
      <w:r w:rsidR="00A40C5B" w:rsidRPr="00A40C5B">
        <w:rPr>
          <w:rStyle w:val="Bodytext2Bold"/>
          <w:rFonts w:ascii="Verdana" w:hAnsi="Verdana"/>
          <w:b w:val="0"/>
          <w:bCs w:val="0"/>
          <w:sz w:val="20"/>
          <w:szCs w:val="20"/>
          <w:lang w:val="pl-PL"/>
        </w:rPr>
        <w:t xml:space="preserve">, ani nie złożył skargi, że maksymalne kary </w:t>
      </w:r>
      <w:r w:rsidR="000B0737" w:rsidRPr="00A40C5B">
        <w:rPr>
          <w:rStyle w:val="Bodytext2Bold"/>
          <w:rFonts w:ascii="Verdana" w:hAnsi="Verdana"/>
          <w:b w:val="0"/>
          <w:bCs w:val="0"/>
          <w:sz w:val="20"/>
          <w:szCs w:val="20"/>
          <w:lang w:val="pl-PL"/>
        </w:rPr>
        <w:t xml:space="preserve">mogą zostać na niego nałożone </w:t>
      </w:r>
      <w:r w:rsidR="00A40C5B" w:rsidRPr="00A40C5B">
        <w:rPr>
          <w:rStyle w:val="Bodytext2Bold"/>
          <w:rFonts w:ascii="Verdana" w:hAnsi="Verdana"/>
          <w:b w:val="0"/>
          <w:bCs w:val="0"/>
          <w:sz w:val="20"/>
          <w:szCs w:val="20"/>
          <w:lang w:val="pl-PL"/>
        </w:rPr>
        <w:t xml:space="preserve">bez należytego uwzględnienia wszystkich istotnych </w:t>
      </w:r>
      <w:r w:rsidR="000B0737">
        <w:rPr>
          <w:rStyle w:val="Bodytext2Bold"/>
          <w:rFonts w:ascii="Verdana" w:hAnsi="Verdana"/>
          <w:b w:val="0"/>
          <w:bCs w:val="0"/>
          <w:sz w:val="20"/>
          <w:szCs w:val="20"/>
          <w:lang w:val="pl-PL"/>
        </w:rPr>
        <w:t>okoliczności ł</w:t>
      </w:r>
      <w:r w:rsidR="00A40C5B" w:rsidRPr="00A40C5B">
        <w:rPr>
          <w:rStyle w:val="Bodytext2Bold"/>
          <w:rFonts w:ascii="Verdana" w:hAnsi="Verdana"/>
          <w:b w:val="0"/>
          <w:bCs w:val="0"/>
          <w:sz w:val="20"/>
          <w:szCs w:val="20"/>
          <w:lang w:val="pl-PL"/>
        </w:rPr>
        <w:t xml:space="preserve">agodzących </w:t>
      </w:r>
      <w:r w:rsidR="000B0737">
        <w:rPr>
          <w:rStyle w:val="Bodytext2Bold"/>
          <w:rFonts w:ascii="Verdana" w:hAnsi="Verdana"/>
          <w:b w:val="0"/>
          <w:bCs w:val="0"/>
          <w:sz w:val="20"/>
          <w:szCs w:val="20"/>
          <w:lang w:val="pl-PL"/>
        </w:rPr>
        <w:br/>
      </w:r>
      <w:r w:rsidR="00A40C5B" w:rsidRPr="00A40C5B">
        <w:rPr>
          <w:rStyle w:val="Bodytext2Bold"/>
          <w:rFonts w:ascii="Verdana" w:hAnsi="Verdana"/>
          <w:b w:val="0"/>
          <w:bCs w:val="0"/>
          <w:sz w:val="20"/>
          <w:szCs w:val="20"/>
          <w:lang w:val="pl-PL"/>
        </w:rPr>
        <w:t>i obciążających.</w:t>
      </w:r>
      <w:r w:rsidRPr="003B0574">
        <w:rPr>
          <w:rStyle w:val="Bodytext20"/>
          <w:rFonts w:ascii="Verdana" w:hAnsi="Verdana"/>
          <w:b/>
          <w:bCs/>
          <w:sz w:val="20"/>
          <w:szCs w:val="20"/>
          <w:lang w:val="pl-PL"/>
        </w:rPr>
        <w:t xml:space="preserve"> </w:t>
      </w:r>
    </w:p>
    <w:bookmarkEnd w:id="4"/>
    <w:p w14:paraId="448AA746" w14:textId="77777777" w:rsidR="0019578A" w:rsidRPr="00115B1D" w:rsidRDefault="0019578A" w:rsidP="0019578A">
      <w:pPr>
        <w:pStyle w:val="Style3"/>
        <w:widowControl/>
        <w:spacing w:before="144"/>
        <w:ind w:left="680"/>
        <w:rPr>
          <w:rStyle w:val="FontStyle21"/>
          <w:sz w:val="20"/>
          <w:szCs w:val="20"/>
          <w:u w:val="single"/>
          <w:lang w:eastAsia="en-US"/>
        </w:rPr>
      </w:pPr>
      <w:r w:rsidRPr="00115B1D">
        <w:fldChar w:fldCharType="begin"/>
      </w:r>
      <w:r w:rsidRPr="00115B1D">
        <w:rPr>
          <w:sz w:val="20"/>
          <w:szCs w:val="20"/>
          <w:u w:val="single"/>
        </w:rPr>
        <w:instrText xml:space="preserve"> HYPERLINK "http://hudoc.echr.coe.int/sites/eng-press/pages/search.aspx?i=003-4857437-5932276" </w:instrText>
      </w:r>
      <w:r w:rsidRPr="00115B1D">
        <w:fldChar w:fldCharType="separate"/>
      </w:r>
      <w:r w:rsidRPr="00115B1D">
        <w:rPr>
          <w:rStyle w:val="Hipercze"/>
          <w:b/>
          <w:bCs/>
          <w:sz w:val="20"/>
          <w:szCs w:val="20"/>
          <w:lang w:eastAsia="en-US"/>
        </w:rPr>
        <w:t xml:space="preserve">Trabelsi </w:t>
      </w:r>
      <w:r w:rsidR="003A79FE" w:rsidRPr="00115B1D">
        <w:rPr>
          <w:rStyle w:val="Hipercze"/>
          <w:b/>
          <w:bCs/>
          <w:sz w:val="20"/>
          <w:szCs w:val="20"/>
          <w:lang w:eastAsia="en-US"/>
        </w:rPr>
        <w:t xml:space="preserve">przeciwko </w:t>
      </w:r>
      <w:r w:rsidRPr="00115B1D">
        <w:rPr>
          <w:rStyle w:val="Hipercze"/>
          <w:b/>
          <w:bCs/>
          <w:sz w:val="20"/>
          <w:szCs w:val="20"/>
          <w:lang w:eastAsia="en-US"/>
        </w:rPr>
        <w:t>Belgi</w:t>
      </w:r>
      <w:r w:rsidR="003A79FE" w:rsidRPr="00115B1D">
        <w:rPr>
          <w:rStyle w:val="Hipercze"/>
          <w:b/>
          <w:bCs/>
          <w:sz w:val="20"/>
          <w:szCs w:val="20"/>
          <w:lang w:eastAsia="en-US"/>
        </w:rPr>
        <w:t>i</w:t>
      </w:r>
      <w:r w:rsidRPr="00115B1D">
        <w:rPr>
          <w:rStyle w:val="Hipercze"/>
          <w:b/>
          <w:bCs/>
          <w:sz w:val="20"/>
          <w:szCs w:val="20"/>
          <w:lang w:val="en-US" w:eastAsia="en-US"/>
        </w:rPr>
        <w:fldChar w:fldCharType="end"/>
      </w:r>
    </w:p>
    <w:p w14:paraId="163FFC21" w14:textId="77777777" w:rsidR="0019578A" w:rsidRPr="00A5348B" w:rsidRDefault="0019578A" w:rsidP="0019578A">
      <w:pPr>
        <w:pStyle w:val="Style8"/>
        <w:widowControl/>
        <w:spacing w:before="48" w:line="240" w:lineRule="exact"/>
        <w:ind w:left="680"/>
        <w:rPr>
          <w:rStyle w:val="FontStyle17"/>
          <w:color w:val="A6A6A6"/>
        </w:rPr>
      </w:pPr>
      <w:r w:rsidRPr="00A5348B">
        <w:rPr>
          <w:rStyle w:val="FontStyle17"/>
          <w:rFonts w:eastAsia="Arial"/>
          <w:color w:val="A6A6A6"/>
        </w:rPr>
        <w:t xml:space="preserve">4 </w:t>
      </w:r>
      <w:r w:rsidR="008329C4" w:rsidRPr="00A5348B">
        <w:rPr>
          <w:rStyle w:val="FontStyle17"/>
          <w:rFonts w:eastAsia="Arial"/>
          <w:color w:val="A6A6A6"/>
        </w:rPr>
        <w:t xml:space="preserve">września </w:t>
      </w:r>
      <w:r w:rsidRPr="00A5348B">
        <w:rPr>
          <w:rStyle w:val="FontStyle17"/>
          <w:rFonts w:eastAsia="Arial"/>
          <w:color w:val="A6A6A6"/>
        </w:rPr>
        <w:t xml:space="preserve">2014 </w:t>
      </w:r>
      <w:r w:rsidR="004F0D86">
        <w:rPr>
          <w:rStyle w:val="FontStyle17"/>
          <w:rFonts w:eastAsia="Arial"/>
          <w:color w:val="A6A6A6"/>
        </w:rPr>
        <w:t xml:space="preserve">r. </w:t>
      </w:r>
      <w:r w:rsidRPr="00A5348B">
        <w:rPr>
          <w:rStyle w:val="FontStyle17"/>
          <w:rFonts w:eastAsia="Arial"/>
          <w:color w:val="A6A6A6"/>
        </w:rPr>
        <w:t>(</w:t>
      </w:r>
      <w:r w:rsidR="008329C4" w:rsidRPr="00A5348B">
        <w:rPr>
          <w:rStyle w:val="FontStyle17"/>
          <w:rFonts w:eastAsia="Arial"/>
          <w:color w:val="A6A6A6"/>
        </w:rPr>
        <w:t>wyrok</w:t>
      </w:r>
      <w:r w:rsidRPr="00A5348B">
        <w:rPr>
          <w:rStyle w:val="FontStyle17"/>
          <w:rFonts w:eastAsia="Arial"/>
          <w:color w:val="A6A6A6"/>
        </w:rPr>
        <w:t>)</w:t>
      </w:r>
    </w:p>
    <w:p w14:paraId="2FB82D58" w14:textId="1EA06C36" w:rsidR="00BD6A84" w:rsidRPr="00E57652" w:rsidRDefault="00BD6A84" w:rsidP="00D83A5A">
      <w:pPr>
        <w:pStyle w:val="Style10"/>
        <w:widowControl/>
        <w:spacing w:before="10" w:line="240" w:lineRule="exact"/>
        <w:ind w:left="680" w:right="567"/>
        <w:rPr>
          <w:sz w:val="20"/>
          <w:szCs w:val="20"/>
        </w:rPr>
      </w:pPr>
      <w:r w:rsidRPr="00E57652">
        <w:rPr>
          <w:sz w:val="20"/>
          <w:szCs w:val="20"/>
        </w:rPr>
        <w:t>Sprawa ta dotyczyła ekstradycji</w:t>
      </w:r>
      <w:r w:rsidR="00B046C7">
        <w:rPr>
          <w:sz w:val="20"/>
          <w:szCs w:val="20"/>
        </w:rPr>
        <w:t xml:space="preserve"> obywatela Tunezji</w:t>
      </w:r>
      <w:r w:rsidRPr="00E57652">
        <w:rPr>
          <w:sz w:val="20"/>
          <w:szCs w:val="20"/>
        </w:rPr>
        <w:t xml:space="preserve">, do której doszło pomimo zastosowania przez Trybunał </w:t>
      </w:r>
      <w:r w:rsidR="00B046C7" w:rsidRPr="00E57652">
        <w:rPr>
          <w:sz w:val="20"/>
          <w:szCs w:val="20"/>
        </w:rPr>
        <w:t>środka tymczasowego</w:t>
      </w:r>
      <w:r w:rsidR="00B046C7">
        <w:rPr>
          <w:sz w:val="20"/>
          <w:szCs w:val="20"/>
        </w:rPr>
        <w:t xml:space="preserve"> [</w:t>
      </w:r>
      <w:r w:rsidR="00B046C7" w:rsidRPr="00A61228">
        <w:rPr>
          <w:i/>
          <w:sz w:val="20"/>
          <w:szCs w:val="20"/>
        </w:rPr>
        <w:t>interim measure</w:t>
      </w:r>
      <w:r w:rsidR="00B046C7">
        <w:rPr>
          <w:sz w:val="20"/>
          <w:szCs w:val="20"/>
        </w:rPr>
        <w:t xml:space="preserve">], </w:t>
      </w:r>
      <w:r w:rsidRPr="00E57652">
        <w:rPr>
          <w:sz w:val="20"/>
          <w:szCs w:val="20"/>
        </w:rPr>
        <w:t xml:space="preserve">na podstawie Art. 39 </w:t>
      </w:r>
      <w:hyperlink r:id="rId17" w:history="1">
        <w:r w:rsidR="003A79FE" w:rsidRPr="00D82C88">
          <w:rPr>
            <w:rStyle w:val="Hipercze"/>
            <w:rFonts w:eastAsia="Arial" w:cs="Arial"/>
            <w:sz w:val="20"/>
            <w:szCs w:val="20"/>
            <w:lang w:eastAsia="en-US" w:bidi="en-US"/>
          </w:rPr>
          <w:t>Regulaminu Trybunału</w:t>
        </w:r>
      </w:hyperlink>
      <w:r w:rsidR="008329C4" w:rsidRPr="000B0737">
        <w:rPr>
          <w:rStyle w:val="Odwoanieprzypisudolnego"/>
          <w:rFonts w:eastAsia="Arial" w:cs="Arial"/>
          <w:sz w:val="20"/>
          <w:szCs w:val="20"/>
          <w:lang w:eastAsia="en-US" w:bidi="en-US"/>
        </w:rPr>
        <w:footnoteReference w:id="3"/>
      </w:r>
      <w:r w:rsidRPr="000B0737">
        <w:rPr>
          <w:rStyle w:val="Bodytext5"/>
          <w:rFonts w:ascii="Verdana" w:hAnsi="Verdana"/>
          <w:color w:val="000000"/>
          <w:sz w:val="20"/>
          <w:szCs w:val="20"/>
          <w:u w:val="none"/>
          <w:lang w:val="pl-PL"/>
        </w:rPr>
        <w:t xml:space="preserve">, </w:t>
      </w:r>
      <w:r w:rsidRPr="000B0737">
        <w:rPr>
          <w:sz w:val="20"/>
          <w:szCs w:val="20"/>
        </w:rPr>
        <w:t>z Belgii do Stanów Zjednoczonych,</w:t>
      </w:r>
      <w:r w:rsidRPr="000B0737">
        <w:rPr>
          <w:rStyle w:val="Bodytext5"/>
          <w:rFonts w:ascii="Verdana" w:hAnsi="Verdana"/>
          <w:color w:val="000000"/>
          <w:sz w:val="20"/>
          <w:szCs w:val="20"/>
          <w:u w:val="none"/>
          <w:lang w:val="pl-PL"/>
        </w:rPr>
        <w:t xml:space="preserve"> </w:t>
      </w:r>
      <w:r w:rsidRPr="00B046C7">
        <w:rPr>
          <w:rStyle w:val="Bodytext5"/>
          <w:rFonts w:ascii="Verdana" w:hAnsi="Verdana"/>
          <w:b w:val="0"/>
          <w:bCs w:val="0"/>
          <w:color w:val="000000"/>
          <w:sz w:val="20"/>
          <w:szCs w:val="20"/>
          <w:u w:val="none"/>
          <w:lang w:val="pl-PL"/>
        </w:rPr>
        <w:t xml:space="preserve">gdzie jest on oskarżony o popełnienie </w:t>
      </w:r>
      <w:r w:rsidRPr="00B046C7">
        <w:rPr>
          <w:rStyle w:val="Bodytext5"/>
          <w:rFonts w:ascii="Verdana" w:hAnsi="Verdana"/>
          <w:b w:val="0"/>
          <w:bCs w:val="0"/>
          <w:color w:val="000000"/>
          <w:sz w:val="20"/>
          <w:szCs w:val="20"/>
          <w:u w:val="none"/>
          <w:lang w:val="pl-PL"/>
        </w:rPr>
        <w:lastRenderedPageBreak/>
        <w:t>przestępstw terrorystycznych i grozi mu kara dożywotniego pozbawienia wolności.</w:t>
      </w:r>
      <w:r w:rsidRPr="00BD6A84">
        <w:rPr>
          <w:color w:val="000000"/>
          <w:sz w:val="20"/>
          <w:szCs w:val="20"/>
        </w:rPr>
        <w:t xml:space="preserve"> </w:t>
      </w:r>
      <w:r w:rsidRPr="00E57652">
        <w:rPr>
          <w:sz w:val="20"/>
          <w:szCs w:val="20"/>
        </w:rPr>
        <w:t xml:space="preserve">Skarżący </w:t>
      </w:r>
      <w:r w:rsidRPr="00AC6235">
        <w:rPr>
          <w:sz w:val="20"/>
          <w:szCs w:val="20"/>
        </w:rPr>
        <w:t>zarzuc</w:t>
      </w:r>
      <w:r w:rsidR="00AC6235" w:rsidRPr="00AC6235">
        <w:rPr>
          <w:sz w:val="20"/>
          <w:szCs w:val="20"/>
        </w:rPr>
        <w:t>i</w:t>
      </w:r>
      <w:r w:rsidRPr="00AC6235">
        <w:rPr>
          <w:sz w:val="20"/>
          <w:szCs w:val="20"/>
        </w:rPr>
        <w:t>ł</w:t>
      </w:r>
      <w:r w:rsidRPr="00E57652">
        <w:rPr>
          <w:sz w:val="20"/>
          <w:szCs w:val="20"/>
        </w:rPr>
        <w:t xml:space="preserve"> w szczególności, że jego ekstradycja do Stanów Zjednoczonych Ameryki może narazić go na traktowanie niezgodne z Artykułem 3 Konwencji. Stwierdził on w tym względzie, że niektóre </w:t>
      </w:r>
      <w:r w:rsidR="00AC6235">
        <w:rPr>
          <w:sz w:val="20"/>
          <w:szCs w:val="20"/>
        </w:rPr>
        <w:t xml:space="preserve">z </w:t>
      </w:r>
      <w:r w:rsidRPr="00E57652">
        <w:rPr>
          <w:sz w:val="20"/>
          <w:szCs w:val="20"/>
        </w:rPr>
        <w:t xml:space="preserve">przestępstw, </w:t>
      </w:r>
      <w:r w:rsidR="00AC6235">
        <w:rPr>
          <w:sz w:val="20"/>
          <w:szCs w:val="20"/>
        </w:rPr>
        <w:t xml:space="preserve">w </w:t>
      </w:r>
      <w:r w:rsidR="000C4332">
        <w:rPr>
          <w:sz w:val="20"/>
          <w:szCs w:val="20"/>
        </w:rPr>
        <w:t xml:space="preserve">odniesieniu do których zezwolono na ekstradycję </w:t>
      </w:r>
      <w:r w:rsidRPr="00E57652">
        <w:rPr>
          <w:sz w:val="20"/>
          <w:szCs w:val="20"/>
        </w:rPr>
        <w:t xml:space="preserve">zagrożone są maksymalną karą dożywocia, która </w:t>
      </w:r>
      <w:r w:rsidRPr="00BD6A84">
        <w:rPr>
          <w:rStyle w:val="Bodytext5NotBoldItalic"/>
          <w:rFonts w:ascii="Verdana" w:hAnsi="Verdana"/>
          <w:sz w:val="20"/>
          <w:szCs w:val="20"/>
          <w:lang w:val="pl-PL"/>
        </w:rPr>
        <w:t>de facto</w:t>
      </w:r>
      <w:r w:rsidRPr="00E57652">
        <w:rPr>
          <w:sz w:val="20"/>
          <w:szCs w:val="20"/>
        </w:rPr>
        <w:t xml:space="preserve"> jest </w:t>
      </w:r>
      <w:r w:rsidRPr="000C4332">
        <w:rPr>
          <w:sz w:val="20"/>
          <w:szCs w:val="20"/>
        </w:rPr>
        <w:t>nieredukowalna</w:t>
      </w:r>
      <w:r w:rsidR="000C4332">
        <w:rPr>
          <w:sz w:val="20"/>
          <w:szCs w:val="20"/>
        </w:rPr>
        <w:t xml:space="preserve">, a </w:t>
      </w:r>
      <w:r w:rsidRPr="00E57652">
        <w:rPr>
          <w:sz w:val="20"/>
          <w:szCs w:val="20"/>
        </w:rPr>
        <w:t xml:space="preserve">jeśli zostałby skazany to </w:t>
      </w:r>
      <w:r w:rsidR="000C4332">
        <w:rPr>
          <w:sz w:val="20"/>
          <w:szCs w:val="20"/>
        </w:rPr>
        <w:t xml:space="preserve">nie miałby </w:t>
      </w:r>
      <w:r w:rsidRPr="00E57652">
        <w:rPr>
          <w:sz w:val="20"/>
          <w:szCs w:val="20"/>
        </w:rPr>
        <w:t>perspektywy na zwolnienie.</w:t>
      </w:r>
    </w:p>
    <w:p w14:paraId="47B05B04" w14:textId="77777777" w:rsidR="00BD6A84" w:rsidRPr="00E57652" w:rsidRDefault="00BD6A84" w:rsidP="00D83A5A">
      <w:pPr>
        <w:pStyle w:val="Style10"/>
        <w:widowControl/>
        <w:spacing w:before="10" w:line="240" w:lineRule="exact"/>
        <w:ind w:left="680" w:right="567"/>
        <w:rPr>
          <w:rStyle w:val="Bodytext20"/>
          <w:rFonts w:ascii="Verdana" w:hAnsi="Verdana"/>
          <w:sz w:val="20"/>
          <w:szCs w:val="20"/>
          <w:lang w:val="pl-PL"/>
        </w:rPr>
      </w:pPr>
      <w:r w:rsidRPr="00C05222">
        <w:rPr>
          <w:rStyle w:val="Bodytext5"/>
          <w:rFonts w:ascii="Verdana" w:hAnsi="Verdana"/>
          <w:b w:val="0"/>
          <w:sz w:val="20"/>
          <w:szCs w:val="20"/>
          <w:u w:val="none"/>
          <w:lang w:val="pl-PL"/>
        </w:rPr>
        <w:t>Trybunał uznał, że kara dożywotniego pozbawienia wolności, która groziła</w:t>
      </w:r>
      <w:r w:rsidRPr="00C05222">
        <w:rPr>
          <w:rStyle w:val="Bodytext5"/>
          <w:rFonts w:ascii="Verdana" w:hAnsi="Verdana"/>
          <w:b w:val="0"/>
          <w:sz w:val="20"/>
          <w:szCs w:val="20"/>
          <w:lang w:val="pl-PL"/>
        </w:rPr>
        <w:t xml:space="preserve"> </w:t>
      </w:r>
      <w:r w:rsidRPr="00C05222">
        <w:rPr>
          <w:rStyle w:val="Bodytext5"/>
          <w:rFonts w:ascii="Verdana" w:hAnsi="Verdana"/>
          <w:b w:val="0"/>
          <w:sz w:val="20"/>
          <w:szCs w:val="20"/>
          <w:u w:val="none"/>
          <w:lang w:val="pl-PL"/>
        </w:rPr>
        <w:t xml:space="preserve">skarżącemu </w:t>
      </w:r>
      <w:r w:rsidR="00C05222">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w Stanach Zjednoczonych była nieredukowalna, ponieważ amerykańskie prawo </w:t>
      </w:r>
      <w:r w:rsidR="00A8146B">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nie przewiduje </w:t>
      </w:r>
      <w:r w:rsidR="00A8146B">
        <w:rPr>
          <w:rStyle w:val="Bodytext5"/>
          <w:rFonts w:ascii="Verdana" w:hAnsi="Verdana"/>
          <w:b w:val="0"/>
          <w:sz w:val="20"/>
          <w:szCs w:val="20"/>
          <w:u w:val="none"/>
          <w:lang w:val="pl-PL"/>
        </w:rPr>
        <w:t xml:space="preserve">właściwego </w:t>
      </w:r>
      <w:r w:rsidRPr="00C05222">
        <w:rPr>
          <w:rStyle w:val="Bodytext5"/>
          <w:rFonts w:ascii="Verdana" w:hAnsi="Verdana"/>
          <w:b w:val="0"/>
          <w:sz w:val="20"/>
          <w:szCs w:val="20"/>
          <w:u w:val="none"/>
          <w:lang w:val="pl-PL"/>
        </w:rPr>
        <w:t>mechanizmu poddawania tego typu wyroków</w:t>
      </w:r>
      <w:r w:rsidR="00A8146B">
        <w:rPr>
          <w:rStyle w:val="Bodytext5"/>
          <w:rFonts w:ascii="Verdana" w:hAnsi="Verdana"/>
          <w:b w:val="0"/>
          <w:sz w:val="20"/>
          <w:szCs w:val="20"/>
          <w:u w:val="none"/>
          <w:lang w:val="pl-PL"/>
        </w:rPr>
        <w:t xml:space="preserve"> </w:t>
      </w:r>
      <w:r w:rsidR="00A8146B" w:rsidRPr="00C05222">
        <w:rPr>
          <w:rStyle w:val="Bodytext5"/>
          <w:rFonts w:ascii="Verdana" w:hAnsi="Verdana"/>
          <w:b w:val="0"/>
          <w:sz w:val="20"/>
          <w:szCs w:val="20"/>
          <w:u w:val="none"/>
          <w:lang w:val="pl-PL"/>
        </w:rPr>
        <w:t>weryfikacji</w:t>
      </w:r>
      <w:r w:rsidRPr="00C05222">
        <w:rPr>
          <w:rStyle w:val="Bodytext5"/>
          <w:rFonts w:ascii="Verdana" w:hAnsi="Verdana"/>
          <w:b w:val="0"/>
          <w:sz w:val="20"/>
          <w:szCs w:val="20"/>
          <w:u w:val="none"/>
          <w:lang w:val="pl-PL"/>
        </w:rPr>
        <w:t xml:space="preserve">, </w:t>
      </w:r>
      <w:r w:rsidR="00A8146B">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co oznacza, że jego ekstradycja do Stanów Zjednoczonych </w:t>
      </w:r>
      <w:r w:rsidR="004C5ABD">
        <w:rPr>
          <w:rStyle w:val="Bodytext5"/>
          <w:rFonts w:ascii="Verdana" w:hAnsi="Verdana"/>
          <w:b w:val="0"/>
          <w:sz w:val="20"/>
          <w:szCs w:val="20"/>
          <w:u w:val="none"/>
          <w:lang w:val="pl-PL"/>
        </w:rPr>
        <w:t xml:space="preserve">stanowiła </w:t>
      </w:r>
      <w:r w:rsidRPr="00C05222">
        <w:rPr>
          <w:rStyle w:val="Bodytext20"/>
          <w:rFonts w:ascii="Verdana" w:hAnsi="Verdana"/>
          <w:b/>
          <w:sz w:val="20"/>
          <w:szCs w:val="20"/>
          <w:lang w:val="pl-PL"/>
        </w:rPr>
        <w:t>naruszenie</w:t>
      </w:r>
      <w:r w:rsidR="004C5ABD">
        <w:rPr>
          <w:rStyle w:val="Bodytext20"/>
          <w:rFonts w:ascii="Verdana" w:hAnsi="Verdana"/>
          <w:b/>
          <w:sz w:val="20"/>
          <w:szCs w:val="20"/>
          <w:lang w:val="pl-PL"/>
        </w:rPr>
        <w:t xml:space="preserve"> </w:t>
      </w:r>
      <w:r w:rsidR="004F0D86">
        <w:rPr>
          <w:rStyle w:val="Bodytext20"/>
          <w:rFonts w:ascii="Verdana" w:hAnsi="Verdana"/>
          <w:b/>
          <w:sz w:val="20"/>
          <w:szCs w:val="20"/>
          <w:lang w:val="pl-PL"/>
        </w:rPr>
        <w:br/>
      </w:r>
      <w:r w:rsidRPr="00C05222">
        <w:rPr>
          <w:rStyle w:val="Bodytext20"/>
          <w:rFonts w:ascii="Verdana" w:hAnsi="Verdana"/>
          <w:b/>
          <w:sz w:val="20"/>
          <w:szCs w:val="20"/>
          <w:lang w:val="pl-PL"/>
        </w:rPr>
        <w:t xml:space="preserve">Artykułu 3 </w:t>
      </w:r>
      <w:r w:rsidRPr="00C05222">
        <w:rPr>
          <w:rStyle w:val="Bodytext2Bold"/>
          <w:rFonts w:ascii="Verdana" w:hAnsi="Verdana"/>
          <w:b w:val="0"/>
          <w:sz w:val="20"/>
          <w:szCs w:val="20"/>
          <w:lang w:val="pl-PL"/>
        </w:rPr>
        <w:t xml:space="preserve">Konwencji. </w:t>
      </w:r>
      <w:r w:rsidRPr="00E57652">
        <w:rPr>
          <w:rStyle w:val="Bodytext20"/>
          <w:rFonts w:ascii="Verdana" w:hAnsi="Verdana"/>
          <w:sz w:val="20"/>
          <w:szCs w:val="20"/>
          <w:lang w:val="pl-PL"/>
        </w:rPr>
        <w:t>Trybunał powtórzył</w:t>
      </w:r>
      <w:r w:rsidR="005E7E1F">
        <w:rPr>
          <w:rStyle w:val="Bodytext20"/>
          <w:rFonts w:ascii="Verdana" w:hAnsi="Verdana"/>
          <w:sz w:val="20"/>
          <w:szCs w:val="20"/>
          <w:lang w:val="pl-PL"/>
        </w:rPr>
        <w:t xml:space="preserve"> w</w:t>
      </w:r>
      <w:r w:rsidR="005E7E1F" w:rsidRPr="00E57652">
        <w:rPr>
          <w:rStyle w:val="Bodytext20"/>
          <w:rFonts w:ascii="Verdana" w:hAnsi="Verdana"/>
          <w:sz w:val="20"/>
          <w:szCs w:val="20"/>
          <w:lang w:val="pl-PL"/>
        </w:rPr>
        <w:t xml:space="preserve"> szczególności</w:t>
      </w:r>
      <w:r w:rsidRPr="00E57652">
        <w:rPr>
          <w:rStyle w:val="Bodytext20"/>
          <w:rFonts w:ascii="Verdana" w:hAnsi="Verdana"/>
          <w:sz w:val="20"/>
          <w:szCs w:val="20"/>
          <w:lang w:val="pl-PL"/>
        </w:rPr>
        <w:t>, że</w:t>
      </w:r>
      <w:r w:rsidR="0041716D">
        <w:rPr>
          <w:rStyle w:val="Bodytext20"/>
          <w:rFonts w:ascii="Verdana" w:hAnsi="Verdana"/>
          <w:sz w:val="20"/>
          <w:szCs w:val="20"/>
          <w:lang w:val="pl-PL"/>
        </w:rPr>
        <w:t xml:space="preserve"> wymierzenie </w:t>
      </w:r>
      <w:r w:rsidRPr="00E57652">
        <w:rPr>
          <w:rStyle w:val="Bodytext20"/>
          <w:rFonts w:ascii="Verdana" w:hAnsi="Verdana"/>
          <w:sz w:val="20"/>
          <w:szCs w:val="20"/>
          <w:lang w:val="pl-PL"/>
        </w:rPr>
        <w:t>kary dożywotniego pozbawienia wolności dorosłe</w:t>
      </w:r>
      <w:r w:rsidR="00A8146B">
        <w:rPr>
          <w:rStyle w:val="Bodytext20"/>
          <w:rFonts w:ascii="Verdana" w:hAnsi="Verdana"/>
          <w:sz w:val="20"/>
          <w:szCs w:val="20"/>
          <w:lang w:val="pl-PL"/>
        </w:rPr>
        <w:t xml:space="preserve">mu </w:t>
      </w:r>
      <w:r w:rsidRPr="00E57652">
        <w:rPr>
          <w:rStyle w:val="Bodytext20"/>
          <w:rFonts w:ascii="Verdana" w:hAnsi="Verdana"/>
          <w:sz w:val="20"/>
          <w:szCs w:val="20"/>
          <w:lang w:val="pl-PL"/>
        </w:rPr>
        <w:t>sprawc</w:t>
      </w:r>
      <w:r w:rsidR="00A8146B">
        <w:rPr>
          <w:rStyle w:val="Bodytext20"/>
          <w:rFonts w:ascii="Verdana" w:hAnsi="Verdana"/>
          <w:sz w:val="20"/>
          <w:szCs w:val="20"/>
          <w:lang w:val="pl-PL"/>
        </w:rPr>
        <w:t xml:space="preserve">y </w:t>
      </w:r>
      <w:r w:rsidRPr="00E57652">
        <w:rPr>
          <w:rStyle w:val="Bodytext20"/>
          <w:rFonts w:ascii="Verdana" w:hAnsi="Verdana"/>
          <w:sz w:val="20"/>
          <w:szCs w:val="20"/>
          <w:lang w:val="pl-PL"/>
        </w:rPr>
        <w:t xml:space="preserve">nie jest zabronione przez żadne </w:t>
      </w:r>
      <w:r w:rsidR="004F0D86">
        <w:rPr>
          <w:rStyle w:val="Bodytext20"/>
          <w:rFonts w:ascii="Verdana" w:hAnsi="Verdana"/>
          <w:sz w:val="20"/>
          <w:szCs w:val="20"/>
          <w:lang w:val="pl-PL"/>
        </w:rPr>
        <w:br/>
      </w:r>
      <w:r w:rsidRPr="00E57652">
        <w:rPr>
          <w:rStyle w:val="Bodytext20"/>
          <w:rFonts w:ascii="Verdana" w:hAnsi="Verdana"/>
          <w:sz w:val="20"/>
          <w:szCs w:val="20"/>
          <w:lang w:val="pl-PL"/>
        </w:rPr>
        <w:t>z postanowień Konwencji, pod warunkiem, że kara nie jest nieproporcjonalna. Z drugiej strony, aby zapewnić zgodność z Artykułem 3, kara tak</w:t>
      </w:r>
      <w:r w:rsidR="0092658D">
        <w:rPr>
          <w:rStyle w:val="Bodytext20"/>
          <w:rFonts w:ascii="Verdana" w:hAnsi="Verdana"/>
          <w:sz w:val="20"/>
          <w:szCs w:val="20"/>
          <w:lang w:val="pl-PL"/>
        </w:rPr>
        <w:t xml:space="preserve">a nie może być nieredukowalna </w:t>
      </w:r>
      <w:r w:rsidRPr="00BD6A84">
        <w:rPr>
          <w:rStyle w:val="Bodytext2BoldItalic"/>
          <w:rFonts w:ascii="Verdana" w:hAnsi="Verdana"/>
          <w:sz w:val="20"/>
          <w:szCs w:val="20"/>
          <w:lang w:val="pl-PL"/>
        </w:rPr>
        <w:t>de iure</w:t>
      </w:r>
      <w:r w:rsidRPr="00E57652">
        <w:rPr>
          <w:rStyle w:val="Bodytext20"/>
          <w:rFonts w:ascii="Verdana" w:hAnsi="Verdana"/>
          <w:sz w:val="20"/>
          <w:szCs w:val="20"/>
          <w:lang w:val="pl-PL"/>
        </w:rPr>
        <w:t xml:space="preserve"> oraz </w:t>
      </w:r>
      <w:r w:rsidRPr="00BD6A84">
        <w:rPr>
          <w:rStyle w:val="Bodytext2BoldItalic"/>
          <w:rFonts w:ascii="Verdana" w:hAnsi="Verdana"/>
          <w:sz w:val="20"/>
          <w:szCs w:val="20"/>
          <w:lang w:val="pl-PL"/>
        </w:rPr>
        <w:t>de facto</w:t>
      </w:r>
      <w:r w:rsidRPr="00E57652">
        <w:rPr>
          <w:rStyle w:val="Bodytext20"/>
          <w:rFonts w:ascii="Verdana" w:hAnsi="Verdana"/>
          <w:sz w:val="20"/>
          <w:szCs w:val="20"/>
          <w:lang w:val="pl-PL"/>
        </w:rPr>
        <w:t xml:space="preserve">. W celu dokonania oceny tego wymogu Trybunał </w:t>
      </w:r>
      <w:r w:rsidR="0092658D">
        <w:rPr>
          <w:rStyle w:val="Bodytext20"/>
          <w:rFonts w:ascii="Verdana" w:hAnsi="Verdana"/>
          <w:sz w:val="20"/>
          <w:szCs w:val="20"/>
          <w:lang w:val="pl-PL"/>
        </w:rPr>
        <w:t>musiał upewnić się</w:t>
      </w:r>
      <w:r w:rsidRPr="00E57652">
        <w:rPr>
          <w:rStyle w:val="Bodytext20"/>
          <w:rFonts w:ascii="Verdana" w:hAnsi="Verdana"/>
          <w:sz w:val="20"/>
          <w:szCs w:val="20"/>
          <w:lang w:val="pl-PL"/>
        </w:rPr>
        <w:t>, czy o skazanym na dożywocie można powiedzieć, że ma jak</w:t>
      </w:r>
      <w:r w:rsidR="00BF3A47">
        <w:rPr>
          <w:rStyle w:val="Bodytext20"/>
          <w:rFonts w:ascii="Verdana" w:hAnsi="Verdana"/>
          <w:sz w:val="20"/>
          <w:szCs w:val="20"/>
          <w:lang w:val="pl-PL"/>
        </w:rPr>
        <w:t xml:space="preserve">ąkolwiek </w:t>
      </w:r>
      <w:r w:rsidRPr="00E57652">
        <w:rPr>
          <w:rStyle w:val="Bodytext20"/>
          <w:rFonts w:ascii="Verdana" w:hAnsi="Verdana"/>
          <w:sz w:val="20"/>
          <w:szCs w:val="20"/>
          <w:lang w:val="pl-PL"/>
        </w:rPr>
        <w:t>perspektyw</w:t>
      </w:r>
      <w:r w:rsidR="00BF3A47">
        <w:rPr>
          <w:rStyle w:val="Bodytext20"/>
          <w:rFonts w:ascii="Verdana" w:hAnsi="Verdana"/>
          <w:sz w:val="20"/>
          <w:szCs w:val="20"/>
          <w:lang w:val="pl-PL"/>
        </w:rPr>
        <w:t>ę</w:t>
      </w:r>
      <w:r w:rsidRPr="00E57652">
        <w:rPr>
          <w:rStyle w:val="Bodytext20"/>
          <w:rFonts w:ascii="Verdana" w:hAnsi="Verdana"/>
          <w:sz w:val="20"/>
          <w:szCs w:val="20"/>
          <w:lang w:val="pl-PL"/>
        </w:rPr>
        <w:t xml:space="preserve"> na zwolnienie oraz czy prawo krajowe przewiduje możliwość </w:t>
      </w:r>
      <w:r w:rsidR="0092658D">
        <w:rPr>
          <w:rStyle w:val="Bodytext20"/>
          <w:rFonts w:ascii="Verdana" w:hAnsi="Verdana"/>
          <w:sz w:val="20"/>
          <w:szCs w:val="20"/>
          <w:lang w:val="pl-PL"/>
        </w:rPr>
        <w:t xml:space="preserve">weryfikacji </w:t>
      </w:r>
      <w:r w:rsidRPr="00E57652">
        <w:rPr>
          <w:rStyle w:val="Bodytext20"/>
          <w:rFonts w:ascii="Verdana" w:hAnsi="Verdana"/>
          <w:sz w:val="20"/>
          <w:szCs w:val="20"/>
          <w:lang w:val="pl-PL"/>
        </w:rPr>
        <w:t xml:space="preserve">kary dożywotniego pozbawienia wolności </w:t>
      </w:r>
      <w:r w:rsidR="0092658D">
        <w:rPr>
          <w:rStyle w:val="Bodytext20"/>
          <w:rFonts w:ascii="Verdana" w:hAnsi="Verdana"/>
          <w:sz w:val="20"/>
          <w:szCs w:val="20"/>
          <w:lang w:val="pl-PL"/>
        </w:rPr>
        <w:t xml:space="preserve">pod kątem </w:t>
      </w:r>
      <w:r w:rsidRPr="00E57652">
        <w:rPr>
          <w:rStyle w:val="Bodytext20"/>
          <w:rFonts w:ascii="Verdana" w:hAnsi="Verdana"/>
          <w:sz w:val="20"/>
          <w:szCs w:val="20"/>
          <w:lang w:val="pl-PL"/>
        </w:rPr>
        <w:t>jej z</w:t>
      </w:r>
      <w:r w:rsidR="003914FC">
        <w:rPr>
          <w:rStyle w:val="Bodytext20"/>
          <w:rFonts w:ascii="Verdana" w:hAnsi="Verdana"/>
          <w:sz w:val="20"/>
          <w:szCs w:val="20"/>
          <w:lang w:val="pl-PL"/>
        </w:rPr>
        <w:t>łagodzenia</w:t>
      </w:r>
      <w:r w:rsidRPr="00E57652">
        <w:rPr>
          <w:rStyle w:val="Bodytext20"/>
          <w:rFonts w:ascii="Verdana" w:hAnsi="Verdana"/>
          <w:sz w:val="20"/>
          <w:szCs w:val="20"/>
          <w:lang w:val="pl-PL"/>
        </w:rPr>
        <w:t xml:space="preserve">, darowania lub zakończenia albo warunkowego zwolnienia skazanego. Ponadto skazany musiał zostać poinformowany o </w:t>
      </w:r>
      <w:r w:rsidR="00BF3A47">
        <w:rPr>
          <w:rStyle w:val="Bodytext20"/>
          <w:rFonts w:ascii="Verdana" w:hAnsi="Verdana"/>
          <w:sz w:val="20"/>
          <w:szCs w:val="20"/>
          <w:lang w:val="pl-PL"/>
        </w:rPr>
        <w:t xml:space="preserve">zasadach i </w:t>
      </w:r>
      <w:r w:rsidRPr="00E57652">
        <w:rPr>
          <w:rStyle w:val="Bodytext20"/>
          <w:rFonts w:ascii="Verdana" w:hAnsi="Verdana"/>
          <w:sz w:val="20"/>
          <w:szCs w:val="20"/>
          <w:lang w:val="pl-PL"/>
        </w:rPr>
        <w:t xml:space="preserve">warunkach </w:t>
      </w:r>
      <w:r w:rsidR="0092658D">
        <w:rPr>
          <w:rStyle w:val="Bodytext20"/>
          <w:rFonts w:ascii="Verdana" w:hAnsi="Verdana"/>
          <w:sz w:val="20"/>
          <w:szCs w:val="20"/>
          <w:lang w:val="pl-PL"/>
        </w:rPr>
        <w:t xml:space="preserve">umożliwiających dokonanie takiej zmiany na początku </w:t>
      </w:r>
      <w:r w:rsidRPr="00E57652">
        <w:rPr>
          <w:rStyle w:val="Bodytext20"/>
          <w:rFonts w:ascii="Verdana" w:hAnsi="Verdana"/>
          <w:sz w:val="20"/>
          <w:szCs w:val="20"/>
          <w:lang w:val="pl-PL"/>
        </w:rPr>
        <w:t>wykonywania kary. Trybunał powtórzył</w:t>
      </w:r>
      <w:r w:rsidR="0092658D">
        <w:rPr>
          <w:rStyle w:val="Bodytext20"/>
          <w:rFonts w:ascii="Verdana" w:hAnsi="Verdana"/>
          <w:sz w:val="20"/>
          <w:szCs w:val="20"/>
          <w:lang w:val="pl-PL"/>
        </w:rPr>
        <w:t xml:space="preserve"> </w:t>
      </w:r>
      <w:r w:rsidRPr="00E57652">
        <w:rPr>
          <w:rStyle w:val="Bodytext20"/>
          <w:rFonts w:ascii="Verdana" w:hAnsi="Verdana"/>
          <w:sz w:val="20"/>
          <w:szCs w:val="20"/>
          <w:lang w:val="pl-PL"/>
        </w:rPr>
        <w:t>również, że Artykuł 3 nakłada na Układające się Strony zobowiązanie do nie</w:t>
      </w:r>
      <w:r w:rsidR="00120103">
        <w:rPr>
          <w:rStyle w:val="Bodytext20"/>
          <w:rFonts w:ascii="Verdana" w:hAnsi="Verdana"/>
          <w:sz w:val="20"/>
          <w:szCs w:val="20"/>
          <w:lang w:val="pl-PL"/>
        </w:rPr>
        <w:t xml:space="preserve">wydalania danej osoby </w:t>
      </w:r>
      <w:r w:rsidRPr="00E57652">
        <w:rPr>
          <w:rStyle w:val="Bodytext20"/>
          <w:rFonts w:ascii="Verdana" w:hAnsi="Verdana"/>
          <w:sz w:val="20"/>
          <w:szCs w:val="20"/>
          <w:lang w:val="pl-PL"/>
        </w:rPr>
        <w:t xml:space="preserve">do </w:t>
      </w:r>
      <w:r w:rsidR="00120103">
        <w:rPr>
          <w:rStyle w:val="Bodytext20"/>
          <w:rFonts w:ascii="Verdana" w:hAnsi="Verdana"/>
          <w:sz w:val="20"/>
          <w:szCs w:val="20"/>
          <w:lang w:val="pl-PL"/>
        </w:rPr>
        <w:t>państwa</w:t>
      </w:r>
      <w:r w:rsidRPr="00E57652">
        <w:rPr>
          <w:rStyle w:val="Bodytext20"/>
          <w:rFonts w:ascii="Verdana" w:hAnsi="Verdana"/>
          <w:sz w:val="20"/>
          <w:szCs w:val="20"/>
          <w:lang w:val="pl-PL"/>
        </w:rPr>
        <w:t>, w który</w:t>
      </w:r>
      <w:r w:rsidR="00120103">
        <w:rPr>
          <w:rStyle w:val="Bodytext20"/>
          <w:rFonts w:ascii="Verdana" w:hAnsi="Verdana"/>
          <w:sz w:val="20"/>
          <w:szCs w:val="20"/>
          <w:lang w:val="pl-PL"/>
        </w:rPr>
        <w:t xml:space="preserve">m </w:t>
      </w:r>
      <w:r w:rsidRPr="00E57652">
        <w:rPr>
          <w:rStyle w:val="Bodytext20"/>
          <w:rFonts w:ascii="Verdana" w:hAnsi="Verdana"/>
          <w:sz w:val="20"/>
          <w:szCs w:val="20"/>
          <w:lang w:val="pl-PL"/>
        </w:rPr>
        <w:t>grozi</w:t>
      </w:r>
      <w:r w:rsidR="00120103">
        <w:rPr>
          <w:rStyle w:val="Bodytext20"/>
          <w:rFonts w:ascii="Verdana" w:hAnsi="Verdana"/>
          <w:sz w:val="20"/>
          <w:szCs w:val="20"/>
          <w:lang w:val="pl-PL"/>
        </w:rPr>
        <w:t>łoby</w:t>
      </w:r>
      <w:r w:rsidRPr="00E57652">
        <w:rPr>
          <w:rStyle w:val="Bodytext20"/>
          <w:rFonts w:ascii="Verdana" w:hAnsi="Verdana"/>
          <w:sz w:val="20"/>
          <w:szCs w:val="20"/>
          <w:lang w:val="pl-PL"/>
        </w:rPr>
        <w:t xml:space="preserve"> im realne ryzyko</w:t>
      </w:r>
      <w:r w:rsidR="00120103">
        <w:rPr>
          <w:rStyle w:val="Bodytext20"/>
          <w:rFonts w:ascii="Verdana" w:hAnsi="Verdana"/>
          <w:sz w:val="20"/>
          <w:szCs w:val="20"/>
          <w:lang w:val="pl-PL"/>
        </w:rPr>
        <w:t xml:space="preserve">, że zostanie ona </w:t>
      </w:r>
      <w:r w:rsidRPr="00E57652">
        <w:rPr>
          <w:rStyle w:val="Bodytext20"/>
          <w:rFonts w:ascii="Verdana" w:hAnsi="Verdana"/>
          <w:sz w:val="20"/>
          <w:szCs w:val="20"/>
          <w:lang w:val="pl-PL"/>
        </w:rPr>
        <w:t>poddan</w:t>
      </w:r>
      <w:r w:rsidR="00120103">
        <w:rPr>
          <w:rStyle w:val="Bodytext20"/>
          <w:rFonts w:ascii="Verdana" w:hAnsi="Verdana"/>
          <w:sz w:val="20"/>
          <w:szCs w:val="20"/>
          <w:lang w:val="pl-PL"/>
        </w:rPr>
        <w:t xml:space="preserve">a </w:t>
      </w:r>
      <w:r w:rsidRPr="00E57652">
        <w:rPr>
          <w:rStyle w:val="Bodytext20"/>
          <w:rFonts w:ascii="Verdana" w:hAnsi="Verdana"/>
          <w:sz w:val="20"/>
          <w:szCs w:val="20"/>
          <w:lang w:val="pl-PL"/>
        </w:rPr>
        <w:t xml:space="preserve">zabronionemu </w:t>
      </w:r>
      <w:r w:rsidR="003914FC">
        <w:rPr>
          <w:rStyle w:val="Bodytext20"/>
          <w:rFonts w:ascii="Verdana" w:hAnsi="Verdana"/>
          <w:sz w:val="20"/>
          <w:szCs w:val="20"/>
          <w:lang w:val="pl-PL"/>
        </w:rPr>
        <w:t>n</w:t>
      </w:r>
      <w:r w:rsidRPr="00E57652">
        <w:rPr>
          <w:rStyle w:val="Bodytext20"/>
          <w:rFonts w:ascii="Verdana" w:hAnsi="Verdana"/>
          <w:sz w:val="20"/>
          <w:szCs w:val="20"/>
          <w:lang w:val="pl-PL"/>
        </w:rPr>
        <w:t xml:space="preserve">iewłaściwemu traktowaniu. W omawianej sprawie Trybunał uznał, że w świetle wagi </w:t>
      </w:r>
      <w:r w:rsidR="0092658D">
        <w:rPr>
          <w:rStyle w:val="Bodytext20"/>
          <w:rFonts w:ascii="Verdana" w:hAnsi="Verdana"/>
          <w:sz w:val="20"/>
          <w:szCs w:val="20"/>
          <w:lang w:val="pl-PL"/>
        </w:rPr>
        <w:t xml:space="preserve">przedstawionych </w:t>
      </w:r>
      <w:r w:rsidRPr="00E57652">
        <w:rPr>
          <w:rStyle w:val="Bodytext20"/>
          <w:rFonts w:ascii="Verdana" w:hAnsi="Verdana"/>
          <w:sz w:val="20"/>
          <w:szCs w:val="20"/>
          <w:lang w:val="pl-PL"/>
        </w:rPr>
        <w:t>skarżącemu zarzutów, dotyczących działalności terrorystycznej oraz faktu, że wyrok mógłby zostać wydany tylko po rozważeniu przez sąd wszystkich istotnych okoliczności łagodzących i obciążających, uznaniowa</w:t>
      </w:r>
      <w:r w:rsidR="004F0D86">
        <w:rPr>
          <w:rStyle w:val="Odwoanieprzypisudolnego"/>
          <w:rFonts w:eastAsia="Arial" w:cs="Arial"/>
          <w:color w:val="0071BA"/>
          <w:sz w:val="20"/>
          <w:szCs w:val="20"/>
          <w:lang w:eastAsia="en-US" w:bidi="en-US"/>
        </w:rPr>
        <w:footnoteReference w:id="4"/>
      </w:r>
      <w:r w:rsidR="002B5552">
        <w:rPr>
          <w:rStyle w:val="Bodytext20"/>
          <w:rFonts w:ascii="Verdana" w:hAnsi="Verdana"/>
          <w:sz w:val="20"/>
          <w:szCs w:val="20"/>
          <w:lang w:val="pl-PL"/>
        </w:rPr>
        <w:t xml:space="preserve"> </w:t>
      </w:r>
      <w:r w:rsidRPr="00E57652">
        <w:rPr>
          <w:rStyle w:val="Bodytext20"/>
          <w:rFonts w:ascii="Verdana" w:hAnsi="Verdana"/>
          <w:sz w:val="20"/>
          <w:szCs w:val="20"/>
          <w:lang w:val="pl-PL"/>
        </w:rPr>
        <w:t xml:space="preserve">kara dożywotniego pozbawienia wolności nie byłaby rażąco nieproporcjonalna. Trybunał stwierdził jednakże, że władze USA nie przedstawiły żadnych konkretnych gwarancji, że skarżący nie zostanie skazany na nieredukowalną karę dożywocia. Trybunał zauważył również, że choć prawodawstwo USA przewiduje różne możliwości redukcji kary dożywocia (w tym prezydenckie prawo łaski), które dają skarżącemu szanse na zwolnienie, to nie przewiduje żadnej procedury </w:t>
      </w:r>
      <w:r w:rsidR="0092658D">
        <w:rPr>
          <w:rStyle w:val="Bodytext20"/>
          <w:rFonts w:ascii="Verdana" w:hAnsi="Verdana"/>
          <w:sz w:val="20"/>
          <w:szCs w:val="20"/>
          <w:lang w:val="pl-PL"/>
        </w:rPr>
        <w:t xml:space="preserve">równoznacznej </w:t>
      </w:r>
      <w:r w:rsidRPr="00E57652">
        <w:rPr>
          <w:rStyle w:val="Bodytext20"/>
          <w:rFonts w:ascii="Verdana" w:hAnsi="Verdana"/>
          <w:sz w:val="20"/>
          <w:szCs w:val="20"/>
          <w:lang w:val="pl-PL"/>
        </w:rPr>
        <w:t xml:space="preserve">z mechanizmem </w:t>
      </w:r>
      <w:r>
        <w:rPr>
          <w:rStyle w:val="Bodytext20"/>
          <w:rFonts w:ascii="Verdana" w:hAnsi="Verdana"/>
          <w:sz w:val="20"/>
          <w:szCs w:val="20"/>
          <w:lang w:val="pl-PL"/>
        </w:rPr>
        <w:t xml:space="preserve">weryfikacji </w:t>
      </w:r>
      <w:r w:rsidRPr="00E57652">
        <w:rPr>
          <w:rStyle w:val="Bodytext20"/>
          <w:rFonts w:ascii="Verdana" w:hAnsi="Verdana"/>
          <w:sz w:val="20"/>
          <w:szCs w:val="20"/>
          <w:lang w:val="pl-PL"/>
        </w:rPr>
        <w:t>tego typu wyroków dla celów Artykułu 3 Konwencji.</w:t>
      </w:r>
    </w:p>
    <w:p w14:paraId="53A07E52" w14:textId="77777777" w:rsidR="0019578A" w:rsidRPr="00115B1D" w:rsidRDefault="0019578A" w:rsidP="00BD6A84">
      <w:pPr>
        <w:pStyle w:val="Style3"/>
        <w:widowControl/>
        <w:spacing w:before="139"/>
        <w:ind w:left="680"/>
        <w:rPr>
          <w:rStyle w:val="FontStyle21"/>
          <w:sz w:val="20"/>
          <w:szCs w:val="20"/>
          <w:u w:val="single"/>
          <w:lang w:eastAsia="en-US"/>
        </w:rPr>
      </w:pPr>
      <w:hyperlink r:id="rId18" w:history="1">
        <w:r w:rsidRPr="00115B1D">
          <w:rPr>
            <w:rStyle w:val="Hipercze"/>
            <w:b/>
            <w:bCs/>
            <w:sz w:val="20"/>
            <w:szCs w:val="20"/>
            <w:lang w:eastAsia="en-US"/>
          </w:rPr>
          <w:t xml:space="preserve">Findikoglu </w:t>
        </w:r>
        <w:r w:rsidR="005501DD" w:rsidRPr="00115B1D">
          <w:rPr>
            <w:rStyle w:val="Hipercze"/>
            <w:b/>
            <w:bCs/>
            <w:sz w:val="20"/>
            <w:szCs w:val="20"/>
            <w:lang w:eastAsia="en-US"/>
          </w:rPr>
          <w:t xml:space="preserve">przeciwko Niemcom </w:t>
        </w:r>
      </w:hyperlink>
    </w:p>
    <w:p w14:paraId="4F1AEFC6" w14:textId="77777777" w:rsidR="0019578A" w:rsidRPr="00B82F4B" w:rsidRDefault="0019578A" w:rsidP="00BD6A84">
      <w:pPr>
        <w:pStyle w:val="Style8"/>
        <w:widowControl/>
        <w:spacing w:before="48" w:line="240" w:lineRule="exact"/>
        <w:ind w:left="680"/>
        <w:rPr>
          <w:rStyle w:val="FontStyle17"/>
          <w:rFonts w:eastAsia="Arial"/>
          <w:color w:val="A6A6A6"/>
        </w:rPr>
      </w:pPr>
      <w:r w:rsidRPr="00B82F4B">
        <w:rPr>
          <w:rStyle w:val="FontStyle17"/>
          <w:rFonts w:eastAsia="Arial"/>
          <w:color w:val="A6A6A6"/>
        </w:rPr>
        <w:t xml:space="preserve">7 </w:t>
      </w:r>
      <w:r w:rsidR="004F0D86" w:rsidRPr="00B82F4B">
        <w:rPr>
          <w:rStyle w:val="FontStyle17"/>
          <w:rFonts w:eastAsia="Arial"/>
          <w:color w:val="A6A6A6"/>
        </w:rPr>
        <w:t xml:space="preserve">czerwiec </w:t>
      </w:r>
      <w:r w:rsidRPr="00B82F4B">
        <w:rPr>
          <w:rStyle w:val="FontStyle17"/>
          <w:rFonts w:eastAsia="Arial"/>
          <w:color w:val="A6A6A6"/>
        </w:rPr>
        <w:t xml:space="preserve">2016 </w:t>
      </w:r>
      <w:r w:rsidR="004F0D86" w:rsidRPr="00B82F4B">
        <w:rPr>
          <w:rStyle w:val="FontStyle17"/>
          <w:rFonts w:eastAsia="Arial"/>
          <w:color w:val="A6A6A6"/>
        </w:rPr>
        <w:t xml:space="preserve">r. </w:t>
      </w:r>
      <w:r w:rsidRPr="00B82F4B">
        <w:rPr>
          <w:rStyle w:val="FontStyle17"/>
          <w:rFonts w:eastAsia="Arial"/>
          <w:color w:val="A6A6A6"/>
        </w:rPr>
        <w:t>(dec</w:t>
      </w:r>
      <w:r w:rsidR="002B5552" w:rsidRPr="00B82F4B">
        <w:rPr>
          <w:rStyle w:val="FontStyle17"/>
          <w:rFonts w:eastAsia="Arial"/>
          <w:color w:val="A6A6A6"/>
        </w:rPr>
        <w:t>yzja w sprawie dopuszczalności</w:t>
      </w:r>
      <w:r w:rsidRPr="00B82F4B">
        <w:rPr>
          <w:rStyle w:val="FontStyle17"/>
          <w:rFonts w:eastAsia="Arial"/>
          <w:color w:val="A6A6A6"/>
        </w:rPr>
        <w:t>)</w:t>
      </w:r>
    </w:p>
    <w:p w14:paraId="576D4C8E" w14:textId="77777777" w:rsidR="005E7E1F" w:rsidRDefault="002B5552" w:rsidP="00BD6A84">
      <w:pPr>
        <w:pStyle w:val="Style10"/>
        <w:widowControl/>
        <w:spacing w:before="5" w:line="240" w:lineRule="exact"/>
        <w:ind w:left="680" w:right="567"/>
        <w:rPr>
          <w:rStyle w:val="FontStyle22"/>
          <w:sz w:val="20"/>
          <w:szCs w:val="20"/>
          <w:lang w:eastAsia="en-US"/>
        </w:rPr>
      </w:pPr>
      <w:r w:rsidRPr="005E7E1F">
        <w:rPr>
          <w:rStyle w:val="FontStyle22"/>
          <w:sz w:val="20"/>
          <w:szCs w:val="20"/>
          <w:lang w:eastAsia="en-US"/>
        </w:rPr>
        <w:t>W 2015 r. skarżący został poddany ekstradycji do Stanów Zjednoczonych Ameryki, gdzie był poszukiwany w związku z międzynarodowym spiskiem, który miał doprowadzić do ataku na sieci komputerowe dostawców usług finansowych w celu uzyskania korzyści finansowych. Skarżący zarzucał, że za szereg przestępstw</w:t>
      </w:r>
      <w:r w:rsidR="00614CA4" w:rsidRPr="005E7E1F">
        <w:rPr>
          <w:rStyle w:val="FontStyle22"/>
          <w:sz w:val="20"/>
          <w:szCs w:val="20"/>
          <w:lang w:eastAsia="en-US"/>
        </w:rPr>
        <w:t>,</w:t>
      </w:r>
      <w:r w:rsidR="001C5FD9" w:rsidRPr="005E7E1F">
        <w:rPr>
          <w:rStyle w:val="FontStyle22"/>
          <w:sz w:val="20"/>
          <w:szCs w:val="20"/>
          <w:lang w:eastAsia="en-US"/>
        </w:rPr>
        <w:t xml:space="preserve"> </w:t>
      </w:r>
      <w:r w:rsidR="00614CA4" w:rsidRPr="005E7E1F">
        <w:rPr>
          <w:rStyle w:val="FontStyle22"/>
          <w:sz w:val="20"/>
          <w:szCs w:val="20"/>
          <w:lang w:eastAsia="en-US"/>
        </w:rPr>
        <w:t xml:space="preserve">w odniesieniu do których zezwolono na jego </w:t>
      </w:r>
      <w:r w:rsidRPr="005E7E1F">
        <w:rPr>
          <w:rStyle w:val="FontStyle22"/>
          <w:sz w:val="20"/>
          <w:szCs w:val="20"/>
          <w:lang w:eastAsia="en-US"/>
        </w:rPr>
        <w:t>ekstradycj</w:t>
      </w:r>
      <w:r w:rsidR="00614CA4" w:rsidRPr="005E7E1F">
        <w:rPr>
          <w:rStyle w:val="FontStyle22"/>
          <w:sz w:val="20"/>
          <w:szCs w:val="20"/>
          <w:lang w:eastAsia="en-US"/>
        </w:rPr>
        <w:t>ę</w:t>
      </w:r>
      <w:r w:rsidRPr="005E7E1F">
        <w:rPr>
          <w:rStyle w:val="FontStyle22"/>
          <w:sz w:val="20"/>
          <w:szCs w:val="20"/>
          <w:lang w:eastAsia="en-US"/>
        </w:rPr>
        <w:t>, grozi mu kara pozbawienia wolności do 247,5 lat, co oznacza, że w przypadku skazania nie będzie miał perspektyw</w:t>
      </w:r>
      <w:r w:rsidR="005E7E1F">
        <w:rPr>
          <w:rStyle w:val="FontStyle22"/>
          <w:sz w:val="20"/>
          <w:szCs w:val="20"/>
          <w:lang w:eastAsia="en-US"/>
        </w:rPr>
        <w:t>y</w:t>
      </w:r>
      <w:r w:rsidRPr="005E7E1F">
        <w:rPr>
          <w:rStyle w:val="FontStyle22"/>
          <w:sz w:val="20"/>
          <w:szCs w:val="20"/>
          <w:lang w:eastAsia="en-US"/>
        </w:rPr>
        <w:t xml:space="preserve"> na zwolnienie</w:t>
      </w:r>
      <w:r w:rsidR="005E7E1F" w:rsidRPr="005E7E1F">
        <w:rPr>
          <w:rStyle w:val="FontStyle22"/>
          <w:sz w:val="20"/>
          <w:szCs w:val="20"/>
          <w:lang w:eastAsia="en-US"/>
        </w:rPr>
        <w:t>.</w:t>
      </w:r>
      <w:r w:rsidRPr="005E7E1F">
        <w:rPr>
          <w:rStyle w:val="FontStyle22"/>
          <w:sz w:val="20"/>
          <w:szCs w:val="20"/>
          <w:lang w:eastAsia="en-US"/>
        </w:rPr>
        <w:t xml:space="preserve"> </w:t>
      </w:r>
    </w:p>
    <w:p w14:paraId="6D334A12" w14:textId="0164B15F" w:rsidR="00D82C88" w:rsidRPr="000343C3" w:rsidRDefault="005E7E1F" w:rsidP="000343C3">
      <w:pPr>
        <w:pStyle w:val="Style10"/>
        <w:widowControl/>
        <w:spacing w:before="5" w:line="240" w:lineRule="exact"/>
        <w:ind w:left="680" w:right="567"/>
        <w:rPr>
          <w:rStyle w:val="FontStyle22"/>
          <w:rFonts w:eastAsia="Arial" w:cs="Arial"/>
          <w:color w:val="0071BA"/>
          <w:sz w:val="20"/>
          <w:szCs w:val="20"/>
          <w:lang w:eastAsia="en-US" w:bidi="en-US"/>
        </w:rPr>
      </w:pPr>
      <w:r w:rsidRPr="005E7E1F">
        <w:rPr>
          <w:rStyle w:val="Bodytext20"/>
          <w:rFonts w:ascii="Verdana" w:hAnsi="Verdana"/>
          <w:sz w:val="20"/>
          <w:szCs w:val="20"/>
          <w:lang w:val="pl-PL"/>
        </w:rPr>
        <w:t>Trybunał orzekł w szczególności, że</w:t>
      </w:r>
      <w:r w:rsidR="008C789E">
        <w:rPr>
          <w:rStyle w:val="Bodytext20"/>
          <w:rFonts w:ascii="Verdana" w:hAnsi="Verdana"/>
          <w:sz w:val="20"/>
          <w:szCs w:val="20"/>
          <w:lang w:val="pl-PL"/>
        </w:rPr>
        <w:t xml:space="preserve"> w przypadku skarżącego </w:t>
      </w:r>
      <w:r w:rsidR="005F051C">
        <w:rPr>
          <w:rStyle w:val="Bodytext20"/>
          <w:rFonts w:ascii="Verdana" w:hAnsi="Verdana"/>
          <w:sz w:val="20"/>
          <w:szCs w:val="20"/>
          <w:lang w:val="pl-PL"/>
        </w:rPr>
        <w:t xml:space="preserve">nie można zakładać istnienia ryzyka kary dożywotniego pozbawienia wolności, a problem, czy skarżący, jeśli zostałby skazany, miałby jakąkolwiek szansę na zwolnienie, nie jest istotny. W związku z tym </w:t>
      </w:r>
      <w:r w:rsidR="009662C1">
        <w:rPr>
          <w:rStyle w:val="Bodytext20"/>
          <w:rFonts w:ascii="Verdana" w:hAnsi="Verdana"/>
          <w:sz w:val="20"/>
          <w:szCs w:val="20"/>
          <w:lang w:val="pl-PL"/>
        </w:rPr>
        <w:t xml:space="preserve">uznał skargę za </w:t>
      </w:r>
      <w:r w:rsidR="009662C1" w:rsidRPr="00F25ED1">
        <w:rPr>
          <w:rStyle w:val="Bodytext20"/>
          <w:rFonts w:ascii="Verdana" w:hAnsi="Verdana"/>
          <w:b/>
          <w:bCs/>
          <w:sz w:val="20"/>
          <w:szCs w:val="20"/>
          <w:lang w:val="pl-PL"/>
        </w:rPr>
        <w:t>niedopuszczal</w:t>
      </w:r>
      <w:r w:rsidR="00F25ED1" w:rsidRPr="00F25ED1">
        <w:rPr>
          <w:rStyle w:val="Bodytext20"/>
          <w:rFonts w:ascii="Verdana" w:hAnsi="Verdana"/>
          <w:b/>
          <w:bCs/>
          <w:sz w:val="20"/>
          <w:szCs w:val="20"/>
          <w:lang w:val="pl-PL"/>
        </w:rPr>
        <w:t xml:space="preserve">ną </w:t>
      </w:r>
      <w:r w:rsidR="00F25ED1" w:rsidRPr="00F25ED1">
        <w:rPr>
          <w:rStyle w:val="Bodytext20"/>
          <w:rFonts w:ascii="Verdana" w:hAnsi="Verdana"/>
          <w:sz w:val="20"/>
          <w:szCs w:val="20"/>
          <w:lang w:val="pl-PL"/>
        </w:rPr>
        <w:t>jako oczywiście bezzasadną</w:t>
      </w:r>
      <w:r w:rsidR="00F25ED1">
        <w:rPr>
          <w:rStyle w:val="Bodytext20"/>
          <w:rFonts w:ascii="Verdana" w:hAnsi="Verdana"/>
          <w:sz w:val="20"/>
          <w:szCs w:val="20"/>
          <w:lang w:val="pl-PL"/>
        </w:rPr>
        <w:t xml:space="preserve">, </w:t>
      </w:r>
      <w:r w:rsidR="00890ABE">
        <w:rPr>
          <w:rStyle w:val="Bodytext20"/>
          <w:rFonts w:ascii="Verdana" w:hAnsi="Verdana"/>
          <w:sz w:val="20"/>
          <w:szCs w:val="20"/>
          <w:lang w:val="pl-PL"/>
        </w:rPr>
        <w:t>przyjmując, że skarżący nie wykazał, że jego ekstra</w:t>
      </w:r>
      <w:r w:rsidR="001057D7">
        <w:rPr>
          <w:rStyle w:val="Bodytext20"/>
          <w:rFonts w:ascii="Verdana" w:hAnsi="Verdana"/>
          <w:sz w:val="20"/>
          <w:szCs w:val="20"/>
          <w:lang w:val="pl-PL"/>
        </w:rPr>
        <w:t>d</w:t>
      </w:r>
      <w:r w:rsidR="00890ABE">
        <w:rPr>
          <w:rStyle w:val="Bodytext20"/>
          <w:rFonts w:ascii="Verdana" w:hAnsi="Verdana"/>
          <w:sz w:val="20"/>
          <w:szCs w:val="20"/>
          <w:lang w:val="pl-PL"/>
        </w:rPr>
        <w:t>ycja do Stanów Zjednoczon</w:t>
      </w:r>
      <w:r w:rsidR="001057D7">
        <w:rPr>
          <w:rStyle w:val="Bodytext20"/>
          <w:rFonts w:ascii="Verdana" w:hAnsi="Verdana"/>
          <w:sz w:val="20"/>
          <w:szCs w:val="20"/>
          <w:lang w:val="pl-PL"/>
        </w:rPr>
        <w:t>y</w:t>
      </w:r>
      <w:r w:rsidR="00890ABE">
        <w:rPr>
          <w:rStyle w:val="Bodytext20"/>
          <w:rFonts w:ascii="Verdana" w:hAnsi="Verdana"/>
          <w:sz w:val="20"/>
          <w:szCs w:val="20"/>
          <w:lang w:val="pl-PL"/>
        </w:rPr>
        <w:t>ch</w:t>
      </w:r>
      <w:r w:rsidR="006919CC">
        <w:rPr>
          <w:rStyle w:val="Bodytext20"/>
          <w:rFonts w:ascii="Verdana" w:hAnsi="Verdana"/>
          <w:sz w:val="20"/>
          <w:szCs w:val="20"/>
          <w:lang w:val="pl-PL"/>
        </w:rPr>
        <w:t xml:space="preserve">, w razie prawdopodobnego wyroku </w:t>
      </w:r>
      <w:r w:rsidR="001057D7">
        <w:rPr>
          <w:rStyle w:val="Bodytext20"/>
          <w:rFonts w:ascii="Verdana" w:hAnsi="Verdana"/>
          <w:sz w:val="20"/>
          <w:szCs w:val="20"/>
          <w:lang w:val="pl-PL"/>
        </w:rPr>
        <w:t>nara</w:t>
      </w:r>
      <w:r w:rsidR="006919CC">
        <w:rPr>
          <w:rStyle w:val="Bodytext20"/>
          <w:rFonts w:ascii="Verdana" w:hAnsi="Verdana"/>
          <w:sz w:val="20"/>
          <w:szCs w:val="20"/>
          <w:lang w:val="pl-PL"/>
        </w:rPr>
        <w:t xml:space="preserve">żała </w:t>
      </w:r>
      <w:r w:rsidR="001057D7">
        <w:rPr>
          <w:rStyle w:val="Bodytext20"/>
          <w:rFonts w:ascii="Verdana" w:hAnsi="Verdana"/>
          <w:sz w:val="20"/>
          <w:szCs w:val="20"/>
          <w:lang w:val="pl-PL"/>
        </w:rPr>
        <w:t>go na realne ryzyko złego traktowania</w:t>
      </w:r>
      <w:r w:rsidR="006919CC">
        <w:rPr>
          <w:rStyle w:val="Bodytext20"/>
          <w:rFonts w:ascii="Verdana" w:hAnsi="Verdana"/>
          <w:sz w:val="20"/>
          <w:szCs w:val="20"/>
          <w:lang w:val="pl-PL"/>
        </w:rPr>
        <w:t xml:space="preserve"> </w:t>
      </w:r>
      <w:r w:rsidR="001057D7">
        <w:rPr>
          <w:rStyle w:val="Bodytext20"/>
          <w:rFonts w:ascii="Verdana" w:hAnsi="Verdana"/>
          <w:sz w:val="20"/>
          <w:szCs w:val="20"/>
          <w:lang w:val="pl-PL"/>
        </w:rPr>
        <w:t>sięgające</w:t>
      </w:r>
      <w:r w:rsidR="006919CC">
        <w:rPr>
          <w:rStyle w:val="Bodytext20"/>
          <w:rFonts w:ascii="Verdana" w:hAnsi="Verdana"/>
          <w:sz w:val="20"/>
          <w:szCs w:val="20"/>
          <w:lang w:val="pl-PL"/>
        </w:rPr>
        <w:t>go</w:t>
      </w:r>
      <w:r w:rsidR="001057D7">
        <w:rPr>
          <w:rStyle w:val="Bodytext20"/>
          <w:rFonts w:ascii="Verdana" w:hAnsi="Verdana"/>
          <w:sz w:val="20"/>
          <w:szCs w:val="20"/>
          <w:lang w:val="pl-PL"/>
        </w:rPr>
        <w:t xml:space="preserve"> poziomu przewidzianego w art. 3 Konwencji</w:t>
      </w:r>
      <w:r w:rsidR="006919CC">
        <w:rPr>
          <w:rStyle w:val="Bodytext20"/>
          <w:rFonts w:ascii="Verdana" w:hAnsi="Verdana"/>
          <w:sz w:val="20"/>
          <w:szCs w:val="20"/>
          <w:lang w:val="pl-PL"/>
        </w:rPr>
        <w:t xml:space="preserve">. </w:t>
      </w:r>
    </w:p>
    <w:p w14:paraId="3A07E962" w14:textId="1AB56FC2" w:rsidR="003A0899" w:rsidRDefault="006919CC" w:rsidP="00D82C88">
      <w:pPr>
        <w:pStyle w:val="Style2"/>
        <w:widowControl/>
        <w:spacing w:line="365" w:lineRule="exact"/>
        <w:ind w:left="680" w:right="567"/>
        <w:rPr>
          <w:rStyle w:val="FontStyle22"/>
          <w:sz w:val="20"/>
          <w:szCs w:val="20"/>
          <w:lang w:eastAsia="en-US"/>
        </w:rPr>
      </w:pPr>
      <w:r w:rsidRPr="006919CC">
        <w:rPr>
          <w:rStyle w:val="FontStyle19"/>
          <w:rFonts w:eastAsia="Arial"/>
          <w:lang w:eastAsia="en-US"/>
        </w:rPr>
        <w:t>Zobacz również</w:t>
      </w:r>
      <w:r w:rsidR="0019578A" w:rsidRPr="006919CC">
        <w:rPr>
          <w:rStyle w:val="FontStyle19"/>
          <w:rFonts w:eastAsia="Arial"/>
          <w:lang w:eastAsia="en-US"/>
        </w:rPr>
        <w:t xml:space="preserve">: </w:t>
      </w:r>
      <w:hyperlink r:id="rId19" w:history="1">
        <w:r w:rsidR="0019578A" w:rsidRPr="00D045B8">
          <w:rPr>
            <w:rStyle w:val="Hipercze"/>
            <w:b/>
            <w:bCs/>
            <w:sz w:val="20"/>
            <w:szCs w:val="20"/>
            <w:lang w:eastAsia="en-US"/>
          </w:rPr>
          <w:t xml:space="preserve">Lopez Elorza </w:t>
        </w:r>
        <w:r w:rsidRPr="00D045B8">
          <w:rPr>
            <w:rStyle w:val="Hipercze"/>
            <w:b/>
            <w:bCs/>
            <w:sz w:val="20"/>
            <w:szCs w:val="20"/>
            <w:lang w:eastAsia="en-US"/>
          </w:rPr>
          <w:t>przeciwko Hiszpanii</w:t>
        </w:r>
        <w:r w:rsidR="0019578A" w:rsidRPr="00D045B8">
          <w:rPr>
            <w:rStyle w:val="Hipercze"/>
            <w:b/>
            <w:bCs/>
            <w:sz w:val="20"/>
            <w:szCs w:val="20"/>
            <w:lang w:eastAsia="en-US"/>
          </w:rPr>
          <w:t>,</w:t>
        </w:r>
      </w:hyperlink>
      <w:r w:rsidR="0019578A" w:rsidRPr="00D045B8">
        <w:rPr>
          <w:rStyle w:val="FontStyle18"/>
          <w:rFonts w:eastAsia="Arial"/>
          <w:sz w:val="20"/>
          <w:szCs w:val="20"/>
        </w:rPr>
        <w:t xml:space="preserve"> </w:t>
      </w:r>
      <w:r w:rsidRPr="00D045B8">
        <w:rPr>
          <w:rStyle w:val="FontStyle22"/>
          <w:sz w:val="20"/>
          <w:szCs w:val="20"/>
          <w:lang w:eastAsia="en-US"/>
        </w:rPr>
        <w:t xml:space="preserve">wyrok z 12 grudnia </w:t>
      </w:r>
      <w:r w:rsidR="005501DD" w:rsidRPr="00D045B8">
        <w:rPr>
          <w:rStyle w:val="FontStyle22"/>
          <w:sz w:val="20"/>
          <w:szCs w:val="20"/>
          <w:lang w:eastAsia="en-US"/>
        </w:rPr>
        <w:t>2</w:t>
      </w:r>
      <w:r w:rsidRPr="00D045B8">
        <w:rPr>
          <w:rStyle w:val="FontStyle22"/>
          <w:sz w:val="20"/>
          <w:szCs w:val="20"/>
          <w:lang w:eastAsia="en-US"/>
        </w:rPr>
        <w:t>017 r.</w:t>
      </w:r>
    </w:p>
    <w:p w14:paraId="14BA3427" w14:textId="77777777" w:rsidR="00D82C88" w:rsidRDefault="00D82C88" w:rsidP="00D82C88">
      <w:pPr>
        <w:pStyle w:val="Style2"/>
        <w:widowControl/>
        <w:spacing w:line="365" w:lineRule="exact"/>
        <w:ind w:left="680" w:right="567"/>
        <w:rPr>
          <w:rFonts w:cs="Verdana"/>
          <w:sz w:val="18"/>
          <w:szCs w:val="18"/>
          <w:lang w:eastAsia="en-US"/>
        </w:rPr>
      </w:pPr>
    </w:p>
    <w:p w14:paraId="3AB38EC8" w14:textId="77777777" w:rsidR="00D82C88" w:rsidRPr="00D82C88" w:rsidRDefault="00D82C88" w:rsidP="00D82C88">
      <w:pPr>
        <w:pStyle w:val="Style2"/>
        <w:widowControl/>
        <w:spacing w:line="365" w:lineRule="exact"/>
        <w:ind w:left="680" w:right="567"/>
        <w:rPr>
          <w:rFonts w:cs="Verdana"/>
          <w:sz w:val="18"/>
          <w:szCs w:val="18"/>
          <w:lang w:eastAsia="en-US"/>
        </w:rPr>
      </w:pPr>
    </w:p>
    <w:p w14:paraId="5C9135A2" w14:textId="77777777" w:rsidR="0019578A" w:rsidRPr="00D80AEC" w:rsidRDefault="0019578A" w:rsidP="00BD6A84">
      <w:pPr>
        <w:pStyle w:val="Style2"/>
        <w:widowControl/>
        <w:spacing w:line="365" w:lineRule="exact"/>
        <w:ind w:left="680" w:right="1843"/>
        <w:jc w:val="both"/>
        <w:rPr>
          <w:rStyle w:val="FontStyle21"/>
          <w:sz w:val="20"/>
          <w:szCs w:val="20"/>
          <w:u w:val="single"/>
          <w:lang w:val="en-GB" w:eastAsia="en-US"/>
        </w:rPr>
      </w:pPr>
      <w:hyperlink r:id="rId20" w:history="1">
        <w:r w:rsidRPr="00D80AEC">
          <w:rPr>
            <w:rStyle w:val="Hipercze"/>
            <w:b/>
            <w:bCs/>
            <w:sz w:val="20"/>
            <w:szCs w:val="20"/>
            <w:lang w:val="en-GB" w:eastAsia="en-US"/>
          </w:rPr>
          <w:t xml:space="preserve">Harkins </w:t>
        </w:r>
        <w:r w:rsidR="00402DAA" w:rsidRPr="00D80AEC">
          <w:rPr>
            <w:rStyle w:val="Hipercze"/>
            <w:b/>
            <w:bCs/>
            <w:sz w:val="20"/>
            <w:szCs w:val="20"/>
            <w:lang w:val="en-GB" w:eastAsia="en-US"/>
          </w:rPr>
          <w:t xml:space="preserve">przeciwko Zjednoczonemu Królestwu </w:t>
        </w:r>
      </w:hyperlink>
    </w:p>
    <w:p w14:paraId="49C36A4F" w14:textId="77777777" w:rsidR="0019578A" w:rsidRPr="0091329A" w:rsidRDefault="0019578A" w:rsidP="00BD6A84">
      <w:pPr>
        <w:pStyle w:val="Style8"/>
        <w:widowControl/>
        <w:spacing w:before="10" w:line="240" w:lineRule="exact"/>
        <w:ind w:left="680"/>
        <w:jc w:val="both"/>
        <w:rPr>
          <w:rStyle w:val="FontStyle17"/>
        </w:rPr>
      </w:pPr>
      <w:r w:rsidRPr="00B82F4B">
        <w:rPr>
          <w:rStyle w:val="FontStyle17"/>
          <w:rFonts w:eastAsia="Arial"/>
          <w:color w:val="A6A6A6"/>
        </w:rPr>
        <w:t xml:space="preserve">10 </w:t>
      </w:r>
      <w:r w:rsidR="00A61228">
        <w:rPr>
          <w:rStyle w:val="FontStyle17"/>
          <w:rFonts w:eastAsia="Arial"/>
          <w:color w:val="A6A6A6"/>
        </w:rPr>
        <w:t>lipca</w:t>
      </w:r>
      <w:r w:rsidRPr="00B82F4B">
        <w:rPr>
          <w:rStyle w:val="FontStyle17"/>
          <w:rFonts w:eastAsia="Arial"/>
          <w:color w:val="A6A6A6"/>
        </w:rPr>
        <w:t xml:space="preserve"> 2017</w:t>
      </w:r>
      <w:r w:rsidRPr="0091329A">
        <w:rPr>
          <w:rStyle w:val="FontStyle17"/>
          <w:rFonts w:eastAsia="Arial"/>
        </w:rPr>
        <w:t xml:space="preserve"> </w:t>
      </w:r>
      <w:r w:rsidRPr="00B82F4B">
        <w:rPr>
          <w:rStyle w:val="FontStyle17"/>
          <w:rFonts w:eastAsia="Arial"/>
          <w:color w:val="A6A6A6"/>
        </w:rPr>
        <w:t>(</w:t>
      </w:r>
      <w:r w:rsidR="00172CC4" w:rsidRPr="00B82F4B">
        <w:rPr>
          <w:rStyle w:val="FontStyle17"/>
          <w:rFonts w:eastAsia="Arial"/>
          <w:color w:val="A6A6A6"/>
        </w:rPr>
        <w:t xml:space="preserve">Wielka Izba </w:t>
      </w:r>
      <w:r w:rsidR="0091329A" w:rsidRPr="00B82F4B">
        <w:rPr>
          <w:rStyle w:val="FontStyle17"/>
          <w:rFonts w:eastAsia="Arial"/>
          <w:color w:val="A6A6A6"/>
        </w:rPr>
        <w:t>– decyzja w sprawie dopuszczalności</w:t>
      </w:r>
      <w:r w:rsidRPr="00B82F4B">
        <w:rPr>
          <w:rStyle w:val="FontStyle17"/>
          <w:rFonts w:eastAsia="Arial"/>
          <w:color w:val="A6A6A6"/>
        </w:rPr>
        <w:t>)</w:t>
      </w:r>
    </w:p>
    <w:p w14:paraId="68D22619" w14:textId="77777777" w:rsidR="00097CC1" w:rsidRPr="008C1685" w:rsidRDefault="00172CC4" w:rsidP="00EC5C65">
      <w:pPr>
        <w:pStyle w:val="Style8"/>
        <w:widowControl/>
        <w:spacing w:before="10" w:line="240" w:lineRule="exact"/>
        <w:ind w:left="680" w:right="567"/>
        <w:jc w:val="both"/>
        <w:rPr>
          <w:rStyle w:val="FontStyle22"/>
          <w:sz w:val="20"/>
          <w:szCs w:val="20"/>
          <w:lang w:eastAsia="en-US"/>
        </w:rPr>
      </w:pPr>
      <w:r w:rsidRPr="008C1685">
        <w:rPr>
          <w:rStyle w:val="FontStyle22"/>
          <w:sz w:val="20"/>
          <w:szCs w:val="20"/>
          <w:lang w:eastAsia="en-US"/>
        </w:rPr>
        <w:t xml:space="preserve">Sprawa ta dotyczyła ekstradycji obywatela brytyjskiego do Stanów Zjednoczonych Ameryki </w:t>
      </w:r>
      <w:r w:rsidR="0091329A">
        <w:rPr>
          <w:rStyle w:val="FontStyle22"/>
          <w:sz w:val="20"/>
          <w:szCs w:val="20"/>
          <w:lang w:eastAsia="en-US"/>
        </w:rPr>
        <w:br/>
      </w:r>
      <w:r w:rsidRPr="008C1685">
        <w:rPr>
          <w:rStyle w:val="FontStyle22"/>
          <w:sz w:val="20"/>
          <w:szCs w:val="20"/>
          <w:lang w:eastAsia="en-US"/>
        </w:rPr>
        <w:t>w celu postawienia go przed sądem za morderstwo pierwszego stopnia. Skarżący zarzucał, że jego ekstradycja do Stanów Zjednoczonych naruszałaby art. 3 i 6 (prawo do rzetelnego procesu sądowego) Konwencji, ponieważ w przypadku skazania na Florydzie groziłaby mu ob</w:t>
      </w:r>
      <w:r w:rsidR="00801588">
        <w:rPr>
          <w:rStyle w:val="FontStyle22"/>
          <w:sz w:val="20"/>
          <w:szCs w:val="20"/>
          <w:lang w:eastAsia="en-US"/>
        </w:rPr>
        <w:t xml:space="preserve">ligatoryjna </w:t>
      </w:r>
      <w:r w:rsidRPr="008C1685">
        <w:rPr>
          <w:rStyle w:val="FontStyle22"/>
          <w:sz w:val="20"/>
          <w:szCs w:val="20"/>
          <w:lang w:eastAsia="en-US"/>
        </w:rPr>
        <w:t xml:space="preserve">kara dożywocia w więzieniu bez możliwości </w:t>
      </w:r>
      <w:r w:rsidR="00F52D9E" w:rsidRPr="008C1685">
        <w:rPr>
          <w:rStyle w:val="FontStyle22"/>
          <w:sz w:val="20"/>
          <w:szCs w:val="20"/>
          <w:lang w:eastAsia="en-US"/>
        </w:rPr>
        <w:t xml:space="preserve">warunkowego </w:t>
      </w:r>
      <w:r w:rsidRPr="008C1685">
        <w:rPr>
          <w:rStyle w:val="FontStyle22"/>
          <w:sz w:val="20"/>
          <w:szCs w:val="20"/>
          <w:lang w:eastAsia="en-US"/>
        </w:rPr>
        <w:t>zwolnienia.</w:t>
      </w:r>
      <w:r w:rsidR="000F1965" w:rsidRPr="008C1685">
        <w:rPr>
          <w:rStyle w:val="FontStyle22"/>
          <w:sz w:val="20"/>
          <w:szCs w:val="20"/>
          <w:lang w:eastAsia="en-US"/>
        </w:rPr>
        <w:t xml:space="preserve"> To już po raz drugi skarżący złożył skargę do Europejskiego Trybunał</w:t>
      </w:r>
      <w:r w:rsidR="00F52D9E" w:rsidRPr="008C1685">
        <w:rPr>
          <w:rStyle w:val="FontStyle22"/>
          <w:sz w:val="20"/>
          <w:szCs w:val="20"/>
          <w:lang w:eastAsia="en-US"/>
        </w:rPr>
        <w:t>u</w:t>
      </w:r>
      <w:r w:rsidR="000F1965" w:rsidRPr="008C1685">
        <w:rPr>
          <w:rStyle w:val="FontStyle22"/>
          <w:sz w:val="20"/>
          <w:szCs w:val="20"/>
          <w:lang w:eastAsia="en-US"/>
        </w:rPr>
        <w:t xml:space="preserve"> w związku z jego ekstradycją. </w:t>
      </w:r>
      <w:r w:rsidR="008C1685">
        <w:rPr>
          <w:rStyle w:val="FontStyle22"/>
          <w:sz w:val="20"/>
          <w:szCs w:val="20"/>
          <w:lang w:eastAsia="en-US"/>
        </w:rPr>
        <w:br/>
      </w:r>
      <w:r w:rsidR="00280003" w:rsidRPr="008C1685">
        <w:rPr>
          <w:rStyle w:val="FontStyle22"/>
          <w:sz w:val="20"/>
          <w:szCs w:val="20"/>
          <w:lang w:eastAsia="en-US"/>
        </w:rPr>
        <w:t xml:space="preserve">W 2012 r. w wyroku w sprawie </w:t>
      </w:r>
      <w:hyperlink r:id="rId21" w:history="1">
        <w:r w:rsidR="00280003" w:rsidRPr="0091329A">
          <w:rPr>
            <w:rStyle w:val="Hipercze"/>
            <w:b/>
            <w:bCs/>
            <w:i/>
            <w:iCs/>
            <w:sz w:val="20"/>
            <w:szCs w:val="20"/>
            <w:lang w:eastAsia="en-US"/>
          </w:rPr>
          <w:t xml:space="preserve">Harkins </w:t>
        </w:r>
        <w:r w:rsidR="00DD237C" w:rsidRPr="0091329A">
          <w:rPr>
            <w:rStyle w:val="Hipercze"/>
            <w:b/>
            <w:bCs/>
            <w:i/>
            <w:iCs/>
            <w:sz w:val="20"/>
            <w:szCs w:val="20"/>
            <w:lang w:eastAsia="en-US"/>
          </w:rPr>
          <w:t>i</w:t>
        </w:r>
        <w:r w:rsidR="00280003" w:rsidRPr="0091329A">
          <w:rPr>
            <w:rStyle w:val="Hipercze"/>
            <w:b/>
            <w:bCs/>
            <w:i/>
            <w:iCs/>
            <w:sz w:val="20"/>
            <w:szCs w:val="20"/>
            <w:lang w:eastAsia="en-US"/>
          </w:rPr>
          <w:t xml:space="preserve"> Edwards</w:t>
        </w:r>
      </w:hyperlink>
      <w:r w:rsidR="00280003" w:rsidRPr="008C1685">
        <w:rPr>
          <w:rStyle w:val="FontStyle19"/>
          <w:rFonts w:eastAsia="Arial"/>
          <w:sz w:val="20"/>
          <w:szCs w:val="20"/>
          <w:lang w:eastAsia="en-US"/>
        </w:rPr>
        <w:t xml:space="preserve"> </w:t>
      </w:r>
      <w:r w:rsidR="00280003" w:rsidRPr="008C1685">
        <w:rPr>
          <w:rStyle w:val="FontStyle22"/>
          <w:sz w:val="20"/>
          <w:szCs w:val="20"/>
          <w:lang w:eastAsia="en-US"/>
        </w:rPr>
        <w:t>(zob. str. 1 powyżej) Trybunał stwierdził, że jego ekstradycja nie naruszy</w:t>
      </w:r>
      <w:r w:rsidR="00115B1D" w:rsidRPr="008C1685">
        <w:rPr>
          <w:rStyle w:val="FontStyle22"/>
          <w:sz w:val="20"/>
          <w:szCs w:val="20"/>
          <w:lang w:eastAsia="en-US"/>
        </w:rPr>
        <w:t>łaby</w:t>
      </w:r>
      <w:r w:rsidR="00280003" w:rsidRPr="008C1685">
        <w:rPr>
          <w:rStyle w:val="FontStyle22"/>
          <w:sz w:val="20"/>
          <w:szCs w:val="20"/>
          <w:lang w:eastAsia="en-US"/>
        </w:rPr>
        <w:t xml:space="preserve"> art. 3 Konwencji. </w:t>
      </w:r>
      <w:r w:rsidR="00E6561F" w:rsidRPr="008C1685">
        <w:rPr>
          <w:rStyle w:val="FontStyle22"/>
          <w:sz w:val="20"/>
          <w:szCs w:val="20"/>
          <w:lang w:eastAsia="en-US"/>
        </w:rPr>
        <w:t>Jednakże s</w:t>
      </w:r>
      <w:r w:rsidR="00F52D9E" w:rsidRPr="008C1685">
        <w:rPr>
          <w:rStyle w:val="FontStyle22"/>
          <w:sz w:val="20"/>
          <w:szCs w:val="20"/>
          <w:lang w:eastAsia="en-US"/>
        </w:rPr>
        <w:t xml:space="preserve">karżący </w:t>
      </w:r>
      <w:r w:rsidR="00280003" w:rsidRPr="008C1685">
        <w:rPr>
          <w:rStyle w:val="FontStyle22"/>
          <w:sz w:val="20"/>
          <w:szCs w:val="20"/>
          <w:lang w:eastAsia="en-US"/>
        </w:rPr>
        <w:t>nie został poddany ekstradycji, a w następstwie późniejszych wyroków Trybunału w sprawach</w:t>
      </w:r>
      <w:hyperlink r:id="rId22" w:history="1">
        <w:r w:rsidR="00D80AEC" w:rsidRPr="008C1685">
          <w:rPr>
            <w:rStyle w:val="Hipercze"/>
            <w:i/>
            <w:iCs/>
            <w:sz w:val="20"/>
            <w:szCs w:val="20"/>
            <w:u w:val="none"/>
            <w:lang w:eastAsia="en-US"/>
          </w:rPr>
          <w:t xml:space="preserve"> </w:t>
        </w:r>
        <w:r w:rsidR="00D80AEC" w:rsidRPr="0091329A">
          <w:rPr>
            <w:rStyle w:val="Hipercze"/>
            <w:b/>
            <w:bCs/>
            <w:i/>
            <w:iCs/>
            <w:sz w:val="20"/>
            <w:szCs w:val="20"/>
            <w:lang w:eastAsia="en-US"/>
          </w:rPr>
          <w:t xml:space="preserve">Vinter </w:t>
        </w:r>
        <w:r w:rsidR="00DD237C" w:rsidRPr="0091329A">
          <w:rPr>
            <w:rStyle w:val="Hipercze"/>
            <w:b/>
            <w:bCs/>
            <w:i/>
            <w:iCs/>
            <w:sz w:val="20"/>
            <w:szCs w:val="20"/>
            <w:lang w:eastAsia="en-US"/>
          </w:rPr>
          <w:t>i Inni</w:t>
        </w:r>
      </w:hyperlink>
      <w:r w:rsidR="00E6561F" w:rsidRPr="008C1685">
        <w:rPr>
          <w:rStyle w:val="FontStyle19"/>
          <w:rFonts w:eastAsia="Arial"/>
          <w:i w:val="0"/>
          <w:iCs w:val="0"/>
          <w:sz w:val="20"/>
          <w:szCs w:val="20"/>
          <w:lang w:eastAsia="en-US"/>
        </w:rPr>
        <w:t xml:space="preserve"> </w:t>
      </w:r>
      <w:r w:rsidR="008C1685" w:rsidRPr="008C1685">
        <w:rPr>
          <w:rStyle w:val="FontStyle19"/>
          <w:rFonts w:eastAsia="Arial"/>
          <w:i w:val="0"/>
          <w:iCs w:val="0"/>
          <w:sz w:val="20"/>
          <w:szCs w:val="20"/>
          <w:lang w:eastAsia="en-US"/>
        </w:rPr>
        <w:br/>
      </w:r>
      <w:r w:rsidR="008C1685" w:rsidRPr="008C1685">
        <w:rPr>
          <w:rStyle w:val="FontStyle22"/>
          <w:sz w:val="20"/>
          <w:szCs w:val="20"/>
          <w:lang w:eastAsia="en-US"/>
        </w:rPr>
        <w:t>oraz</w:t>
      </w:r>
      <w:r w:rsidR="00D80AEC" w:rsidRPr="008C1685">
        <w:rPr>
          <w:rStyle w:val="FontStyle22"/>
          <w:i/>
          <w:iCs/>
          <w:sz w:val="20"/>
          <w:szCs w:val="20"/>
          <w:lang w:eastAsia="en-US"/>
        </w:rPr>
        <w:t xml:space="preserve"> </w:t>
      </w:r>
      <w:hyperlink r:id="rId23" w:history="1">
        <w:r w:rsidR="00D80AEC" w:rsidRPr="0091329A">
          <w:rPr>
            <w:rStyle w:val="Hipercze"/>
            <w:b/>
            <w:bCs/>
            <w:i/>
            <w:iCs/>
            <w:sz w:val="20"/>
            <w:szCs w:val="20"/>
            <w:lang w:eastAsia="en-US"/>
          </w:rPr>
          <w:t>Trabelsi</w:t>
        </w:r>
      </w:hyperlink>
      <w:r w:rsidR="00D80AEC" w:rsidRPr="008C1685">
        <w:rPr>
          <w:rStyle w:val="FontStyle19"/>
          <w:rFonts w:eastAsia="Arial"/>
          <w:sz w:val="20"/>
          <w:szCs w:val="20"/>
          <w:lang w:eastAsia="en-US"/>
        </w:rPr>
        <w:t xml:space="preserve"> </w:t>
      </w:r>
      <w:r w:rsidR="00280003" w:rsidRPr="008C1685">
        <w:rPr>
          <w:rStyle w:val="FontStyle22"/>
          <w:sz w:val="20"/>
          <w:szCs w:val="20"/>
          <w:lang w:eastAsia="en-US"/>
        </w:rPr>
        <w:t>argumentował przed sądami krajowymi, że zmian</w:t>
      </w:r>
      <w:r w:rsidR="00E6561F" w:rsidRPr="008C1685">
        <w:rPr>
          <w:rStyle w:val="FontStyle22"/>
          <w:sz w:val="20"/>
          <w:szCs w:val="20"/>
          <w:lang w:eastAsia="en-US"/>
        </w:rPr>
        <w:t>y w orzecznictwie Trybunału dotyczącym wyroków skazujących na dożywocie be</w:t>
      </w:r>
      <w:r w:rsidR="0091329A">
        <w:rPr>
          <w:rStyle w:val="FontStyle22"/>
          <w:sz w:val="20"/>
          <w:szCs w:val="20"/>
          <w:lang w:eastAsia="en-US"/>
        </w:rPr>
        <w:t>z</w:t>
      </w:r>
      <w:r w:rsidR="00E6561F" w:rsidRPr="008C1685">
        <w:rPr>
          <w:rStyle w:val="FontStyle22"/>
          <w:sz w:val="20"/>
          <w:szCs w:val="20"/>
          <w:lang w:eastAsia="en-US"/>
        </w:rPr>
        <w:t xml:space="preserve"> możliwości warunkowego zwo</w:t>
      </w:r>
      <w:r w:rsidR="00473E25" w:rsidRPr="008C1685">
        <w:rPr>
          <w:rStyle w:val="FontStyle22"/>
          <w:sz w:val="20"/>
          <w:szCs w:val="20"/>
          <w:lang w:eastAsia="en-US"/>
        </w:rPr>
        <w:t>l</w:t>
      </w:r>
      <w:r w:rsidR="00E6561F" w:rsidRPr="008C1685">
        <w:rPr>
          <w:rStyle w:val="FontStyle22"/>
          <w:sz w:val="20"/>
          <w:szCs w:val="20"/>
          <w:lang w:eastAsia="en-US"/>
        </w:rPr>
        <w:t>ni</w:t>
      </w:r>
      <w:r w:rsidR="00473E25" w:rsidRPr="008C1685">
        <w:rPr>
          <w:rStyle w:val="FontStyle22"/>
          <w:sz w:val="20"/>
          <w:szCs w:val="20"/>
          <w:lang w:eastAsia="en-US"/>
        </w:rPr>
        <w:t>e</w:t>
      </w:r>
      <w:r w:rsidR="00E6561F" w:rsidRPr="008C1685">
        <w:rPr>
          <w:rStyle w:val="FontStyle22"/>
          <w:sz w:val="20"/>
          <w:szCs w:val="20"/>
          <w:lang w:eastAsia="en-US"/>
        </w:rPr>
        <w:t xml:space="preserve">nia </w:t>
      </w:r>
      <w:r w:rsidR="00EC5C65" w:rsidRPr="008C1685">
        <w:rPr>
          <w:rStyle w:val="FontStyle22"/>
          <w:sz w:val="20"/>
          <w:szCs w:val="20"/>
          <w:lang w:eastAsia="en-US"/>
        </w:rPr>
        <w:t xml:space="preserve">wymagały ponownego wszczęcia postępowania. Sądy brytyjskie odmówiły ponownego wszczęcia postępowania, </w:t>
      </w:r>
      <w:r w:rsidR="00097986" w:rsidRPr="008C1685">
        <w:rPr>
          <w:rStyle w:val="FontStyle22"/>
          <w:sz w:val="20"/>
          <w:szCs w:val="20"/>
          <w:lang w:eastAsia="en-US"/>
        </w:rPr>
        <w:t>a</w:t>
      </w:r>
      <w:r w:rsidR="00EC5C65" w:rsidRPr="008C1685">
        <w:rPr>
          <w:rStyle w:val="FontStyle22"/>
          <w:sz w:val="20"/>
          <w:szCs w:val="20"/>
          <w:lang w:eastAsia="en-US"/>
        </w:rPr>
        <w:t xml:space="preserve"> skarżący w swoim drugim wniosku do Trybunału, opierając się na ostatnim orzecznictwie, ponownie skarżył się, że jego ekstradycja naruszy</w:t>
      </w:r>
      <w:r w:rsidR="00097986" w:rsidRPr="008C1685">
        <w:rPr>
          <w:rStyle w:val="FontStyle22"/>
          <w:sz w:val="20"/>
          <w:szCs w:val="20"/>
          <w:lang w:eastAsia="en-US"/>
        </w:rPr>
        <w:t>łaby</w:t>
      </w:r>
      <w:r w:rsidR="00EC5C65" w:rsidRPr="008C1685">
        <w:rPr>
          <w:rStyle w:val="FontStyle22"/>
          <w:sz w:val="20"/>
          <w:szCs w:val="20"/>
          <w:lang w:eastAsia="en-US"/>
        </w:rPr>
        <w:t xml:space="preserve"> prawa wynikające z </w:t>
      </w:r>
      <w:r w:rsidR="0091329A">
        <w:rPr>
          <w:rStyle w:val="FontStyle22"/>
          <w:sz w:val="20"/>
          <w:szCs w:val="20"/>
          <w:lang w:eastAsia="en-US"/>
        </w:rPr>
        <w:t>A</w:t>
      </w:r>
      <w:r w:rsidR="00EC5C65" w:rsidRPr="008C1685">
        <w:rPr>
          <w:rStyle w:val="FontStyle22"/>
          <w:sz w:val="20"/>
          <w:szCs w:val="20"/>
          <w:lang w:eastAsia="en-US"/>
        </w:rPr>
        <w:t>rt. 3.</w:t>
      </w:r>
    </w:p>
    <w:p w14:paraId="377B7360" w14:textId="0EF54635" w:rsidR="00AB43C4" w:rsidRPr="000343C3" w:rsidRDefault="00097986" w:rsidP="000343C3">
      <w:pPr>
        <w:pStyle w:val="Style10"/>
        <w:widowControl/>
        <w:spacing w:before="5" w:line="240" w:lineRule="exact"/>
        <w:ind w:left="680" w:right="567"/>
        <w:rPr>
          <w:rStyle w:val="Heading30"/>
          <w:rFonts w:ascii="Verdana" w:eastAsia="Times New Roman" w:hAnsi="Verdana" w:cs="Times New Roman"/>
          <w:b w:val="0"/>
          <w:bCs w:val="0"/>
          <w:color w:val="auto"/>
          <w:sz w:val="20"/>
          <w:szCs w:val="20"/>
          <w:u w:val="none"/>
          <w:lang w:val="pl-PL" w:eastAsia="pl-PL" w:bidi="ar-SA"/>
        </w:rPr>
      </w:pPr>
      <w:r w:rsidRPr="00801588">
        <w:rPr>
          <w:rStyle w:val="Bodytext20"/>
          <w:rFonts w:ascii="Verdana" w:hAnsi="Verdana"/>
          <w:sz w:val="20"/>
          <w:szCs w:val="20"/>
          <w:lang w:val="pl-PL"/>
        </w:rPr>
        <w:t>Wielka Izba uznała</w:t>
      </w:r>
      <w:r w:rsidR="00082957" w:rsidRPr="00801588">
        <w:rPr>
          <w:rStyle w:val="Bodytext20"/>
          <w:rFonts w:ascii="Verdana" w:hAnsi="Verdana"/>
          <w:sz w:val="20"/>
          <w:szCs w:val="20"/>
          <w:lang w:val="pl-PL"/>
        </w:rPr>
        <w:t xml:space="preserve"> obie skargi za </w:t>
      </w:r>
      <w:r w:rsidR="00082957" w:rsidRPr="00801588">
        <w:rPr>
          <w:rStyle w:val="Bodytext20"/>
          <w:rFonts w:ascii="Verdana" w:hAnsi="Verdana"/>
          <w:b/>
          <w:bCs/>
          <w:sz w:val="20"/>
          <w:szCs w:val="20"/>
          <w:lang w:val="pl-PL"/>
        </w:rPr>
        <w:t>niedopuszczalne</w:t>
      </w:r>
      <w:r w:rsidR="00082957" w:rsidRPr="00801588">
        <w:rPr>
          <w:rStyle w:val="Bodytext20"/>
          <w:rFonts w:ascii="Verdana" w:hAnsi="Verdana"/>
          <w:sz w:val="20"/>
          <w:szCs w:val="20"/>
          <w:lang w:val="pl-PL"/>
        </w:rPr>
        <w:t>. W pierwszej kolejności uznała</w:t>
      </w:r>
      <w:r w:rsidRPr="00801588">
        <w:rPr>
          <w:rStyle w:val="Bodytext20"/>
          <w:rFonts w:ascii="Verdana" w:hAnsi="Verdana"/>
          <w:sz w:val="20"/>
          <w:szCs w:val="20"/>
          <w:lang w:val="pl-PL"/>
        </w:rPr>
        <w:t xml:space="preserve">, </w:t>
      </w:r>
      <w:r w:rsidR="00D30992" w:rsidRPr="00801588">
        <w:rPr>
          <w:rStyle w:val="Bodytext20"/>
          <w:rFonts w:ascii="Verdana" w:hAnsi="Verdana"/>
          <w:sz w:val="20"/>
          <w:szCs w:val="20"/>
          <w:lang w:val="pl-PL"/>
        </w:rPr>
        <w:br/>
      </w:r>
      <w:r w:rsidRPr="00801588">
        <w:rPr>
          <w:rStyle w:val="Bodytext20"/>
          <w:rFonts w:ascii="Verdana" w:hAnsi="Verdana"/>
          <w:sz w:val="20"/>
          <w:szCs w:val="20"/>
          <w:lang w:val="pl-PL"/>
        </w:rPr>
        <w:t xml:space="preserve">że </w:t>
      </w:r>
      <w:r w:rsidR="00082957" w:rsidRPr="00801588">
        <w:rPr>
          <w:rStyle w:val="Bodytext20"/>
          <w:rFonts w:ascii="Verdana" w:hAnsi="Verdana"/>
          <w:sz w:val="20"/>
          <w:szCs w:val="20"/>
          <w:lang w:val="pl-PL"/>
        </w:rPr>
        <w:t>zarzuty skarżącego wynikające z art. 3 Konwencji powinny zostać uznane za niedopuszczalne, ponieważ były one „zasadniczo takie same</w:t>
      </w:r>
      <w:r w:rsidR="00D30992" w:rsidRPr="00801588">
        <w:rPr>
          <w:rStyle w:val="Bodytext20"/>
          <w:rFonts w:ascii="Verdana" w:hAnsi="Verdana"/>
          <w:sz w:val="20"/>
          <w:szCs w:val="20"/>
          <w:lang w:val="pl-PL"/>
        </w:rPr>
        <w:t>” (w rozumieniu art. 35 § 2 l</w:t>
      </w:r>
      <w:r w:rsidRPr="00801588">
        <w:rPr>
          <w:rStyle w:val="Bodytext20"/>
          <w:rFonts w:ascii="Verdana" w:hAnsi="Verdana"/>
          <w:sz w:val="20"/>
          <w:szCs w:val="20"/>
          <w:lang w:val="pl-PL"/>
        </w:rPr>
        <w:t>i</w:t>
      </w:r>
      <w:r w:rsidR="00D30992" w:rsidRPr="00801588">
        <w:rPr>
          <w:rStyle w:val="Bodytext20"/>
          <w:rFonts w:ascii="Verdana" w:hAnsi="Verdana"/>
          <w:sz w:val="20"/>
          <w:szCs w:val="20"/>
          <w:lang w:val="pl-PL"/>
        </w:rPr>
        <w:t>t</w:t>
      </w:r>
      <w:r w:rsidRPr="00801588">
        <w:rPr>
          <w:rStyle w:val="Bodytext20"/>
          <w:rFonts w:ascii="Verdana" w:hAnsi="Verdana"/>
          <w:sz w:val="20"/>
          <w:szCs w:val="20"/>
          <w:lang w:val="pl-PL"/>
        </w:rPr>
        <w:t>.</w:t>
      </w:r>
      <w:r w:rsidR="00D30992" w:rsidRPr="00801588">
        <w:rPr>
          <w:rStyle w:val="Bodytext20"/>
          <w:rFonts w:ascii="Verdana" w:hAnsi="Verdana"/>
          <w:sz w:val="20"/>
          <w:szCs w:val="20"/>
          <w:lang w:val="pl-PL"/>
        </w:rPr>
        <w:t xml:space="preserve"> (b) Konwencji) jak skarga rozpatrywana </w:t>
      </w:r>
      <w:r w:rsidR="00F64812" w:rsidRPr="00801588">
        <w:rPr>
          <w:rStyle w:val="Bodytext20"/>
          <w:rFonts w:ascii="Verdana" w:hAnsi="Verdana"/>
          <w:sz w:val="20"/>
          <w:szCs w:val="20"/>
          <w:lang w:val="pl-PL"/>
        </w:rPr>
        <w:t xml:space="preserve">przez Trybunał </w:t>
      </w:r>
      <w:r w:rsidR="00D30992" w:rsidRPr="00801588">
        <w:rPr>
          <w:rStyle w:val="Bodytext20"/>
          <w:rFonts w:ascii="Verdana" w:hAnsi="Verdana"/>
          <w:sz w:val="20"/>
          <w:szCs w:val="20"/>
          <w:lang w:val="pl-PL"/>
        </w:rPr>
        <w:t>na podstawie art. 3 w 2012 r.</w:t>
      </w:r>
      <w:r w:rsidR="00F64812" w:rsidRPr="00801588">
        <w:rPr>
          <w:rStyle w:val="Bodytext20"/>
          <w:rFonts w:ascii="Verdana" w:hAnsi="Verdana"/>
          <w:sz w:val="20"/>
          <w:szCs w:val="20"/>
          <w:lang w:val="pl-PL"/>
        </w:rPr>
        <w:t xml:space="preserve"> Dochodząc do tego wniosku, Wielka Izba odrzuciła argument skarżącego, że </w:t>
      </w:r>
      <w:r w:rsidR="007A12BC" w:rsidRPr="00801588">
        <w:rPr>
          <w:rStyle w:val="Bodytext20"/>
          <w:rFonts w:ascii="Verdana" w:hAnsi="Verdana"/>
          <w:sz w:val="20"/>
          <w:szCs w:val="20"/>
          <w:lang w:val="pl-PL"/>
        </w:rPr>
        <w:t>zmiany w jego orzecznictwie, które miały miejsce</w:t>
      </w:r>
      <w:r w:rsidR="008C1685" w:rsidRPr="00801588">
        <w:rPr>
          <w:rStyle w:val="Bodytext20"/>
          <w:rFonts w:ascii="Verdana" w:hAnsi="Verdana"/>
          <w:sz w:val="20"/>
          <w:szCs w:val="20"/>
          <w:lang w:val="pl-PL"/>
        </w:rPr>
        <w:t xml:space="preserve"> w sprawach</w:t>
      </w:r>
      <w:hyperlink r:id="rId24" w:history="1">
        <w:r w:rsidR="007A12BC" w:rsidRPr="00801588">
          <w:rPr>
            <w:rStyle w:val="Hipercze"/>
            <w:sz w:val="20"/>
            <w:szCs w:val="20"/>
            <w:u w:val="none"/>
            <w:lang w:eastAsia="en-US"/>
          </w:rPr>
          <w:t xml:space="preserve"> </w:t>
        </w:r>
        <w:r w:rsidR="007A12BC" w:rsidRPr="00801588">
          <w:rPr>
            <w:rStyle w:val="Hipercze"/>
            <w:i/>
            <w:iCs/>
            <w:sz w:val="20"/>
            <w:szCs w:val="20"/>
            <w:lang w:eastAsia="en-US"/>
          </w:rPr>
          <w:t>Vinter i Inni</w:t>
        </w:r>
        <w:r w:rsidR="007A12BC" w:rsidRPr="00801588">
          <w:rPr>
            <w:rStyle w:val="Hipercze"/>
            <w:sz w:val="20"/>
            <w:szCs w:val="20"/>
            <w:u w:val="none"/>
            <w:lang w:eastAsia="en-US"/>
          </w:rPr>
          <w:t xml:space="preserve"> </w:t>
        </w:r>
      </w:hyperlink>
      <w:r w:rsidR="008C1685" w:rsidRPr="00801588">
        <w:rPr>
          <w:rStyle w:val="Hipercze"/>
          <w:rFonts w:cs="Verdana"/>
          <w:sz w:val="20"/>
          <w:szCs w:val="20"/>
          <w:u w:val="none"/>
          <w:lang w:eastAsia="en-US"/>
        </w:rPr>
        <w:t>oraz</w:t>
      </w:r>
      <w:hyperlink r:id="rId25" w:history="1">
        <w:r w:rsidR="007A12BC" w:rsidRPr="00801588">
          <w:rPr>
            <w:rStyle w:val="Hipercze"/>
            <w:sz w:val="20"/>
            <w:szCs w:val="20"/>
            <w:lang w:eastAsia="en-US"/>
          </w:rPr>
          <w:t xml:space="preserve"> </w:t>
        </w:r>
        <w:r w:rsidR="007A12BC" w:rsidRPr="00801588">
          <w:rPr>
            <w:rStyle w:val="Hipercze"/>
            <w:i/>
            <w:iCs/>
            <w:sz w:val="20"/>
            <w:szCs w:val="20"/>
            <w:lang w:eastAsia="en-US"/>
          </w:rPr>
          <w:t>Trabelsi</w:t>
        </w:r>
        <w:r w:rsidR="007A12BC" w:rsidRPr="00801588">
          <w:rPr>
            <w:rStyle w:val="Hipercze"/>
            <w:sz w:val="20"/>
            <w:szCs w:val="20"/>
            <w:u w:val="none"/>
            <w:lang w:eastAsia="en-US"/>
          </w:rPr>
          <w:t xml:space="preserve"> </w:t>
        </w:r>
      </w:hyperlink>
      <w:r w:rsidR="008C1685" w:rsidRPr="00801588">
        <w:rPr>
          <w:rStyle w:val="Hipercze"/>
          <w:rFonts w:cs="Verdana"/>
          <w:sz w:val="20"/>
          <w:szCs w:val="20"/>
          <w:u w:val="none"/>
          <w:lang w:eastAsia="en-US"/>
        </w:rPr>
        <w:t>mogą stanowić „nową istotną informację” w rozumieniu</w:t>
      </w:r>
      <w:r w:rsidR="002862B1" w:rsidRPr="00801588">
        <w:rPr>
          <w:rStyle w:val="Hipercze"/>
          <w:rFonts w:cs="Verdana"/>
          <w:sz w:val="20"/>
          <w:szCs w:val="20"/>
          <w:u w:val="none"/>
          <w:lang w:eastAsia="en-US"/>
        </w:rPr>
        <w:t xml:space="preserve"> art.</w:t>
      </w:r>
      <w:r w:rsidR="005B728D" w:rsidRPr="00801588">
        <w:rPr>
          <w:rStyle w:val="Hipercze"/>
          <w:rFonts w:cs="Verdana"/>
          <w:sz w:val="20"/>
          <w:szCs w:val="20"/>
          <w:u w:val="none"/>
          <w:lang w:eastAsia="en-US"/>
        </w:rPr>
        <w:t>35 § 2 lit (b).</w:t>
      </w:r>
      <w:r w:rsidR="008C1685" w:rsidRPr="00801588">
        <w:rPr>
          <w:rStyle w:val="Hipercze"/>
          <w:rFonts w:cs="Verdana"/>
          <w:sz w:val="20"/>
          <w:szCs w:val="20"/>
          <w:u w:val="none"/>
          <w:lang w:eastAsia="en-US"/>
        </w:rPr>
        <w:t xml:space="preserve"> </w:t>
      </w:r>
      <w:r w:rsidR="005B728D" w:rsidRPr="00801588">
        <w:rPr>
          <w:rStyle w:val="Hipercze"/>
          <w:rFonts w:cs="Verdana"/>
          <w:sz w:val="20"/>
          <w:szCs w:val="20"/>
          <w:u w:val="none"/>
          <w:lang w:eastAsia="en-US"/>
        </w:rPr>
        <w:t>Odmienne stwierdzenie, podważałoby zasadę pewności prawa oraz podważałoby wiarygodność i autorytet wyroków Trybunału.</w:t>
      </w:r>
      <w:r w:rsidR="002C7EA0" w:rsidRPr="00801588">
        <w:rPr>
          <w:rStyle w:val="Hipercze"/>
          <w:rFonts w:cs="Verdana"/>
          <w:sz w:val="20"/>
          <w:szCs w:val="20"/>
          <w:u w:val="none"/>
          <w:lang w:eastAsia="en-US"/>
        </w:rPr>
        <w:t xml:space="preserve"> Co więcej, </w:t>
      </w:r>
      <w:r w:rsidR="00BD1D59" w:rsidRPr="00801588">
        <w:rPr>
          <w:rStyle w:val="Hipercze"/>
          <w:rFonts w:cs="Verdana"/>
          <w:sz w:val="20"/>
          <w:szCs w:val="20"/>
          <w:u w:val="none"/>
          <w:lang w:eastAsia="en-US"/>
        </w:rPr>
        <w:t xml:space="preserve">jeśli chodzi o zarzuty skarżącego dotyczące Artykułu 6 Konwencji, Wielka Izba </w:t>
      </w:r>
      <w:r w:rsidR="00966405" w:rsidRPr="00801588">
        <w:rPr>
          <w:rStyle w:val="Hipercze"/>
          <w:rFonts w:cs="Verdana"/>
          <w:sz w:val="20"/>
          <w:szCs w:val="20"/>
          <w:u w:val="none"/>
          <w:lang w:eastAsia="en-US"/>
        </w:rPr>
        <w:t xml:space="preserve">doszła do wniosku, że </w:t>
      </w:r>
      <w:r w:rsidR="00421C24" w:rsidRPr="00801588">
        <w:rPr>
          <w:rStyle w:val="Hipercze"/>
          <w:rFonts w:cs="Verdana"/>
          <w:sz w:val="20"/>
          <w:szCs w:val="20"/>
          <w:u w:val="none"/>
          <w:lang w:eastAsia="en-US"/>
        </w:rPr>
        <w:t>okoliczności faktyczne sprawy nie ujawniły żadnego ryzyka</w:t>
      </w:r>
      <w:r w:rsidR="00A61D59" w:rsidRPr="00801588">
        <w:rPr>
          <w:rStyle w:val="Hipercze"/>
          <w:rFonts w:cs="Verdana"/>
          <w:sz w:val="20"/>
          <w:szCs w:val="20"/>
          <w:u w:val="none"/>
          <w:lang w:eastAsia="en-US"/>
        </w:rPr>
        <w:t xml:space="preserve">, </w:t>
      </w:r>
      <w:r w:rsidR="00404C63" w:rsidRPr="00801588">
        <w:rPr>
          <w:rStyle w:val="Hipercze"/>
          <w:rFonts w:cs="Verdana"/>
          <w:sz w:val="20"/>
          <w:szCs w:val="20"/>
          <w:u w:val="none"/>
          <w:lang w:eastAsia="en-US"/>
        </w:rPr>
        <w:t>że skarżący mógłby ucierpieć z po</w:t>
      </w:r>
      <w:r w:rsidR="00FA7BF1" w:rsidRPr="00801588">
        <w:rPr>
          <w:rStyle w:val="Hipercze"/>
          <w:rFonts w:cs="Verdana"/>
          <w:sz w:val="20"/>
          <w:szCs w:val="20"/>
          <w:u w:val="none"/>
          <w:lang w:eastAsia="en-US"/>
        </w:rPr>
        <w:t>wodu rażącej odmowy prawa do sądu. Ponadto Wielka Izba z</w:t>
      </w:r>
      <w:r w:rsidR="00801588" w:rsidRPr="00801588">
        <w:rPr>
          <w:rStyle w:val="Hipercze"/>
          <w:rFonts w:cs="Verdana"/>
          <w:sz w:val="20"/>
          <w:szCs w:val="20"/>
          <w:u w:val="none"/>
          <w:lang w:eastAsia="en-US"/>
        </w:rPr>
        <w:t xml:space="preserve">decydowała </w:t>
      </w:r>
      <w:r w:rsidR="00FA7BF1" w:rsidRPr="00801588">
        <w:rPr>
          <w:rStyle w:val="Hipercze"/>
          <w:rFonts w:cs="Verdana"/>
          <w:sz w:val="20"/>
          <w:szCs w:val="20"/>
          <w:u w:val="none"/>
          <w:lang w:eastAsia="en-US"/>
        </w:rPr>
        <w:t>równie</w:t>
      </w:r>
      <w:r w:rsidR="00801588" w:rsidRPr="00801588">
        <w:rPr>
          <w:rStyle w:val="Hipercze"/>
          <w:rFonts w:cs="Verdana"/>
          <w:sz w:val="20"/>
          <w:szCs w:val="20"/>
          <w:u w:val="none"/>
          <w:lang w:eastAsia="en-US"/>
        </w:rPr>
        <w:t xml:space="preserve">ż, że środek tymczasowy [interim measure] (wynikający z Art. 39 </w:t>
      </w:r>
      <w:hyperlink r:id="rId26" w:history="1">
        <w:r w:rsidR="0019578A" w:rsidRPr="00801588">
          <w:rPr>
            <w:rStyle w:val="Hipercze"/>
            <w:sz w:val="20"/>
            <w:szCs w:val="20"/>
            <w:lang w:eastAsia="en-US"/>
          </w:rPr>
          <w:t>R</w:t>
        </w:r>
        <w:r w:rsidR="00801588" w:rsidRPr="00801588">
          <w:rPr>
            <w:rStyle w:val="Hipercze"/>
            <w:sz w:val="20"/>
            <w:szCs w:val="20"/>
            <w:lang w:eastAsia="en-US"/>
          </w:rPr>
          <w:t>egulaminu Trybunału</w:t>
        </w:r>
        <w:r w:rsidR="0019578A" w:rsidRPr="00801588">
          <w:rPr>
            <w:rStyle w:val="Hipercze"/>
            <w:sz w:val="20"/>
            <w:szCs w:val="20"/>
            <w:lang w:eastAsia="en-US"/>
          </w:rPr>
          <w:t>)</w:t>
        </w:r>
        <w:r w:rsidR="009C7360">
          <w:rPr>
            <w:rStyle w:val="Hipercze"/>
            <w:sz w:val="20"/>
            <w:szCs w:val="20"/>
            <w:lang w:eastAsia="en-US"/>
          </w:rPr>
          <w:t>,</w:t>
        </w:r>
        <w:r w:rsidR="0019578A" w:rsidRPr="00AF622D">
          <w:rPr>
            <w:rStyle w:val="Hipercze"/>
            <w:sz w:val="20"/>
            <w:szCs w:val="20"/>
            <w:u w:val="none"/>
            <w:lang w:eastAsia="en-US"/>
          </w:rPr>
          <w:t xml:space="preserve"> </w:t>
        </w:r>
      </w:hyperlink>
      <w:r w:rsidR="00AF622D" w:rsidRPr="00AF622D">
        <w:rPr>
          <w:rStyle w:val="Hipercze"/>
          <w:rFonts w:cs="Verdana"/>
          <w:sz w:val="20"/>
          <w:szCs w:val="20"/>
          <w:u w:val="none"/>
          <w:lang w:eastAsia="en-US"/>
        </w:rPr>
        <w:t>naka</w:t>
      </w:r>
      <w:r w:rsidR="00AF622D">
        <w:rPr>
          <w:rStyle w:val="Hipercze"/>
          <w:rFonts w:cs="Verdana"/>
          <w:sz w:val="20"/>
          <w:szCs w:val="20"/>
          <w:u w:val="none"/>
          <w:lang w:eastAsia="en-US"/>
        </w:rPr>
        <w:t xml:space="preserve">zujący </w:t>
      </w:r>
      <w:r w:rsidR="0091329A">
        <w:rPr>
          <w:rStyle w:val="Hipercze"/>
          <w:rFonts w:cs="Verdana"/>
          <w:sz w:val="20"/>
          <w:szCs w:val="20"/>
          <w:u w:val="none"/>
          <w:lang w:eastAsia="en-US"/>
        </w:rPr>
        <w:t>rządowi brytyjskiemu koniecznoś</w:t>
      </w:r>
      <w:r w:rsidR="009C7360">
        <w:rPr>
          <w:rStyle w:val="Hipercze"/>
          <w:rFonts w:cs="Verdana"/>
          <w:sz w:val="20"/>
          <w:szCs w:val="20"/>
          <w:u w:val="none"/>
          <w:lang w:eastAsia="en-US"/>
        </w:rPr>
        <w:t>ć</w:t>
      </w:r>
      <w:r w:rsidR="0091329A">
        <w:rPr>
          <w:rStyle w:val="Hipercze"/>
          <w:rFonts w:cs="Verdana"/>
          <w:sz w:val="20"/>
          <w:szCs w:val="20"/>
          <w:u w:val="none"/>
          <w:lang w:eastAsia="en-US"/>
        </w:rPr>
        <w:t xml:space="preserve"> wstrzymani</w:t>
      </w:r>
      <w:r w:rsidR="009C7360">
        <w:rPr>
          <w:rStyle w:val="Hipercze"/>
          <w:rFonts w:cs="Verdana"/>
          <w:sz w:val="20"/>
          <w:szCs w:val="20"/>
          <w:u w:val="none"/>
          <w:lang w:eastAsia="en-US"/>
        </w:rPr>
        <w:t>a</w:t>
      </w:r>
      <w:r w:rsidR="0091329A">
        <w:rPr>
          <w:rStyle w:val="Hipercze"/>
          <w:rFonts w:cs="Verdana"/>
          <w:sz w:val="20"/>
          <w:szCs w:val="20"/>
          <w:u w:val="none"/>
          <w:lang w:eastAsia="en-US"/>
        </w:rPr>
        <w:t xml:space="preserve"> ekstra</w:t>
      </w:r>
      <w:r w:rsidR="009C7360">
        <w:rPr>
          <w:rStyle w:val="Hipercze"/>
          <w:rFonts w:cs="Verdana"/>
          <w:sz w:val="20"/>
          <w:szCs w:val="20"/>
          <w:u w:val="none"/>
          <w:lang w:eastAsia="en-US"/>
        </w:rPr>
        <w:t>dy</w:t>
      </w:r>
      <w:r w:rsidR="0091329A">
        <w:rPr>
          <w:rStyle w:val="Hipercze"/>
          <w:rFonts w:cs="Verdana"/>
          <w:sz w:val="20"/>
          <w:szCs w:val="20"/>
          <w:u w:val="none"/>
          <w:lang w:eastAsia="en-US"/>
        </w:rPr>
        <w:t>cji skarżącego</w:t>
      </w:r>
      <w:r w:rsidR="009C7360">
        <w:rPr>
          <w:rStyle w:val="Hipercze"/>
          <w:rFonts w:cs="Verdana"/>
          <w:sz w:val="20"/>
          <w:szCs w:val="20"/>
          <w:u w:val="none"/>
          <w:lang w:eastAsia="en-US"/>
        </w:rPr>
        <w:t>,</w:t>
      </w:r>
      <w:r w:rsidR="0091329A">
        <w:rPr>
          <w:rStyle w:val="Hipercze"/>
          <w:rFonts w:cs="Verdana"/>
          <w:sz w:val="20"/>
          <w:szCs w:val="20"/>
          <w:u w:val="none"/>
          <w:lang w:eastAsia="en-US"/>
        </w:rPr>
        <w:t xml:space="preserve"> zostanie uchylony.</w:t>
      </w:r>
      <w:bookmarkStart w:id="5" w:name="bookmark7"/>
    </w:p>
    <w:p w14:paraId="44DB0324" w14:textId="66FE2C2E" w:rsidR="004C5D7C" w:rsidRPr="00D80AEC" w:rsidRDefault="004C5D7C" w:rsidP="004C5D7C">
      <w:pPr>
        <w:pStyle w:val="Style2"/>
        <w:widowControl/>
        <w:spacing w:line="365" w:lineRule="exact"/>
        <w:ind w:left="680" w:right="1843"/>
        <w:jc w:val="both"/>
        <w:rPr>
          <w:rStyle w:val="FontStyle21"/>
          <w:sz w:val="20"/>
          <w:szCs w:val="20"/>
          <w:u w:val="single"/>
          <w:lang w:val="en-GB" w:eastAsia="en-US"/>
        </w:rPr>
      </w:pPr>
      <w:hyperlink r:id="rId27" w:history="1">
        <w:r>
          <w:rPr>
            <w:rStyle w:val="Hipercze"/>
            <w:b/>
            <w:bCs/>
            <w:sz w:val="20"/>
            <w:szCs w:val="20"/>
            <w:lang w:val="en-GB" w:eastAsia="en-US"/>
          </w:rPr>
          <w:t>Sanchez-Sanchez przeciwko Zjednoczonemu Królestwu</w:t>
        </w:r>
        <w:r w:rsidRPr="00D80AEC">
          <w:rPr>
            <w:rStyle w:val="Hipercze"/>
            <w:b/>
            <w:bCs/>
            <w:sz w:val="20"/>
            <w:szCs w:val="20"/>
            <w:lang w:val="en-GB" w:eastAsia="en-US"/>
          </w:rPr>
          <w:t xml:space="preserve"> </w:t>
        </w:r>
      </w:hyperlink>
    </w:p>
    <w:p w14:paraId="2114497B" w14:textId="4AC61866" w:rsidR="004C5D7C" w:rsidRPr="0091329A" w:rsidRDefault="004C5D7C" w:rsidP="004C5D7C">
      <w:pPr>
        <w:pStyle w:val="Style8"/>
        <w:widowControl/>
        <w:spacing w:before="10" w:line="240" w:lineRule="exact"/>
        <w:ind w:left="680"/>
        <w:jc w:val="both"/>
        <w:rPr>
          <w:rStyle w:val="FontStyle17"/>
        </w:rPr>
      </w:pPr>
      <w:r>
        <w:rPr>
          <w:rStyle w:val="FontStyle17"/>
          <w:rFonts w:eastAsia="Arial"/>
          <w:color w:val="A6A6A6"/>
        </w:rPr>
        <w:t>3 listopada 2022</w:t>
      </w:r>
      <w:r w:rsidRPr="0091329A">
        <w:rPr>
          <w:rStyle w:val="FontStyle17"/>
          <w:rFonts w:eastAsia="Arial"/>
        </w:rPr>
        <w:t xml:space="preserve"> </w:t>
      </w:r>
      <w:r w:rsidRPr="00B82F4B">
        <w:rPr>
          <w:rStyle w:val="FontStyle17"/>
          <w:rFonts w:eastAsia="Arial"/>
          <w:color w:val="A6A6A6"/>
        </w:rPr>
        <w:t xml:space="preserve">(Wielka Izba – </w:t>
      </w:r>
      <w:r>
        <w:rPr>
          <w:rStyle w:val="FontStyle17"/>
          <w:rFonts w:eastAsia="Arial"/>
          <w:color w:val="A6A6A6"/>
        </w:rPr>
        <w:t>wyrok</w:t>
      </w:r>
      <w:r w:rsidRPr="00B82F4B">
        <w:rPr>
          <w:rStyle w:val="FontStyle17"/>
          <w:rFonts w:eastAsia="Arial"/>
          <w:color w:val="A6A6A6"/>
        </w:rPr>
        <w:t>)</w:t>
      </w:r>
    </w:p>
    <w:p w14:paraId="2253BF83" w14:textId="5B136E2B" w:rsidR="004C5D7C" w:rsidRPr="008C1685" w:rsidRDefault="004C5D7C" w:rsidP="004C5D7C">
      <w:pPr>
        <w:pStyle w:val="Style8"/>
        <w:widowControl/>
        <w:spacing w:before="10" w:line="240" w:lineRule="exact"/>
        <w:ind w:left="680" w:right="567"/>
        <w:jc w:val="both"/>
        <w:rPr>
          <w:rStyle w:val="FontStyle22"/>
          <w:sz w:val="20"/>
          <w:szCs w:val="20"/>
          <w:lang w:eastAsia="en-US"/>
        </w:rPr>
      </w:pPr>
      <w:r w:rsidRPr="008C1685">
        <w:rPr>
          <w:rStyle w:val="FontStyle22"/>
          <w:sz w:val="20"/>
          <w:szCs w:val="20"/>
          <w:lang w:eastAsia="en-US"/>
        </w:rPr>
        <w:t xml:space="preserve">Sprawa ta dotyczyła </w:t>
      </w:r>
      <w:r w:rsidR="00707035">
        <w:rPr>
          <w:rStyle w:val="FontStyle22"/>
          <w:sz w:val="20"/>
          <w:szCs w:val="20"/>
          <w:lang w:eastAsia="en-US"/>
        </w:rPr>
        <w:t xml:space="preserve">wniosku o </w:t>
      </w:r>
      <w:r w:rsidRPr="008C1685">
        <w:rPr>
          <w:rStyle w:val="FontStyle22"/>
          <w:sz w:val="20"/>
          <w:szCs w:val="20"/>
          <w:lang w:eastAsia="en-US"/>
        </w:rPr>
        <w:t>ekstradycj</w:t>
      </w:r>
      <w:r w:rsidR="00707035">
        <w:rPr>
          <w:rStyle w:val="FontStyle22"/>
          <w:sz w:val="20"/>
          <w:szCs w:val="20"/>
          <w:lang w:eastAsia="en-US"/>
        </w:rPr>
        <w:t xml:space="preserve">ę </w:t>
      </w:r>
      <w:r w:rsidR="0048747C">
        <w:rPr>
          <w:rStyle w:val="FontStyle22"/>
          <w:sz w:val="20"/>
          <w:szCs w:val="20"/>
          <w:lang w:eastAsia="en-US"/>
        </w:rPr>
        <w:t xml:space="preserve">skarżącego, </w:t>
      </w:r>
      <w:r w:rsidRPr="008C1685">
        <w:rPr>
          <w:rStyle w:val="FontStyle22"/>
          <w:sz w:val="20"/>
          <w:szCs w:val="20"/>
          <w:lang w:eastAsia="en-US"/>
        </w:rPr>
        <w:t xml:space="preserve">obywatela </w:t>
      </w:r>
      <w:r w:rsidR="0048747C">
        <w:rPr>
          <w:rStyle w:val="FontStyle22"/>
          <w:sz w:val="20"/>
          <w:szCs w:val="20"/>
          <w:lang w:eastAsia="en-US"/>
        </w:rPr>
        <w:t>Meksyku, do Stanów Zjednoczonych</w:t>
      </w:r>
      <w:r w:rsidRPr="008C1685">
        <w:rPr>
          <w:rStyle w:val="FontStyle22"/>
          <w:sz w:val="20"/>
          <w:szCs w:val="20"/>
          <w:lang w:eastAsia="en-US"/>
        </w:rPr>
        <w:t xml:space="preserve"> w celu postawienia go przed sądem za </w:t>
      </w:r>
      <w:r w:rsidR="0048747C">
        <w:rPr>
          <w:rStyle w:val="FontStyle22"/>
          <w:sz w:val="20"/>
          <w:szCs w:val="20"/>
          <w:lang w:eastAsia="en-US"/>
        </w:rPr>
        <w:t>handel narkotykami</w:t>
      </w:r>
      <w:r w:rsidR="00C75A2F">
        <w:rPr>
          <w:rStyle w:val="FontStyle22"/>
          <w:sz w:val="20"/>
          <w:szCs w:val="20"/>
          <w:lang w:eastAsia="en-US"/>
        </w:rPr>
        <w:t>, gdzie</w:t>
      </w:r>
      <w:r w:rsidRPr="008C1685">
        <w:rPr>
          <w:rStyle w:val="FontStyle22"/>
          <w:sz w:val="20"/>
          <w:szCs w:val="20"/>
          <w:lang w:eastAsia="en-US"/>
        </w:rPr>
        <w:t xml:space="preserve"> </w:t>
      </w:r>
      <w:r w:rsidR="00742BCB">
        <w:rPr>
          <w:rStyle w:val="FontStyle22"/>
          <w:sz w:val="20"/>
          <w:szCs w:val="20"/>
          <w:lang w:eastAsia="en-US"/>
        </w:rPr>
        <w:t xml:space="preserve">twierdził, że </w:t>
      </w:r>
      <w:r w:rsidR="00C75A2F">
        <w:rPr>
          <w:rStyle w:val="FontStyle22"/>
          <w:sz w:val="20"/>
          <w:szCs w:val="20"/>
          <w:lang w:eastAsia="en-US"/>
        </w:rPr>
        <w:t>istnieje możliwość, że w przypadku skazania</w:t>
      </w:r>
      <w:r w:rsidR="00742BCB">
        <w:rPr>
          <w:rStyle w:val="FontStyle22"/>
          <w:sz w:val="20"/>
          <w:szCs w:val="20"/>
          <w:lang w:eastAsia="en-US"/>
        </w:rPr>
        <w:t xml:space="preserve">, </w:t>
      </w:r>
      <w:r w:rsidR="00C75A2F">
        <w:rPr>
          <w:rStyle w:val="FontStyle22"/>
          <w:sz w:val="20"/>
          <w:szCs w:val="20"/>
          <w:lang w:eastAsia="en-US"/>
        </w:rPr>
        <w:t>zostanie skazany</w:t>
      </w:r>
      <w:r w:rsidR="00742BCB">
        <w:rPr>
          <w:rStyle w:val="FontStyle22"/>
          <w:sz w:val="20"/>
          <w:szCs w:val="20"/>
          <w:lang w:eastAsia="en-US"/>
        </w:rPr>
        <w:t xml:space="preserve"> na</w:t>
      </w:r>
      <w:r w:rsidR="00C75A2F">
        <w:rPr>
          <w:rStyle w:val="FontStyle22"/>
          <w:sz w:val="20"/>
          <w:szCs w:val="20"/>
          <w:lang w:eastAsia="en-US"/>
        </w:rPr>
        <w:t xml:space="preserve"> karę</w:t>
      </w:r>
      <w:r w:rsidR="00742BCB">
        <w:rPr>
          <w:rStyle w:val="FontStyle22"/>
          <w:sz w:val="20"/>
          <w:szCs w:val="20"/>
          <w:lang w:eastAsia="en-US"/>
        </w:rPr>
        <w:t xml:space="preserve"> dożywotni</w:t>
      </w:r>
      <w:r w:rsidR="00C75A2F">
        <w:rPr>
          <w:rStyle w:val="FontStyle22"/>
          <w:sz w:val="20"/>
          <w:szCs w:val="20"/>
          <w:lang w:eastAsia="en-US"/>
        </w:rPr>
        <w:t>ego</w:t>
      </w:r>
      <w:r w:rsidR="00742BCB">
        <w:rPr>
          <w:rStyle w:val="FontStyle22"/>
          <w:sz w:val="20"/>
          <w:szCs w:val="20"/>
          <w:lang w:eastAsia="en-US"/>
        </w:rPr>
        <w:t xml:space="preserve"> pozbawienia wolności bez możliwości zwolnienia warunkowego</w:t>
      </w:r>
      <w:r w:rsidR="0048747C">
        <w:rPr>
          <w:rStyle w:val="FontStyle22"/>
          <w:sz w:val="20"/>
          <w:szCs w:val="20"/>
          <w:lang w:eastAsia="en-US"/>
        </w:rPr>
        <w:t>.</w:t>
      </w:r>
    </w:p>
    <w:p w14:paraId="3FFF6BE5" w14:textId="3D9B35AE" w:rsidR="004C5D7C" w:rsidRPr="00707035" w:rsidRDefault="00A80ECC" w:rsidP="00707035">
      <w:pPr>
        <w:pStyle w:val="Style10"/>
        <w:widowControl/>
        <w:spacing w:before="5" w:line="240" w:lineRule="exact"/>
        <w:ind w:left="680" w:right="567"/>
        <w:rPr>
          <w:rStyle w:val="Heading30"/>
          <w:rFonts w:ascii="Verdana" w:eastAsia="Times New Roman" w:hAnsi="Verdana" w:cs="Times New Roman"/>
          <w:b w:val="0"/>
          <w:bCs w:val="0"/>
          <w:color w:val="auto"/>
          <w:sz w:val="20"/>
          <w:szCs w:val="20"/>
          <w:u w:val="none"/>
          <w:lang w:val="pl-PL" w:eastAsia="pl-PL" w:bidi="ar-SA"/>
        </w:rPr>
      </w:pPr>
      <w:r>
        <w:rPr>
          <w:rStyle w:val="Bodytext20"/>
          <w:rFonts w:ascii="Verdana" w:hAnsi="Verdana"/>
          <w:sz w:val="20"/>
          <w:szCs w:val="20"/>
          <w:lang w:val="pl-PL"/>
        </w:rPr>
        <w:t>Trybunał orzekł</w:t>
      </w:r>
      <w:r w:rsidRPr="00A80ECC">
        <w:rPr>
          <w:rStyle w:val="Hipercze"/>
          <w:rFonts w:cs="Verdana"/>
          <w:sz w:val="20"/>
          <w:szCs w:val="20"/>
          <w:u w:val="none"/>
          <w:lang w:eastAsia="en-US"/>
        </w:rPr>
        <w:t xml:space="preserve">, że ekstradycja </w:t>
      </w:r>
      <w:r>
        <w:rPr>
          <w:rStyle w:val="Hipercze"/>
          <w:rFonts w:cs="Verdana"/>
          <w:sz w:val="20"/>
          <w:szCs w:val="20"/>
          <w:u w:val="none"/>
          <w:lang w:eastAsia="en-US"/>
        </w:rPr>
        <w:t>skarżącego</w:t>
      </w:r>
      <w:r w:rsidRPr="00A80ECC">
        <w:rPr>
          <w:rStyle w:val="Hipercze"/>
          <w:rFonts w:cs="Verdana"/>
          <w:sz w:val="20"/>
          <w:szCs w:val="20"/>
          <w:u w:val="none"/>
          <w:lang w:eastAsia="en-US"/>
        </w:rPr>
        <w:t xml:space="preserve"> do Stanów Zjednoczonych nie będzie naruszeniem </w:t>
      </w:r>
      <w:r>
        <w:rPr>
          <w:rStyle w:val="Hipercze"/>
          <w:rFonts w:cs="Verdana"/>
          <w:sz w:val="20"/>
          <w:szCs w:val="20"/>
          <w:u w:val="none"/>
          <w:lang w:eastAsia="en-US"/>
        </w:rPr>
        <w:t>art.</w:t>
      </w:r>
      <w:r w:rsidRPr="00A80ECC">
        <w:rPr>
          <w:rStyle w:val="Hipercze"/>
          <w:rFonts w:cs="Verdana"/>
          <w:sz w:val="20"/>
          <w:szCs w:val="20"/>
          <w:u w:val="none"/>
          <w:lang w:eastAsia="en-US"/>
        </w:rPr>
        <w:t xml:space="preserve"> 3 Konwencji. Stwierdził w szczególności, że podczas gdy zasady określone w poprzednim orzecznictwie Trybunału </w:t>
      </w:r>
      <w:r w:rsidRPr="008A4486">
        <w:rPr>
          <w:rStyle w:val="Hipercze"/>
          <w:rFonts w:cs="Verdana"/>
          <w:sz w:val="20"/>
          <w:szCs w:val="20"/>
          <w:u w:val="none"/>
          <w:lang w:eastAsia="en-US"/>
        </w:rPr>
        <w:t xml:space="preserve">muszą być stosowane w sprawach krajowych, w sprawie ekstradycji takiej jak ta wymagane jest dostosowane podejście, w której skarżący nie został ani </w:t>
      </w:r>
      <w:r w:rsidR="008A4486" w:rsidRPr="008A4486">
        <w:rPr>
          <w:rStyle w:val="Hipercze"/>
          <w:rFonts w:cs="Verdana"/>
          <w:sz w:val="20"/>
          <w:szCs w:val="20"/>
          <w:u w:val="none"/>
          <w:lang w:eastAsia="en-US"/>
        </w:rPr>
        <w:t>uznany za winnego</w:t>
      </w:r>
      <w:r w:rsidRPr="008A4486">
        <w:rPr>
          <w:rStyle w:val="Hipercze"/>
          <w:rFonts w:cs="Verdana"/>
          <w:sz w:val="20"/>
          <w:szCs w:val="20"/>
          <w:u w:val="none"/>
          <w:lang w:eastAsia="en-US"/>
        </w:rPr>
        <w:t xml:space="preserve"> ani skazany, a</w:t>
      </w:r>
      <w:r w:rsidRPr="00A80ECC">
        <w:rPr>
          <w:rStyle w:val="Hipercze"/>
          <w:rFonts w:cs="Verdana"/>
          <w:sz w:val="20"/>
          <w:szCs w:val="20"/>
          <w:u w:val="none"/>
          <w:lang w:eastAsia="en-US"/>
        </w:rPr>
        <w:t xml:space="preserve"> stwierdzenie naruszenia mogłoby uniemożliwić mu stawienie się przed sądem. Następnie Trybunał </w:t>
      </w:r>
      <w:r w:rsidR="00D52262">
        <w:rPr>
          <w:rStyle w:val="Hipercze"/>
          <w:rFonts w:cs="Verdana"/>
          <w:sz w:val="20"/>
          <w:szCs w:val="20"/>
          <w:u w:val="none"/>
          <w:lang w:eastAsia="en-US"/>
        </w:rPr>
        <w:t>odszedł od linii orzeczniczej</w:t>
      </w:r>
      <w:r w:rsidRPr="00A80ECC">
        <w:rPr>
          <w:rStyle w:val="Hipercze"/>
          <w:rFonts w:cs="Verdana"/>
          <w:sz w:val="20"/>
          <w:szCs w:val="20"/>
          <w:u w:val="none"/>
          <w:lang w:eastAsia="en-US"/>
        </w:rPr>
        <w:t xml:space="preserve"> w sprawie </w:t>
      </w:r>
      <w:r w:rsidRPr="00A80ECC">
        <w:rPr>
          <w:rStyle w:val="Hipercze"/>
          <w:rFonts w:cs="Verdana"/>
          <w:i/>
          <w:iCs/>
          <w:sz w:val="20"/>
          <w:szCs w:val="20"/>
          <w:u w:val="none"/>
          <w:lang w:eastAsia="en-US"/>
        </w:rPr>
        <w:t>Trabelsi przeciwko Belgii</w:t>
      </w:r>
      <w:r w:rsidRPr="00A80ECC">
        <w:rPr>
          <w:rStyle w:val="Hipercze"/>
          <w:rFonts w:cs="Verdana"/>
          <w:sz w:val="20"/>
          <w:szCs w:val="20"/>
          <w:u w:val="none"/>
          <w:lang w:eastAsia="en-US"/>
        </w:rPr>
        <w:t xml:space="preserve"> (patrz wyżej)</w:t>
      </w:r>
      <w:r w:rsidR="00D52262">
        <w:rPr>
          <w:rStyle w:val="Hipercze"/>
          <w:rFonts w:cs="Verdana"/>
          <w:sz w:val="20"/>
          <w:szCs w:val="20"/>
          <w:u w:val="none"/>
          <w:lang w:eastAsia="en-US"/>
        </w:rPr>
        <w:t xml:space="preserve">, </w:t>
      </w:r>
      <w:r w:rsidRPr="00A80ECC">
        <w:rPr>
          <w:rStyle w:val="Hipercze"/>
          <w:rFonts w:cs="Verdana"/>
          <w:sz w:val="20"/>
          <w:szCs w:val="20"/>
          <w:u w:val="none"/>
          <w:lang w:eastAsia="en-US"/>
        </w:rPr>
        <w:t xml:space="preserve">niemającej charakteru krajowego, podkreślając jednak, że w żaden sposób nie podważa to jego stanowiska, że </w:t>
      </w:r>
      <w:r w:rsidRPr="00A80ECC">
        <w:rPr>
          <w:rStyle w:val="Hipercze"/>
          <w:rFonts w:ascii="Arial" w:hAnsi="Arial" w:cs="Arial"/>
          <w:sz w:val="20"/>
          <w:szCs w:val="20"/>
          <w:u w:val="none"/>
          <w:lang w:eastAsia="en-US"/>
        </w:rPr>
        <w:t>​​</w:t>
      </w:r>
      <w:r w:rsidRPr="00A80ECC">
        <w:rPr>
          <w:rStyle w:val="Hipercze"/>
          <w:rFonts w:cs="Verdana"/>
          <w:sz w:val="20"/>
          <w:szCs w:val="20"/>
          <w:u w:val="none"/>
          <w:lang w:eastAsia="en-US"/>
        </w:rPr>
        <w:t xml:space="preserve">ekstradycja osoby przez Państwo </w:t>
      </w:r>
      <w:r>
        <w:rPr>
          <w:rStyle w:val="Hipercze"/>
          <w:rFonts w:cs="Verdana"/>
          <w:sz w:val="20"/>
          <w:szCs w:val="20"/>
          <w:u w:val="none"/>
          <w:lang w:eastAsia="en-US"/>
        </w:rPr>
        <w:t>Układając</w:t>
      </w:r>
      <w:r w:rsidRPr="00A80ECC">
        <w:rPr>
          <w:rStyle w:val="Hipercze"/>
          <w:rFonts w:cs="Verdana"/>
          <w:sz w:val="20"/>
          <w:szCs w:val="20"/>
          <w:u w:val="none"/>
          <w:lang w:eastAsia="en-US"/>
        </w:rPr>
        <w:t>e się stwarza problemy, gdy istnieją poważne podstawy, aby sądzić, że będzie ona narażona na rzeczywiste ryzyko poddania traktowaniu sprzecznemu z</w:t>
      </w:r>
      <w:r>
        <w:rPr>
          <w:rStyle w:val="Hipercze"/>
          <w:rFonts w:cs="Verdana"/>
          <w:sz w:val="20"/>
          <w:szCs w:val="20"/>
          <w:u w:val="none"/>
          <w:lang w:eastAsia="en-US"/>
        </w:rPr>
        <w:t xml:space="preserve"> art.</w:t>
      </w:r>
      <w:r w:rsidRPr="00A80ECC">
        <w:rPr>
          <w:rStyle w:val="Hipercze"/>
          <w:rFonts w:cs="Verdana"/>
          <w:sz w:val="20"/>
          <w:szCs w:val="20"/>
          <w:u w:val="none"/>
          <w:lang w:eastAsia="en-US"/>
        </w:rPr>
        <w:t xml:space="preserve"> 3 Konwencji w Państwie wnioskującym</w:t>
      </w:r>
      <w:r>
        <w:rPr>
          <w:rStyle w:val="Hipercze"/>
          <w:rFonts w:cs="Verdana"/>
          <w:sz w:val="20"/>
          <w:szCs w:val="20"/>
          <w:u w:val="none"/>
          <w:lang w:eastAsia="en-US"/>
        </w:rPr>
        <w:t xml:space="preserve"> o ekstradycję</w:t>
      </w:r>
      <w:r w:rsidRPr="00A80ECC">
        <w:rPr>
          <w:rStyle w:val="Hipercze"/>
          <w:rFonts w:cs="Verdana"/>
          <w:sz w:val="20"/>
          <w:szCs w:val="20"/>
          <w:u w:val="none"/>
          <w:lang w:eastAsia="en-US"/>
        </w:rPr>
        <w:t xml:space="preserve">. </w:t>
      </w:r>
      <w:r w:rsidR="009D0390">
        <w:rPr>
          <w:rStyle w:val="Hipercze"/>
          <w:rFonts w:cs="Verdana"/>
          <w:sz w:val="20"/>
          <w:szCs w:val="20"/>
          <w:u w:val="none"/>
          <w:lang w:eastAsia="en-US"/>
        </w:rPr>
        <w:t>Wreszcie,</w:t>
      </w:r>
      <w:r w:rsidRPr="00A80ECC">
        <w:rPr>
          <w:rStyle w:val="Hipercze"/>
          <w:rFonts w:cs="Verdana"/>
          <w:sz w:val="20"/>
          <w:szCs w:val="20"/>
          <w:u w:val="none"/>
          <w:lang w:eastAsia="en-US"/>
        </w:rPr>
        <w:t xml:space="preserve"> Trybunał zauważył, że w sprawach ekstradycji, po pierwsze, </w:t>
      </w:r>
      <w:r w:rsidR="009D0390">
        <w:rPr>
          <w:rStyle w:val="Hipercze"/>
          <w:rFonts w:cs="Verdana"/>
          <w:sz w:val="20"/>
          <w:szCs w:val="20"/>
          <w:u w:val="none"/>
          <w:lang w:eastAsia="en-US"/>
        </w:rPr>
        <w:t xml:space="preserve">do </w:t>
      </w:r>
      <w:r>
        <w:rPr>
          <w:rStyle w:val="Hipercze"/>
          <w:rFonts w:cs="Verdana"/>
          <w:sz w:val="20"/>
          <w:szCs w:val="20"/>
          <w:u w:val="none"/>
          <w:lang w:eastAsia="en-US"/>
        </w:rPr>
        <w:t>skarżąc</w:t>
      </w:r>
      <w:r w:rsidR="009D0390">
        <w:rPr>
          <w:rStyle w:val="Hipercze"/>
          <w:rFonts w:cs="Verdana"/>
          <w:sz w:val="20"/>
          <w:szCs w:val="20"/>
          <w:u w:val="none"/>
          <w:lang w:eastAsia="en-US"/>
        </w:rPr>
        <w:t>ego należało wykazanie</w:t>
      </w:r>
      <w:r w:rsidRPr="00A80ECC">
        <w:rPr>
          <w:rStyle w:val="Hipercze"/>
          <w:rFonts w:cs="Verdana"/>
          <w:sz w:val="20"/>
          <w:szCs w:val="20"/>
          <w:u w:val="none"/>
          <w:lang w:eastAsia="en-US"/>
        </w:rPr>
        <w:t xml:space="preserve">, że </w:t>
      </w:r>
      <w:r w:rsidR="009D0390">
        <w:rPr>
          <w:rStyle w:val="Hipercze"/>
          <w:rFonts w:cs="Verdana"/>
          <w:sz w:val="20"/>
          <w:szCs w:val="20"/>
          <w:u w:val="none"/>
          <w:lang w:eastAsia="en-US"/>
        </w:rPr>
        <w:t>istniało realne</w:t>
      </w:r>
      <w:r w:rsidRPr="00A80ECC">
        <w:rPr>
          <w:rStyle w:val="Hipercze"/>
          <w:rFonts w:cs="Verdana"/>
          <w:sz w:val="20"/>
          <w:szCs w:val="20"/>
          <w:u w:val="none"/>
          <w:lang w:eastAsia="en-US"/>
        </w:rPr>
        <w:t xml:space="preserve"> ryzyko, że w przypadku skazania zosta</w:t>
      </w:r>
      <w:r w:rsidR="009D0390">
        <w:rPr>
          <w:rStyle w:val="Hipercze"/>
          <w:rFonts w:cs="Verdana"/>
          <w:sz w:val="20"/>
          <w:szCs w:val="20"/>
          <w:u w:val="none"/>
          <w:lang w:eastAsia="en-US"/>
        </w:rPr>
        <w:t>łby</w:t>
      </w:r>
      <w:r w:rsidRPr="00A80ECC">
        <w:rPr>
          <w:rStyle w:val="Hipercze"/>
          <w:rFonts w:cs="Verdana"/>
          <w:sz w:val="20"/>
          <w:szCs w:val="20"/>
          <w:u w:val="none"/>
          <w:lang w:eastAsia="en-US"/>
        </w:rPr>
        <w:t xml:space="preserve"> skazany na karę dożywotniego pozbawienia wolności bez możliwości zwolnienia warunkowego. Następnie, zgodnie z </w:t>
      </w:r>
      <w:r w:rsidR="00D52262">
        <w:rPr>
          <w:rStyle w:val="Hipercze"/>
          <w:rFonts w:cs="Verdana"/>
          <w:sz w:val="20"/>
          <w:szCs w:val="20"/>
          <w:u w:val="none"/>
          <w:lang w:eastAsia="en-US"/>
        </w:rPr>
        <w:t>linią orzeczniczą</w:t>
      </w:r>
      <w:r w:rsidRPr="00A80ECC">
        <w:rPr>
          <w:rStyle w:val="Hipercze"/>
          <w:rFonts w:cs="Verdana"/>
          <w:sz w:val="20"/>
          <w:szCs w:val="20"/>
          <w:u w:val="none"/>
          <w:lang w:eastAsia="en-US"/>
        </w:rPr>
        <w:t xml:space="preserve"> w sprawie </w:t>
      </w:r>
      <w:r w:rsidRPr="00A80ECC">
        <w:rPr>
          <w:rStyle w:val="Hipercze"/>
          <w:rFonts w:cs="Verdana"/>
          <w:i/>
          <w:iCs/>
          <w:sz w:val="20"/>
          <w:szCs w:val="20"/>
          <w:u w:val="none"/>
          <w:lang w:eastAsia="en-US"/>
        </w:rPr>
        <w:t>Vinter i inni przeciwko Zjednoczonemu Królestwu</w:t>
      </w:r>
      <w:r w:rsidRPr="00A80ECC">
        <w:rPr>
          <w:rStyle w:val="Hipercze"/>
          <w:rFonts w:cs="Verdana"/>
          <w:sz w:val="20"/>
          <w:szCs w:val="20"/>
          <w:u w:val="none"/>
          <w:lang w:eastAsia="en-US"/>
        </w:rPr>
        <w:t xml:space="preserve"> (patrz wyżej), Państwo wy</w:t>
      </w:r>
      <w:r w:rsidR="008A4486">
        <w:rPr>
          <w:rStyle w:val="Hipercze"/>
          <w:rFonts w:cs="Verdana"/>
          <w:sz w:val="20"/>
          <w:szCs w:val="20"/>
          <w:u w:val="none"/>
          <w:lang w:eastAsia="en-US"/>
        </w:rPr>
        <w:t>dające</w:t>
      </w:r>
      <w:r w:rsidRPr="00A80ECC">
        <w:rPr>
          <w:rStyle w:val="Hipercze"/>
          <w:rFonts w:cs="Verdana"/>
          <w:sz w:val="20"/>
          <w:szCs w:val="20"/>
          <w:u w:val="none"/>
          <w:lang w:eastAsia="en-US"/>
        </w:rPr>
        <w:t xml:space="preserve"> musi u</w:t>
      </w:r>
      <w:r w:rsidR="009D0390">
        <w:rPr>
          <w:rStyle w:val="Hipercze"/>
          <w:rFonts w:cs="Verdana"/>
          <w:sz w:val="20"/>
          <w:szCs w:val="20"/>
          <w:u w:val="none"/>
          <w:lang w:eastAsia="en-US"/>
        </w:rPr>
        <w:t>pewnić się</w:t>
      </w:r>
      <w:r w:rsidRPr="00A80ECC">
        <w:rPr>
          <w:rStyle w:val="Hipercze"/>
          <w:rFonts w:cs="Verdana"/>
          <w:sz w:val="20"/>
          <w:szCs w:val="20"/>
          <w:u w:val="none"/>
          <w:lang w:eastAsia="en-US"/>
        </w:rPr>
        <w:t xml:space="preserve">, przed </w:t>
      </w:r>
      <w:r w:rsidR="009D0390">
        <w:rPr>
          <w:rStyle w:val="Hipercze"/>
          <w:rFonts w:cs="Verdana"/>
          <w:sz w:val="20"/>
          <w:szCs w:val="20"/>
          <w:u w:val="none"/>
          <w:lang w:eastAsia="en-US"/>
        </w:rPr>
        <w:t>wydaniem zgody</w:t>
      </w:r>
      <w:r w:rsidRPr="00A80ECC">
        <w:rPr>
          <w:rStyle w:val="Hipercze"/>
          <w:rFonts w:cs="Verdana"/>
          <w:sz w:val="20"/>
          <w:szCs w:val="20"/>
          <w:u w:val="none"/>
          <w:lang w:eastAsia="en-US"/>
        </w:rPr>
        <w:t xml:space="preserve"> </w:t>
      </w:r>
      <w:r w:rsidR="009D0390">
        <w:rPr>
          <w:rStyle w:val="Hipercze"/>
          <w:rFonts w:cs="Verdana"/>
          <w:sz w:val="20"/>
          <w:szCs w:val="20"/>
          <w:u w:val="none"/>
          <w:lang w:eastAsia="en-US"/>
        </w:rPr>
        <w:t>na</w:t>
      </w:r>
      <w:r w:rsidRPr="00A80ECC">
        <w:rPr>
          <w:rStyle w:val="Hipercze"/>
          <w:rFonts w:cs="Verdana"/>
          <w:sz w:val="20"/>
          <w:szCs w:val="20"/>
          <w:u w:val="none"/>
          <w:lang w:eastAsia="en-US"/>
        </w:rPr>
        <w:t xml:space="preserve"> ekstradycj</w:t>
      </w:r>
      <w:r w:rsidR="009D0390">
        <w:rPr>
          <w:rStyle w:val="Hipercze"/>
          <w:rFonts w:cs="Verdana"/>
          <w:sz w:val="20"/>
          <w:szCs w:val="20"/>
          <w:u w:val="none"/>
          <w:lang w:eastAsia="en-US"/>
        </w:rPr>
        <w:t>ę</w:t>
      </w:r>
      <w:r w:rsidRPr="00A80ECC">
        <w:rPr>
          <w:rStyle w:val="Hipercze"/>
          <w:rFonts w:cs="Verdana"/>
          <w:sz w:val="20"/>
          <w:szCs w:val="20"/>
          <w:u w:val="none"/>
          <w:lang w:eastAsia="en-US"/>
        </w:rPr>
        <w:t xml:space="preserve">, że w państwie </w:t>
      </w:r>
      <w:r w:rsidR="008A4486">
        <w:rPr>
          <w:rStyle w:val="Hipercze"/>
          <w:rFonts w:cs="Verdana"/>
          <w:sz w:val="20"/>
          <w:szCs w:val="20"/>
          <w:u w:val="none"/>
          <w:lang w:eastAsia="en-US"/>
        </w:rPr>
        <w:t>zwracającym się z wnioskiem o ekstradycję</w:t>
      </w:r>
      <w:r w:rsidRPr="00A80ECC">
        <w:rPr>
          <w:rStyle w:val="Hipercze"/>
          <w:rFonts w:cs="Verdana"/>
          <w:sz w:val="20"/>
          <w:szCs w:val="20"/>
          <w:u w:val="none"/>
          <w:lang w:eastAsia="en-US"/>
        </w:rPr>
        <w:t xml:space="preserve"> istnieje mechanizm </w:t>
      </w:r>
      <w:r w:rsidR="009D0390">
        <w:rPr>
          <w:rStyle w:val="Hipercze"/>
          <w:rFonts w:cs="Verdana"/>
          <w:sz w:val="20"/>
          <w:szCs w:val="20"/>
          <w:u w:val="none"/>
          <w:lang w:eastAsia="en-US"/>
        </w:rPr>
        <w:t>rewizji</w:t>
      </w:r>
      <w:r w:rsidRPr="00A80ECC">
        <w:rPr>
          <w:rStyle w:val="Hipercze"/>
          <w:rFonts w:cs="Verdana"/>
          <w:sz w:val="20"/>
          <w:szCs w:val="20"/>
          <w:u w:val="none"/>
          <w:lang w:eastAsia="en-US"/>
        </w:rPr>
        <w:t xml:space="preserve"> wyroku, który </w:t>
      </w:r>
      <w:r w:rsidR="009D0390">
        <w:rPr>
          <w:rStyle w:val="Hipercze"/>
          <w:rFonts w:cs="Verdana"/>
          <w:sz w:val="20"/>
          <w:szCs w:val="20"/>
          <w:u w:val="none"/>
          <w:lang w:eastAsia="en-US"/>
        </w:rPr>
        <w:t>pozwoliłby</w:t>
      </w:r>
      <w:r w:rsidRPr="00A80ECC">
        <w:rPr>
          <w:rStyle w:val="Hipercze"/>
          <w:rFonts w:cs="Verdana"/>
          <w:sz w:val="20"/>
          <w:szCs w:val="20"/>
          <w:u w:val="none"/>
          <w:lang w:eastAsia="en-US"/>
        </w:rPr>
        <w:t xml:space="preserve"> </w:t>
      </w:r>
      <w:r w:rsidR="009D0390">
        <w:rPr>
          <w:rStyle w:val="Hipercze"/>
          <w:rFonts w:cs="Verdana"/>
          <w:sz w:val="20"/>
          <w:szCs w:val="20"/>
          <w:u w:val="none"/>
          <w:lang w:eastAsia="en-US"/>
        </w:rPr>
        <w:t xml:space="preserve">władzom </w:t>
      </w:r>
      <w:r w:rsidRPr="00A80ECC">
        <w:rPr>
          <w:rStyle w:val="Hipercze"/>
          <w:rFonts w:cs="Verdana"/>
          <w:sz w:val="20"/>
          <w:szCs w:val="20"/>
          <w:u w:val="none"/>
          <w:lang w:eastAsia="en-US"/>
        </w:rPr>
        <w:t xml:space="preserve">krajowym rozważenie postępów więźnia </w:t>
      </w:r>
      <w:r w:rsidR="009D0390">
        <w:rPr>
          <w:rStyle w:val="Hipercze"/>
          <w:rFonts w:cs="Verdana"/>
          <w:sz w:val="20"/>
          <w:szCs w:val="20"/>
          <w:u w:val="none"/>
          <w:lang w:eastAsia="en-US"/>
        </w:rPr>
        <w:t xml:space="preserve">w </w:t>
      </w:r>
      <w:r w:rsidRPr="00A80ECC">
        <w:rPr>
          <w:rStyle w:val="Hipercze"/>
          <w:rFonts w:cs="Verdana"/>
          <w:sz w:val="20"/>
          <w:szCs w:val="20"/>
          <w:u w:val="none"/>
          <w:lang w:eastAsia="en-US"/>
        </w:rPr>
        <w:t xml:space="preserve">resocjalizacji lub </w:t>
      </w:r>
      <w:r w:rsidR="009D0390">
        <w:rPr>
          <w:rStyle w:val="Hipercze"/>
          <w:rFonts w:cs="Verdana"/>
          <w:sz w:val="20"/>
          <w:szCs w:val="20"/>
          <w:u w:val="none"/>
          <w:lang w:eastAsia="en-US"/>
        </w:rPr>
        <w:t>innych podstaw do</w:t>
      </w:r>
      <w:r w:rsidRPr="00A80ECC">
        <w:rPr>
          <w:rStyle w:val="Hipercze"/>
          <w:rFonts w:cs="Verdana"/>
          <w:sz w:val="20"/>
          <w:szCs w:val="20"/>
          <w:u w:val="none"/>
          <w:lang w:eastAsia="en-US"/>
        </w:rPr>
        <w:t xml:space="preserve"> zwolnienia w oparciu o jego zachowanie lub inne </w:t>
      </w:r>
      <w:r w:rsidRPr="00A80ECC">
        <w:rPr>
          <w:rStyle w:val="Hipercze"/>
          <w:rFonts w:cs="Verdana"/>
          <w:sz w:val="20"/>
          <w:szCs w:val="20"/>
          <w:u w:val="none"/>
          <w:lang w:eastAsia="en-US"/>
        </w:rPr>
        <w:lastRenderedPageBreak/>
        <w:t xml:space="preserve">okoliczności. W przypadku </w:t>
      </w:r>
      <w:r w:rsidR="008A4486">
        <w:rPr>
          <w:rStyle w:val="Hipercze"/>
          <w:rFonts w:cs="Verdana"/>
          <w:sz w:val="20"/>
          <w:szCs w:val="20"/>
          <w:u w:val="none"/>
          <w:lang w:eastAsia="en-US"/>
        </w:rPr>
        <w:t>skarżącego</w:t>
      </w:r>
      <w:r w:rsidRPr="00A80ECC">
        <w:rPr>
          <w:rStyle w:val="Hipercze"/>
          <w:rFonts w:cs="Verdana"/>
          <w:sz w:val="20"/>
          <w:szCs w:val="20"/>
          <w:u w:val="none"/>
          <w:lang w:eastAsia="en-US"/>
        </w:rPr>
        <w:t xml:space="preserve"> w niniejszej sprawie </w:t>
      </w:r>
      <w:r w:rsidR="008A4486">
        <w:rPr>
          <w:rStyle w:val="Hipercze"/>
          <w:rFonts w:cs="Verdana"/>
          <w:sz w:val="20"/>
          <w:szCs w:val="20"/>
          <w:u w:val="none"/>
          <w:lang w:eastAsia="en-US"/>
        </w:rPr>
        <w:t>Trybunał</w:t>
      </w:r>
      <w:r w:rsidRPr="00A80ECC">
        <w:rPr>
          <w:rStyle w:val="Hipercze"/>
          <w:rFonts w:cs="Verdana"/>
          <w:sz w:val="20"/>
          <w:szCs w:val="20"/>
          <w:u w:val="none"/>
          <w:lang w:eastAsia="en-US"/>
        </w:rPr>
        <w:t xml:space="preserve"> uznał, że nie wykazał on, że w przypadku skazania go w Stanach Zjednoczonych za zarzucane mu przestępstwa istniałoby realne ryzyko, że </w:t>
      </w:r>
      <w:r w:rsidR="009D0390">
        <w:rPr>
          <w:rStyle w:val="Hipercze"/>
          <w:rFonts w:cs="Verdana"/>
          <w:sz w:val="20"/>
          <w:szCs w:val="20"/>
          <w:u w:val="none"/>
          <w:lang w:eastAsia="en-US"/>
        </w:rPr>
        <w:t>otrzymałby</w:t>
      </w:r>
      <w:r w:rsidRPr="00A80ECC">
        <w:rPr>
          <w:rStyle w:val="Hipercze"/>
          <w:rFonts w:cs="Verdana"/>
          <w:sz w:val="20"/>
          <w:szCs w:val="20"/>
          <w:u w:val="none"/>
          <w:lang w:eastAsia="en-US"/>
        </w:rPr>
        <w:t xml:space="preserve"> karę dożywotniego pozbawienia wolności bez możliwości warunkowego</w:t>
      </w:r>
      <w:r w:rsidR="009D0390">
        <w:rPr>
          <w:rStyle w:val="Hipercze"/>
          <w:rFonts w:cs="Verdana"/>
          <w:sz w:val="20"/>
          <w:szCs w:val="20"/>
          <w:u w:val="none"/>
          <w:lang w:eastAsia="en-US"/>
        </w:rPr>
        <w:t xml:space="preserve"> </w:t>
      </w:r>
      <w:r w:rsidR="009D0390" w:rsidRPr="00A80ECC">
        <w:rPr>
          <w:rStyle w:val="Hipercze"/>
          <w:rFonts w:cs="Verdana"/>
          <w:sz w:val="20"/>
          <w:szCs w:val="20"/>
          <w:u w:val="none"/>
          <w:lang w:eastAsia="en-US"/>
        </w:rPr>
        <w:t>zwolnienia</w:t>
      </w:r>
      <w:r w:rsidRPr="00A80ECC">
        <w:rPr>
          <w:rStyle w:val="Hipercze"/>
          <w:rFonts w:cs="Verdana"/>
          <w:sz w:val="20"/>
          <w:szCs w:val="20"/>
          <w:u w:val="none"/>
          <w:lang w:eastAsia="en-US"/>
        </w:rPr>
        <w:t>. Nie było zatem potrzeby przeprowadzania drugiego etapu analizy.</w:t>
      </w:r>
    </w:p>
    <w:p w14:paraId="0E8127FB" w14:textId="0BE77C90" w:rsidR="00997CD7" w:rsidRPr="00707035" w:rsidRDefault="00707035" w:rsidP="00997CD7">
      <w:pPr>
        <w:pStyle w:val="Style2"/>
        <w:widowControl/>
        <w:spacing w:line="365" w:lineRule="exact"/>
        <w:ind w:left="680" w:right="567"/>
        <w:rPr>
          <w:rStyle w:val="FontStyle19"/>
          <w:i w:val="0"/>
          <w:iCs w:val="0"/>
          <w:sz w:val="20"/>
          <w:szCs w:val="20"/>
          <w:lang w:eastAsia="en-US"/>
        </w:rPr>
      </w:pPr>
      <w:r w:rsidRPr="006919CC">
        <w:rPr>
          <w:rStyle w:val="FontStyle19"/>
          <w:rFonts w:eastAsia="Arial"/>
          <w:lang w:eastAsia="en-US"/>
        </w:rPr>
        <w:t>Zobacz również:</w:t>
      </w:r>
      <w:hyperlink r:id="rId28" w:history="1">
        <w:r w:rsidRPr="00707035">
          <w:rPr>
            <w:rStyle w:val="Hipercze"/>
            <w:rFonts w:eastAsia="Arial" w:cs="Verdana"/>
            <w:sz w:val="18"/>
            <w:szCs w:val="18"/>
            <w:lang w:eastAsia="en-US"/>
          </w:rPr>
          <w:t xml:space="preserve"> </w:t>
        </w:r>
        <w:r w:rsidRPr="00707035">
          <w:rPr>
            <w:rStyle w:val="Hipercze"/>
            <w:b/>
            <w:bCs/>
            <w:sz w:val="20"/>
            <w:szCs w:val="20"/>
            <w:lang w:eastAsia="en-US"/>
          </w:rPr>
          <w:t>Lang przeciwko Ukrainie,</w:t>
        </w:r>
      </w:hyperlink>
      <w:r w:rsidRPr="00D045B8">
        <w:rPr>
          <w:rStyle w:val="FontStyle18"/>
          <w:rFonts w:eastAsia="Arial"/>
          <w:sz w:val="20"/>
          <w:szCs w:val="20"/>
        </w:rPr>
        <w:t xml:space="preserve"> </w:t>
      </w:r>
      <w:r w:rsidRPr="00D045B8">
        <w:rPr>
          <w:rStyle w:val="FontStyle22"/>
          <w:sz w:val="20"/>
          <w:szCs w:val="20"/>
          <w:lang w:eastAsia="en-US"/>
        </w:rPr>
        <w:t xml:space="preserve">wyrok z </w:t>
      </w:r>
      <w:r>
        <w:rPr>
          <w:rStyle w:val="FontStyle22"/>
          <w:sz w:val="20"/>
          <w:szCs w:val="20"/>
          <w:lang w:eastAsia="en-US"/>
        </w:rPr>
        <w:t>9 listopada 2023</w:t>
      </w:r>
      <w:r w:rsidRPr="00D045B8">
        <w:rPr>
          <w:rStyle w:val="FontStyle22"/>
          <w:sz w:val="20"/>
          <w:szCs w:val="20"/>
          <w:lang w:eastAsia="en-US"/>
        </w:rPr>
        <w:t xml:space="preserve"> r.</w:t>
      </w:r>
    </w:p>
    <w:p w14:paraId="28CEF588" w14:textId="6CF1E40D" w:rsidR="00707035" w:rsidRPr="00D80AEC" w:rsidRDefault="00707035" w:rsidP="00707035">
      <w:pPr>
        <w:pStyle w:val="Style2"/>
        <w:widowControl/>
        <w:spacing w:line="365" w:lineRule="exact"/>
        <w:ind w:left="680" w:right="1843"/>
        <w:jc w:val="both"/>
        <w:rPr>
          <w:rStyle w:val="FontStyle21"/>
          <w:sz w:val="20"/>
          <w:szCs w:val="20"/>
          <w:u w:val="single"/>
          <w:lang w:val="en-GB" w:eastAsia="en-US"/>
        </w:rPr>
      </w:pPr>
      <w:hyperlink r:id="rId29" w:history="1">
        <w:r>
          <w:rPr>
            <w:rStyle w:val="Hipercze"/>
            <w:b/>
            <w:bCs/>
            <w:sz w:val="20"/>
            <w:szCs w:val="20"/>
            <w:lang w:val="en-GB" w:eastAsia="en-US"/>
          </w:rPr>
          <w:t>McCallum przeciwko Włochom</w:t>
        </w:r>
        <w:r w:rsidRPr="00D80AEC">
          <w:rPr>
            <w:rStyle w:val="Hipercze"/>
            <w:b/>
            <w:bCs/>
            <w:sz w:val="20"/>
            <w:szCs w:val="20"/>
            <w:lang w:val="en-GB" w:eastAsia="en-US"/>
          </w:rPr>
          <w:t xml:space="preserve"> </w:t>
        </w:r>
      </w:hyperlink>
    </w:p>
    <w:p w14:paraId="26AE302F" w14:textId="0FFA7E4A" w:rsidR="00707035" w:rsidRPr="0091329A" w:rsidRDefault="00707035" w:rsidP="00707035">
      <w:pPr>
        <w:pStyle w:val="Style8"/>
        <w:widowControl/>
        <w:spacing w:before="10" w:line="240" w:lineRule="exact"/>
        <w:ind w:left="680"/>
        <w:jc w:val="both"/>
        <w:rPr>
          <w:rStyle w:val="FontStyle17"/>
        </w:rPr>
      </w:pPr>
      <w:r>
        <w:rPr>
          <w:rStyle w:val="FontStyle17"/>
          <w:rFonts w:eastAsia="Arial"/>
          <w:color w:val="A6A6A6"/>
        </w:rPr>
        <w:t>3 listopada 2022</w:t>
      </w:r>
      <w:r w:rsidRPr="0091329A">
        <w:rPr>
          <w:rStyle w:val="FontStyle17"/>
          <w:rFonts w:eastAsia="Arial"/>
        </w:rPr>
        <w:t xml:space="preserve"> </w:t>
      </w:r>
      <w:r w:rsidRPr="00B82F4B">
        <w:rPr>
          <w:rStyle w:val="FontStyle17"/>
          <w:rFonts w:eastAsia="Arial"/>
          <w:color w:val="A6A6A6"/>
        </w:rPr>
        <w:t xml:space="preserve">(Wielka Izba – </w:t>
      </w:r>
      <w:r>
        <w:rPr>
          <w:rStyle w:val="FontStyle17"/>
          <w:rFonts w:eastAsia="Arial"/>
          <w:color w:val="A6A6A6"/>
        </w:rPr>
        <w:t>decyzja w sprawie dopuszczalności</w:t>
      </w:r>
      <w:r w:rsidRPr="00B82F4B">
        <w:rPr>
          <w:rStyle w:val="FontStyle17"/>
          <w:rFonts w:eastAsia="Arial"/>
          <w:color w:val="A6A6A6"/>
        </w:rPr>
        <w:t>)</w:t>
      </w:r>
    </w:p>
    <w:p w14:paraId="037B4362" w14:textId="0AFE4E19" w:rsidR="00707035" w:rsidRPr="00707035" w:rsidRDefault="00707035" w:rsidP="00707035">
      <w:pPr>
        <w:pStyle w:val="Style8"/>
        <w:widowControl/>
        <w:spacing w:before="10" w:line="240" w:lineRule="exact"/>
        <w:ind w:left="680" w:right="567"/>
        <w:jc w:val="both"/>
        <w:rPr>
          <w:rStyle w:val="FontStyle22"/>
          <w:sz w:val="20"/>
          <w:szCs w:val="20"/>
          <w:lang w:eastAsia="en-US"/>
        </w:rPr>
      </w:pPr>
      <w:r w:rsidRPr="00707035">
        <w:rPr>
          <w:rStyle w:val="FontStyle22"/>
          <w:sz w:val="20"/>
          <w:szCs w:val="20"/>
          <w:lang w:eastAsia="en-US"/>
        </w:rPr>
        <w:t xml:space="preserve">Sprawa ta dotyczyła </w:t>
      </w:r>
      <w:r w:rsidR="00742CA5">
        <w:rPr>
          <w:rStyle w:val="FontStyle22"/>
          <w:sz w:val="20"/>
          <w:szCs w:val="20"/>
          <w:lang w:eastAsia="en-US"/>
        </w:rPr>
        <w:t>potencjalnej</w:t>
      </w:r>
      <w:r w:rsidRPr="00707035">
        <w:rPr>
          <w:rStyle w:val="FontStyle22"/>
          <w:sz w:val="20"/>
          <w:szCs w:val="20"/>
          <w:lang w:eastAsia="en-US"/>
        </w:rPr>
        <w:t xml:space="preserve"> ekstradycj</w:t>
      </w:r>
      <w:r w:rsidR="00742CA5">
        <w:rPr>
          <w:rStyle w:val="FontStyle22"/>
          <w:sz w:val="20"/>
          <w:szCs w:val="20"/>
          <w:lang w:eastAsia="en-US"/>
        </w:rPr>
        <w:t>i</w:t>
      </w:r>
      <w:r w:rsidRPr="00707035">
        <w:rPr>
          <w:rStyle w:val="FontStyle22"/>
          <w:sz w:val="20"/>
          <w:szCs w:val="20"/>
          <w:lang w:eastAsia="en-US"/>
        </w:rPr>
        <w:t xml:space="preserve"> skarżące</w:t>
      </w:r>
      <w:r w:rsidR="00742CA5">
        <w:rPr>
          <w:rStyle w:val="FontStyle22"/>
          <w:sz w:val="20"/>
          <w:szCs w:val="20"/>
          <w:lang w:eastAsia="en-US"/>
        </w:rPr>
        <w:t xml:space="preserve">j </w:t>
      </w:r>
      <w:r w:rsidRPr="00707035">
        <w:rPr>
          <w:rStyle w:val="FontStyle22"/>
          <w:sz w:val="20"/>
          <w:szCs w:val="20"/>
          <w:lang w:eastAsia="en-US"/>
        </w:rPr>
        <w:t>do Stanów Zjednoczonych</w:t>
      </w:r>
      <w:r w:rsidR="00742CA5">
        <w:rPr>
          <w:rStyle w:val="FontStyle22"/>
          <w:sz w:val="20"/>
          <w:szCs w:val="20"/>
          <w:lang w:eastAsia="en-US"/>
        </w:rPr>
        <w:t>, gdzie była poszukiwana jako podejrzana o zabójstwo jej męża i spalenia jego zwłok</w:t>
      </w:r>
      <w:r w:rsidRPr="00707035">
        <w:rPr>
          <w:rStyle w:val="FontStyle22"/>
          <w:sz w:val="20"/>
          <w:szCs w:val="20"/>
          <w:lang w:eastAsia="en-US"/>
        </w:rPr>
        <w:t>.</w:t>
      </w:r>
      <w:r w:rsidR="00742CA5">
        <w:rPr>
          <w:rStyle w:val="FontStyle22"/>
          <w:sz w:val="20"/>
          <w:szCs w:val="20"/>
          <w:lang w:eastAsia="en-US"/>
        </w:rPr>
        <w:t xml:space="preserve"> Skarżąca zarzucała, że w przypadku ekstradycji do Stanów Zjednoczonych, </w:t>
      </w:r>
      <w:r w:rsidR="00742CA5" w:rsidRPr="00742CA5">
        <w:rPr>
          <w:rStyle w:val="FontStyle22"/>
          <w:sz w:val="20"/>
          <w:szCs w:val="20"/>
          <w:lang w:eastAsia="en-US"/>
        </w:rPr>
        <w:t>groziło jej realne ryzyko dożywotniego pozbawienia wolności bez możliwości zwolnienia warunkowego.</w:t>
      </w:r>
    </w:p>
    <w:p w14:paraId="0EBE12EB" w14:textId="751BD8A9" w:rsidR="000343C3" w:rsidRDefault="00707035" w:rsidP="000343C3">
      <w:pPr>
        <w:pStyle w:val="Style2"/>
        <w:widowControl/>
        <w:spacing w:line="276" w:lineRule="auto"/>
        <w:ind w:left="680" w:right="567"/>
        <w:jc w:val="both"/>
        <w:rPr>
          <w:rStyle w:val="Bodytext20"/>
          <w:rFonts w:ascii="Verdana" w:hAnsi="Verdana"/>
          <w:sz w:val="20"/>
          <w:szCs w:val="20"/>
          <w:lang w:val="pl-PL"/>
        </w:rPr>
      </w:pPr>
      <w:r w:rsidRPr="00707035">
        <w:rPr>
          <w:rStyle w:val="Bodytext20"/>
          <w:rFonts w:ascii="Verdana" w:hAnsi="Verdana"/>
          <w:sz w:val="20"/>
          <w:szCs w:val="20"/>
          <w:lang w:val="pl-PL"/>
        </w:rPr>
        <w:t xml:space="preserve">Trybunał </w:t>
      </w:r>
      <w:r w:rsidR="00742CA5" w:rsidRPr="00742CA5">
        <w:rPr>
          <w:rStyle w:val="Bodytext20"/>
          <w:rFonts w:ascii="Verdana" w:hAnsi="Verdana"/>
          <w:sz w:val="20"/>
          <w:szCs w:val="20"/>
          <w:lang w:val="pl-PL"/>
        </w:rPr>
        <w:t>uznał</w:t>
      </w:r>
      <w:r w:rsidR="00742CA5">
        <w:rPr>
          <w:rStyle w:val="Bodytext20"/>
          <w:rFonts w:ascii="Verdana" w:hAnsi="Verdana"/>
          <w:sz w:val="20"/>
          <w:szCs w:val="20"/>
          <w:lang w:val="pl-PL"/>
        </w:rPr>
        <w:t xml:space="preserve"> skargę</w:t>
      </w:r>
      <w:r w:rsidR="00742CA5" w:rsidRPr="00742CA5">
        <w:rPr>
          <w:rStyle w:val="Bodytext20"/>
          <w:rFonts w:ascii="Verdana" w:hAnsi="Verdana"/>
          <w:sz w:val="20"/>
          <w:szCs w:val="20"/>
          <w:lang w:val="pl-PL"/>
        </w:rPr>
        <w:t xml:space="preserve"> za </w:t>
      </w:r>
      <w:r w:rsidR="00742CA5" w:rsidRPr="00742CA5">
        <w:rPr>
          <w:rStyle w:val="Bodytext20"/>
          <w:rFonts w:ascii="Verdana" w:hAnsi="Verdana"/>
          <w:b/>
          <w:bCs/>
          <w:sz w:val="20"/>
          <w:szCs w:val="20"/>
          <w:lang w:val="pl-PL"/>
        </w:rPr>
        <w:t>niedopuszczalną</w:t>
      </w:r>
      <w:r w:rsidR="00742CA5" w:rsidRPr="00742CA5">
        <w:rPr>
          <w:rStyle w:val="Bodytext20"/>
          <w:rFonts w:ascii="Verdana" w:hAnsi="Verdana"/>
          <w:sz w:val="20"/>
          <w:szCs w:val="20"/>
          <w:lang w:val="pl-PL"/>
        </w:rPr>
        <w:t xml:space="preserve">, jako </w:t>
      </w:r>
      <w:r w:rsidR="00742CA5">
        <w:rPr>
          <w:rStyle w:val="Bodytext20"/>
          <w:rFonts w:ascii="Verdana" w:hAnsi="Verdana"/>
          <w:sz w:val="20"/>
          <w:szCs w:val="20"/>
          <w:lang w:val="pl-PL"/>
        </w:rPr>
        <w:t>w sposób oczywisty nieuzasadnioną</w:t>
      </w:r>
      <w:r w:rsidR="00742CA5" w:rsidRPr="00742CA5">
        <w:rPr>
          <w:rStyle w:val="Bodytext20"/>
          <w:rFonts w:ascii="Verdana" w:hAnsi="Verdana"/>
          <w:sz w:val="20"/>
          <w:szCs w:val="20"/>
          <w:lang w:val="pl-PL"/>
        </w:rPr>
        <w:t xml:space="preserve">, ponieważ władze USA zobowiązały się, że </w:t>
      </w:r>
      <w:r w:rsidR="00742CA5">
        <w:rPr>
          <w:rStyle w:val="Bodytext20"/>
          <w:rFonts w:ascii="Verdana" w:hAnsi="Verdana"/>
          <w:sz w:val="20"/>
          <w:szCs w:val="20"/>
          <w:lang w:val="pl-PL"/>
        </w:rPr>
        <w:t xml:space="preserve">skarżąca </w:t>
      </w:r>
      <w:r w:rsidR="00742CA5" w:rsidRPr="00742CA5">
        <w:rPr>
          <w:rStyle w:val="Bodytext20"/>
          <w:rFonts w:ascii="Verdana" w:hAnsi="Verdana"/>
          <w:sz w:val="20"/>
          <w:szCs w:val="20"/>
          <w:lang w:val="pl-PL"/>
        </w:rPr>
        <w:t>nie może zostać skazana na dożywocie bez możliwości zwolnienia warunkowego, a zatem nie groziło jej ryzyko wyroku, który byłby równoznaczny z nieludzką lub poniżającą karą.</w:t>
      </w:r>
      <w:r w:rsidR="00F716E7">
        <w:rPr>
          <w:rStyle w:val="Bodytext20"/>
          <w:rFonts w:ascii="Verdana" w:hAnsi="Verdana"/>
          <w:sz w:val="20"/>
          <w:szCs w:val="20"/>
          <w:lang w:val="pl-PL"/>
        </w:rPr>
        <w:t xml:space="preserve"> Trybunał</w:t>
      </w:r>
      <w:r w:rsidR="00742CA5" w:rsidRPr="00742CA5">
        <w:rPr>
          <w:rStyle w:val="Bodytext20"/>
          <w:rFonts w:ascii="Verdana" w:hAnsi="Verdana"/>
          <w:sz w:val="20"/>
          <w:szCs w:val="20"/>
          <w:lang w:val="pl-PL"/>
        </w:rPr>
        <w:t xml:space="preserve"> zauważył w szczególności, że kluczowy fakt w sprawie uległ zmianie, gdy prokuratorzy z Michigan zobowiązali się do osądzenia </w:t>
      </w:r>
      <w:r w:rsidR="00F716E7">
        <w:rPr>
          <w:rStyle w:val="Bodytext20"/>
          <w:rFonts w:ascii="Verdana" w:hAnsi="Verdana"/>
          <w:sz w:val="20"/>
          <w:szCs w:val="20"/>
          <w:lang w:val="pl-PL"/>
        </w:rPr>
        <w:t>skarżącej</w:t>
      </w:r>
      <w:r w:rsidR="00742CA5" w:rsidRPr="00742CA5">
        <w:rPr>
          <w:rStyle w:val="Bodytext20"/>
          <w:rFonts w:ascii="Verdana" w:hAnsi="Verdana"/>
          <w:sz w:val="20"/>
          <w:szCs w:val="20"/>
          <w:lang w:val="pl-PL"/>
        </w:rPr>
        <w:t xml:space="preserve"> za główne przestępstwo mniejszej wagi, jakim jest „zabójstwo z użyciem przemocy – drugiego stopnia”. To zobowiązanie ze strony władz USA zostało przekazane ich włoskim odpowiednikom za pośrednictwem noty dyplomatycznej. Trybunał powtórzył, że noty dyplomatyczne „niosą ze sobą domniemanie dobrej wiary i że w sprawach ekstradycji właściwe jest, aby domniemanie to stosować do państwa </w:t>
      </w:r>
      <w:r w:rsidR="00AA6DBC">
        <w:rPr>
          <w:rStyle w:val="Bodytext20"/>
          <w:rFonts w:ascii="Verdana" w:hAnsi="Verdana"/>
          <w:sz w:val="20"/>
          <w:szCs w:val="20"/>
          <w:lang w:val="pl-PL"/>
        </w:rPr>
        <w:t xml:space="preserve">zwracającego się z </w:t>
      </w:r>
      <w:r w:rsidR="00742CA5" w:rsidRPr="00742CA5">
        <w:rPr>
          <w:rStyle w:val="Bodytext20"/>
          <w:rFonts w:ascii="Verdana" w:hAnsi="Verdana"/>
          <w:sz w:val="20"/>
          <w:szCs w:val="20"/>
          <w:lang w:val="pl-PL"/>
        </w:rPr>
        <w:t>wniosk</w:t>
      </w:r>
      <w:r w:rsidR="00AA6DBC">
        <w:rPr>
          <w:rStyle w:val="Bodytext20"/>
          <w:rFonts w:ascii="Verdana" w:hAnsi="Verdana"/>
          <w:sz w:val="20"/>
          <w:szCs w:val="20"/>
          <w:lang w:val="pl-PL"/>
        </w:rPr>
        <w:t>iem o ekstradycję</w:t>
      </w:r>
      <w:r w:rsidR="00742CA5" w:rsidRPr="00742CA5">
        <w:rPr>
          <w:rStyle w:val="Bodytext20"/>
          <w:rFonts w:ascii="Verdana" w:hAnsi="Verdana"/>
          <w:sz w:val="20"/>
          <w:szCs w:val="20"/>
          <w:lang w:val="pl-PL"/>
        </w:rPr>
        <w:t xml:space="preserve">, które ma długą historię poszanowania demokracji, praw człowieka i praworządności oraz które miało długotrwałe porozumienia ekstradycyjne z państwami będącymi stronami umowy...”. Miało to zastosowanie w tej sprawie, a </w:t>
      </w:r>
      <w:r w:rsidR="00AA6DBC">
        <w:rPr>
          <w:rStyle w:val="Bodytext20"/>
          <w:rFonts w:ascii="Verdana" w:hAnsi="Verdana"/>
          <w:sz w:val="20"/>
          <w:szCs w:val="20"/>
          <w:lang w:val="pl-PL"/>
        </w:rPr>
        <w:t>skarżąca</w:t>
      </w:r>
      <w:r w:rsidR="00742CA5" w:rsidRPr="00742CA5">
        <w:rPr>
          <w:rStyle w:val="Bodytext20"/>
          <w:rFonts w:ascii="Verdana" w:hAnsi="Verdana"/>
          <w:sz w:val="20"/>
          <w:szCs w:val="20"/>
          <w:lang w:val="pl-PL"/>
        </w:rPr>
        <w:t xml:space="preserve"> m</w:t>
      </w:r>
      <w:r w:rsidR="00AA6DBC">
        <w:rPr>
          <w:rStyle w:val="Bodytext20"/>
          <w:rFonts w:ascii="Verdana" w:hAnsi="Verdana"/>
          <w:sz w:val="20"/>
          <w:szCs w:val="20"/>
          <w:lang w:val="pl-PL"/>
        </w:rPr>
        <w:t xml:space="preserve">ogła </w:t>
      </w:r>
      <w:r w:rsidR="00742CA5" w:rsidRPr="00742CA5">
        <w:rPr>
          <w:rStyle w:val="Bodytext20"/>
          <w:rFonts w:ascii="Verdana" w:hAnsi="Verdana"/>
          <w:sz w:val="20"/>
          <w:szCs w:val="20"/>
          <w:lang w:val="pl-PL"/>
        </w:rPr>
        <w:t>zostać osądzon</w:t>
      </w:r>
      <w:r w:rsidR="00AA6DBC">
        <w:rPr>
          <w:rStyle w:val="Bodytext20"/>
          <w:rFonts w:ascii="Verdana" w:hAnsi="Verdana"/>
          <w:sz w:val="20"/>
          <w:szCs w:val="20"/>
          <w:lang w:val="pl-PL"/>
        </w:rPr>
        <w:t>a</w:t>
      </w:r>
      <w:r w:rsidR="00742CA5" w:rsidRPr="00742CA5">
        <w:rPr>
          <w:rStyle w:val="Bodytext20"/>
          <w:rFonts w:ascii="Verdana" w:hAnsi="Verdana"/>
          <w:sz w:val="20"/>
          <w:szCs w:val="20"/>
          <w:lang w:val="pl-PL"/>
        </w:rPr>
        <w:t xml:space="preserve"> wyłącznie na warunkach określonych w </w:t>
      </w:r>
      <w:r w:rsidR="00C23808">
        <w:rPr>
          <w:rStyle w:val="Bodytext20"/>
          <w:rFonts w:ascii="Verdana" w:hAnsi="Verdana"/>
          <w:sz w:val="20"/>
          <w:szCs w:val="20"/>
          <w:lang w:val="pl-PL"/>
        </w:rPr>
        <w:t>nocie</w:t>
      </w:r>
      <w:r w:rsidR="00742CA5" w:rsidRPr="00742CA5">
        <w:rPr>
          <w:rStyle w:val="Bodytext20"/>
          <w:rFonts w:ascii="Verdana" w:hAnsi="Verdana"/>
          <w:sz w:val="20"/>
          <w:szCs w:val="20"/>
          <w:lang w:val="pl-PL"/>
        </w:rPr>
        <w:t xml:space="preserve"> dyplomatycznej.</w:t>
      </w:r>
    </w:p>
    <w:p w14:paraId="1CDAA0D5" w14:textId="77777777" w:rsidR="00997CD7" w:rsidRDefault="00997CD7" w:rsidP="000343C3">
      <w:pPr>
        <w:pStyle w:val="Style2"/>
        <w:widowControl/>
        <w:spacing w:line="276" w:lineRule="auto"/>
        <w:ind w:left="680" w:right="567"/>
        <w:jc w:val="both"/>
        <w:rPr>
          <w:rStyle w:val="Bodytext20"/>
          <w:rFonts w:ascii="Verdana" w:hAnsi="Verdana"/>
          <w:sz w:val="20"/>
          <w:szCs w:val="20"/>
          <w:lang w:val="pl-PL"/>
        </w:rPr>
      </w:pPr>
    </w:p>
    <w:p w14:paraId="00165536" w14:textId="11614A51" w:rsidR="000343C3" w:rsidRPr="00D80AEC" w:rsidRDefault="000343C3" w:rsidP="000343C3">
      <w:pPr>
        <w:pStyle w:val="Style2"/>
        <w:widowControl/>
        <w:spacing w:line="365" w:lineRule="exact"/>
        <w:ind w:left="680" w:right="1843"/>
        <w:jc w:val="both"/>
        <w:rPr>
          <w:rStyle w:val="FontStyle21"/>
          <w:sz w:val="20"/>
          <w:szCs w:val="20"/>
          <w:u w:val="single"/>
          <w:lang w:val="en-GB" w:eastAsia="en-US"/>
        </w:rPr>
      </w:pPr>
      <w:hyperlink r:id="rId30" w:history="1">
        <w:r>
          <w:rPr>
            <w:rStyle w:val="Hipercze"/>
            <w:b/>
            <w:bCs/>
            <w:sz w:val="20"/>
            <w:szCs w:val="20"/>
            <w:lang w:val="en-GB" w:eastAsia="en-US"/>
          </w:rPr>
          <w:t>Bijan Balahan</w:t>
        </w:r>
        <w:r w:rsidRPr="000343C3">
          <w:rPr>
            <w:rStyle w:val="Hipercze"/>
            <w:b/>
            <w:bCs/>
            <w:sz w:val="20"/>
            <w:szCs w:val="20"/>
            <w:lang w:val="en-GB" w:eastAsia="en-US"/>
          </w:rPr>
          <w:t xml:space="preserve"> przeciwko </w:t>
        </w:r>
        <w:r>
          <w:rPr>
            <w:rStyle w:val="Hipercze"/>
            <w:b/>
            <w:bCs/>
            <w:sz w:val="20"/>
            <w:szCs w:val="20"/>
            <w:lang w:val="en-GB" w:eastAsia="en-US"/>
          </w:rPr>
          <w:t>Szwecji</w:t>
        </w:r>
      </w:hyperlink>
      <w:r w:rsidRPr="000343C3">
        <w:rPr>
          <w:b/>
          <w:bCs/>
          <w:sz w:val="20"/>
          <w:szCs w:val="20"/>
          <w:lang w:val="en-GB" w:eastAsia="en-US"/>
        </w:rPr>
        <w:t xml:space="preserve"> </w:t>
      </w:r>
    </w:p>
    <w:p w14:paraId="73CF9683" w14:textId="49EB2411" w:rsidR="000343C3" w:rsidRPr="0091329A" w:rsidRDefault="000343C3" w:rsidP="000343C3">
      <w:pPr>
        <w:pStyle w:val="Style8"/>
        <w:widowControl/>
        <w:spacing w:before="10" w:line="240" w:lineRule="exact"/>
        <w:ind w:left="680"/>
        <w:jc w:val="both"/>
        <w:rPr>
          <w:rStyle w:val="FontStyle17"/>
        </w:rPr>
      </w:pPr>
      <w:r>
        <w:rPr>
          <w:rStyle w:val="FontStyle17"/>
          <w:rFonts w:eastAsia="Arial"/>
          <w:color w:val="A6A6A6"/>
        </w:rPr>
        <w:t>29 czerwca 2023</w:t>
      </w:r>
      <w:r w:rsidRPr="0091329A">
        <w:rPr>
          <w:rStyle w:val="FontStyle17"/>
          <w:rFonts w:eastAsia="Arial"/>
        </w:rPr>
        <w:t xml:space="preserve"> </w:t>
      </w:r>
      <w:r w:rsidRPr="00B82F4B">
        <w:rPr>
          <w:rStyle w:val="FontStyle17"/>
          <w:rFonts w:eastAsia="Arial"/>
          <w:color w:val="A6A6A6"/>
        </w:rPr>
        <w:t>(</w:t>
      </w:r>
      <w:r>
        <w:rPr>
          <w:rStyle w:val="FontStyle17"/>
          <w:rFonts w:eastAsia="Arial"/>
          <w:color w:val="A6A6A6"/>
        </w:rPr>
        <w:t>wyrok</w:t>
      </w:r>
      <w:r w:rsidRPr="00B82F4B">
        <w:rPr>
          <w:rStyle w:val="FontStyle17"/>
          <w:rFonts w:eastAsia="Arial"/>
          <w:color w:val="A6A6A6"/>
        </w:rPr>
        <w:t>)</w:t>
      </w:r>
    </w:p>
    <w:p w14:paraId="7DCE0BA2" w14:textId="55F6CAA8" w:rsidR="000343C3" w:rsidRPr="00707035" w:rsidRDefault="000343C3" w:rsidP="000343C3">
      <w:pPr>
        <w:pStyle w:val="Style8"/>
        <w:widowControl/>
        <w:spacing w:before="10" w:line="240" w:lineRule="exact"/>
        <w:ind w:left="680" w:right="567"/>
        <w:jc w:val="both"/>
        <w:rPr>
          <w:rStyle w:val="FontStyle22"/>
          <w:sz w:val="20"/>
          <w:szCs w:val="20"/>
          <w:lang w:eastAsia="en-US"/>
        </w:rPr>
      </w:pPr>
      <w:r w:rsidRPr="00707035">
        <w:rPr>
          <w:rStyle w:val="FontStyle22"/>
          <w:sz w:val="20"/>
          <w:szCs w:val="20"/>
          <w:lang w:eastAsia="en-US"/>
        </w:rPr>
        <w:t xml:space="preserve">Sprawa ta dotyczyła </w:t>
      </w:r>
      <w:r>
        <w:rPr>
          <w:rStyle w:val="FontStyle22"/>
          <w:sz w:val="20"/>
          <w:szCs w:val="20"/>
          <w:lang w:eastAsia="en-US"/>
        </w:rPr>
        <w:t>decyzji szwedzkich władz o ekstradycji skarżącego</w:t>
      </w:r>
      <w:r w:rsidR="00886233">
        <w:rPr>
          <w:rStyle w:val="FontStyle22"/>
          <w:sz w:val="20"/>
          <w:szCs w:val="20"/>
          <w:lang w:eastAsia="en-US"/>
        </w:rPr>
        <w:t xml:space="preserve"> do Stanów Zjednoczonych</w:t>
      </w:r>
      <w:r w:rsidRPr="00742CA5">
        <w:rPr>
          <w:rStyle w:val="FontStyle22"/>
          <w:sz w:val="20"/>
          <w:szCs w:val="20"/>
          <w:lang w:eastAsia="en-US"/>
        </w:rPr>
        <w:t>.</w:t>
      </w:r>
      <w:r w:rsidR="00886233">
        <w:rPr>
          <w:rStyle w:val="FontStyle22"/>
          <w:sz w:val="20"/>
          <w:szCs w:val="20"/>
          <w:lang w:eastAsia="en-US"/>
        </w:rPr>
        <w:t xml:space="preserve"> Skarżący był poszukiwany w Stanie Kalifornia jako podejrzany o </w:t>
      </w:r>
      <w:r w:rsidR="00886233" w:rsidRPr="00886233">
        <w:rPr>
          <w:rStyle w:val="FontStyle22"/>
          <w:sz w:val="20"/>
          <w:szCs w:val="20"/>
          <w:lang w:eastAsia="en-US"/>
        </w:rPr>
        <w:t>brutalne akty przemocy, tortury, nakłanianie do składania fałszywych zeznań,</w:t>
      </w:r>
      <w:r w:rsidR="0028399D">
        <w:rPr>
          <w:rStyle w:val="FontStyle22"/>
          <w:sz w:val="20"/>
          <w:szCs w:val="20"/>
          <w:lang w:eastAsia="en-US"/>
        </w:rPr>
        <w:t xml:space="preserve"> zastraszanie </w:t>
      </w:r>
      <w:r w:rsidR="00886233" w:rsidRPr="00886233">
        <w:rPr>
          <w:rStyle w:val="FontStyle22"/>
          <w:sz w:val="20"/>
          <w:szCs w:val="20"/>
          <w:lang w:eastAsia="en-US"/>
        </w:rPr>
        <w:t>świadka po wcześniejszym skazaniu i kradzież na dużą skalę, wszystkie rzekomo popełnione w 2020 r.</w:t>
      </w:r>
      <w:r w:rsidR="00886233">
        <w:rPr>
          <w:rStyle w:val="FontStyle22"/>
          <w:sz w:val="20"/>
          <w:szCs w:val="20"/>
          <w:lang w:eastAsia="en-US"/>
        </w:rPr>
        <w:t xml:space="preserve"> Szwedzki Sąd Najwyższy stwierdził, że ekstradycja skarżącego nie stoi w sprzeczności z Konwencją.</w:t>
      </w:r>
    </w:p>
    <w:p w14:paraId="6C89DDFE" w14:textId="4E311B9C" w:rsidR="000343C3" w:rsidRDefault="000343C3" w:rsidP="0028399D">
      <w:pPr>
        <w:pStyle w:val="Style2"/>
        <w:widowControl/>
        <w:spacing w:line="276" w:lineRule="auto"/>
        <w:ind w:left="680" w:right="567"/>
        <w:jc w:val="both"/>
        <w:rPr>
          <w:rStyle w:val="Bodytext20"/>
          <w:rFonts w:ascii="Verdana" w:hAnsi="Verdana"/>
          <w:sz w:val="20"/>
          <w:szCs w:val="20"/>
          <w:lang w:val="pl-PL"/>
        </w:rPr>
      </w:pPr>
      <w:r w:rsidRPr="00707035">
        <w:rPr>
          <w:rStyle w:val="Bodytext20"/>
          <w:rFonts w:ascii="Verdana" w:hAnsi="Verdana"/>
          <w:sz w:val="20"/>
          <w:szCs w:val="20"/>
          <w:lang w:val="pl-PL"/>
        </w:rPr>
        <w:t xml:space="preserve">Trybunał </w:t>
      </w:r>
      <w:r w:rsidRPr="00742CA5">
        <w:rPr>
          <w:rStyle w:val="Bodytext20"/>
          <w:rFonts w:ascii="Verdana" w:hAnsi="Verdana"/>
          <w:sz w:val="20"/>
          <w:szCs w:val="20"/>
          <w:lang w:val="pl-PL"/>
        </w:rPr>
        <w:t>uznał</w:t>
      </w:r>
      <w:r w:rsidR="002B68CF">
        <w:rPr>
          <w:rStyle w:val="Bodytext20"/>
          <w:rFonts w:ascii="Verdana" w:hAnsi="Verdana"/>
          <w:sz w:val="20"/>
          <w:szCs w:val="20"/>
          <w:lang w:val="pl-PL"/>
        </w:rPr>
        <w:t xml:space="preserve">, że jeśli skarżący zostanie ekstradowany do Stanów Zjednoczonych, </w:t>
      </w:r>
      <w:r w:rsidR="002B68CF" w:rsidRPr="002B68CF">
        <w:rPr>
          <w:rStyle w:val="Bodytext20"/>
          <w:rFonts w:ascii="Verdana" w:hAnsi="Verdana"/>
          <w:b/>
          <w:bCs/>
          <w:sz w:val="20"/>
          <w:szCs w:val="20"/>
          <w:lang w:val="pl-PL"/>
        </w:rPr>
        <w:t>nie będzie to naruszeniem art. 3 Konwencji</w:t>
      </w:r>
      <w:r w:rsidRPr="00742CA5">
        <w:rPr>
          <w:rStyle w:val="Bodytext20"/>
          <w:rFonts w:ascii="Verdana" w:hAnsi="Verdana"/>
          <w:sz w:val="20"/>
          <w:szCs w:val="20"/>
          <w:lang w:val="pl-PL"/>
        </w:rPr>
        <w:t>.</w:t>
      </w:r>
      <w:r w:rsidR="002B68CF">
        <w:rPr>
          <w:rStyle w:val="Bodytext20"/>
          <w:rFonts w:ascii="Verdana" w:hAnsi="Verdana"/>
          <w:sz w:val="20"/>
          <w:szCs w:val="20"/>
          <w:lang w:val="pl-PL"/>
        </w:rPr>
        <w:t xml:space="preserve"> Trybunał stwierdził w szczególności, że skarżący</w:t>
      </w:r>
      <w:r w:rsidR="002B68CF" w:rsidRPr="002B68CF">
        <w:rPr>
          <w:rStyle w:val="Bodytext20"/>
          <w:rFonts w:ascii="Verdana" w:hAnsi="Verdana"/>
          <w:sz w:val="20"/>
          <w:szCs w:val="20"/>
          <w:lang w:val="pl-PL"/>
        </w:rPr>
        <w:t xml:space="preserve"> nie przedstawił argumentów, że w przypadku ekstradycji grozi mu albo dożywocie </w:t>
      </w:r>
      <w:r w:rsidR="002B68CF" w:rsidRPr="002B68CF">
        <w:rPr>
          <w:rStyle w:val="Bodytext20"/>
          <w:rFonts w:ascii="Verdana" w:hAnsi="Verdana"/>
          <w:i/>
          <w:iCs/>
          <w:sz w:val="20"/>
          <w:szCs w:val="20"/>
          <w:lang w:val="pl-PL"/>
        </w:rPr>
        <w:t>de jure</w:t>
      </w:r>
      <w:r w:rsidR="002B68CF">
        <w:rPr>
          <w:rStyle w:val="Bodytext20"/>
          <w:rFonts w:ascii="Verdana" w:hAnsi="Verdana"/>
          <w:sz w:val="20"/>
          <w:szCs w:val="20"/>
          <w:lang w:val="pl-PL"/>
        </w:rPr>
        <w:t xml:space="preserve"> </w:t>
      </w:r>
      <w:r w:rsidR="002B68CF" w:rsidRPr="002B68CF">
        <w:rPr>
          <w:rStyle w:val="Bodytext20"/>
          <w:rFonts w:ascii="Verdana" w:hAnsi="Verdana"/>
          <w:sz w:val="20"/>
          <w:szCs w:val="20"/>
          <w:lang w:val="pl-PL"/>
        </w:rPr>
        <w:t>a</w:t>
      </w:r>
      <w:r w:rsidR="002B68CF">
        <w:rPr>
          <w:rStyle w:val="Bodytext20"/>
          <w:rFonts w:ascii="Verdana" w:hAnsi="Verdana"/>
          <w:sz w:val="20"/>
          <w:szCs w:val="20"/>
          <w:lang w:val="pl-PL"/>
        </w:rPr>
        <w:t>ni</w:t>
      </w:r>
      <w:r w:rsidR="002B68CF" w:rsidRPr="002B68CF">
        <w:rPr>
          <w:rStyle w:val="Bodytext20"/>
          <w:rFonts w:ascii="Verdana" w:hAnsi="Verdana"/>
          <w:sz w:val="20"/>
          <w:szCs w:val="20"/>
          <w:lang w:val="pl-PL"/>
        </w:rPr>
        <w:t xml:space="preserve"> </w:t>
      </w:r>
      <w:r w:rsidR="002B68CF" w:rsidRPr="002B68CF">
        <w:rPr>
          <w:rStyle w:val="Bodytext20"/>
          <w:rFonts w:ascii="Verdana" w:hAnsi="Verdana"/>
          <w:i/>
          <w:iCs/>
          <w:sz w:val="20"/>
          <w:szCs w:val="20"/>
          <w:lang w:val="pl-PL"/>
        </w:rPr>
        <w:t>de facto</w:t>
      </w:r>
      <w:r w:rsidR="002B68CF" w:rsidRPr="002B68CF">
        <w:rPr>
          <w:rStyle w:val="Bodytext20"/>
          <w:rFonts w:ascii="Verdana" w:hAnsi="Verdana"/>
          <w:sz w:val="20"/>
          <w:szCs w:val="20"/>
          <w:lang w:val="pl-PL"/>
        </w:rPr>
        <w:t xml:space="preserve"> bez możliwości zwolnienia warunkowego, albo że wyrok, który mógłby otrzymać, będzie rażąco niewspółmierny. </w:t>
      </w:r>
      <w:r w:rsidR="002B68CF">
        <w:rPr>
          <w:rStyle w:val="Bodytext20"/>
          <w:rFonts w:ascii="Verdana" w:hAnsi="Verdana"/>
          <w:sz w:val="20"/>
          <w:szCs w:val="20"/>
          <w:lang w:val="pl-PL"/>
        </w:rPr>
        <w:t xml:space="preserve">Trybunał </w:t>
      </w:r>
      <w:r w:rsidR="002B68CF" w:rsidRPr="002B68CF">
        <w:rPr>
          <w:rStyle w:val="Bodytext20"/>
          <w:rFonts w:ascii="Verdana" w:hAnsi="Verdana"/>
          <w:sz w:val="20"/>
          <w:szCs w:val="20"/>
          <w:lang w:val="pl-PL"/>
        </w:rPr>
        <w:t xml:space="preserve">uznał, że </w:t>
      </w:r>
      <w:r w:rsidR="002B68CF">
        <w:rPr>
          <w:rStyle w:val="Bodytext20"/>
          <w:rFonts w:ascii="Verdana" w:hAnsi="Verdana"/>
          <w:sz w:val="20"/>
          <w:szCs w:val="20"/>
          <w:lang w:val="pl-PL"/>
        </w:rPr>
        <w:t>skarżący</w:t>
      </w:r>
      <w:r w:rsidR="002B68CF" w:rsidRPr="002B68CF">
        <w:rPr>
          <w:rStyle w:val="Bodytext20"/>
          <w:rFonts w:ascii="Verdana" w:hAnsi="Verdana"/>
          <w:sz w:val="20"/>
          <w:szCs w:val="20"/>
          <w:lang w:val="pl-PL"/>
        </w:rPr>
        <w:t xml:space="preserve"> co najwyżej </w:t>
      </w:r>
      <w:r w:rsidR="002B68CF">
        <w:rPr>
          <w:rStyle w:val="Bodytext20"/>
          <w:rFonts w:ascii="Verdana" w:hAnsi="Verdana"/>
          <w:sz w:val="20"/>
          <w:szCs w:val="20"/>
          <w:lang w:val="pl-PL"/>
        </w:rPr>
        <w:t xml:space="preserve">ryzykował </w:t>
      </w:r>
      <w:r w:rsidR="002B68CF" w:rsidRPr="002B68CF">
        <w:rPr>
          <w:rStyle w:val="Bodytext20"/>
          <w:rFonts w:ascii="Verdana" w:hAnsi="Verdana"/>
          <w:sz w:val="20"/>
          <w:szCs w:val="20"/>
          <w:lang w:val="pl-PL"/>
        </w:rPr>
        <w:t xml:space="preserve">dożywotnim pozbawieniem wolności z możliwością zwolnienia warunkowego i że nie wykazał, że istnieje realne ryzyko, że, jak twierdził, będzie musiał odbyć karę co najmniej 61 lat, zanim będzie mógł ubiegać się o zwolnienie warunkowe. </w:t>
      </w:r>
      <w:r w:rsidR="002B68CF">
        <w:rPr>
          <w:rStyle w:val="Bodytext20"/>
          <w:rFonts w:ascii="Verdana" w:hAnsi="Verdana"/>
          <w:sz w:val="20"/>
          <w:szCs w:val="20"/>
          <w:lang w:val="pl-PL"/>
        </w:rPr>
        <w:t>Trybunał zwrócił uwagę</w:t>
      </w:r>
      <w:r w:rsidR="002B68CF" w:rsidRPr="002B68CF">
        <w:rPr>
          <w:rStyle w:val="Bodytext20"/>
          <w:rFonts w:ascii="Verdana" w:hAnsi="Verdana"/>
          <w:sz w:val="20"/>
          <w:szCs w:val="20"/>
          <w:lang w:val="pl-PL"/>
        </w:rPr>
        <w:t xml:space="preserve"> również </w:t>
      </w:r>
      <w:r w:rsidR="002B68CF">
        <w:rPr>
          <w:rStyle w:val="Bodytext20"/>
          <w:rFonts w:ascii="Verdana" w:hAnsi="Verdana"/>
          <w:sz w:val="20"/>
          <w:szCs w:val="20"/>
          <w:lang w:val="pl-PL"/>
        </w:rPr>
        <w:t xml:space="preserve">na </w:t>
      </w:r>
      <w:r w:rsidR="002B68CF" w:rsidRPr="002B68CF">
        <w:rPr>
          <w:rStyle w:val="Bodytext20"/>
          <w:rFonts w:ascii="Verdana" w:hAnsi="Verdana"/>
          <w:sz w:val="20"/>
          <w:szCs w:val="20"/>
          <w:lang w:val="pl-PL"/>
        </w:rPr>
        <w:t>powagę oskarżeń przeciwko</w:t>
      </w:r>
      <w:r w:rsidR="002B68CF">
        <w:rPr>
          <w:rStyle w:val="Bodytext20"/>
          <w:rFonts w:ascii="Verdana" w:hAnsi="Verdana"/>
          <w:sz w:val="20"/>
          <w:szCs w:val="20"/>
          <w:lang w:val="pl-PL"/>
        </w:rPr>
        <w:t xml:space="preserve"> skarżącemu</w:t>
      </w:r>
      <w:r w:rsidR="002B68CF" w:rsidRPr="002B68CF">
        <w:rPr>
          <w:rStyle w:val="Bodytext20"/>
          <w:rFonts w:ascii="Verdana" w:hAnsi="Verdana"/>
          <w:sz w:val="20"/>
          <w:szCs w:val="20"/>
          <w:lang w:val="pl-PL"/>
        </w:rPr>
        <w:t>, oddalając argument, że wyrok będzie rażąco niewspółmierny.</w:t>
      </w:r>
    </w:p>
    <w:p w14:paraId="147C64D4" w14:textId="77777777" w:rsidR="00997CD7" w:rsidRDefault="00997CD7" w:rsidP="0028399D">
      <w:pPr>
        <w:pStyle w:val="Style2"/>
        <w:widowControl/>
        <w:spacing w:line="276" w:lineRule="auto"/>
        <w:ind w:left="680" w:right="567"/>
        <w:jc w:val="both"/>
        <w:rPr>
          <w:rStyle w:val="FontStyle22"/>
          <w:sz w:val="20"/>
          <w:szCs w:val="20"/>
          <w:lang w:eastAsia="en-US"/>
        </w:rPr>
      </w:pPr>
    </w:p>
    <w:p w14:paraId="063736AF" w14:textId="1ACC51A0" w:rsidR="0028399D" w:rsidRPr="00D80AEC" w:rsidRDefault="0028399D" w:rsidP="0028399D">
      <w:pPr>
        <w:pStyle w:val="Style2"/>
        <w:widowControl/>
        <w:spacing w:line="365" w:lineRule="exact"/>
        <w:ind w:left="680" w:right="1843"/>
        <w:jc w:val="both"/>
        <w:rPr>
          <w:rStyle w:val="FontStyle21"/>
          <w:sz w:val="20"/>
          <w:szCs w:val="20"/>
          <w:u w:val="single"/>
          <w:lang w:val="en-GB" w:eastAsia="en-US"/>
        </w:rPr>
      </w:pPr>
      <w:hyperlink r:id="rId31" w:history="1">
        <w:r w:rsidRPr="00452536">
          <w:rPr>
            <w:rStyle w:val="Hipercze"/>
            <w:b/>
            <w:bCs/>
            <w:sz w:val="20"/>
            <w:szCs w:val="20"/>
            <w:lang w:val="en-GB" w:eastAsia="en-US"/>
          </w:rPr>
          <w:t>Carvajal Barrios przeciwko Hiszpanii</w:t>
        </w:r>
      </w:hyperlink>
    </w:p>
    <w:p w14:paraId="0F397998" w14:textId="643CFC4F" w:rsidR="0028399D" w:rsidRPr="0091329A" w:rsidRDefault="00452536" w:rsidP="0028399D">
      <w:pPr>
        <w:pStyle w:val="Style8"/>
        <w:widowControl/>
        <w:spacing w:before="10" w:line="240" w:lineRule="exact"/>
        <w:ind w:left="680"/>
        <w:jc w:val="both"/>
        <w:rPr>
          <w:rStyle w:val="FontStyle17"/>
        </w:rPr>
      </w:pPr>
      <w:r>
        <w:rPr>
          <w:rStyle w:val="FontStyle17"/>
          <w:rFonts w:eastAsia="Arial"/>
          <w:color w:val="A6A6A6"/>
        </w:rPr>
        <w:t>4 lipca</w:t>
      </w:r>
      <w:r w:rsidR="0028399D">
        <w:rPr>
          <w:rStyle w:val="FontStyle17"/>
          <w:rFonts w:eastAsia="Arial"/>
          <w:color w:val="A6A6A6"/>
        </w:rPr>
        <w:t xml:space="preserve"> 2023</w:t>
      </w:r>
      <w:r w:rsidR="0028399D" w:rsidRPr="0091329A">
        <w:rPr>
          <w:rStyle w:val="FontStyle17"/>
          <w:rFonts w:eastAsia="Arial"/>
        </w:rPr>
        <w:t xml:space="preserve"> </w:t>
      </w:r>
      <w:r w:rsidR="0028399D" w:rsidRPr="00B82F4B">
        <w:rPr>
          <w:rStyle w:val="FontStyle17"/>
          <w:rFonts w:eastAsia="Arial"/>
          <w:color w:val="A6A6A6"/>
        </w:rPr>
        <w:t>(</w:t>
      </w:r>
      <w:r>
        <w:rPr>
          <w:rStyle w:val="FontStyle17"/>
          <w:rFonts w:eastAsia="Arial"/>
          <w:color w:val="A6A6A6"/>
        </w:rPr>
        <w:t>decyzja w sprawie dopuszczalności</w:t>
      </w:r>
      <w:r w:rsidR="0028399D" w:rsidRPr="00B82F4B">
        <w:rPr>
          <w:rStyle w:val="FontStyle17"/>
          <w:rFonts w:eastAsia="Arial"/>
          <w:color w:val="A6A6A6"/>
        </w:rPr>
        <w:t>)</w:t>
      </w:r>
    </w:p>
    <w:p w14:paraId="17FAA6EB" w14:textId="5F7F7E0C" w:rsidR="00452536" w:rsidRPr="00452536" w:rsidRDefault="00452536" w:rsidP="00452536">
      <w:pPr>
        <w:pStyle w:val="Style2"/>
        <w:widowControl/>
        <w:spacing w:line="276" w:lineRule="auto"/>
        <w:ind w:left="680" w:right="567"/>
        <w:jc w:val="both"/>
        <w:rPr>
          <w:rStyle w:val="FontStyle22"/>
          <w:sz w:val="20"/>
          <w:szCs w:val="20"/>
          <w:lang w:eastAsia="en-US"/>
        </w:rPr>
      </w:pPr>
      <w:r w:rsidRPr="00452536">
        <w:rPr>
          <w:rStyle w:val="FontStyle22"/>
          <w:sz w:val="20"/>
          <w:szCs w:val="20"/>
          <w:lang w:eastAsia="en-US"/>
        </w:rPr>
        <w:t xml:space="preserve">Sprawa dotyczyła ekstradycji </w:t>
      </w:r>
      <w:r>
        <w:rPr>
          <w:rStyle w:val="FontStyle22"/>
          <w:sz w:val="20"/>
          <w:szCs w:val="20"/>
          <w:lang w:eastAsia="en-US"/>
        </w:rPr>
        <w:t>skarżącego</w:t>
      </w:r>
      <w:r w:rsidRPr="00452536">
        <w:rPr>
          <w:rStyle w:val="FontStyle22"/>
          <w:sz w:val="20"/>
          <w:szCs w:val="20"/>
          <w:lang w:eastAsia="en-US"/>
        </w:rPr>
        <w:t xml:space="preserve"> – obywatela Wenezueli, który był członkiem wenezuelskiej agencji wywiadowczej, w tym szefem kontrwywiadu pod rządami prezydenta </w:t>
      </w:r>
      <w:r w:rsidRPr="00452536">
        <w:rPr>
          <w:rStyle w:val="FontStyle22"/>
          <w:sz w:val="20"/>
          <w:szCs w:val="20"/>
          <w:lang w:eastAsia="en-US"/>
        </w:rPr>
        <w:lastRenderedPageBreak/>
        <w:t xml:space="preserve">Wenezueli Hugo Cháveza – do Stanów Zjednoczonych, gdzie był poszukiwany za przestępstwa przemytu narkotyków. </w:t>
      </w:r>
      <w:r>
        <w:rPr>
          <w:rStyle w:val="FontStyle22"/>
          <w:sz w:val="20"/>
          <w:szCs w:val="20"/>
          <w:lang w:eastAsia="en-US"/>
        </w:rPr>
        <w:t>Skarżący</w:t>
      </w:r>
      <w:r w:rsidRPr="00452536">
        <w:rPr>
          <w:rStyle w:val="FontStyle22"/>
          <w:sz w:val="20"/>
          <w:szCs w:val="20"/>
          <w:lang w:eastAsia="en-US"/>
        </w:rPr>
        <w:t xml:space="preserve"> </w:t>
      </w:r>
      <w:r>
        <w:rPr>
          <w:rStyle w:val="FontStyle22"/>
          <w:sz w:val="20"/>
          <w:szCs w:val="20"/>
          <w:lang w:eastAsia="en-US"/>
        </w:rPr>
        <w:t>zarzucił</w:t>
      </w:r>
      <w:r w:rsidRPr="00452536">
        <w:rPr>
          <w:rStyle w:val="FontStyle22"/>
          <w:sz w:val="20"/>
          <w:szCs w:val="20"/>
          <w:lang w:eastAsia="en-US"/>
        </w:rPr>
        <w:t>, że jego ekstradycja do Stanów Zjednoczonych naraziłaby go na ryzyko dożywotniego pozbawienia wolności bez możliwości zwolnienia warunkowego.</w:t>
      </w:r>
    </w:p>
    <w:p w14:paraId="6747F28E" w14:textId="498EB231" w:rsidR="0028399D" w:rsidRDefault="00452536" w:rsidP="00452536">
      <w:pPr>
        <w:pStyle w:val="Style2"/>
        <w:widowControl/>
        <w:spacing w:line="276" w:lineRule="auto"/>
        <w:ind w:left="680" w:right="567"/>
        <w:jc w:val="both"/>
        <w:rPr>
          <w:rStyle w:val="FontStyle22"/>
          <w:color w:val="2E74B5" w:themeColor="accent5" w:themeShade="BF"/>
          <w:sz w:val="20"/>
          <w:szCs w:val="20"/>
          <w:lang w:eastAsia="en-US"/>
        </w:rPr>
      </w:pPr>
      <w:r w:rsidRPr="00091118">
        <w:rPr>
          <w:rStyle w:val="FontStyle22"/>
          <w:color w:val="2E74B5" w:themeColor="accent5" w:themeShade="BF"/>
          <w:sz w:val="20"/>
          <w:szCs w:val="20"/>
          <w:lang w:eastAsia="en-US"/>
        </w:rPr>
        <w:t xml:space="preserve">Trybunał uznał skargę za </w:t>
      </w:r>
      <w:r w:rsidRPr="00091118">
        <w:rPr>
          <w:rStyle w:val="FontStyle22"/>
          <w:b/>
          <w:bCs/>
          <w:color w:val="2E74B5" w:themeColor="accent5" w:themeShade="BF"/>
          <w:sz w:val="20"/>
          <w:szCs w:val="20"/>
          <w:lang w:eastAsia="en-US"/>
        </w:rPr>
        <w:t>niedopuszczalną</w:t>
      </w:r>
      <w:r w:rsidR="00091118">
        <w:rPr>
          <w:rStyle w:val="FontStyle22"/>
          <w:b/>
          <w:bCs/>
          <w:color w:val="2E74B5" w:themeColor="accent5" w:themeShade="BF"/>
          <w:sz w:val="20"/>
          <w:szCs w:val="20"/>
          <w:lang w:eastAsia="en-US"/>
        </w:rPr>
        <w:t>,</w:t>
      </w:r>
      <w:r w:rsidRPr="00091118">
        <w:rPr>
          <w:rStyle w:val="FontStyle22"/>
          <w:color w:val="2E74B5" w:themeColor="accent5" w:themeShade="BF"/>
          <w:sz w:val="20"/>
          <w:szCs w:val="20"/>
          <w:lang w:eastAsia="en-US"/>
        </w:rPr>
        <w:t xml:space="preserve"> jako w sposób oczywisty nieuzasadnioną, stwierdzając, że skarżący nie wykazał, że w przypadku ekstradycji groziłoby mu rzeczywiste ryzyko skazania na dożywocie bez możliwości zwolnienia warunkowego z naruszeniem art. 3 Konwencji. Ponieważ skarżący nie został jeszcze osądzony, trudno było ustalić wynik</w:t>
      </w:r>
      <w:r w:rsidR="00091118">
        <w:rPr>
          <w:rStyle w:val="FontStyle22"/>
          <w:color w:val="2E74B5" w:themeColor="accent5" w:themeShade="BF"/>
          <w:sz w:val="20"/>
          <w:szCs w:val="20"/>
          <w:lang w:eastAsia="en-US"/>
        </w:rPr>
        <w:t xml:space="preserve"> postępowania</w:t>
      </w:r>
      <w:r w:rsidRPr="00091118">
        <w:rPr>
          <w:rStyle w:val="FontStyle22"/>
          <w:color w:val="2E74B5" w:themeColor="accent5" w:themeShade="BF"/>
          <w:sz w:val="20"/>
          <w:szCs w:val="20"/>
          <w:lang w:eastAsia="en-US"/>
        </w:rPr>
        <w:t xml:space="preserve">, ale Trybunał był przekonany, że zostanie osądzony w systemie prawnym szanującym praworządność i zasady sprawiedliwego procesu, w którym będzie miał pełną możliwość przygotowania obrony z pomocą reprezentacji prawnej. Trybunał zauważył również, że istnieje wiele okoliczności, w których skarżący nie otrzymałby najsurowszej możliwej kary, w tym uniewinnienia, przyznania się do winy lub ugody. Ponadto wyrok nie byłby automatyczny i opierałby się na szerokim zakresie czynników, w tym czynnikach łagodzących. W niniejszej sprawie skarżący nie dostarczył żadnych informacji, że czynniki łagodzące w jego sprawie nie zostaną wzięte pod uwagę. Miałby również prawo do apelacji. </w:t>
      </w:r>
      <w:r w:rsidR="00091118">
        <w:rPr>
          <w:rStyle w:val="FontStyle22"/>
          <w:color w:val="2E74B5" w:themeColor="accent5" w:themeShade="BF"/>
          <w:sz w:val="20"/>
          <w:szCs w:val="20"/>
          <w:lang w:eastAsia="en-US"/>
        </w:rPr>
        <w:t>Podsumowując</w:t>
      </w:r>
      <w:r w:rsidRPr="00091118">
        <w:rPr>
          <w:rStyle w:val="FontStyle22"/>
          <w:color w:val="2E74B5" w:themeColor="accent5" w:themeShade="BF"/>
          <w:sz w:val="20"/>
          <w:szCs w:val="20"/>
          <w:lang w:eastAsia="en-US"/>
        </w:rPr>
        <w:t>, takie wyroki były bardzo rzadkie w sprawach federalnych w Stanach Zjednoczonych.</w:t>
      </w:r>
    </w:p>
    <w:p w14:paraId="344F2DA2" w14:textId="77777777" w:rsidR="00997CD7" w:rsidRDefault="00997CD7" w:rsidP="00452536">
      <w:pPr>
        <w:pStyle w:val="Style2"/>
        <w:widowControl/>
        <w:spacing w:line="276" w:lineRule="auto"/>
        <w:ind w:left="680" w:right="567"/>
        <w:jc w:val="both"/>
        <w:rPr>
          <w:rStyle w:val="FontStyle22"/>
          <w:color w:val="2E74B5" w:themeColor="accent5" w:themeShade="BF"/>
          <w:sz w:val="20"/>
          <w:szCs w:val="20"/>
          <w:lang w:eastAsia="en-US"/>
        </w:rPr>
      </w:pPr>
    </w:p>
    <w:p w14:paraId="23482370" w14:textId="67AB3B8B" w:rsidR="00146E02" w:rsidRPr="00D80AEC" w:rsidRDefault="00146E02" w:rsidP="00146E02">
      <w:pPr>
        <w:pStyle w:val="Style2"/>
        <w:widowControl/>
        <w:spacing w:line="365" w:lineRule="exact"/>
        <w:ind w:left="680" w:right="1843"/>
        <w:jc w:val="both"/>
        <w:rPr>
          <w:rStyle w:val="FontStyle21"/>
          <w:sz w:val="20"/>
          <w:szCs w:val="20"/>
          <w:u w:val="single"/>
          <w:lang w:val="en-GB" w:eastAsia="en-US"/>
        </w:rPr>
      </w:pPr>
      <w:hyperlink r:id="rId32" w:history="1">
        <w:r w:rsidRPr="00146E02">
          <w:rPr>
            <w:rStyle w:val="Hipercze"/>
            <w:b/>
            <w:bCs/>
            <w:sz w:val="20"/>
            <w:szCs w:val="20"/>
            <w:lang w:val="en-GB" w:eastAsia="en-US"/>
          </w:rPr>
          <w:t>Compaor</w:t>
        </w:r>
        <w:r>
          <w:rPr>
            <w:rStyle w:val="Hipercze"/>
            <w:b/>
            <w:bCs/>
            <w:sz w:val="20"/>
            <w:szCs w:val="20"/>
            <w:lang w:val="en-GB" w:eastAsia="en-US"/>
          </w:rPr>
          <w:t>é</w:t>
        </w:r>
        <w:r w:rsidRPr="00146E02">
          <w:rPr>
            <w:rStyle w:val="Hipercze"/>
            <w:b/>
            <w:bCs/>
            <w:sz w:val="20"/>
            <w:szCs w:val="20"/>
            <w:lang w:val="en-GB" w:eastAsia="en-US"/>
          </w:rPr>
          <w:t xml:space="preserve"> przeciwko Francji</w:t>
        </w:r>
      </w:hyperlink>
    </w:p>
    <w:p w14:paraId="21844BE4" w14:textId="0B29059B" w:rsidR="00146E02" w:rsidRPr="0091329A" w:rsidRDefault="00146E02" w:rsidP="00146E02">
      <w:pPr>
        <w:pStyle w:val="Style8"/>
        <w:widowControl/>
        <w:spacing w:before="10" w:line="240" w:lineRule="exact"/>
        <w:ind w:left="680"/>
        <w:jc w:val="both"/>
        <w:rPr>
          <w:rStyle w:val="FontStyle17"/>
        </w:rPr>
      </w:pPr>
      <w:r>
        <w:rPr>
          <w:rStyle w:val="FontStyle17"/>
          <w:rFonts w:eastAsia="Arial"/>
          <w:color w:val="A6A6A6"/>
        </w:rPr>
        <w:t>7 września 2023</w:t>
      </w:r>
      <w:r w:rsidRPr="0091329A">
        <w:rPr>
          <w:rStyle w:val="FontStyle17"/>
          <w:rFonts w:eastAsia="Arial"/>
        </w:rPr>
        <w:t xml:space="preserve"> </w:t>
      </w:r>
      <w:r w:rsidRPr="00B82F4B">
        <w:rPr>
          <w:rStyle w:val="FontStyle17"/>
          <w:rFonts w:eastAsia="Arial"/>
          <w:color w:val="A6A6A6"/>
        </w:rPr>
        <w:t>(</w:t>
      </w:r>
      <w:r>
        <w:rPr>
          <w:rStyle w:val="FontStyle17"/>
          <w:rFonts w:eastAsia="Arial"/>
          <w:color w:val="A6A6A6"/>
        </w:rPr>
        <w:t>wyrok</w:t>
      </w:r>
      <w:r w:rsidRPr="00B82F4B">
        <w:rPr>
          <w:rStyle w:val="FontStyle17"/>
          <w:rFonts w:eastAsia="Arial"/>
          <w:color w:val="A6A6A6"/>
        </w:rPr>
        <w:t>)</w:t>
      </w:r>
    </w:p>
    <w:p w14:paraId="079EBAA3" w14:textId="77777777" w:rsidR="007015DB" w:rsidRPr="007015DB" w:rsidRDefault="007015DB" w:rsidP="007015DB">
      <w:pPr>
        <w:pStyle w:val="Style2"/>
        <w:widowControl/>
        <w:spacing w:line="276" w:lineRule="auto"/>
        <w:ind w:left="680" w:right="567"/>
        <w:jc w:val="both"/>
        <w:rPr>
          <w:rStyle w:val="FontStyle22"/>
          <w:sz w:val="20"/>
          <w:szCs w:val="20"/>
          <w:lang w:eastAsia="en-US"/>
        </w:rPr>
      </w:pPr>
      <w:r w:rsidRPr="007015DB">
        <w:rPr>
          <w:rStyle w:val="FontStyle22"/>
          <w:sz w:val="20"/>
          <w:szCs w:val="20"/>
          <w:lang w:eastAsia="en-US"/>
        </w:rPr>
        <w:t>Sprawa ta dotyczyła ekstradycji, zatwierdzonej postanowieniem wydanym w dniu 21 lutego 2020 r., skarżącego - obywatela Burkina Faso, który był bratem byłego prezydenta Republiki Burkina Faso Blaise'a Compaoré i jednym z jego bliskich doradców, dopóki ten ostatni nie został zmuszony do rezygnacji w dniu 31 października 2014 r. w wyniku powstania ludowego - do Burkina Faso, gdzie groziło mu postępowanie karne za „podżeganie do zabójstwa” dziennikarza śledczego i trzech towarzyszących mu mężczyzn. Skarżący stwierdził, że jego ekstradycja do Burkina Faso naraziłaby go na realne ryzyko tortur lub nieludzkiego bądź poniżającego traktowania.</w:t>
      </w:r>
    </w:p>
    <w:p w14:paraId="158EE83F" w14:textId="17B2575F" w:rsidR="00277B99" w:rsidRDefault="007015DB" w:rsidP="00997CD7">
      <w:pPr>
        <w:pStyle w:val="Style2"/>
        <w:widowControl/>
        <w:spacing w:line="276" w:lineRule="auto"/>
        <w:ind w:left="680" w:right="567"/>
        <w:jc w:val="both"/>
        <w:rPr>
          <w:rStyle w:val="FontStyle22"/>
          <w:color w:val="2E74B5" w:themeColor="accent5" w:themeShade="BF"/>
          <w:sz w:val="20"/>
          <w:szCs w:val="20"/>
          <w:lang w:eastAsia="en-US"/>
        </w:rPr>
      </w:pPr>
      <w:r w:rsidRPr="008710CE">
        <w:rPr>
          <w:rStyle w:val="FontStyle22"/>
          <w:color w:val="2E74B5" w:themeColor="accent5" w:themeShade="BF"/>
          <w:sz w:val="20"/>
          <w:szCs w:val="20"/>
          <w:lang w:eastAsia="en-US"/>
        </w:rPr>
        <w:t xml:space="preserve">Trybunał orzekł, że doszłoby do </w:t>
      </w:r>
      <w:r w:rsidRPr="008710CE">
        <w:rPr>
          <w:rStyle w:val="FontStyle22"/>
          <w:b/>
          <w:bCs/>
          <w:color w:val="2E74B5" w:themeColor="accent5" w:themeShade="BF"/>
          <w:sz w:val="20"/>
          <w:szCs w:val="20"/>
          <w:lang w:eastAsia="en-US"/>
        </w:rPr>
        <w:t xml:space="preserve">naruszenia </w:t>
      </w:r>
      <w:r w:rsidR="008710CE" w:rsidRPr="008710CE">
        <w:rPr>
          <w:rStyle w:val="FontStyle22"/>
          <w:b/>
          <w:bCs/>
          <w:color w:val="2E74B5" w:themeColor="accent5" w:themeShade="BF"/>
          <w:sz w:val="20"/>
          <w:szCs w:val="20"/>
          <w:lang w:eastAsia="en-US"/>
        </w:rPr>
        <w:t>art.</w:t>
      </w:r>
      <w:r w:rsidRPr="008710CE">
        <w:rPr>
          <w:rStyle w:val="FontStyle22"/>
          <w:b/>
          <w:bCs/>
          <w:color w:val="2E74B5" w:themeColor="accent5" w:themeShade="BF"/>
          <w:sz w:val="20"/>
          <w:szCs w:val="20"/>
          <w:lang w:eastAsia="en-US"/>
        </w:rPr>
        <w:t xml:space="preserve"> 3 Konwencji</w:t>
      </w:r>
      <w:r w:rsidRPr="008710CE">
        <w:rPr>
          <w:rStyle w:val="FontStyle22"/>
          <w:color w:val="2E74B5" w:themeColor="accent5" w:themeShade="BF"/>
          <w:sz w:val="20"/>
          <w:szCs w:val="20"/>
          <w:lang w:eastAsia="en-US"/>
        </w:rPr>
        <w:t xml:space="preserve"> w aspekcie proceduralnym, gdyby nakaz ekstradycji został wykonany bez uprzedniej ponownej oceny ważności i wiarygodności zapewnień dyplomatycznych złożonych przez Burkina Faso. W szczególności, po dokonaniu przeglądu zapewnień dyplomatycznych złożonych przez państwo Burkina Faso, które wystąpiło z wnioskiem o ekstradycję, oraz zbadaniu wiarygodności tych zapewnień w świetle znaczących wstrząsów politycznych po dwóch wojskowych zamachach stanu, Trybunał stwierdził, że zapewnienia te nie zostały powtórzone przez drugi rząd tymczasowy utworzony przez nową głowę państwa Burkina Faso, która objęła władzę w dniu 30 września 2022 r., a rząd, który otrzymał ostatnie uwagi skarżącego w tej kwestii w dniu 19 października 2022 r., nie odniósł się do nich. W związku z tym </w:t>
      </w:r>
      <w:r w:rsidR="008710CE">
        <w:rPr>
          <w:rStyle w:val="FontStyle22"/>
          <w:color w:val="2E74B5" w:themeColor="accent5" w:themeShade="BF"/>
          <w:sz w:val="20"/>
          <w:szCs w:val="20"/>
          <w:lang w:eastAsia="en-US"/>
        </w:rPr>
        <w:t xml:space="preserve">Trybunał stwierdził, że ponieważ w chwili wydania niniejszego orzeczenia władze krajowe nie uwzględniły nowego kontekstu politycznego i konstytucyjnego w państwie wnioskującym o ekstradycję, a w szczególności nie rozważyły, czy zapewnienia, na których oparto decyzje </w:t>
      </w:r>
      <w:r w:rsidRPr="008710CE">
        <w:rPr>
          <w:rStyle w:val="FontStyle22"/>
          <w:color w:val="2E74B5" w:themeColor="accent5" w:themeShade="BF"/>
          <w:sz w:val="20"/>
          <w:szCs w:val="20"/>
          <w:lang w:eastAsia="en-US"/>
        </w:rPr>
        <w:t>o ekstradycji, pozostały wiążące dla państwa Burkinabè, nie był on przekonany, że ryzyko zarzucane przez skarżącego, że zostanie poddany traktowaniu sprzecznemu z art. 3 Konwencji, zostało obecnie wykluczone w postępowaniu ekstradycyjnym. Odnosiło się to zarówno do ryzyka, że skarżący nie zostanie zatrzymany w oddziale więzienia w Wagadugu zarezerwowanym dla osób publicznych, jak i do ryzyka, że może zostać skazany na dożywocie w Burkina Faso bez możliwości zwolnienia.</w:t>
      </w:r>
    </w:p>
    <w:p w14:paraId="234C2B59" w14:textId="5D5AC721" w:rsidR="00997CD7" w:rsidRDefault="00997CD7" w:rsidP="00997CD7">
      <w:pPr>
        <w:pStyle w:val="Style2"/>
        <w:widowControl/>
        <w:spacing w:line="276" w:lineRule="auto"/>
        <w:ind w:left="680" w:right="567"/>
        <w:jc w:val="both"/>
        <w:rPr>
          <w:rStyle w:val="FontStyle22"/>
          <w:color w:val="2E74B5" w:themeColor="accent5" w:themeShade="BF"/>
          <w:sz w:val="20"/>
          <w:szCs w:val="20"/>
          <w:lang w:eastAsia="en-US"/>
        </w:rPr>
      </w:pPr>
    </w:p>
    <w:p w14:paraId="62ED4709" w14:textId="77777777" w:rsidR="00997CD7" w:rsidRDefault="00997CD7" w:rsidP="00997CD7">
      <w:pPr>
        <w:pStyle w:val="Style2"/>
        <w:widowControl/>
        <w:spacing w:line="276" w:lineRule="auto"/>
        <w:ind w:left="680" w:right="567"/>
        <w:jc w:val="both"/>
        <w:rPr>
          <w:rStyle w:val="FontStyle22"/>
          <w:color w:val="2E74B5" w:themeColor="accent5" w:themeShade="BF"/>
          <w:sz w:val="20"/>
          <w:szCs w:val="20"/>
          <w:lang w:eastAsia="en-US"/>
        </w:rPr>
      </w:pPr>
    </w:p>
    <w:p w14:paraId="77795972" w14:textId="77777777" w:rsidR="00997CD7" w:rsidRPr="008710CE" w:rsidRDefault="00997CD7" w:rsidP="00997CD7">
      <w:pPr>
        <w:pStyle w:val="Style2"/>
        <w:widowControl/>
        <w:spacing w:line="276" w:lineRule="auto"/>
        <w:ind w:right="567"/>
        <w:jc w:val="both"/>
        <w:rPr>
          <w:rStyle w:val="FontStyle22"/>
          <w:color w:val="2E74B5" w:themeColor="accent5" w:themeShade="BF"/>
          <w:sz w:val="20"/>
          <w:szCs w:val="20"/>
          <w:lang w:eastAsia="en-US"/>
        </w:rPr>
      </w:pPr>
    </w:p>
    <w:p w14:paraId="7FF85F42" w14:textId="5B4ADF9D" w:rsidR="008710CE" w:rsidRPr="00D80AEC" w:rsidRDefault="00277B99" w:rsidP="008710CE">
      <w:pPr>
        <w:pStyle w:val="Style2"/>
        <w:widowControl/>
        <w:spacing w:line="365" w:lineRule="exact"/>
        <w:ind w:left="680" w:right="1843"/>
        <w:jc w:val="both"/>
        <w:rPr>
          <w:rStyle w:val="FontStyle21"/>
          <w:sz w:val="20"/>
          <w:szCs w:val="20"/>
          <w:u w:val="single"/>
          <w:lang w:val="en-GB" w:eastAsia="en-US"/>
        </w:rPr>
      </w:pPr>
      <w:hyperlink r:id="rId33" w:history="1">
        <w:r w:rsidRPr="00277B99">
          <w:rPr>
            <w:rStyle w:val="Hipercze"/>
            <w:b/>
            <w:bCs/>
            <w:sz w:val="20"/>
            <w:szCs w:val="20"/>
            <w:lang w:val="en-GB" w:eastAsia="en-US"/>
          </w:rPr>
          <w:t>Matthews and Johnson</w:t>
        </w:r>
        <w:r w:rsidR="008710CE" w:rsidRPr="00277B99">
          <w:rPr>
            <w:rStyle w:val="Hipercze"/>
            <w:b/>
            <w:bCs/>
            <w:sz w:val="20"/>
            <w:szCs w:val="20"/>
            <w:lang w:val="en-GB" w:eastAsia="en-US"/>
          </w:rPr>
          <w:t xml:space="preserve"> przeciwko</w:t>
        </w:r>
        <w:r w:rsidRPr="00277B99">
          <w:rPr>
            <w:rStyle w:val="Hipercze"/>
            <w:b/>
            <w:bCs/>
            <w:sz w:val="20"/>
            <w:szCs w:val="20"/>
            <w:lang w:val="en-GB" w:eastAsia="en-US"/>
          </w:rPr>
          <w:t xml:space="preserve"> Rumunii I Lazăr przeciwko Rumunii</w:t>
        </w:r>
      </w:hyperlink>
      <w:r w:rsidR="008710CE" w:rsidRPr="000343C3">
        <w:rPr>
          <w:b/>
          <w:bCs/>
          <w:sz w:val="20"/>
          <w:szCs w:val="20"/>
          <w:lang w:val="en-GB" w:eastAsia="en-US"/>
        </w:rPr>
        <w:t xml:space="preserve"> </w:t>
      </w:r>
    </w:p>
    <w:p w14:paraId="766B6F31" w14:textId="510AB4F6" w:rsidR="008710CE" w:rsidRPr="0091329A" w:rsidRDefault="00277B99" w:rsidP="008710CE">
      <w:pPr>
        <w:pStyle w:val="Style8"/>
        <w:widowControl/>
        <w:spacing w:before="10" w:line="240" w:lineRule="exact"/>
        <w:ind w:left="680"/>
        <w:jc w:val="both"/>
        <w:rPr>
          <w:rStyle w:val="FontStyle17"/>
        </w:rPr>
      </w:pPr>
      <w:r>
        <w:rPr>
          <w:rStyle w:val="FontStyle17"/>
          <w:rFonts w:eastAsia="Arial"/>
          <w:color w:val="A6A6A6"/>
        </w:rPr>
        <w:t>9 kwietnia 2024</w:t>
      </w:r>
      <w:r w:rsidR="008710CE" w:rsidRPr="0091329A">
        <w:rPr>
          <w:rStyle w:val="FontStyle17"/>
          <w:rFonts w:eastAsia="Arial"/>
        </w:rPr>
        <w:t xml:space="preserve"> </w:t>
      </w:r>
      <w:r w:rsidR="008710CE" w:rsidRPr="00B82F4B">
        <w:rPr>
          <w:rStyle w:val="FontStyle17"/>
          <w:rFonts w:eastAsia="Arial"/>
          <w:color w:val="A6A6A6"/>
        </w:rPr>
        <w:t>(</w:t>
      </w:r>
      <w:r w:rsidR="008710CE">
        <w:rPr>
          <w:rStyle w:val="FontStyle17"/>
          <w:rFonts w:eastAsia="Arial"/>
          <w:color w:val="A6A6A6"/>
        </w:rPr>
        <w:t>wyrok</w:t>
      </w:r>
      <w:r>
        <w:rPr>
          <w:rStyle w:val="FontStyle17"/>
          <w:rFonts w:eastAsia="Arial"/>
          <w:color w:val="A6A6A6"/>
        </w:rPr>
        <w:t>i</w:t>
      </w:r>
      <w:r w:rsidR="008710CE" w:rsidRPr="00B82F4B">
        <w:rPr>
          <w:rStyle w:val="FontStyle17"/>
          <w:rFonts w:eastAsia="Arial"/>
          <w:color w:val="A6A6A6"/>
        </w:rPr>
        <w:t>)</w:t>
      </w:r>
      <w:r>
        <w:rPr>
          <w:rStyle w:val="Odwoanieprzypisudolnego"/>
          <w:rFonts w:eastAsia="Arial" w:cs="Verdana"/>
          <w:color w:val="A6A6A6"/>
          <w:sz w:val="18"/>
          <w:szCs w:val="18"/>
        </w:rPr>
        <w:footnoteReference w:id="5"/>
      </w:r>
    </w:p>
    <w:p w14:paraId="1619B631" w14:textId="77777777" w:rsidR="00277B99" w:rsidRPr="00277B99" w:rsidRDefault="00277B99" w:rsidP="00277B99">
      <w:pPr>
        <w:pStyle w:val="Style2"/>
        <w:widowControl/>
        <w:spacing w:line="276" w:lineRule="auto"/>
        <w:ind w:left="680" w:right="567"/>
        <w:jc w:val="both"/>
        <w:rPr>
          <w:rStyle w:val="FontStyle22"/>
          <w:sz w:val="20"/>
          <w:szCs w:val="20"/>
          <w:lang w:eastAsia="en-US"/>
        </w:rPr>
      </w:pPr>
      <w:r w:rsidRPr="00277B99">
        <w:rPr>
          <w:rStyle w:val="FontStyle22"/>
          <w:sz w:val="20"/>
          <w:szCs w:val="20"/>
          <w:lang w:eastAsia="en-US"/>
        </w:rPr>
        <w:t>Sprawy dotyczyły zatrzymania skarżących i nakazania przez rumuńskie sądy ich ekstradycji do Stanów Zjednoczonych w marcu 2021 roku. Wszyscy trzej skarżący byli poszukiwani m.in. za wymuszenia rozbójnicze, przestępstwa narkotykowe i pranie brudnych pieniędzy. Skarżący twierdzili w szczególności, że ich ekstradycja do Stanów Zjednoczonych groziła im karą dożywotniego pozbawienia wolności bez możliwości zwolnienia warunkowego.</w:t>
      </w:r>
    </w:p>
    <w:p w14:paraId="6F9017AB" w14:textId="292717CD" w:rsidR="00E450F1" w:rsidRDefault="00277B99" w:rsidP="00E450F1">
      <w:pPr>
        <w:pStyle w:val="Style2"/>
        <w:widowControl/>
        <w:pBdr>
          <w:bottom w:val="single" w:sz="12" w:space="22" w:color="auto"/>
        </w:pBdr>
        <w:spacing w:line="276" w:lineRule="auto"/>
        <w:ind w:left="680" w:right="567"/>
        <w:jc w:val="both"/>
        <w:rPr>
          <w:rStyle w:val="FontStyle22"/>
          <w:color w:val="2E74B5" w:themeColor="accent5" w:themeShade="BF"/>
          <w:sz w:val="20"/>
          <w:szCs w:val="20"/>
          <w:lang w:eastAsia="en-US"/>
        </w:rPr>
      </w:pPr>
      <w:r w:rsidRPr="00277B99">
        <w:rPr>
          <w:rStyle w:val="FontStyle22"/>
          <w:color w:val="2E74B5" w:themeColor="accent5" w:themeShade="BF"/>
          <w:sz w:val="20"/>
          <w:szCs w:val="20"/>
          <w:lang w:eastAsia="en-US"/>
        </w:rPr>
        <w:t xml:space="preserve">Trybunał uznał za </w:t>
      </w:r>
      <w:r w:rsidRPr="00277B99">
        <w:rPr>
          <w:rStyle w:val="FontStyle22"/>
          <w:b/>
          <w:bCs/>
          <w:color w:val="2E74B5" w:themeColor="accent5" w:themeShade="BF"/>
          <w:sz w:val="20"/>
          <w:szCs w:val="20"/>
          <w:lang w:eastAsia="en-US"/>
        </w:rPr>
        <w:t>niedopuszczalną</w:t>
      </w:r>
      <w:r w:rsidRPr="00277B99">
        <w:rPr>
          <w:rStyle w:val="FontStyle22"/>
          <w:color w:val="2E74B5" w:themeColor="accent5" w:themeShade="BF"/>
          <w:sz w:val="20"/>
          <w:szCs w:val="20"/>
          <w:lang w:eastAsia="en-US"/>
        </w:rPr>
        <w:t xml:space="preserve">, jako </w:t>
      </w:r>
      <w:r>
        <w:rPr>
          <w:rStyle w:val="FontStyle22"/>
          <w:color w:val="2E74B5" w:themeColor="accent5" w:themeShade="BF"/>
          <w:sz w:val="20"/>
          <w:szCs w:val="20"/>
          <w:lang w:eastAsia="en-US"/>
        </w:rPr>
        <w:t>w sposób oczywisty nieuzasadnioną</w:t>
      </w:r>
      <w:r w:rsidRPr="00277B99">
        <w:rPr>
          <w:rStyle w:val="FontStyle22"/>
          <w:color w:val="2E74B5" w:themeColor="accent5" w:themeShade="BF"/>
          <w:sz w:val="20"/>
          <w:szCs w:val="20"/>
          <w:lang w:eastAsia="en-US"/>
        </w:rPr>
        <w:t xml:space="preserve">, skargę skarżących na podstawie </w:t>
      </w:r>
      <w:r w:rsidRPr="00277B99">
        <w:rPr>
          <w:rStyle w:val="FontStyle22"/>
          <w:b/>
          <w:bCs/>
          <w:color w:val="2E74B5" w:themeColor="accent5" w:themeShade="BF"/>
          <w:sz w:val="20"/>
          <w:szCs w:val="20"/>
          <w:lang w:eastAsia="en-US"/>
        </w:rPr>
        <w:t>art. 3</w:t>
      </w:r>
      <w:r w:rsidRPr="00277B99">
        <w:rPr>
          <w:rStyle w:val="FontStyle22"/>
          <w:color w:val="2E74B5" w:themeColor="accent5" w:themeShade="BF"/>
          <w:sz w:val="20"/>
          <w:szCs w:val="20"/>
          <w:lang w:eastAsia="en-US"/>
        </w:rPr>
        <w:t xml:space="preserve"> Konwencji. Stwierdził, że skarżący nie wykazali, że w przypadku ekstradycji do USA grozi im kara dożywotniego pozbawienia wolności bez możliwości warunkowego zwolnienia, zwracając uwagę na praktykę wydawania wyroków w podobnych sprawach przed sądami w USA. Trybunał uznał również, że w przedmiotowych sprawach nie doszło do naruszenia </w:t>
      </w:r>
      <w:r>
        <w:rPr>
          <w:rStyle w:val="FontStyle22"/>
          <w:b/>
          <w:bCs/>
          <w:color w:val="2E74B5" w:themeColor="accent5" w:themeShade="BF"/>
          <w:sz w:val="20"/>
          <w:szCs w:val="20"/>
          <w:lang w:eastAsia="en-US"/>
        </w:rPr>
        <w:t>art.</w:t>
      </w:r>
      <w:r w:rsidRPr="00277B99">
        <w:rPr>
          <w:rStyle w:val="FontStyle22"/>
          <w:b/>
          <w:bCs/>
          <w:color w:val="2E74B5" w:themeColor="accent5" w:themeShade="BF"/>
          <w:sz w:val="20"/>
          <w:szCs w:val="20"/>
          <w:lang w:eastAsia="en-US"/>
        </w:rPr>
        <w:t xml:space="preserve"> 5 </w:t>
      </w:r>
      <w:r w:rsidR="00C23808">
        <w:rPr>
          <w:rStyle w:val="FontStyle22"/>
          <w:b/>
          <w:bCs/>
          <w:color w:val="2E74B5" w:themeColor="accent5" w:themeShade="BF"/>
          <w:sz w:val="20"/>
          <w:szCs w:val="20"/>
          <w:lang w:eastAsia="en-US"/>
        </w:rPr>
        <w:t>ust.</w:t>
      </w:r>
      <w:r w:rsidRPr="00277B99">
        <w:rPr>
          <w:rStyle w:val="FontStyle22"/>
          <w:b/>
          <w:bCs/>
          <w:color w:val="2E74B5" w:themeColor="accent5" w:themeShade="BF"/>
          <w:sz w:val="20"/>
          <w:szCs w:val="20"/>
          <w:lang w:eastAsia="en-US"/>
        </w:rPr>
        <w:t xml:space="preserve"> 1 (f)</w:t>
      </w:r>
      <w:r w:rsidRPr="00277B99">
        <w:rPr>
          <w:rStyle w:val="FontStyle22"/>
          <w:color w:val="2E74B5" w:themeColor="accent5" w:themeShade="BF"/>
          <w:sz w:val="20"/>
          <w:szCs w:val="20"/>
          <w:lang w:eastAsia="en-US"/>
        </w:rPr>
        <w:t xml:space="preserve"> (prawo do wolności i bezpieczeństwa osobistego) Konwencji.</w:t>
      </w:r>
      <w:bookmarkEnd w:id="5"/>
    </w:p>
    <w:p w14:paraId="17DAFFE4" w14:textId="77777777" w:rsidR="00E450F1" w:rsidRPr="00E450F1" w:rsidRDefault="00E450F1" w:rsidP="00E450F1">
      <w:pPr>
        <w:pStyle w:val="Style2"/>
        <w:widowControl/>
        <w:pBdr>
          <w:bottom w:val="single" w:sz="12" w:space="22" w:color="auto"/>
        </w:pBdr>
        <w:spacing w:line="276" w:lineRule="auto"/>
        <w:ind w:left="680" w:right="567"/>
        <w:jc w:val="both"/>
        <w:rPr>
          <w:rFonts w:cs="Verdana"/>
          <w:color w:val="767171" w:themeColor="background2" w:themeShade="80"/>
          <w:sz w:val="20"/>
          <w:szCs w:val="20"/>
          <w:lang w:eastAsia="en-US"/>
        </w:rPr>
      </w:pPr>
    </w:p>
    <w:p w14:paraId="1B8A5087" w14:textId="77777777" w:rsidR="00E450F1" w:rsidRDefault="00E450F1" w:rsidP="00E450F1">
      <w:pPr>
        <w:spacing w:before="99" w:line="243" w:lineRule="exact"/>
        <w:ind w:left="3974" w:right="3938"/>
        <w:rPr>
          <w:b/>
          <w:color w:val="767171" w:themeColor="background2" w:themeShade="80"/>
          <w:sz w:val="20"/>
        </w:rPr>
      </w:pPr>
    </w:p>
    <w:p w14:paraId="0039701D" w14:textId="479789B2" w:rsidR="00D75E14" w:rsidRPr="00E450F1" w:rsidRDefault="00D75E14" w:rsidP="00E450F1">
      <w:pPr>
        <w:spacing w:before="99" w:line="243" w:lineRule="exact"/>
        <w:ind w:left="3974" w:right="3938"/>
        <w:jc w:val="center"/>
        <w:rPr>
          <w:b/>
          <w:color w:val="767171" w:themeColor="background2" w:themeShade="80"/>
          <w:sz w:val="20"/>
        </w:rPr>
      </w:pPr>
      <w:r w:rsidRPr="00E450F1">
        <w:rPr>
          <w:b/>
          <w:color w:val="767171" w:themeColor="background2" w:themeShade="80"/>
          <w:sz w:val="20"/>
        </w:rPr>
        <w:t>Kontakt z mediami:</w:t>
      </w:r>
    </w:p>
    <w:p w14:paraId="368EB44B" w14:textId="77777777" w:rsidR="00D75E14" w:rsidRPr="00E450F1" w:rsidRDefault="00D75E14" w:rsidP="00E450F1">
      <w:pPr>
        <w:pStyle w:val="Tekstpodstawowy"/>
        <w:spacing w:line="243" w:lineRule="exact"/>
        <w:ind w:left="3978" w:right="3938"/>
        <w:jc w:val="center"/>
        <w:rPr>
          <w:color w:val="767171" w:themeColor="background2" w:themeShade="80"/>
        </w:rPr>
      </w:pPr>
      <w:r w:rsidRPr="00E450F1">
        <w:rPr>
          <w:color w:val="767171" w:themeColor="background2" w:themeShade="80"/>
        </w:rPr>
        <w:t>Tel.: +33 (0)3 90 21 42 08</w:t>
      </w:r>
    </w:p>
    <w:p w14:paraId="1BA77E16" w14:textId="77777777" w:rsidR="00402759" w:rsidRDefault="00402759" w:rsidP="00D75E14">
      <w:pPr>
        <w:pStyle w:val="Tekstpodstawowy"/>
        <w:spacing w:line="243" w:lineRule="exact"/>
        <w:ind w:left="3978" w:right="3938"/>
        <w:jc w:val="center"/>
      </w:pPr>
    </w:p>
    <w:p w14:paraId="039CD5E2" w14:textId="77777777" w:rsidR="00307A29" w:rsidRDefault="00307A29"/>
    <w:sectPr w:rsidR="00307A29" w:rsidSect="004141F2">
      <w:headerReference w:type="default" r:id="rId34"/>
      <w:footerReference w:type="default" r:id="rId35"/>
      <w:headerReference w:type="first" r:id="rId36"/>
      <w:footerReference w:type="first" r:id="rId37"/>
      <w:type w:val="continuous"/>
      <w:pgSz w:w="11910" w:h="16840"/>
      <w:pgMar w:top="1460" w:right="620" w:bottom="680"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4477C" w14:textId="77777777" w:rsidR="006C4F83" w:rsidRDefault="006C4F83" w:rsidP="00D75E14">
      <w:r>
        <w:separator/>
      </w:r>
    </w:p>
  </w:endnote>
  <w:endnote w:type="continuationSeparator" w:id="0">
    <w:p w14:paraId="3CF63009" w14:textId="77777777" w:rsidR="006C4F83" w:rsidRDefault="006C4F83" w:rsidP="00D7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6D1EB" w14:textId="77777777" w:rsidR="00097CC1" w:rsidRDefault="00097CC1">
    <w:pPr>
      <w:pStyle w:val="Stopka"/>
      <w:jc w:val="center"/>
    </w:pPr>
    <w:r>
      <w:fldChar w:fldCharType="begin"/>
    </w:r>
    <w:r>
      <w:instrText>PAGE   \* MERGEFORMAT</w:instrText>
    </w:r>
    <w:r>
      <w:fldChar w:fldCharType="separate"/>
    </w:r>
    <w:r w:rsidR="003A0899">
      <w:rPr>
        <w:noProof/>
      </w:rPr>
      <w:t>5</w:t>
    </w:r>
    <w:r>
      <w:fldChar w:fldCharType="end"/>
    </w:r>
  </w:p>
  <w:p w14:paraId="47601AC2" w14:textId="77777777" w:rsidR="00097CC1" w:rsidRDefault="00097CC1" w:rsidP="004141F2">
    <w:pPr>
      <w:pStyle w:val="Tekstpodstawowy"/>
      <w:spacing w:before="1080" w:line="14" w:lineRule="auto"/>
      <w:ind w:right="22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1A5F" w14:textId="5AE74BB8" w:rsidR="00097CC1" w:rsidRDefault="005301AA" w:rsidP="004141F2">
    <w:pPr>
      <w:pStyle w:val="Stopka"/>
      <w:spacing w:before="480"/>
      <w:jc w:val="center"/>
    </w:pPr>
    <w:r w:rsidRPr="003B31B2">
      <w:rPr>
        <w:noProof/>
        <w:lang w:eastAsia="pl-PL" w:bidi="ar-SA"/>
      </w:rPr>
      <w:drawing>
        <wp:inline distT="0" distB="0" distL="0" distR="0" wp14:anchorId="22CB4867" wp14:editId="3188746D">
          <wp:extent cx="723900" cy="58102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4B1EF" w14:textId="77777777" w:rsidR="006C4F83" w:rsidRDefault="006C4F83" w:rsidP="00D75E14">
      <w:r>
        <w:separator/>
      </w:r>
    </w:p>
  </w:footnote>
  <w:footnote w:type="continuationSeparator" w:id="0">
    <w:p w14:paraId="7C634175" w14:textId="77777777" w:rsidR="006C4F83" w:rsidRDefault="006C4F83" w:rsidP="00D75E14">
      <w:r>
        <w:continuationSeparator/>
      </w:r>
    </w:p>
  </w:footnote>
  <w:footnote w:id="1">
    <w:p w14:paraId="6BA558FA" w14:textId="77777777" w:rsidR="00097CC1" w:rsidRPr="00A61228" w:rsidRDefault="00097CC1" w:rsidP="00CC3767">
      <w:pPr>
        <w:pStyle w:val="Bodytext30"/>
        <w:shd w:val="clear" w:color="auto" w:fill="auto"/>
        <w:spacing w:before="0"/>
        <w:ind w:left="709" w:right="504" w:firstLine="0"/>
        <w:rPr>
          <w:rFonts w:ascii="Verdana" w:hAnsi="Verdana"/>
          <w:sz w:val="16"/>
          <w:szCs w:val="16"/>
        </w:rPr>
      </w:pPr>
      <w:r w:rsidRPr="00A61228">
        <w:rPr>
          <w:rStyle w:val="Odwoanieprzypisudolnego"/>
          <w:rFonts w:ascii="Verdana" w:hAnsi="Verdana"/>
          <w:sz w:val="16"/>
          <w:szCs w:val="16"/>
        </w:rPr>
        <w:footnoteRef/>
      </w:r>
      <w:r w:rsidRPr="00A61228">
        <w:rPr>
          <w:rFonts w:ascii="Verdana" w:hAnsi="Verdana"/>
          <w:sz w:val="16"/>
          <w:szCs w:val="16"/>
        </w:rPr>
        <w:t xml:space="preserve"> Patrz sprawozdanie ogólne dotyczące traktowania więźniów odbywających długoletnie wyroki, sporządzone przez Podkomitet nr XXV Europejskiego Komitetu ds. Problemów Związanych z Przestępczością (Rada Europy, 1977) oraz Rezolucja (76) w sprawie traktowania więźniów odbywających długoletnie wyroki, przyjęta przez Komitet Ministrów Rady Europy w ramach prac Podkomitetu.</w:t>
      </w:r>
    </w:p>
    <w:p w14:paraId="41536C8D" w14:textId="77777777" w:rsidR="00097CC1" w:rsidRPr="00A61228" w:rsidRDefault="00097CC1" w:rsidP="00CC3767">
      <w:pPr>
        <w:pStyle w:val="Tekstprzypisudolnego"/>
        <w:ind w:left="709" w:right="504"/>
        <w:rPr>
          <w:sz w:val="16"/>
          <w:szCs w:val="16"/>
        </w:rPr>
      </w:pPr>
    </w:p>
  </w:footnote>
  <w:footnote w:id="2">
    <w:p w14:paraId="38782F45" w14:textId="77777777" w:rsidR="00097CC1" w:rsidRPr="00A61228" w:rsidRDefault="003A0899" w:rsidP="003A0899">
      <w:pPr>
        <w:pStyle w:val="Footnote0"/>
        <w:shd w:val="clear" w:color="auto" w:fill="auto"/>
        <w:ind w:left="709" w:right="504" w:firstLine="0"/>
      </w:pPr>
      <w:r w:rsidRPr="003A0899">
        <w:rPr>
          <w:rFonts w:ascii="Verdana" w:hAnsi="Verdana"/>
          <w:b w:val="0"/>
          <w:bCs w:val="0"/>
          <w:vertAlign w:val="superscript"/>
        </w:rPr>
        <w:t>2</w:t>
      </w:r>
      <w:r>
        <w:rPr>
          <w:rFonts w:ascii="Verdana" w:hAnsi="Verdana"/>
          <w:b w:val="0"/>
          <w:bCs w:val="0"/>
        </w:rPr>
        <w:t xml:space="preserve"> </w:t>
      </w:r>
      <w:r w:rsidR="00097CC1" w:rsidRPr="00A61228">
        <w:rPr>
          <w:rFonts w:ascii="Verdana" w:hAnsi="Verdana"/>
          <w:b w:val="0"/>
          <w:bCs w:val="0"/>
        </w:rPr>
        <w:t xml:space="preserve">Badanie skargi szóstego </w:t>
      </w:r>
      <w:r>
        <w:rPr>
          <w:rFonts w:ascii="Verdana" w:hAnsi="Verdana"/>
          <w:b w:val="0"/>
          <w:bCs w:val="0"/>
        </w:rPr>
        <w:t>skarżącego</w:t>
      </w:r>
      <w:r w:rsidR="00097CC1" w:rsidRPr="00A61228">
        <w:rPr>
          <w:rFonts w:ascii="Verdana" w:hAnsi="Verdana"/>
          <w:b w:val="0"/>
          <w:bCs w:val="0"/>
        </w:rPr>
        <w:t xml:space="preserve"> zostało odroczone i Trybunał postanowił rozpoznać ją pod nowym numerem (skarga nr 17299/12).</w:t>
      </w:r>
    </w:p>
  </w:footnote>
  <w:footnote w:id="3">
    <w:p w14:paraId="75BA3FEE" w14:textId="77777777" w:rsidR="00097CC1" w:rsidRPr="00A61228" w:rsidRDefault="00097CC1" w:rsidP="003A0899">
      <w:pPr>
        <w:pStyle w:val="Footnote0"/>
        <w:shd w:val="clear" w:color="auto" w:fill="auto"/>
        <w:tabs>
          <w:tab w:val="left" w:pos="240"/>
        </w:tabs>
        <w:spacing w:line="192" w:lineRule="exact"/>
        <w:ind w:left="709" w:right="504" w:firstLine="0"/>
      </w:pPr>
      <w:r w:rsidRPr="00A61228">
        <w:rPr>
          <w:rStyle w:val="Odwoanieprzypisudolnego"/>
          <w:rFonts w:ascii="Verdana" w:hAnsi="Verdana"/>
        </w:rPr>
        <w:footnoteRef/>
      </w:r>
      <w:r w:rsidRPr="00A61228">
        <w:rPr>
          <w:rFonts w:ascii="Verdana" w:hAnsi="Verdana"/>
        </w:rPr>
        <w:t xml:space="preserve"> </w:t>
      </w:r>
      <w:r w:rsidRPr="00A61228">
        <w:rPr>
          <w:rStyle w:val="FontStyle16"/>
          <w:b w:val="0"/>
          <w:bCs w:val="0"/>
        </w:rPr>
        <w:t>Śr</w:t>
      </w:r>
      <w:r w:rsidRPr="00A61228">
        <w:rPr>
          <w:rFonts w:ascii="Verdana" w:hAnsi="Verdana"/>
          <w:b w:val="0"/>
        </w:rPr>
        <w:t xml:space="preserve">odki tymczasowe są środkami podejmowanymi w ramach procedury toczącej się przed Trybunałem, które są wiążące dla danego Państwa. Nie przesądzają one o dalszych decyzjach Trybunału dotyczących dopuszczalności lub meritum przedmiotowej sprawy. Jeśli Trybunał dopuści wniosek o środek tymczasowy, wydalenie skarżącego zostaje wstrzymane na czas badania skargi przez Trybunał (jednakże Trybunał śledzi sytuację skarżącego i może znieść środek tymczasowy podczas rozpatrywania sprawy). Zobacz również zestawienie tematyczne dotyczące </w:t>
      </w:r>
      <w:r w:rsidRPr="00A61228">
        <w:rPr>
          <w:rFonts w:ascii="Verdana" w:hAnsi="Verdana"/>
          <w:b w:val="0"/>
          <w:bCs w:val="0"/>
        </w:rPr>
        <w:t>"Środków tymczasowych".</w:t>
      </w:r>
    </w:p>
  </w:footnote>
  <w:footnote w:id="4">
    <w:p w14:paraId="053393D0" w14:textId="77777777" w:rsidR="004F0D86" w:rsidRPr="00A61228" w:rsidRDefault="004F0D86" w:rsidP="003A0899">
      <w:pPr>
        <w:pStyle w:val="Footnote0"/>
        <w:shd w:val="clear" w:color="auto" w:fill="auto"/>
        <w:tabs>
          <w:tab w:val="left" w:pos="235"/>
        </w:tabs>
        <w:spacing w:line="192" w:lineRule="exact"/>
        <w:ind w:left="709" w:right="504" w:firstLine="0"/>
      </w:pPr>
      <w:r w:rsidRPr="00A61228">
        <w:rPr>
          <w:rStyle w:val="Odwoanieprzypisudolnego"/>
          <w:rFonts w:ascii="Verdana" w:hAnsi="Verdana"/>
        </w:rPr>
        <w:footnoteRef/>
      </w:r>
      <w:r w:rsidRPr="00A61228">
        <w:rPr>
          <w:rFonts w:ascii="Verdana" w:hAnsi="Verdana"/>
        </w:rPr>
        <w:t xml:space="preserve"> </w:t>
      </w:r>
      <w:r w:rsidR="00A61228" w:rsidRPr="00A61228">
        <w:rPr>
          <w:rFonts w:ascii="Verdana" w:hAnsi="Verdana"/>
          <w:b w:val="0"/>
        </w:rPr>
        <w:t>„</w:t>
      </w:r>
      <w:r w:rsidR="00A375B9" w:rsidRPr="00A61228">
        <w:rPr>
          <w:rFonts w:ascii="Verdana" w:hAnsi="Verdana"/>
          <w:b w:val="0"/>
        </w:rPr>
        <w:t>Uznaniowa" w rozumieniu, że sędzia może orzec karę mniej dotkliwą poprzez wymierzenie kary pozbawienia wolności na określoną liczbę lat.</w:t>
      </w:r>
    </w:p>
  </w:footnote>
  <w:footnote w:id="5">
    <w:p w14:paraId="22CD237C" w14:textId="6C575E5C" w:rsidR="00277B99" w:rsidRDefault="00277B99">
      <w:pPr>
        <w:pStyle w:val="Tekstprzypisudolnego"/>
      </w:pPr>
      <w:r w:rsidRPr="00AD77E3">
        <w:rPr>
          <w:rStyle w:val="Odwoanieprzypisudolnego"/>
          <w:sz w:val="16"/>
          <w:szCs w:val="16"/>
        </w:rPr>
        <w:footnoteRef/>
      </w:r>
      <w:r w:rsidRPr="00AD77E3">
        <w:rPr>
          <w:sz w:val="16"/>
          <w:szCs w:val="16"/>
        </w:rPr>
        <w:t xml:space="preserve"> </w:t>
      </w:r>
      <w:r w:rsidR="00AD77E3" w:rsidRPr="00AD77E3">
        <w:rPr>
          <w:sz w:val="16"/>
          <w:szCs w:val="16"/>
        </w:rPr>
        <w:t xml:space="preserve">Wyroki te staną się ostateczne w okolicznościach określonych w art. 44 § 2 (wyroki ostateczne) </w:t>
      </w:r>
      <w:hyperlink r:id="rId1" w:history="1">
        <w:r w:rsidR="00AD77E3" w:rsidRPr="00AD77E3">
          <w:rPr>
            <w:rStyle w:val="Hipercze"/>
            <w:sz w:val="16"/>
            <w:szCs w:val="16"/>
          </w:rPr>
          <w:t>Europejskiej Konwencji Praw Człowieka</w:t>
        </w:r>
      </w:hyperlink>
      <w:r w:rsidR="00AD77E3" w:rsidRPr="00AD77E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6807A" w14:textId="77777777" w:rsidR="00097CC1" w:rsidRDefault="00097CC1" w:rsidP="004141F2">
    <w:pPr>
      <w:pStyle w:val="Nagwek2"/>
      <w:ind w:left="0"/>
      <w:rPr>
        <w:b w:val="0"/>
        <w:bCs w:val="0"/>
        <w:u w:val="none"/>
      </w:rPr>
    </w:pPr>
  </w:p>
  <w:p w14:paraId="5EDB7A12" w14:textId="77777777" w:rsidR="00097CC1" w:rsidRPr="00AD78C2" w:rsidRDefault="00097CC1" w:rsidP="004141F2">
    <w:pPr>
      <w:pStyle w:val="Nagwek2"/>
      <w:ind w:left="0"/>
      <w:rPr>
        <w:b w:val="0"/>
        <w:bCs w:val="0"/>
        <w:u w:val="none"/>
      </w:rPr>
    </w:pPr>
    <w:r w:rsidRPr="00AD78C2">
      <w:rPr>
        <w:b w:val="0"/>
        <w:bCs w:val="0"/>
        <w:u w:val="none"/>
      </w:rPr>
      <w:t>Zestawienie – Kara dożywotniego pozbawienia wolności</w:t>
    </w:r>
  </w:p>
  <w:p w14:paraId="24E6F5C2" w14:textId="247CAC53" w:rsidR="00097CC1" w:rsidRDefault="005301AA">
    <w:pPr>
      <w:pStyle w:val="Tekstpodstawowy"/>
      <w:spacing w:line="14" w:lineRule="auto"/>
      <w:jc w:val="left"/>
    </w:pPr>
    <w:r>
      <w:rPr>
        <w:noProof/>
      </w:rPr>
      <w:drawing>
        <wp:anchor distT="0" distB="0" distL="0" distR="0" simplePos="0" relativeHeight="251656704" behindDoc="1" locked="0" layoutInCell="1" allowOverlap="1" wp14:anchorId="4B970D8A" wp14:editId="0313AA66">
          <wp:simplePos x="0" y="0"/>
          <wp:positionH relativeFrom="page">
            <wp:posOffset>5683885</wp:posOffset>
          </wp:positionH>
          <wp:positionV relativeFrom="page">
            <wp:posOffset>464185</wp:posOffset>
          </wp:positionV>
          <wp:extent cx="1410970" cy="3683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7728" behindDoc="1" locked="0" layoutInCell="1" allowOverlap="1" wp14:anchorId="7CEF355B" wp14:editId="0D26CDB5">
              <wp:simplePos x="0" y="0"/>
              <wp:positionH relativeFrom="page">
                <wp:posOffset>465455</wp:posOffset>
              </wp:positionH>
              <wp:positionV relativeFrom="page">
                <wp:posOffset>934719</wp:posOffset>
              </wp:positionV>
              <wp:extent cx="66294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AA5AA1"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" strokecolor="gray">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9B9E" w14:textId="48525C1C" w:rsidR="00097CC1" w:rsidRDefault="005301AA">
    <w:pPr>
      <w:pStyle w:val="Nagwek"/>
    </w:pPr>
    <w:r>
      <w:rPr>
        <w:noProof/>
      </w:rPr>
      <w:drawing>
        <wp:anchor distT="0" distB="0" distL="114300" distR="114300" simplePos="0" relativeHeight="251658752" behindDoc="1" locked="0" layoutInCell="1" allowOverlap="1" wp14:anchorId="7FDED62C" wp14:editId="651095DE">
          <wp:simplePos x="0" y="0"/>
          <wp:positionH relativeFrom="column">
            <wp:posOffset>5051425</wp:posOffset>
          </wp:positionH>
          <wp:positionV relativeFrom="paragraph">
            <wp:posOffset>2540</wp:posOffset>
          </wp:positionV>
          <wp:extent cx="1724025" cy="367030"/>
          <wp:effectExtent l="0" t="0" r="0" b="0"/>
          <wp:wrapThrough wrapText="bothSides">
            <wp:wrapPolygon edited="0">
              <wp:start x="10740" y="0"/>
              <wp:lineTo x="3103" y="10090"/>
              <wp:lineTo x="2148" y="14574"/>
              <wp:lineTo x="2864" y="20180"/>
              <wp:lineTo x="3819" y="20180"/>
              <wp:lineTo x="21481" y="19059"/>
              <wp:lineTo x="21481" y="0"/>
              <wp:lineTo x="10740" y="0"/>
            </wp:wrapPolygon>
          </wp:wrapThrough>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67030"/>
                  </a:xfrm>
                  <a:prstGeom prst="rect">
                    <a:avLst/>
                  </a:prstGeom>
                  <a:noFill/>
                  <a:ln>
                    <a:noFill/>
                  </a:ln>
                </pic:spPr>
              </pic:pic>
            </a:graphicData>
          </a:graphic>
          <wp14:sizeRelH relativeFrom="margin">
            <wp14:pctWidth>0</wp14:pctWidth>
          </wp14:sizeRelH>
          <wp14:sizeRelV relativeFrom="page">
            <wp14:pctHeight>0</wp14:pctHeight>
          </wp14:sizeRelV>
        </wp:anchor>
      </w:drawing>
    </w:r>
    <w:r w:rsidR="00097CC1">
      <w:tab/>
    </w:r>
    <w:r w:rsidR="00097C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00722"/>
    <w:multiLevelType w:val="multilevel"/>
    <w:tmpl w:val="8398D4CE"/>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629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D4"/>
    <w:rsid w:val="0002189F"/>
    <w:rsid w:val="00023EED"/>
    <w:rsid w:val="000343C3"/>
    <w:rsid w:val="00082957"/>
    <w:rsid w:val="00091118"/>
    <w:rsid w:val="00097986"/>
    <w:rsid w:val="00097CC1"/>
    <w:rsid w:val="000A5FD1"/>
    <w:rsid w:val="000B0737"/>
    <w:rsid w:val="000C4332"/>
    <w:rsid w:val="000F1965"/>
    <w:rsid w:val="001057D7"/>
    <w:rsid w:val="00112698"/>
    <w:rsid w:val="00115B1D"/>
    <w:rsid w:val="001161E3"/>
    <w:rsid w:val="00120103"/>
    <w:rsid w:val="001345B7"/>
    <w:rsid w:val="00146E02"/>
    <w:rsid w:val="00172CC4"/>
    <w:rsid w:val="0019578A"/>
    <w:rsid w:val="001C2B3B"/>
    <w:rsid w:val="001C5FD9"/>
    <w:rsid w:val="001D6636"/>
    <w:rsid w:val="0020403D"/>
    <w:rsid w:val="002473A1"/>
    <w:rsid w:val="002524B7"/>
    <w:rsid w:val="00277B99"/>
    <w:rsid w:val="00280003"/>
    <w:rsid w:val="0028399D"/>
    <w:rsid w:val="00285F19"/>
    <w:rsid w:val="002862B1"/>
    <w:rsid w:val="002B5552"/>
    <w:rsid w:val="002B6802"/>
    <w:rsid w:val="002B68CF"/>
    <w:rsid w:val="002C7EA0"/>
    <w:rsid w:val="00307A29"/>
    <w:rsid w:val="003173BB"/>
    <w:rsid w:val="0032651E"/>
    <w:rsid w:val="003914FC"/>
    <w:rsid w:val="00393371"/>
    <w:rsid w:val="003A0899"/>
    <w:rsid w:val="003A79FE"/>
    <w:rsid w:val="003B0574"/>
    <w:rsid w:val="003B7B96"/>
    <w:rsid w:val="00402759"/>
    <w:rsid w:val="00402DAA"/>
    <w:rsid w:val="00404C63"/>
    <w:rsid w:val="004141F2"/>
    <w:rsid w:val="0041716D"/>
    <w:rsid w:val="00420C75"/>
    <w:rsid w:val="00421C24"/>
    <w:rsid w:val="00433C78"/>
    <w:rsid w:val="00452536"/>
    <w:rsid w:val="00473E25"/>
    <w:rsid w:val="004800DD"/>
    <w:rsid w:val="0048747C"/>
    <w:rsid w:val="00494AA6"/>
    <w:rsid w:val="004C5ABD"/>
    <w:rsid w:val="004C5D7C"/>
    <w:rsid w:val="004F0D86"/>
    <w:rsid w:val="004F65DD"/>
    <w:rsid w:val="00507D52"/>
    <w:rsid w:val="005301AA"/>
    <w:rsid w:val="00533274"/>
    <w:rsid w:val="005501DD"/>
    <w:rsid w:val="005679F5"/>
    <w:rsid w:val="005758D4"/>
    <w:rsid w:val="00590829"/>
    <w:rsid w:val="005B161F"/>
    <w:rsid w:val="005B4C4F"/>
    <w:rsid w:val="005B728D"/>
    <w:rsid w:val="005E3A5E"/>
    <w:rsid w:val="005E7E1F"/>
    <w:rsid w:val="005F051C"/>
    <w:rsid w:val="005F5C34"/>
    <w:rsid w:val="00614CA4"/>
    <w:rsid w:val="00663EA4"/>
    <w:rsid w:val="00664852"/>
    <w:rsid w:val="006919CC"/>
    <w:rsid w:val="006A39A0"/>
    <w:rsid w:val="006C4F83"/>
    <w:rsid w:val="006D7C00"/>
    <w:rsid w:val="007015DB"/>
    <w:rsid w:val="00707035"/>
    <w:rsid w:val="007312D7"/>
    <w:rsid w:val="00742BCB"/>
    <w:rsid w:val="00742CA5"/>
    <w:rsid w:val="007A12BC"/>
    <w:rsid w:val="007C6CDB"/>
    <w:rsid w:val="007D109A"/>
    <w:rsid w:val="00801588"/>
    <w:rsid w:val="008329C4"/>
    <w:rsid w:val="00865D06"/>
    <w:rsid w:val="008710CE"/>
    <w:rsid w:val="00886233"/>
    <w:rsid w:val="00890ABE"/>
    <w:rsid w:val="008A25D6"/>
    <w:rsid w:val="008A4486"/>
    <w:rsid w:val="008C1685"/>
    <w:rsid w:val="008C789E"/>
    <w:rsid w:val="008D5C4F"/>
    <w:rsid w:val="008E2C77"/>
    <w:rsid w:val="008E49CB"/>
    <w:rsid w:val="0091329A"/>
    <w:rsid w:val="0092658D"/>
    <w:rsid w:val="009662C1"/>
    <w:rsid w:val="00966405"/>
    <w:rsid w:val="00997CD7"/>
    <w:rsid w:val="009A0C26"/>
    <w:rsid w:val="009C7360"/>
    <w:rsid w:val="009D0390"/>
    <w:rsid w:val="009F660D"/>
    <w:rsid w:val="00A118DB"/>
    <w:rsid w:val="00A375B9"/>
    <w:rsid w:val="00A40C5B"/>
    <w:rsid w:val="00A41053"/>
    <w:rsid w:val="00A5348B"/>
    <w:rsid w:val="00A6090A"/>
    <w:rsid w:val="00A61228"/>
    <w:rsid w:val="00A61D59"/>
    <w:rsid w:val="00A7685C"/>
    <w:rsid w:val="00A80ECC"/>
    <w:rsid w:val="00A8146B"/>
    <w:rsid w:val="00A86AD9"/>
    <w:rsid w:val="00A9285D"/>
    <w:rsid w:val="00AA6DBC"/>
    <w:rsid w:val="00AB17F3"/>
    <w:rsid w:val="00AB43C4"/>
    <w:rsid w:val="00AC6235"/>
    <w:rsid w:val="00AD77E3"/>
    <w:rsid w:val="00AE5DA0"/>
    <w:rsid w:val="00AF2107"/>
    <w:rsid w:val="00AF47F4"/>
    <w:rsid w:val="00AF622D"/>
    <w:rsid w:val="00B03B06"/>
    <w:rsid w:val="00B046C7"/>
    <w:rsid w:val="00B101CB"/>
    <w:rsid w:val="00B6349F"/>
    <w:rsid w:val="00B82F4B"/>
    <w:rsid w:val="00BD1D59"/>
    <w:rsid w:val="00BD6A84"/>
    <w:rsid w:val="00BF1F48"/>
    <w:rsid w:val="00BF3A47"/>
    <w:rsid w:val="00C05222"/>
    <w:rsid w:val="00C23808"/>
    <w:rsid w:val="00C35B8F"/>
    <w:rsid w:val="00C529C5"/>
    <w:rsid w:val="00C64D54"/>
    <w:rsid w:val="00C676CC"/>
    <w:rsid w:val="00C75A2F"/>
    <w:rsid w:val="00C91123"/>
    <w:rsid w:val="00CC3767"/>
    <w:rsid w:val="00D045B8"/>
    <w:rsid w:val="00D30992"/>
    <w:rsid w:val="00D31336"/>
    <w:rsid w:val="00D52262"/>
    <w:rsid w:val="00D66CD5"/>
    <w:rsid w:val="00D7307D"/>
    <w:rsid w:val="00D75E14"/>
    <w:rsid w:val="00D76B4F"/>
    <w:rsid w:val="00D80AEC"/>
    <w:rsid w:val="00D82C88"/>
    <w:rsid w:val="00D83A5A"/>
    <w:rsid w:val="00DB7907"/>
    <w:rsid w:val="00DD237C"/>
    <w:rsid w:val="00DE1100"/>
    <w:rsid w:val="00DF364C"/>
    <w:rsid w:val="00E14AAA"/>
    <w:rsid w:val="00E42316"/>
    <w:rsid w:val="00E450F1"/>
    <w:rsid w:val="00E6561F"/>
    <w:rsid w:val="00E87ABD"/>
    <w:rsid w:val="00E9199E"/>
    <w:rsid w:val="00EB38B0"/>
    <w:rsid w:val="00EC167B"/>
    <w:rsid w:val="00EC1A2B"/>
    <w:rsid w:val="00EC5C65"/>
    <w:rsid w:val="00ED2729"/>
    <w:rsid w:val="00EE0560"/>
    <w:rsid w:val="00EF71E2"/>
    <w:rsid w:val="00F01941"/>
    <w:rsid w:val="00F25ED1"/>
    <w:rsid w:val="00F52D9E"/>
    <w:rsid w:val="00F64812"/>
    <w:rsid w:val="00F716E7"/>
    <w:rsid w:val="00FA6650"/>
    <w:rsid w:val="00FA7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23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75E14"/>
    <w:pPr>
      <w:widowControl w:val="0"/>
      <w:autoSpaceDE w:val="0"/>
      <w:autoSpaceDN w:val="0"/>
    </w:pPr>
    <w:rPr>
      <w:rFonts w:ascii="Verdana" w:eastAsia="Verdana" w:hAnsi="Verdana" w:cs="Verdana"/>
      <w:sz w:val="22"/>
      <w:szCs w:val="22"/>
      <w:lang w:eastAsia="en-US" w:bidi="en-US"/>
    </w:rPr>
  </w:style>
  <w:style w:type="paragraph" w:styleId="Nagwek2">
    <w:name w:val="heading 2"/>
    <w:basedOn w:val="Normalny"/>
    <w:link w:val="Nagwek2Znak"/>
    <w:uiPriority w:val="1"/>
    <w:qFormat/>
    <w:rsid w:val="00D75E14"/>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1"/>
    <w:rsid w:val="00D75E14"/>
    <w:rPr>
      <w:rFonts w:ascii="Verdana" w:eastAsia="Verdana" w:hAnsi="Verdana" w:cs="Verdana"/>
      <w:b/>
      <w:bCs/>
      <w:sz w:val="20"/>
      <w:szCs w:val="20"/>
      <w:u w:val="single" w:color="000000"/>
      <w:lang w:bidi="en-US"/>
    </w:rPr>
  </w:style>
  <w:style w:type="paragraph" w:styleId="Tekstpodstawowy">
    <w:name w:val="Body Text"/>
    <w:basedOn w:val="Normalny"/>
    <w:link w:val="TekstpodstawowyZnak"/>
    <w:uiPriority w:val="1"/>
    <w:qFormat/>
    <w:rsid w:val="00D75E14"/>
    <w:pPr>
      <w:jc w:val="both"/>
    </w:pPr>
    <w:rPr>
      <w:sz w:val="20"/>
      <w:szCs w:val="20"/>
    </w:rPr>
  </w:style>
  <w:style w:type="character" w:customStyle="1" w:styleId="TekstpodstawowyZnak">
    <w:name w:val="Tekst podstawowy Znak"/>
    <w:link w:val="Tekstpodstawowy"/>
    <w:uiPriority w:val="1"/>
    <w:rsid w:val="00D75E14"/>
    <w:rPr>
      <w:rFonts w:ascii="Verdana" w:eastAsia="Verdana" w:hAnsi="Verdana" w:cs="Verdana"/>
      <w:sz w:val="20"/>
      <w:szCs w:val="20"/>
      <w:lang w:bidi="en-US"/>
    </w:rPr>
  </w:style>
  <w:style w:type="paragraph" w:styleId="Tekstprzypisudolnego">
    <w:name w:val="footnote text"/>
    <w:basedOn w:val="Normalny"/>
    <w:link w:val="TekstprzypisudolnegoZnak"/>
    <w:uiPriority w:val="99"/>
    <w:unhideWhenUsed/>
    <w:rsid w:val="00D75E14"/>
    <w:rPr>
      <w:sz w:val="20"/>
      <w:szCs w:val="20"/>
    </w:rPr>
  </w:style>
  <w:style w:type="character" w:customStyle="1" w:styleId="TekstprzypisudolnegoZnak">
    <w:name w:val="Tekst przypisu dolnego Znak"/>
    <w:link w:val="Tekstprzypisudolnego"/>
    <w:uiPriority w:val="99"/>
    <w:rsid w:val="00D75E14"/>
    <w:rPr>
      <w:rFonts w:ascii="Verdana" w:eastAsia="Verdana" w:hAnsi="Verdana" w:cs="Verdana"/>
      <w:sz w:val="20"/>
      <w:szCs w:val="20"/>
      <w:lang w:bidi="en-US"/>
    </w:rPr>
  </w:style>
  <w:style w:type="character" w:styleId="Odwoanieprzypisudolnego">
    <w:name w:val="footnote reference"/>
    <w:uiPriority w:val="99"/>
    <w:semiHidden/>
    <w:unhideWhenUsed/>
    <w:rsid w:val="00D75E14"/>
    <w:rPr>
      <w:vertAlign w:val="superscript"/>
    </w:rPr>
  </w:style>
  <w:style w:type="paragraph" w:styleId="Nagwek">
    <w:name w:val="header"/>
    <w:basedOn w:val="Normalny"/>
    <w:link w:val="NagwekZnak"/>
    <w:uiPriority w:val="99"/>
    <w:unhideWhenUsed/>
    <w:rsid w:val="00D75E14"/>
    <w:pPr>
      <w:tabs>
        <w:tab w:val="center" w:pos="4536"/>
        <w:tab w:val="right" w:pos="9072"/>
      </w:tabs>
    </w:pPr>
  </w:style>
  <w:style w:type="character" w:customStyle="1" w:styleId="NagwekZnak">
    <w:name w:val="Nagłówek Znak"/>
    <w:link w:val="Nagwek"/>
    <w:uiPriority w:val="99"/>
    <w:rsid w:val="00D75E14"/>
    <w:rPr>
      <w:rFonts w:ascii="Verdana" w:eastAsia="Verdana" w:hAnsi="Verdana" w:cs="Verdana"/>
      <w:lang w:bidi="en-US"/>
    </w:rPr>
  </w:style>
  <w:style w:type="paragraph" w:styleId="Stopka">
    <w:name w:val="footer"/>
    <w:basedOn w:val="Normalny"/>
    <w:link w:val="StopkaZnak"/>
    <w:uiPriority w:val="99"/>
    <w:unhideWhenUsed/>
    <w:rsid w:val="00D75E14"/>
    <w:pPr>
      <w:tabs>
        <w:tab w:val="center" w:pos="4536"/>
        <w:tab w:val="right" w:pos="9072"/>
      </w:tabs>
    </w:pPr>
  </w:style>
  <w:style w:type="character" w:customStyle="1" w:styleId="StopkaZnak">
    <w:name w:val="Stopka Znak"/>
    <w:link w:val="Stopka"/>
    <w:uiPriority w:val="99"/>
    <w:rsid w:val="00D75E14"/>
    <w:rPr>
      <w:rFonts w:ascii="Verdana" w:eastAsia="Verdana" w:hAnsi="Verdana" w:cs="Verdana"/>
      <w:lang w:bidi="en-US"/>
    </w:rPr>
  </w:style>
  <w:style w:type="character" w:customStyle="1" w:styleId="Bodytext2">
    <w:name w:val="Body text (2)_"/>
    <w:rsid w:val="00C91123"/>
    <w:rPr>
      <w:rFonts w:ascii="Arial" w:eastAsia="Arial" w:hAnsi="Arial" w:cs="Arial"/>
      <w:b w:val="0"/>
      <w:bCs w:val="0"/>
      <w:i w:val="0"/>
      <w:iCs w:val="0"/>
      <w:smallCaps w:val="0"/>
      <w:strike w:val="0"/>
      <w:sz w:val="22"/>
      <w:szCs w:val="22"/>
      <w:u w:val="none"/>
    </w:rPr>
  </w:style>
  <w:style w:type="character" w:customStyle="1" w:styleId="Bodytext20">
    <w:name w:val="Body text (2)"/>
    <w:rsid w:val="00C91123"/>
    <w:rPr>
      <w:rFonts w:ascii="Arial" w:eastAsia="Arial" w:hAnsi="Arial" w:cs="Arial"/>
      <w:b w:val="0"/>
      <w:bCs w:val="0"/>
      <w:i w:val="0"/>
      <w:iCs w:val="0"/>
      <w:smallCaps w:val="0"/>
      <w:strike w:val="0"/>
      <w:color w:val="0071BA"/>
      <w:spacing w:val="0"/>
      <w:w w:val="100"/>
      <w:position w:val="0"/>
      <w:sz w:val="22"/>
      <w:szCs w:val="22"/>
      <w:u w:val="none"/>
      <w:lang w:val="en-US" w:eastAsia="en-US" w:bidi="en-US"/>
    </w:rPr>
  </w:style>
  <w:style w:type="character" w:customStyle="1" w:styleId="Heading3">
    <w:name w:val="Heading #3_"/>
    <w:rsid w:val="00C91123"/>
    <w:rPr>
      <w:rFonts w:ascii="Arial" w:eastAsia="Arial" w:hAnsi="Arial" w:cs="Arial"/>
      <w:b/>
      <w:bCs/>
      <w:i w:val="0"/>
      <w:iCs w:val="0"/>
      <w:smallCaps w:val="0"/>
      <w:strike w:val="0"/>
      <w:sz w:val="22"/>
      <w:szCs w:val="22"/>
      <w:u w:val="none"/>
    </w:rPr>
  </w:style>
  <w:style w:type="character" w:customStyle="1" w:styleId="Heading30">
    <w:name w:val="Heading #3"/>
    <w:rsid w:val="00C91123"/>
    <w:rPr>
      <w:rFonts w:ascii="Arial" w:eastAsia="Arial" w:hAnsi="Arial" w:cs="Arial"/>
      <w:b/>
      <w:bCs/>
      <w:i w:val="0"/>
      <w:iCs w:val="0"/>
      <w:smallCaps w:val="0"/>
      <w:strike w:val="0"/>
      <w:color w:val="0071BA"/>
      <w:spacing w:val="0"/>
      <w:w w:val="100"/>
      <w:position w:val="0"/>
      <w:sz w:val="22"/>
      <w:szCs w:val="22"/>
      <w:u w:val="single"/>
      <w:lang w:val="en-US" w:eastAsia="en-US" w:bidi="en-US"/>
    </w:rPr>
  </w:style>
  <w:style w:type="character" w:customStyle="1" w:styleId="Bodytext2Bold">
    <w:name w:val="Body text (2) + Bold"/>
    <w:rsid w:val="00C91123"/>
    <w:rPr>
      <w:rFonts w:ascii="Arial" w:eastAsia="Arial" w:hAnsi="Arial" w:cs="Arial"/>
      <w:b/>
      <w:bCs/>
      <w:i w:val="0"/>
      <w:iCs w:val="0"/>
      <w:smallCaps w:val="0"/>
      <w:strike w:val="0"/>
      <w:color w:val="0071BA"/>
      <w:spacing w:val="0"/>
      <w:w w:val="100"/>
      <w:position w:val="0"/>
      <w:sz w:val="22"/>
      <w:szCs w:val="22"/>
      <w:u w:val="none"/>
      <w:lang w:val="en-US" w:eastAsia="en-US" w:bidi="en-US"/>
    </w:rPr>
  </w:style>
  <w:style w:type="character" w:customStyle="1" w:styleId="Bodytext2Italic">
    <w:name w:val="Body text (2) + Italic"/>
    <w:rsid w:val="00C91123"/>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Bodytext2BoldItalic">
    <w:name w:val="Body text (2) + Bold;Italic"/>
    <w:rsid w:val="00C91123"/>
    <w:rPr>
      <w:rFonts w:ascii="Arial" w:eastAsia="Arial" w:hAnsi="Arial" w:cs="Arial"/>
      <w:b/>
      <w:bCs/>
      <w:i/>
      <w:iCs/>
      <w:smallCaps w:val="0"/>
      <w:strike w:val="0"/>
      <w:color w:val="0071BA"/>
      <w:spacing w:val="0"/>
      <w:w w:val="100"/>
      <w:position w:val="0"/>
      <w:sz w:val="22"/>
      <w:szCs w:val="22"/>
      <w:u w:val="single"/>
      <w:lang w:val="en-US" w:eastAsia="en-US" w:bidi="en-US"/>
    </w:rPr>
  </w:style>
  <w:style w:type="character" w:customStyle="1" w:styleId="Bodytext3">
    <w:name w:val="Body text (3)_"/>
    <w:link w:val="Bodytext30"/>
    <w:rsid w:val="00393371"/>
    <w:rPr>
      <w:rFonts w:ascii="Arial" w:eastAsia="Arial" w:hAnsi="Arial" w:cs="Arial"/>
      <w:sz w:val="19"/>
      <w:szCs w:val="19"/>
      <w:shd w:val="clear" w:color="auto" w:fill="FFFFFF"/>
    </w:rPr>
  </w:style>
  <w:style w:type="paragraph" w:customStyle="1" w:styleId="Bodytext30">
    <w:name w:val="Body text (3)"/>
    <w:basedOn w:val="Normalny"/>
    <w:link w:val="Bodytext3"/>
    <w:rsid w:val="00393371"/>
    <w:pPr>
      <w:shd w:val="clear" w:color="auto" w:fill="FFFFFF"/>
      <w:autoSpaceDE/>
      <w:autoSpaceDN/>
      <w:spacing w:before="480" w:line="210" w:lineRule="exact"/>
      <w:ind w:firstLine="39"/>
      <w:jc w:val="both"/>
    </w:pPr>
    <w:rPr>
      <w:rFonts w:ascii="Arial" w:eastAsia="Arial" w:hAnsi="Arial" w:cs="Arial"/>
      <w:sz w:val="19"/>
      <w:szCs w:val="19"/>
      <w:lang w:eastAsia="pl-PL" w:bidi="ar-SA"/>
    </w:rPr>
  </w:style>
  <w:style w:type="paragraph" w:customStyle="1" w:styleId="Style10">
    <w:name w:val="Style10"/>
    <w:basedOn w:val="Normalny"/>
    <w:uiPriority w:val="99"/>
    <w:rsid w:val="00D7307D"/>
    <w:pPr>
      <w:adjustRightInd w:val="0"/>
      <w:spacing w:line="243" w:lineRule="exact"/>
      <w:jc w:val="both"/>
    </w:pPr>
    <w:rPr>
      <w:rFonts w:eastAsia="Times New Roman" w:cs="Times New Roman"/>
      <w:sz w:val="24"/>
      <w:szCs w:val="24"/>
      <w:lang w:eastAsia="pl-PL" w:bidi="ar-SA"/>
    </w:rPr>
  </w:style>
  <w:style w:type="character" w:customStyle="1" w:styleId="FontStyle18">
    <w:name w:val="Font Style18"/>
    <w:uiPriority w:val="99"/>
    <w:rsid w:val="00D7307D"/>
    <w:rPr>
      <w:rFonts w:ascii="Verdana" w:hAnsi="Verdana" w:cs="Verdana"/>
      <w:b/>
      <w:bCs/>
      <w:i/>
      <w:iCs/>
      <w:sz w:val="18"/>
      <w:szCs w:val="18"/>
    </w:rPr>
  </w:style>
  <w:style w:type="character" w:customStyle="1" w:styleId="FontStyle19">
    <w:name w:val="Font Style19"/>
    <w:uiPriority w:val="99"/>
    <w:rsid w:val="00D7307D"/>
    <w:rPr>
      <w:rFonts w:ascii="Verdana" w:hAnsi="Verdana" w:cs="Verdana"/>
      <w:i/>
      <w:iCs/>
      <w:sz w:val="18"/>
      <w:szCs w:val="18"/>
    </w:rPr>
  </w:style>
  <w:style w:type="character" w:customStyle="1" w:styleId="FontStyle22">
    <w:name w:val="Font Style22"/>
    <w:uiPriority w:val="99"/>
    <w:rsid w:val="00D7307D"/>
    <w:rPr>
      <w:rFonts w:ascii="Verdana" w:hAnsi="Verdana" w:cs="Verdana"/>
      <w:sz w:val="18"/>
      <w:szCs w:val="18"/>
    </w:rPr>
  </w:style>
  <w:style w:type="character" w:styleId="Hipercze">
    <w:name w:val="Hyperlink"/>
    <w:uiPriority w:val="99"/>
    <w:rsid w:val="00D7307D"/>
    <w:rPr>
      <w:color w:val="0066CC"/>
      <w:u w:val="single"/>
    </w:rPr>
  </w:style>
  <w:style w:type="character" w:customStyle="1" w:styleId="Footnote">
    <w:name w:val="Footnote_"/>
    <w:link w:val="Footnote0"/>
    <w:rsid w:val="005B4C4F"/>
    <w:rPr>
      <w:rFonts w:ascii="Arial" w:eastAsia="Arial" w:hAnsi="Arial" w:cs="Arial"/>
      <w:b/>
      <w:bCs/>
      <w:sz w:val="16"/>
      <w:szCs w:val="16"/>
      <w:shd w:val="clear" w:color="auto" w:fill="FFFFFF"/>
    </w:rPr>
  </w:style>
  <w:style w:type="paragraph" w:customStyle="1" w:styleId="Footnote0">
    <w:name w:val="Footnote"/>
    <w:basedOn w:val="Normalny"/>
    <w:link w:val="Footnote"/>
    <w:rsid w:val="005B4C4F"/>
    <w:pPr>
      <w:shd w:val="clear" w:color="auto" w:fill="FFFFFF"/>
      <w:autoSpaceDE/>
      <w:autoSpaceDN/>
      <w:spacing w:line="197" w:lineRule="exact"/>
      <w:ind w:firstLine="36"/>
      <w:jc w:val="both"/>
    </w:pPr>
    <w:rPr>
      <w:rFonts w:ascii="Arial" w:eastAsia="Arial" w:hAnsi="Arial" w:cs="Arial"/>
      <w:b/>
      <w:bCs/>
      <w:sz w:val="16"/>
      <w:szCs w:val="16"/>
      <w:lang w:eastAsia="pl-PL" w:bidi="ar-SA"/>
    </w:rPr>
  </w:style>
  <w:style w:type="paragraph" w:customStyle="1" w:styleId="Style3">
    <w:name w:val="Style3"/>
    <w:basedOn w:val="Normalny"/>
    <w:uiPriority w:val="99"/>
    <w:rsid w:val="0019578A"/>
    <w:pPr>
      <w:adjustRightInd w:val="0"/>
    </w:pPr>
    <w:rPr>
      <w:rFonts w:eastAsia="Times New Roman" w:cs="Times New Roman"/>
      <w:sz w:val="24"/>
      <w:szCs w:val="24"/>
      <w:lang w:eastAsia="pl-PL" w:bidi="ar-SA"/>
    </w:rPr>
  </w:style>
  <w:style w:type="paragraph" w:customStyle="1" w:styleId="Style4">
    <w:name w:val="Style4"/>
    <w:basedOn w:val="Normalny"/>
    <w:uiPriority w:val="99"/>
    <w:rsid w:val="0019578A"/>
    <w:pPr>
      <w:adjustRightInd w:val="0"/>
      <w:spacing w:line="196" w:lineRule="exact"/>
      <w:jc w:val="both"/>
    </w:pPr>
    <w:rPr>
      <w:rFonts w:eastAsia="Times New Roman" w:cs="Times New Roman"/>
      <w:sz w:val="24"/>
      <w:szCs w:val="24"/>
      <w:lang w:eastAsia="pl-PL" w:bidi="ar-SA"/>
    </w:rPr>
  </w:style>
  <w:style w:type="paragraph" w:customStyle="1" w:styleId="Style8">
    <w:name w:val="Style8"/>
    <w:basedOn w:val="Normalny"/>
    <w:uiPriority w:val="99"/>
    <w:rsid w:val="0019578A"/>
    <w:pPr>
      <w:adjustRightInd w:val="0"/>
      <w:spacing w:line="533" w:lineRule="exact"/>
    </w:pPr>
    <w:rPr>
      <w:rFonts w:eastAsia="Times New Roman" w:cs="Times New Roman"/>
      <w:sz w:val="24"/>
      <w:szCs w:val="24"/>
      <w:lang w:eastAsia="pl-PL" w:bidi="ar-SA"/>
    </w:rPr>
  </w:style>
  <w:style w:type="character" w:customStyle="1" w:styleId="FontStyle16">
    <w:name w:val="Font Style16"/>
    <w:uiPriority w:val="99"/>
    <w:rsid w:val="0019578A"/>
    <w:rPr>
      <w:rFonts w:ascii="Verdana" w:hAnsi="Verdana" w:cs="Verdana"/>
      <w:sz w:val="16"/>
      <w:szCs w:val="16"/>
    </w:rPr>
  </w:style>
  <w:style w:type="character" w:customStyle="1" w:styleId="FontStyle17">
    <w:name w:val="Font Style17"/>
    <w:uiPriority w:val="99"/>
    <w:rsid w:val="0019578A"/>
    <w:rPr>
      <w:rFonts w:ascii="Verdana" w:hAnsi="Verdana" w:cs="Verdana"/>
      <w:sz w:val="18"/>
      <w:szCs w:val="18"/>
    </w:rPr>
  </w:style>
  <w:style w:type="character" w:customStyle="1" w:styleId="FontStyle21">
    <w:name w:val="Font Style21"/>
    <w:uiPriority w:val="99"/>
    <w:rsid w:val="0019578A"/>
    <w:rPr>
      <w:rFonts w:ascii="Verdana" w:hAnsi="Verdana" w:cs="Verdana"/>
      <w:b/>
      <w:bCs/>
      <w:sz w:val="18"/>
      <w:szCs w:val="18"/>
    </w:rPr>
  </w:style>
  <w:style w:type="paragraph" w:customStyle="1" w:styleId="Style2">
    <w:name w:val="Style2"/>
    <w:basedOn w:val="Normalny"/>
    <w:uiPriority w:val="99"/>
    <w:rsid w:val="0019578A"/>
    <w:pPr>
      <w:adjustRightInd w:val="0"/>
      <w:spacing w:line="360" w:lineRule="exact"/>
    </w:pPr>
    <w:rPr>
      <w:rFonts w:eastAsia="Times New Roman" w:cs="Times New Roman"/>
      <w:sz w:val="24"/>
      <w:szCs w:val="24"/>
      <w:lang w:eastAsia="pl-PL" w:bidi="ar-SA"/>
    </w:rPr>
  </w:style>
  <w:style w:type="character" w:customStyle="1" w:styleId="Bodytext5">
    <w:name w:val="Body text (5)"/>
    <w:rsid w:val="00BD6A84"/>
    <w:rPr>
      <w:rFonts w:ascii="Arial" w:eastAsia="Arial" w:hAnsi="Arial" w:cs="Arial"/>
      <w:b/>
      <w:bCs/>
      <w:i w:val="0"/>
      <w:iCs w:val="0"/>
      <w:smallCaps w:val="0"/>
      <w:strike w:val="0"/>
      <w:color w:val="0071BA"/>
      <w:spacing w:val="0"/>
      <w:w w:val="100"/>
      <w:position w:val="0"/>
      <w:sz w:val="22"/>
      <w:szCs w:val="22"/>
      <w:u w:val="single"/>
      <w:lang w:val="en-US" w:eastAsia="en-US" w:bidi="en-US"/>
    </w:rPr>
  </w:style>
  <w:style w:type="character" w:customStyle="1" w:styleId="Bodytext5NotBoldItalic">
    <w:name w:val="Body text (5) + Not Bold;Italic"/>
    <w:rsid w:val="00BD6A84"/>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Bodytext4">
    <w:name w:val="Body text (4)_"/>
    <w:link w:val="Bodytext40"/>
    <w:rsid w:val="00BD6A84"/>
    <w:rPr>
      <w:rFonts w:ascii="Arial" w:eastAsia="Arial" w:hAnsi="Arial" w:cs="Arial"/>
      <w:b/>
      <w:bCs/>
      <w:sz w:val="22"/>
      <w:szCs w:val="22"/>
      <w:shd w:val="clear" w:color="auto" w:fill="FFFFFF"/>
    </w:rPr>
  </w:style>
  <w:style w:type="character" w:customStyle="1" w:styleId="Bodytext50">
    <w:name w:val="Body text (5)_"/>
    <w:rsid w:val="00BD6A84"/>
    <w:rPr>
      <w:rFonts w:ascii="Arial" w:eastAsia="Arial" w:hAnsi="Arial" w:cs="Arial"/>
      <w:b/>
      <w:bCs/>
      <w:i w:val="0"/>
      <w:iCs w:val="0"/>
      <w:smallCaps w:val="0"/>
      <w:strike w:val="0"/>
      <w:sz w:val="22"/>
      <w:szCs w:val="22"/>
      <w:u w:val="none"/>
    </w:rPr>
  </w:style>
  <w:style w:type="character" w:customStyle="1" w:styleId="Bodytext6">
    <w:name w:val="Body text (6)_"/>
    <w:link w:val="Bodytext60"/>
    <w:rsid w:val="00BD6A84"/>
    <w:rPr>
      <w:rFonts w:ascii="Arial" w:eastAsia="Arial" w:hAnsi="Arial" w:cs="Arial"/>
      <w:b/>
      <w:bCs/>
      <w:sz w:val="18"/>
      <w:szCs w:val="18"/>
      <w:shd w:val="clear" w:color="auto" w:fill="FFFFFF"/>
    </w:rPr>
  </w:style>
  <w:style w:type="paragraph" w:customStyle="1" w:styleId="Bodytext40">
    <w:name w:val="Body text (4)"/>
    <w:basedOn w:val="Normalny"/>
    <w:link w:val="Bodytext4"/>
    <w:rsid w:val="00BD6A84"/>
    <w:pPr>
      <w:shd w:val="clear" w:color="auto" w:fill="FFFFFF"/>
      <w:autoSpaceDE/>
      <w:autoSpaceDN/>
      <w:spacing w:after="120" w:line="0" w:lineRule="atLeast"/>
      <w:ind w:firstLine="31"/>
    </w:pPr>
    <w:rPr>
      <w:rFonts w:ascii="Arial" w:eastAsia="Arial" w:hAnsi="Arial" w:cs="Arial"/>
      <w:b/>
      <w:bCs/>
      <w:lang w:eastAsia="pl-PL" w:bidi="ar-SA"/>
    </w:rPr>
  </w:style>
  <w:style w:type="paragraph" w:customStyle="1" w:styleId="Bodytext60">
    <w:name w:val="Body text (6)"/>
    <w:basedOn w:val="Normalny"/>
    <w:link w:val="Bodytext6"/>
    <w:rsid w:val="00BD6A84"/>
    <w:pPr>
      <w:shd w:val="clear" w:color="auto" w:fill="FFFFFF"/>
      <w:autoSpaceDE/>
      <w:autoSpaceDN/>
      <w:spacing w:before="120" w:line="240" w:lineRule="exact"/>
      <w:ind w:firstLine="39"/>
      <w:jc w:val="both"/>
    </w:pPr>
    <w:rPr>
      <w:rFonts w:ascii="Arial" w:eastAsia="Arial" w:hAnsi="Arial" w:cs="Arial"/>
      <w:b/>
      <w:bCs/>
      <w:sz w:val="18"/>
      <w:szCs w:val="18"/>
      <w:lang w:eastAsia="pl-PL" w:bidi="ar-SA"/>
    </w:rPr>
  </w:style>
  <w:style w:type="character" w:styleId="Nierozpoznanawzmianka">
    <w:name w:val="Unresolved Mention"/>
    <w:basedOn w:val="Domylnaczcionkaakapitu"/>
    <w:uiPriority w:val="99"/>
    <w:semiHidden/>
    <w:unhideWhenUsed/>
    <w:rsid w:val="005E3A5E"/>
    <w:rPr>
      <w:color w:val="605E5C"/>
      <w:shd w:val="clear" w:color="auto" w:fill="E1DFDD"/>
    </w:rPr>
  </w:style>
  <w:style w:type="character" w:styleId="UyteHipercze">
    <w:name w:val="FollowedHyperlink"/>
    <w:basedOn w:val="Domylnaczcionkaakapitu"/>
    <w:uiPriority w:val="99"/>
    <w:semiHidden/>
    <w:unhideWhenUsed/>
    <w:rsid w:val="005E3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2-327" TargetMode="External"/><Relationship Id="rId18" Type="http://schemas.openxmlformats.org/officeDocument/2006/relationships/hyperlink" Target="http://hudoc.echr.coe.int/eng?i=002-11116" TargetMode="External"/><Relationship Id="rId26" Type="http://schemas.openxmlformats.org/officeDocument/2006/relationships/hyperlink" Target="http://www.echr.coe.int/Documents/Rules_Court_ENG.pdf" TargetMode="External"/><Relationship Id="rId39" Type="http://schemas.openxmlformats.org/officeDocument/2006/relationships/theme" Target="theme/theme1.xml"/><Relationship Id="rId21" Type="http://schemas.openxmlformats.org/officeDocument/2006/relationships/hyperlink" Target="http://hudoc.echr.coe.int/eng-press?i=003-3808760-436559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udoc.echr.coe.int/eng?i=002-3191" TargetMode="External"/><Relationship Id="rId17" Type="http://schemas.openxmlformats.org/officeDocument/2006/relationships/hyperlink" Target="https://www.echr.coe.int/documents/d/echr/Rules_Court_ENG" TargetMode="External"/><Relationship Id="rId25" Type="http://schemas.openxmlformats.org/officeDocument/2006/relationships/hyperlink" Target="http://hudoc.echr.coe.int/eng-press?i=003-4857437-5932276" TargetMode="External"/><Relationship Id="rId33" Type="http://schemas.openxmlformats.org/officeDocument/2006/relationships/hyperlink" Target="https://hudoc.echr.coe.int/fre-press?i=003-7919228-1102571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doc.echr.coe.int/eng?i=001-110267" TargetMode="External"/><Relationship Id="rId20" Type="http://schemas.openxmlformats.org/officeDocument/2006/relationships/hyperlink" Target="http://hudoc.echr.coe.int/eng-press?i=003-5786669-7358545" TargetMode="External"/><Relationship Id="rId29" Type="http://schemas.openxmlformats.org/officeDocument/2006/relationships/hyperlink" Target="https://hudoc.echr.coe.int/fre-press?i=003-7478652-10257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hr.coe.int/documents/d/echr/FS_Life_sentences_ENG" TargetMode="External"/><Relationship Id="rId24" Type="http://schemas.openxmlformats.org/officeDocument/2006/relationships/hyperlink" Target="http://hudoc.echr.coe.int/eng-press?i=003-4429521-5325447" TargetMode="External"/><Relationship Id="rId32" Type="http://schemas.openxmlformats.org/officeDocument/2006/relationships/hyperlink" Target="https://hudoc.echr.coe.int/eng-press?i=003-7735816-10703008"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doc.echr.coe.int/eng?i=001-108599" TargetMode="External"/><Relationship Id="rId23" Type="http://schemas.openxmlformats.org/officeDocument/2006/relationships/hyperlink" Target="http://hudoc.echr.coe.int/eng-press?i=003-4857437-5932276" TargetMode="External"/><Relationship Id="rId28" Type="http://schemas.openxmlformats.org/officeDocument/2006/relationships/hyperlink" Target="https://hudoc.echr.coe.int/?i=001-228683" TargetMode="External"/><Relationship Id="rId36" Type="http://schemas.openxmlformats.org/officeDocument/2006/relationships/header" Target="header2.xml"/><Relationship Id="rId10" Type="http://schemas.openxmlformats.org/officeDocument/2006/relationships/hyperlink" Target="https://www.echr.coe.int/documents/d/echr/Convention_ENG" TargetMode="External"/><Relationship Id="rId19" Type="http://schemas.openxmlformats.org/officeDocument/2006/relationships/hyperlink" Target="http://hudoc.echr.coe.int/eng?i=001-179422" TargetMode="External"/><Relationship Id="rId31" Type="http://schemas.openxmlformats.org/officeDocument/2006/relationships/hyperlink" Target="https://hudoc.echr.coe.int/eng?i=001-226068" TargetMode="External"/><Relationship Id="rId4" Type="http://schemas.openxmlformats.org/officeDocument/2006/relationships/settings" Target="settings.xml"/><Relationship Id="rId9" Type="http://schemas.openxmlformats.org/officeDocument/2006/relationships/hyperlink" Target="https://www.echr.coe.int/documents/d/echr/Convention_ENG" TargetMode="External"/><Relationship Id="rId14" Type="http://schemas.openxmlformats.org/officeDocument/2006/relationships/hyperlink" Target="http://hudoc.echr.coe.int/eng?i=001-108254" TargetMode="External"/><Relationship Id="rId22" Type="http://schemas.openxmlformats.org/officeDocument/2006/relationships/hyperlink" Target="http://hudoc.echr.coe.int/eng-press?i=003-4429521-5325447" TargetMode="External"/><Relationship Id="rId27" Type="http://schemas.openxmlformats.org/officeDocument/2006/relationships/hyperlink" Target="https://hudoc.echr.coe.int/eng-press?i=003-7478567-10256909" TargetMode="External"/><Relationship Id="rId30" Type="http://schemas.openxmlformats.org/officeDocument/2006/relationships/hyperlink" Target="https://hudoc.echr.coe.int/eng-press?i=003-7689161-10609672"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42AF-018A-43E4-9DC7-B3F35590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3965</Words>
  <Characters>23791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27701</CharactersWithSpaces>
  <SharedDoc>false</SharedDoc>
  <HLinks>
    <vt:vector size="78" baseType="variant">
      <vt:variant>
        <vt:i4>327760</vt:i4>
      </vt:variant>
      <vt:variant>
        <vt:i4>36</vt:i4>
      </vt:variant>
      <vt:variant>
        <vt:i4>0</vt:i4>
      </vt:variant>
      <vt:variant>
        <vt:i4>5</vt:i4>
      </vt:variant>
      <vt:variant>
        <vt:lpwstr>http://www.echr.coe.int/Documents/Rules_Court_ENG.pdf</vt:lpwstr>
      </vt:variant>
      <vt:variant>
        <vt:lpwstr/>
      </vt:variant>
      <vt:variant>
        <vt:i4>1507343</vt:i4>
      </vt:variant>
      <vt:variant>
        <vt:i4>33</vt:i4>
      </vt:variant>
      <vt:variant>
        <vt:i4>0</vt:i4>
      </vt:variant>
      <vt:variant>
        <vt:i4>5</vt:i4>
      </vt:variant>
      <vt:variant>
        <vt:lpwstr>http://hudoc.echr.coe.int/eng-press?i=003-4857437-5932276</vt:lpwstr>
      </vt:variant>
      <vt:variant>
        <vt:lpwstr/>
      </vt:variant>
      <vt:variant>
        <vt:i4>1703944</vt:i4>
      </vt:variant>
      <vt:variant>
        <vt:i4>30</vt:i4>
      </vt:variant>
      <vt:variant>
        <vt:i4>0</vt:i4>
      </vt:variant>
      <vt:variant>
        <vt:i4>5</vt:i4>
      </vt:variant>
      <vt:variant>
        <vt:lpwstr>http://hudoc.echr.coe.int/eng-press?i=003-4429521-5325447</vt:lpwstr>
      </vt:variant>
      <vt:variant>
        <vt:lpwstr/>
      </vt:variant>
      <vt:variant>
        <vt:i4>1507343</vt:i4>
      </vt:variant>
      <vt:variant>
        <vt:i4>27</vt:i4>
      </vt:variant>
      <vt:variant>
        <vt:i4>0</vt:i4>
      </vt:variant>
      <vt:variant>
        <vt:i4>5</vt:i4>
      </vt:variant>
      <vt:variant>
        <vt:lpwstr>http://hudoc.echr.coe.int/eng-press?i=003-4857437-5932276</vt:lpwstr>
      </vt:variant>
      <vt:variant>
        <vt:lpwstr/>
      </vt:variant>
      <vt:variant>
        <vt:i4>1703944</vt:i4>
      </vt:variant>
      <vt:variant>
        <vt:i4>24</vt:i4>
      </vt:variant>
      <vt:variant>
        <vt:i4>0</vt:i4>
      </vt:variant>
      <vt:variant>
        <vt:i4>5</vt:i4>
      </vt:variant>
      <vt:variant>
        <vt:lpwstr>http://hudoc.echr.coe.int/eng-press?i=003-4429521-5325447</vt:lpwstr>
      </vt:variant>
      <vt:variant>
        <vt:lpwstr/>
      </vt:variant>
      <vt:variant>
        <vt:i4>1966090</vt:i4>
      </vt:variant>
      <vt:variant>
        <vt:i4>21</vt:i4>
      </vt:variant>
      <vt:variant>
        <vt:i4>0</vt:i4>
      </vt:variant>
      <vt:variant>
        <vt:i4>5</vt:i4>
      </vt:variant>
      <vt:variant>
        <vt:lpwstr>http://hudoc.echr.coe.int/eng-press?i=003-3808760-4365595</vt:lpwstr>
      </vt:variant>
      <vt:variant>
        <vt:lpwstr/>
      </vt:variant>
      <vt:variant>
        <vt:i4>2031628</vt:i4>
      </vt:variant>
      <vt:variant>
        <vt:i4>18</vt:i4>
      </vt:variant>
      <vt:variant>
        <vt:i4>0</vt:i4>
      </vt:variant>
      <vt:variant>
        <vt:i4>5</vt:i4>
      </vt:variant>
      <vt:variant>
        <vt:lpwstr>http://hudoc.echr.coe.int/eng-press?i=003-5786669-7358545</vt:lpwstr>
      </vt:variant>
      <vt:variant>
        <vt:lpwstr/>
      </vt:variant>
      <vt:variant>
        <vt:i4>2556007</vt:i4>
      </vt:variant>
      <vt:variant>
        <vt:i4>15</vt:i4>
      </vt:variant>
      <vt:variant>
        <vt:i4>0</vt:i4>
      </vt:variant>
      <vt:variant>
        <vt:i4>5</vt:i4>
      </vt:variant>
      <vt:variant>
        <vt:lpwstr>http://hudoc.echr.coe.int/eng?i=001-179422</vt:lpwstr>
      </vt:variant>
      <vt:variant>
        <vt:lpwstr/>
      </vt:variant>
      <vt:variant>
        <vt:i4>1441886</vt:i4>
      </vt:variant>
      <vt:variant>
        <vt:i4>12</vt:i4>
      </vt:variant>
      <vt:variant>
        <vt:i4>0</vt:i4>
      </vt:variant>
      <vt:variant>
        <vt:i4>5</vt:i4>
      </vt:variant>
      <vt:variant>
        <vt:lpwstr>http://hudoc.echr.coe.int/eng?i=002-11116</vt:lpwstr>
      </vt:variant>
      <vt:variant>
        <vt:lpwstr/>
      </vt:variant>
      <vt:variant>
        <vt:i4>6160459</vt:i4>
      </vt:variant>
      <vt:variant>
        <vt:i4>9</vt:i4>
      </vt:variant>
      <vt:variant>
        <vt:i4>0</vt:i4>
      </vt:variant>
      <vt:variant>
        <vt:i4>5</vt:i4>
      </vt:variant>
      <vt:variant>
        <vt:lpwstr>http://hudoc.echr.coe.int/sites/eng-press/pages/search.aspx?i=003-4857437-5932276</vt:lpwstr>
      </vt:variant>
      <vt:variant>
        <vt:lpwstr/>
      </vt:variant>
      <vt:variant>
        <vt:i4>1638411</vt:i4>
      </vt:variant>
      <vt:variant>
        <vt:i4>6</vt:i4>
      </vt:variant>
      <vt:variant>
        <vt:i4>0</vt:i4>
      </vt:variant>
      <vt:variant>
        <vt:i4>5</vt:i4>
      </vt:variant>
      <vt:variant>
        <vt:lpwstr>http://hudoc.echr.coe.int/eng-press?i=003-4832292-5894912</vt:lpwstr>
      </vt:variant>
      <vt:variant>
        <vt:lpwstr/>
      </vt:variant>
      <vt:variant>
        <vt:i4>2097249</vt:i4>
      </vt:variant>
      <vt:variant>
        <vt:i4>3</vt:i4>
      </vt:variant>
      <vt:variant>
        <vt:i4>0</vt:i4>
      </vt:variant>
      <vt:variant>
        <vt:i4>5</vt:i4>
      </vt:variant>
      <vt:variant>
        <vt:lpwstr>http://hudoc.echr.coe.int/eng?i=001-108254</vt:lpwstr>
      </vt:variant>
      <vt:variant>
        <vt:lpwstr/>
      </vt:variant>
      <vt:variant>
        <vt:i4>2359405</vt:i4>
      </vt:variant>
      <vt:variant>
        <vt:i4>0</vt:i4>
      </vt:variant>
      <vt:variant>
        <vt:i4>0</vt:i4>
      </vt:variant>
      <vt:variant>
        <vt:i4>5</vt:i4>
      </vt:variant>
      <vt:variant>
        <vt:lpwstr>http://hudoc.echr.coe.int/eng?i=002-327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2024-12-02T14:48:00Z</dcterms:created>
  <dcterms:modified xsi:type="dcterms:W3CDTF">2024-12-03T11:40:00Z</dcterms:modified>
</cp:coreProperties>
</file>