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D6A4" w14:textId="77777777" w:rsidR="003A3AB6" w:rsidRPr="00A77BC3" w:rsidRDefault="003A3AB6" w:rsidP="003A2D8B">
      <w:pPr>
        <w:pStyle w:val="Nagwek6"/>
        <w:rPr>
          <w:sz w:val="28"/>
          <w:szCs w:val="20"/>
        </w:rPr>
      </w:pPr>
      <w:r w:rsidRPr="00A77BC3">
        <w:rPr>
          <w:sz w:val="28"/>
          <w:szCs w:val="20"/>
        </w:rPr>
        <w:t>DZIAŁ 700 – GOSPODARKA MIESZKANIOWA</w:t>
      </w:r>
    </w:p>
    <w:p w14:paraId="4B5D336F" w14:textId="77777777" w:rsidR="003A3AB6" w:rsidRPr="00B34FD1" w:rsidRDefault="003A3AB6" w:rsidP="003A3AB6">
      <w:pPr>
        <w:spacing w:line="360" w:lineRule="auto"/>
      </w:pPr>
    </w:p>
    <w:p w14:paraId="177FDC38" w14:textId="79CC1C4F" w:rsidR="00357DCC" w:rsidRPr="00D76114" w:rsidRDefault="00357DCC" w:rsidP="00357DCC">
      <w:pPr>
        <w:spacing w:line="360" w:lineRule="auto"/>
        <w:jc w:val="both"/>
      </w:pPr>
      <w:r w:rsidRPr="00D76114">
        <w:t xml:space="preserve">Dochody </w:t>
      </w:r>
      <w:r w:rsidR="007E4816">
        <w:t xml:space="preserve">zaplanowane </w:t>
      </w:r>
      <w:r w:rsidRPr="00D76114">
        <w:t xml:space="preserve">w </w:t>
      </w:r>
      <w:r w:rsidR="007E4816">
        <w:t xml:space="preserve">tym </w:t>
      </w:r>
      <w:r w:rsidRPr="00D76114">
        <w:t>dziale za 2024</w:t>
      </w:r>
      <w:r w:rsidR="00197F33">
        <w:t xml:space="preserve"> </w:t>
      </w:r>
      <w:r w:rsidRPr="00D76114">
        <w:t>r.</w:t>
      </w:r>
      <w:r w:rsidR="007B0157">
        <w:t xml:space="preserve"> w wysokości 120.002</w:t>
      </w:r>
      <w:r w:rsidR="002C1E59">
        <w:t xml:space="preserve"> tys. zł</w:t>
      </w:r>
      <w:r w:rsidRPr="00D76114">
        <w:t xml:space="preserve"> zrealizowano </w:t>
      </w:r>
      <w:r w:rsidR="007E4816">
        <w:br/>
      </w:r>
      <w:r w:rsidRPr="00D76114">
        <w:t xml:space="preserve">w kwocie </w:t>
      </w:r>
      <w:r>
        <w:t>133.</w:t>
      </w:r>
      <w:r w:rsidR="007B0157">
        <w:t>093</w:t>
      </w:r>
      <w:r w:rsidRPr="00D76114">
        <w:t xml:space="preserve"> tys. zł, co stanowi </w:t>
      </w:r>
      <w:r>
        <w:t>110,9</w:t>
      </w:r>
      <w:r w:rsidRPr="00D76114">
        <w:t>% planu</w:t>
      </w:r>
      <w:r w:rsidR="007B0157">
        <w:t>.</w:t>
      </w:r>
    </w:p>
    <w:p w14:paraId="5E4CE52F" w14:textId="77777777" w:rsidR="003A3AB6" w:rsidRPr="00357DCC" w:rsidRDefault="003A3AB6" w:rsidP="003A3AB6">
      <w:pPr>
        <w:widowControl w:val="0"/>
        <w:autoSpaceDE w:val="0"/>
        <w:autoSpaceDN w:val="0"/>
        <w:adjustRightInd w:val="0"/>
        <w:spacing w:before="120" w:line="360" w:lineRule="auto"/>
        <w:jc w:val="both"/>
      </w:pPr>
      <w:r w:rsidRPr="00357DCC">
        <w:t>Zaplanowane w tym dziale dochody pochodziły przede wszystkim z opłat, pobieranych  przez starostów i prezydentów miast na prawach powiatu, z tytułu gospodarowania nieruchomościami Skarbu Państwa, tj. za trwały zarząd, użytkowanie i użytkowanie wieczyste, najem i dzierżawę, przekształcenie prawa użytkowania wieczystego przysługującego osobom fizycznym w prawo własności, jak również za odpłatne nabycie prawa własności oraz prawa użytkowania wieczystego nieruchomości.</w:t>
      </w:r>
    </w:p>
    <w:p w14:paraId="7EF7B20D" w14:textId="68F0B9F8" w:rsidR="003A3AB6" w:rsidRPr="009E7B84" w:rsidRDefault="009E7B84" w:rsidP="003A3AB6">
      <w:pPr>
        <w:pStyle w:val="Tekstpodstawowy"/>
        <w:rPr>
          <w:color w:val="auto"/>
          <w:szCs w:val="24"/>
        </w:rPr>
      </w:pPr>
      <w:r w:rsidRPr="0022017C">
        <w:rPr>
          <w:color w:val="auto"/>
          <w:szCs w:val="24"/>
        </w:rPr>
        <w:t xml:space="preserve">Nie zrealizowano planowanych w rozdziale 70005 dochodów w kwocie 2 tys. zł. w związku </w:t>
      </w:r>
      <w:r w:rsidR="0022017C">
        <w:rPr>
          <w:color w:val="auto"/>
          <w:szCs w:val="24"/>
        </w:rPr>
        <w:br/>
      </w:r>
      <w:r w:rsidRPr="0022017C">
        <w:rPr>
          <w:color w:val="auto"/>
          <w:szCs w:val="24"/>
        </w:rPr>
        <w:t>z prowadzoną egzekucją należności z tytułu nienależnie pobranego odszkodowania</w:t>
      </w:r>
      <w:r w:rsidR="0022017C">
        <w:rPr>
          <w:color w:val="auto"/>
          <w:szCs w:val="24"/>
        </w:rPr>
        <w:t>,</w:t>
      </w:r>
      <w:r w:rsidRPr="0022017C">
        <w:rPr>
          <w:color w:val="auto"/>
          <w:szCs w:val="24"/>
        </w:rPr>
        <w:t xml:space="preserve"> </w:t>
      </w:r>
      <w:r w:rsidR="0022017C" w:rsidRPr="0022017C">
        <w:rPr>
          <w:color w:val="auto"/>
          <w:szCs w:val="24"/>
        </w:rPr>
        <w:t>z powodu nieskuteczności postępowań egzekucyjnych</w:t>
      </w:r>
      <w:r w:rsidR="0022017C">
        <w:rPr>
          <w:color w:val="auto"/>
          <w:szCs w:val="24"/>
        </w:rPr>
        <w:t>.</w:t>
      </w:r>
    </w:p>
    <w:p w14:paraId="28C206B0" w14:textId="77777777" w:rsidR="009E7B84" w:rsidRDefault="009E7B84" w:rsidP="003A3AB6">
      <w:pPr>
        <w:pStyle w:val="Tekstpodstawowy"/>
        <w:rPr>
          <w:color w:val="auto"/>
          <w:highlight w:val="yellow"/>
        </w:rPr>
      </w:pPr>
    </w:p>
    <w:p w14:paraId="6D7AB593" w14:textId="3CAC0D36" w:rsidR="009E7B84" w:rsidRPr="009E7B84" w:rsidRDefault="009E7B84" w:rsidP="003A3AB6">
      <w:pPr>
        <w:pStyle w:val="Tekstpodstawowy"/>
        <w:rPr>
          <w:color w:val="auto"/>
          <w:szCs w:val="24"/>
        </w:rPr>
      </w:pPr>
      <w:r w:rsidRPr="00E00757">
        <w:rPr>
          <w:color w:val="auto"/>
        </w:rPr>
        <w:t xml:space="preserve">Dochody nieplanowane </w:t>
      </w:r>
      <w:r w:rsidR="00357DCC" w:rsidRPr="00E00757">
        <w:rPr>
          <w:color w:val="auto"/>
        </w:rPr>
        <w:t xml:space="preserve">zostały zrealizowane </w:t>
      </w:r>
      <w:r w:rsidRPr="00E00757">
        <w:rPr>
          <w:color w:val="auto"/>
        </w:rPr>
        <w:t xml:space="preserve">w </w:t>
      </w:r>
      <w:r w:rsidR="00357DCC" w:rsidRPr="00E00757">
        <w:rPr>
          <w:color w:val="auto"/>
        </w:rPr>
        <w:t xml:space="preserve">kwocie </w:t>
      </w:r>
      <w:r w:rsidRPr="00E00757">
        <w:rPr>
          <w:color w:val="auto"/>
        </w:rPr>
        <w:t>8 tys. zł.</w:t>
      </w:r>
      <w:r w:rsidR="00E00757" w:rsidRPr="00E00757">
        <w:rPr>
          <w:color w:val="auto"/>
        </w:rPr>
        <w:t xml:space="preserve"> Pochodziły one przede wszystkim z tytułu zwrotów dotacji oraz zaliczek z lat ubiegłych</w:t>
      </w:r>
      <w:r w:rsidR="000500F4">
        <w:rPr>
          <w:color w:val="auto"/>
        </w:rPr>
        <w:t>.</w:t>
      </w:r>
    </w:p>
    <w:p w14:paraId="68C5712C" w14:textId="77777777" w:rsidR="009E7B84" w:rsidRDefault="009E7B84" w:rsidP="003A3AB6">
      <w:pPr>
        <w:pStyle w:val="Tekstpodstawowy"/>
        <w:rPr>
          <w:szCs w:val="24"/>
        </w:rPr>
      </w:pPr>
    </w:p>
    <w:p w14:paraId="673BF466" w14:textId="1370A4A7" w:rsidR="009E7B84" w:rsidRPr="00B34FD1" w:rsidRDefault="009E7B84" w:rsidP="009E7B84">
      <w:pPr>
        <w:spacing w:line="360" w:lineRule="auto"/>
        <w:jc w:val="both"/>
        <w:rPr>
          <w:szCs w:val="26"/>
        </w:rPr>
      </w:pPr>
      <w:r w:rsidRPr="00E544F8">
        <w:rPr>
          <w:szCs w:val="26"/>
        </w:rPr>
        <w:t>Na koniec 202</w:t>
      </w:r>
      <w:r w:rsidR="00357DCC" w:rsidRPr="00E544F8">
        <w:rPr>
          <w:szCs w:val="26"/>
        </w:rPr>
        <w:t>4</w:t>
      </w:r>
      <w:r w:rsidRPr="00E544F8">
        <w:rPr>
          <w:szCs w:val="26"/>
        </w:rPr>
        <w:t xml:space="preserve"> r. </w:t>
      </w:r>
      <w:r w:rsidR="00E544F8" w:rsidRPr="00E544F8">
        <w:rPr>
          <w:szCs w:val="26"/>
        </w:rPr>
        <w:t>należności</w:t>
      </w:r>
      <w:r w:rsidRPr="00E544F8">
        <w:rPr>
          <w:szCs w:val="26"/>
        </w:rPr>
        <w:t xml:space="preserve"> z tytułu gospodarki nieruchomościami wyniosły </w:t>
      </w:r>
      <w:r w:rsidR="00E510C0" w:rsidRPr="00E544F8">
        <w:rPr>
          <w:szCs w:val="26"/>
        </w:rPr>
        <w:t xml:space="preserve">191.770 tys. zł </w:t>
      </w:r>
      <w:r w:rsidR="00357DCC" w:rsidRPr="00E544F8">
        <w:rPr>
          <w:szCs w:val="26"/>
        </w:rPr>
        <w:br/>
      </w:r>
      <w:r w:rsidR="00E510C0" w:rsidRPr="00E544F8">
        <w:rPr>
          <w:szCs w:val="26"/>
        </w:rPr>
        <w:t>i w stosunku do roku 2023 wzrosły o 143.014 tys. zł. Wzrost należności wynika z</w:t>
      </w:r>
      <w:r w:rsidR="00E544F8" w:rsidRPr="00E544F8">
        <w:rPr>
          <w:szCs w:val="26"/>
        </w:rPr>
        <w:t xml:space="preserve">e zwiększenia się ich przypisu w zakresie zaległości za  </w:t>
      </w:r>
      <w:r w:rsidR="00E544F8" w:rsidRPr="00E544F8">
        <w:t>opłaty pobierane przez starostów i prezydentów miast na prawach powiatu, z tytułu gospodarowania nieruchomościami Skarbu Państwa.</w:t>
      </w:r>
      <w:r w:rsidR="00E544F8">
        <w:t xml:space="preserve"> </w:t>
      </w:r>
    </w:p>
    <w:p w14:paraId="2D12F831" w14:textId="77777777" w:rsidR="009E7B84" w:rsidRDefault="009E7B84" w:rsidP="003A3AB6">
      <w:pPr>
        <w:pStyle w:val="Tekstpodstawowy"/>
        <w:rPr>
          <w:szCs w:val="24"/>
        </w:rPr>
      </w:pPr>
    </w:p>
    <w:p w14:paraId="5D846CD6" w14:textId="77777777" w:rsidR="009E7B84" w:rsidRDefault="009E7B84" w:rsidP="003A3AB6">
      <w:pPr>
        <w:pStyle w:val="Tekstpodstawowy"/>
        <w:rPr>
          <w:szCs w:val="24"/>
        </w:rPr>
      </w:pPr>
    </w:p>
    <w:p w14:paraId="6AD487BF" w14:textId="77777777" w:rsidR="009E7B84" w:rsidRPr="00B34FD1" w:rsidRDefault="009E7B84" w:rsidP="003A3AB6">
      <w:pPr>
        <w:pStyle w:val="Tekstpodstawowy"/>
        <w:rPr>
          <w:szCs w:val="24"/>
        </w:rPr>
      </w:pPr>
    </w:p>
    <w:p w14:paraId="255C79ED" w14:textId="77777777" w:rsidR="00566838" w:rsidRDefault="00566838"/>
    <w:sectPr w:rsidR="00566838" w:rsidSect="003A3AB6">
      <w:head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C220" w14:textId="77777777" w:rsidR="0040129F" w:rsidRDefault="0040129F">
      <w:r>
        <w:separator/>
      </w:r>
    </w:p>
  </w:endnote>
  <w:endnote w:type="continuationSeparator" w:id="0">
    <w:p w14:paraId="676E25E8" w14:textId="77777777" w:rsidR="0040129F" w:rsidRDefault="0040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C477" w14:textId="77777777" w:rsidR="0040129F" w:rsidRDefault="0040129F">
      <w:r>
        <w:separator/>
      </w:r>
    </w:p>
  </w:footnote>
  <w:footnote w:type="continuationSeparator" w:id="0">
    <w:p w14:paraId="61FADE12" w14:textId="77777777" w:rsidR="0040129F" w:rsidRDefault="00401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1F15" w14:textId="77777777" w:rsidR="0095057E" w:rsidRDefault="0095057E">
    <w:pPr>
      <w:pStyle w:val="Nagwek"/>
      <w:rPr>
        <w:sz w:val="20"/>
        <w:szCs w:val="20"/>
      </w:rPr>
    </w:pPr>
  </w:p>
  <w:p w14:paraId="0EB84B76" w14:textId="77777777" w:rsidR="0095057E" w:rsidRPr="006B5589" w:rsidRDefault="00000000">
    <w:pPr>
      <w:pStyle w:val="Nagwek"/>
      <w:rPr>
        <w:sz w:val="20"/>
        <w:szCs w:val="20"/>
      </w:rPr>
    </w:pPr>
    <w:r w:rsidRPr="006B5589">
      <w:rPr>
        <w:sz w:val="20"/>
        <w:szCs w:val="20"/>
      </w:rPr>
      <w:t>cz. 85/22 – województwo pomorskie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B6"/>
    <w:rsid w:val="00013CF9"/>
    <w:rsid w:val="000500F4"/>
    <w:rsid w:val="00197F33"/>
    <w:rsid w:val="001A520C"/>
    <w:rsid w:val="001D5138"/>
    <w:rsid w:val="0022017C"/>
    <w:rsid w:val="002A779A"/>
    <w:rsid w:val="002C1E59"/>
    <w:rsid w:val="002F4C80"/>
    <w:rsid w:val="00330572"/>
    <w:rsid w:val="00357DCC"/>
    <w:rsid w:val="0037297E"/>
    <w:rsid w:val="003A2D8B"/>
    <w:rsid w:val="003A3AB6"/>
    <w:rsid w:val="003A509E"/>
    <w:rsid w:val="003F55F4"/>
    <w:rsid w:val="0040129F"/>
    <w:rsid w:val="004E1018"/>
    <w:rsid w:val="00566838"/>
    <w:rsid w:val="005869C2"/>
    <w:rsid w:val="006151DA"/>
    <w:rsid w:val="00701B4C"/>
    <w:rsid w:val="00751015"/>
    <w:rsid w:val="007B0157"/>
    <w:rsid w:val="007C76A2"/>
    <w:rsid w:val="007D24C2"/>
    <w:rsid w:val="007D6C9F"/>
    <w:rsid w:val="007E4816"/>
    <w:rsid w:val="0095057E"/>
    <w:rsid w:val="009E619A"/>
    <w:rsid w:val="009E7B84"/>
    <w:rsid w:val="00A166C0"/>
    <w:rsid w:val="00A77BC3"/>
    <w:rsid w:val="00C15148"/>
    <w:rsid w:val="00D75360"/>
    <w:rsid w:val="00D848DD"/>
    <w:rsid w:val="00DC3756"/>
    <w:rsid w:val="00E00757"/>
    <w:rsid w:val="00E510C0"/>
    <w:rsid w:val="00E544F8"/>
    <w:rsid w:val="00EA3B6E"/>
    <w:rsid w:val="00F1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0FC7"/>
  <w15:chartTrackingRefBased/>
  <w15:docId w15:val="{46D940CE-C620-4039-A4AE-A6EBE173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A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3A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3A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3A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3A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3A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nhideWhenUsed/>
    <w:qFormat/>
    <w:rsid w:val="003A2D8B"/>
    <w:pPr>
      <w:keepNext/>
      <w:keepLines/>
      <w:spacing w:before="40" w:line="259" w:lineRule="auto"/>
      <w:outlineLvl w:val="5"/>
    </w:pPr>
    <w:rPr>
      <w:rFonts w:eastAsiaTheme="majorEastAsia" w:cstheme="majorBidi"/>
      <w:b/>
      <w:iCs/>
      <w:kern w:val="2"/>
      <w:sz w:val="3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3A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3A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3A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3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3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3A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3A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3A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3A2D8B"/>
    <w:rPr>
      <w:rFonts w:ascii="Times New Roman" w:eastAsiaTheme="majorEastAsia" w:hAnsi="Times New Roman" w:cstheme="majorBidi"/>
      <w:b/>
      <w:iCs/>
      <w:sz w:val="3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3A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3A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3A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3A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A3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A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A3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3A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A3A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3A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A3A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3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3A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3AB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3A3AB6"/>
    <w:pPr>
      <w:spacing w:line="360" w:lineRule="auto"/>
      <w:jc w:val="both"/>
    </w:pPr>
    <w:rPr>
      <w:color w:val="FF0000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3A3AB6"/>
    <w:rPr>
      <w:rFonts w:ascii="Times New Roman" w:eastAsia="Times New Roman" w:hAnsi="Times New Roman" w:cs="Times New Roman"/>
      <w:color w:val="FF0000"/>
      <w:kern w:val="0"/>
      <w:sz w:val="24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A3A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AB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rsid w:val="003A3AB6"/>
    <w:pPr>
      <w:suppressAutoHyphens/>
      <w:spacing w:line="360" w:lineRule="auto"/>
      <w:jc w:val="both"/>
    </w:pPr>
    <w:rPr>
      <w:rFonts w:cs="Calibri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Peciak</dc:creator>
  <cp:keywords/>
  <dc:description/>
  <cp:lastModifiedBy>Konrad Peciak</cp:lastModifiedBy>
  <cp:revision>13</cp:revision>
  <dcterms:created xsi:type="dcterms:W3CDTF">2025-03-25T07:48:00Z</dcterms:created>
  <dcterms:modified xsi:type="dcterms:W3CDTF">2025-04-17T07:56:00Z</dcterms:modified>
</cp:coreProperties>
</file>