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447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6F5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 kwietnia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C6F57" w:rsidRPr="003C6F57" w:rsidRDefault="003C6F57" w:rsidP="003C6F5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C6F57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DOOŚ-WDŚZIL.420.18.2020.MKW.48</w:t>
      </w:r>
    </w:p>
    <w:bookmarkEnd w:id="0"/>
    <w:p w:rsidR="003C6F57" w:rsidRDefault="003C6F57" w:rsidP="003C6F5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C6F57">
        <w:rPr>
          <w:rFonts w:asciiTheme="minorHAnsi" w:hAnsiTheme="minorHAnsi" w:cstheme="minorHAnsi"/>
          <w:bCs/>
          <w:sz w:val="24"/>
          <w:szCs w:val="24"/>
          <w:lang w:eastAsia="pl-PL"/>
        </w:rPr>
        <w:t>(stary znak: DOOŚ-WDŚ/ZIL.420.38.2020.KMK)</w:t>
      </w:r>
    </w:p>
    <w:p w:rsidR="00B35A7F" w:rsidRDefault="00B35A7F" w:rsidP="003C6F5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C6F57" w:rsidRPr="003C6F57" w:rsidRDefault="003C6F57" w:rsidP="003C6F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6F5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postępowanie odwoławcze od decyzji Regionalnego Dyrektora Ochrony Środowiska w Gdańsku z dnia 30 czerwca 2020 r., znak: RDOŚ-Gd-W00.420.76.2018.MR.LK.JP.111, o środowiskowych uwarunkowaniach dla przedsięwzięcia pn. Prace na alternatywnym ciągli transportowym Bydgoszcz- Trójmiasto, etap I nie mogło być zakończone w wyznaczonym terminie. Przyczyną zwłoki jest złożenie przez PKP Polskie Linie Kolejowe S.A. nowego materiału dowodowego w sprawie. W następstwie Generalny Dyrektor Ochrony Środowiska pismem z dnia 1 kwietnia 2022 r., znak: DOOŚ.WDŚZIL.420.18.2020.MKW.45, wezwał wnioskodawcę o dodatkowe wyjaśnienia.</w:t>
      </w:r>
    </w:p>
    <w:p w:rsidR="003C6F57" w:rsidRPr="003C6F57" w:rsidRDefault="003C6F57" w:rsidP="003C6F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6F57">
        <w:rPr>
          <w:rFonts w:asciiTheme="minorHAnsi" w:hAnsiTheme="minorHAnsi" w:cstheme="minorHAnsi"/>
          <w:bCs/>
          <w:color w:val="000000"/>
          <w:sz w:val="24"/>
          <w:szCs w:val="24"/>
        </w:rPr>
        <w:t>O zakończeniu postępowania dowodowego strony zostaną powiadomione oddzielnym zawiadomieniem.</w:t>
      </w:r>
    </w:p>
    <w:p w:rsidR="003C6F57" w:rsidRPr="003C6F57" w:rsidRDefault="003C6F57" w:rsidP="003C6F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6F57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29 kwietnia 2022 r.</w:t>
      </w:r>
    </w:p>
    <w:p w:rsidR="00457259" w:rsidRDefault="003C6F57" w:rsidP="003C6F5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6F57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-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C6F57" w:rsidRPr="003C6F57" w:rsidRDefault="003C6F57" w:rsidP="003C6F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6F57">
        <w:rPr>
          <w:rFonts w:asciiTheme="minorHAnsi" w:hAnsiTheme="minorHAnsi" w:cstheme="minorHAnsi"/>
          <w:bCs/>
        </w:rPr>
        <w:lastRenderedPageBreak/>
        <w:t>Art. 36 Kpa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3C6F57" w:rsidRPr="003C6F57" w:rsidRDefault="003C6F57" w:rsidP="003C6F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6F57">
        <w:rPr>
          <w:rFonts w:asciiTheme="minorHAnsi" w:hAnsiTheme="minorHAnsi" w:cstheme="minorHAnsi"/>
          <w:bCs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C6F57" w:rsidRPr="003C6F57" w:rsidRDefault="003C6F57" w:rsidP="003C6F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6F57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C6F57" w:rsidRPr="003C6F57" w:rsidRDefault="003C6F57" w:rsidP="003C6F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6F57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3C6F57" w:rsidP="003C6F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6F5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E5" w:rsidRDefault="00377CE5">
      <w:pPr>
        <w:spacing w:after="0" w:line="240" w:lineRule="auto"/>
      </w:pPr>
      <w:r>
        <w:separator/>
      </w:r>
    </w:p>
  </w:endnote>
  <w:endnote w:type="continuationSeparator" w:id="0">
    <w:p w:rsidR="00377CE5" w:rsidRDefault="0037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C6F5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77CE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E5" w:rsidRDefault="00377CE5">
      <w:pPr>
        <w:spacing w:after="0" w:line="240" w:lineRule="auto"/>
      </w:pPr>
      <w:r>
        <w:separator/>
      </w:r>
    </w:p>
  </w:footnote>
  <w:footnote w:type="continuationSeparator" w:id="0">
    <w:p w:rsidR="00377CE5" w:rsidRDefault="00377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77CE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77CE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77CE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77CE5"/>
    <w:rsid w:val="003A4832"/>
    <w:rsid w:val="003C6F57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93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F16C-34E6-4418-9EC2-DFC3F306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2023-07-07T09:28:00Z</dcterms:created>
  <dcterms:modified xsi:type="dcterms:W3CDTF">2023-07-07T09:28:00Z</dcterms:modified>
</cp:coreProperties>
</file>