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C86" w:rsidRDefault="005B1C86" w:rsidP="005B1C86">
      <w:pPr>
        <w:tabs>
          <w:tab w:val="left" w:leader="hyphen" w:pos="9356"/>
        </w:tabs>
        <w:jc w:val="center"/>
      </w:pPr>
      <w:r>
        <w:rPr>
          <w:b/>
          <w:sz w:val="26"/>
          <w:szCs w:val="26"/>
        </w:rPr>
        <w:t>UCHWAŁA NUMER 2</w:t>
      </w:r>
    </w:p>
    <w:p w:rsidR="005B1C86" w:rsidRDefault="005B1C86" w:rsidP="005B1C86">
      <w:pPr>
        <w:tabs>
          <w:tab w:val="left" w:leader="hyphen" w:pos="9356"/>
        </w:tabs>
        <w:jc w:val="center"/>
      </w:pPr>
      <w:r>
        <w:rPr>
          <w:b/>
          <w:sz w:val="26"/>
          <w:szCs w:val="26"/>
        </w:rPr>
        <w:t>NADZWYCZAJNEGO WALNEGO ZGROMADZENIA SPÓŁKI POD FIRMĄ</w:t>
      </w:r>
    </w:p>
    <w:p w:rsidR="005B1C86" w:rsidRDefault="005B1C86" w:rsidP="005B1C86">
      <w:pPr>
        <w:tabs>
          <w:tab w:val="left" w:leader="hyphen" w:pos="9356"/>
        </w:tabs>
        <w:jc w:val="center"/>
      </w:pPr>
      <w:r>
        <w:rPr>
          <w:b/>
          <w:sz w:val="26"/>
          <w:szCs w:val="26"/>
        </w:rPr>
        <w:t>POLSKI FUNDUSZ ROZWOJU SPÓŁKA AKCYJNA Z SIEDZIBĄ</w:t>
      </w:r>
      <w:r>
        <w:rPr>
          <w:b/>
          <w:sz w:val="26"/>
          <w:szCs w:val="26"/>
        </w:rPr>
        <w:br/>
        <w:t>W WARSZAWIE Z DNIA 22.02.2023 R.</w:t>
      </w:r>
    </w:p>
    <w:p w:rsidR="005B1C86" w:rsidRDefault="005B1C86" w:rsidP="005B1C86">
      <w:pPr>
        <w:jc w:val="center"/>
        <w:rPr>
          <w:rFonts w:cstheme="minorHAnsi"/>
          <w:bCs/>
          <w:i/>
          <w:sz w:val="26"/>
          <w:szCs w:val="26"/>
        </w:rPr>
      </w:pPr>
      <w:r>
        <w:rPr>
          <w:rFonts w:cstheme="minorHAnsi"/>
          <w:bCs/>
          <w:i/>
          <w:sz w:val="26"/>
          <w:szCs w:val="26"/>
        </w:rPr>
        <w:t xml:space="preserve">w sprawie </w:t>
      </w:r>
      <w:bookmarkStart w:id="0" w:name="_Hlk52350217"/>
      <w:r>
        <w:rPr>
          <w:rFonts w:cstheme="minorHAnsi"/>
          <w:bCs/>
          <w:i/>
          <w:sz w:val="26"/>
          <w:szCs w:val="26"/>
        </w:rPr>
        <w:t>zasad kształtowania wynagrodzeń Członków Zarządu Spółki</w:t>
      </w:r>
    </w:p>
    <w:bookmarkEnd w:id="0"/>
    <w:p w:rsidR="005B1C86" w:rsidRDefault="005B1C86" w:rsidP="005B1C86">
      <w:pPr>
        <w:pStyle w:val="Tekstpodstawowywcity"/>
        <w:spacing w:line="240" w:lineRule="auto"/>
        <w:ind w:left="2124" w:hanging="2124"/>
        <w:rPr>
          <w:b/>
          <w:color w:val="000000"/>
          <w:szCs w:val="26"/>
        </w:rPr>
      </w:pPr>
    </w:p>
    <w:p w:rsidR="005B1C86" w:rsidRDefault="005B1C86" w:rsidP="005B1C86">
      <w:pPr>
        <w:pStyle w:val="Tekstpodstawowywcity"/>
        <w:spacing w:line="240" w:lineRule="auto"/>
        <w:rPr>
          <w:bCs/>
          <w:color w:val="000000"/>
          <w:szCs w:val="26"/>
        </w:rPr>
      </w:pPr>
      <w:r>
        <w:rPr>
          <w:bCs/>
          <w:color w:val="000000"/>
          <w:szCs w:val="26"/>
        </w:rPr>
        <w:t>Działając na podstawie:</w:t>
      </w:r>
    </w:p>
    <w:p w:rsidR="005B1C86" w:rsidRDefault="005B1C86" w:rsidP="005B1C86">
      <w:pPr>
        <w:pStyle w:val="Tekstpodstawowywcity"/>
        <w:numPr>
          <w:ilvl w:val="0"/>
          <w:numId w:val="1"/>
        </w:numPr>
        <w:tabs>
          <w:tab w:val="left" w:pos="708"/>
        </w:tabs>
        <w:suppressAutoHyphens w:val="0"/>
        <w:spacing w:line="240" w:lineRule="auto"/>
        <w:rPr>
          <w:bCs/>
          <w:color w:val="000000"/>
          <w:szCs w:val="26"/>
        </w:rPr>
      </w:pPr>
      <w:r>
        <w:rPr>
          <w:bCs/>
          <w:color w:val="000000"/>
          <w:szCs w:val="26"/>
        </w:rPr>
        <w:t>art. 378 § 2 Kodeksu spółek handlowych oraz</w:t>
      </w:r>
    </w:p>
    <w:p w:rsidR="005B1C86" w:rsidRDefault="005B1C86" w:rsidP="005B1C86">
      <w:pPr>
        <w:pStyle w:val="Tekstpodstawowywcity"/>
        <w:numPr>
          <w:ilvl w:val="0"/>
          <w:numId w:val="1"/>
        </w:numPr>
        <w:tabs>
          <w:tab w:val="left" w:pos="708"/>
        </w:tabs>
        <w:suppressAutoHyphens w:val="0"/>
        <w:spacing w:line="240" w:lineRule="auto"/>
        <w:rPr>
          <w:bCs/>
          <w:color w:val="000000"/>
          <w:szCs w:val="26"/>
        </w:rPr>
      </w:pPr>
      <w:r>
        <w:rPr>
          <w:bCs/>
          <w:color w:val="000000"/>
          <w:szCs w:val="26"/>
        </w:rPr>
        <w:t>art. 2 ust. 2 pkt 1, art. 4 ust. 1, ust. 3, ust. 5 w związku z ust. 4 pkt 2 i ust. 2 pkt 5 oraz ust. 6-9, art. 5, art. 6 art. 7 i art. 8 ustawy z dnia 9 czerwca 2016r. o zasadach kształtowania wynagrodzeń osób kierujących niektórymi spółkami (Dz. U. z 2020</w:t>
      </w:r>
      <w:r w:rsidR="00F54116">
        <w:rPr>
          <w:bCs/>
          <w:color w:val="000000"/>
          <w:szCs w:val="26"/>
        </w:rPr>
        <w:t xml:space="preserve"> </w:t>
      </w:r>
      <w:r>
        <w:rPr>
          <w:bCs/>
          <w:color w:val="000000"/>
          <w:szCs w:val="26"/>
        </w:rPr>
        <w:t xml:space="preserve">r. poz. 1907, z </w:t>
      </w:r>
      <w:proofErr w:type="spellStart"/>
      <w:r>
        <w:rPr>
          <w:bCs/>
          <w:color w:val="000000"/>
          <w:szCs w:val="26"/>
        </w:rPr>
        <w:t>późn</w:t>
      </w:r>
      <w:proofErr w:type="spellEnd"/>
      <w:r>
        <w:rPr>
          <w:bCs/>
          <w:color w:val="000000"/>
          <w:szCs w:val="26"/>
        </w:rPr>
        <w:t xml:space="preserve">. zm.), oraz </w:t>
      </w:r>
    </w:p>
    <w:p w:rsidR="005B1C86" w:rsidRDefault="005B1C86" w:rsidP="005B1C86">
      <w:pPr>
        <w:pStyle w:val="Tekstpodstawowywcity"/>
        <w:numPr>
          <w:ilvl w:val="0"/>
          <w:numId w:val="1"/>
        </w:numPr>
        <w:tabs>
          <w:tab w:val="left" w:pos="708"/>
        </w:tabs>
        <w:suppressAutoHyphens w:val="0"/>
        <w:spacing w:line="240" w:lineRule="auto"/>
        <w:rPr>
          <w:bCs/>
          <w:color w:val="000000"/>
          <w:szCs w:val="26"/>
        </w:rPr>
      </w:pPr>
      <w:r>
        <w:rPr>
          <w:bCs/>
          <w:color w:val="000000"/>
          <w:szCs w:val="26"/>
        </w:rPr>
        <w:t xml:space="preserve">§ 13 ust. 2 pkt 17 Statutu Spółki, </w:t>
      </w:r>
    </w:p>
    <w:p w:rsidR="005B1C86" w:rsidRDefault="005B1C86" w:rsidP="005B1C86">
      <w:pPr>
        <w:pStyle w:val="Tekstpodstawowywcity"/>
        <w:numPr>
          <w:ilvl w:val="0"/>
          <w:numId w:val="1"/>
        </w:numPr>
        <w:tabs>
          <w:tab w:val="left" w:pos="708"/>
        </w:tabs>
        <w:suppressAutoHyphens w:val="0"/>
        <w:spacing w:line="240" w:lineRule="auto"/>
        <w:rPr>
          <w:bCs/>
          <w:color w:val="000000"/>
          <w:szCs w:val="26"/>
        </w:rPr>
      </w:pPr>
      <w:r>
        <w:rPr>
          <w:bCs/>
          <w:color w:val="000000"/>
          <w:szCs w:val="26"/>
        </w:rPr>
        <w:t>w związku z Uchwałą Zarządu Spółki nr 97/2023 z dnia 16 lutego 2023 r. w sprawie wystąpienia do Walnego Zgromadzenia z wnioskiem o uchylenie uchwały nr 22 Zwyczajnego Walnego Zgromadzenia z dnia 28 czerwca 2019 r. w sprawie zasad kształtowania wynagrodzeń Członków Zarządu Spółki i przyjęcia zmienionych zasad kształtowania wynagrodzeń Członków Zarządu Spółki,</w:t>
      </w:r>
    </w:p>
    <w:p w:rsidR="005B1C86" w:rsidRDefault="005B1C86" w:rsidP="005B1C86">
      <w:pPr>
        <w:pStyle w:val="Tekstpodstawowywcity"/>
        <w:numPr>
          <w:ilvl w:val="0"/>
          <w:numId w:val="1"/>
        </w:numPr>
        <w:tabs>
          <w:tab w:val="left" w:pos="708"/>
        </w:tabs>
        <w:suppressAutoHyphens w:val="0"/>
        <w:spacing w:line="240" w:lineRule="auto"/>
        <w:rPr>
          <w:bCs/>
          <w:color w:val="000000"/>
          <w:szCs w:val="26"/>
        </w:rPr>
      </w:pPr>
      <w:r>
        <w:rPr>
          <w:bCs/>
          <w:color w:val="000000"/>
          <w:szCs w:val="26"/>
        </w:rPr>
        <w:t>w związku z Uchwałą Rady Nadzorczej Spółki nr 4/2023 z dnia 20 lutego 2023 r. w sprawie wyrażenia opinii w przedmiocie wniosku Zarządu do Walnego Zgromadzenia Spółki w sprawie uchylenia uchwały nr 22 Zwyczajnego Walnego Zgromadzenia z dnia 28 czerwca 2019 r. w sprawie zasad kształtowania wynagrodzeń Członków Zarządu Spółki i przyjęcia  zmienionych zasad kształtowania wynagrodzeń Członków Zarządu Spółki,</w:t>
      </w:r>
    </w:p>
    <w:p w:rsidR="005B1C86" w:rsidRDefault="005B1C86" w:rsidP="005B1C86">
      <w:pPr>
        <w:pStyle w:val="Tekstpodstawowywcity"/>
        <w:numPr>
          <w:ilvl w:val="0"/>
          <w:numId w:val="1"/>
        </w:numPr>
        <w:tabs>
          <w:tab w:val="left" w:pos="708"/>
        </w:tabs>
        <w:suppressAutoHyphens w:val="0"/>
        <w:spacing w:line="240" w:lineRule="auto"/>
        <w:rPr>
          <w:bCs/>
          <w:color w:val="000000"/>
          <w:szCs w:val="26"/>
        </w:rPr>
      </w:pPr>
      <w:r>
        <w:rPr>
          <w:bCs/>
          <w:color w:val="000000"/>
          <w:szCs w:val="26"/>
        </w:rPr>
        <w:t>w związku z wnioskiem Zarządu Spółki z dnia 20 lutego 2023 r.,</w:t>
      </w:r>
    </w:p>
    <w:p w:rsidR="005B1C86" w:rsidRDefault="005B1C86" w:rsidP="005B1C86">
      <w:pPr>
        <w:pStyle w:val="Tekstpodstawowywcity"/>
        <w:spacing w:line="240" w:lineRule="auto"/>
        <w:ind w:left="1080"/>
        <w:rPr>
          <w:bCs/>
          <w:color w:val="000000"/>
          <w:szCs w:val="26"/>
        </w:rPr>
      </w:pPr>
    </w:p>
    <w:p w:rsidR="005B1C86" w:rsidRDefault="005B1C86" w:rsidP="005B1C86">
      <w:pPr>
        <w:pStyle w:val="Tekstpodstawowywcity"/>
        <w:spacing w:line="240" w:lineRule="auto"/>
        <w:rPr>
          <w:bCs/>
          <w:color w:val="000000"/>
          <w:szCs w:val="26"/>
        </w:rPr>
      </w:pPr>
      <w:r>
        <w:rPr>
          <w:bCs/>
          <w:color w:val="000000"/>
          <w:szCs w:val="26"/>
        </w:rPr>
        <w:t>Nadzwyczajne Walne Zgromadzenie Spółki uchwala co następuje:</w:t>
      </w:r>
    </w:p>
    <w:p w:rsidR="005B1C86" w:rsidRDefault="005B1C86" w:rsidP="005B1C86">
      <w:pPr>
        <w:pStyle w:val="Tekstpodstawowywcity"/>
        <w:spacing w:line="240" w:lineRule="auto"/>
        <w:rPr>
          <w:b/>
          <w:color w:val="000000"/>
          <w:szCs w:val="26"/>
        </w:rPr>
      </w:pPr>
    </w:p>
    <w:p w:rsidR="005B1C86" w:rsidRDefault="005B1C86" w:rsidP="005B1C86">
      <w:pPr>
        <w:jc w:val="center"/>
        <w:rPr>
          <w:b/>
          <w:sz w:val="26"/>
          <w:szCs w:val="26"/>
        </w:rPr>
      </w:pPr>
      <w:r>
        <w:rPr>
          <w:b/>
          <w:sz w:val="26"/>
          <w:szCs w:val="26"/>
        </w:rPr>
        <w:t>§ 1</w:t>
      </w:r>
    </w:p>
    <w:p w:rsidR="005B1C86" w:rsidRDefault="005B1C86" w:rsidP="005B1C86">
      <w:pPr>
        <w:pStyle w:val="Akapitzlist"/>
        <w:numPr>
          <w:ilvl w:val="0"/>
          <w:numId w:val="2"/>
        </w:numPr>
        <w:suppressAutoHyphens w:val="0"/>
        <w:ind w:left="284"/>
        <w:contextualSpacing/>
        <w:jc w:val="both"/>
        <w:rPr>
          <w:bCs/>
          <w:sz w:val="26"/>
          <w:szCs w:val="26"/>
        </w:rPr>
      </w:pPr>
      <w:r>
        <w:rPr>
          <w:bCs/>
          <w:sz w:val="26"/>
          <w:szCs w:val="26"/>
        </w:rPr>
        <w:t>Uchyla się uchwałę nr 22 Zwyczajnego Walnego Zgromadzenia Spółki pod firmą Polski Fundusz Rozwoju Spółka Akcyjna z siedzibą w Warszawie z dnia 28 czerwca 2019 roku w sprawie zasad kształtowania wynagrodzeń Członków Zarządu Spółki, zmienionej uchwałą nr 2 Nadzwyczajnego Walnego Zgromadzenia Spółki z dnia 28 grudnia 2021 r. w sprawie zmiany uchwały nr 22 Zwyczajnego Walnego Zgromadzenia Spółki z dnia 28 czerwca 2019 roku w sprawie zasad kształtowania wynagrodzeń Członków Zarządu Spółki.</w:t>
      </w:r>
    </w:p>
    <w:p w:rsidR="005B1C86" w:rsidRDefault="005B1C86" w:rsidP="005B1C86">
      <w:pPr>
        <w:pStyle w:val="Akapitzlist"/>
        <w:numPr>
          <w:ilvl w:val="0"/>
          <w:numId w:val="2"/>
        </w:numPr>
        <w:suppressAutoHyphens w:val="0"/>
        <w:ind w:left="284"/>
        <w:contextualSpacing/>
        <w:jc w:val="both"/>
        <w:rPr>
          <w:bCs/>
          <w:sz w:val="26"/>
          <w:szCs w:val="26"/>
        </w:rPr>
      </w:pPr>
      <w:r>
        <w:rPr>
          <w:bCs/>
          <w:sz w:val="26"/>
          <w:szCs w:val="26"/>
        </w:rPr>
        <w:t>Określa się następujące zasady kształtowania wynagrodzeń członków Zarządu Spółki, przyjęte niniejszą uchwałą.</w:t>
      </w:r>
    </w:p>
    <w:p w:rsidR="005B1C86" w:rsidRDefault="005B1C86" w:rsidP="005B1C86">
      <w:pPr>
        <w:rPr>
          <w:b/>
          <w:sz w:val="26"/>
          <w:szCs w:val="26"/>
        </w:rPr>
      </w:pPr>
    </w:p>
    <w:p w:rsidR="005B1C86" w:rsidRDefault="005B1C86" w:rsidP="005B1C86">
      <w:pPr>
        <w:jc w:val="center"/>
        <w:rPr>
          <w:b/>
          <w:sz w:val="26"/>
          <w:szCs w:val="26"/>
        </w:rPr>
      </w:pPr>
      <w:r>
        <w:rPr>
          <w:b/>
          <w:sz w:val="26"/>
          <w:szCs w:val="26"/>
        </w:rPr>
        <w:t>§ 2</w:t>
      </w:r>
    </w:p>
    <w:p w:rsidR="005B1C86" w:rsidRDefault="005B1C86" w:rsidP="005B1C86">
      <w:pPr>
        <w:pStyle w:val="Akapitzlist"/>
        <w:numPr>
          <w:ilvl w:val="0"/>
          <w:numId w:val="3"/>
        </w:numPr>
        <w:suppressAutoHyphens w:val="0"/>
        <w:ind w:left="284"/>
        <w:contextualSpacing/>
        <w:jc w:val="both"/>
        <w:rPr>
          <w:bCs/>
          <w:sz w:val="26"/>
          <w:szCs w:val="26"/>
        </w:rPr>
      </w:pPr>
      <w:r>
        <w:rPr>
          <w:bCs/>
          <w:sz w:val="26"/>
          <w:szCs w:val="26"/>
        </w:rPr>
        <w:t>Z Członkiem Zarządu Spółki zawierana jest umowa o świadczenie usług zarządzania na czas pełnienia funkcji („</w:t>
      </w:r>
      <w:r>
        <w:rPr>
          <w:sz w:val="26"/>
          <w:szCs w:val="26"/>
        </w:rPr>
        <w:t>Umowa</w:t>
      </w:r>
      <w:r>
        <w:rPr>
          <w:bCs/>
          <w:sz w:val="26"/>
          <w:szCs w:val="26"/>
        </w:rPr>
        <w:t>”), z obowiązkiem świadczenia osobistego, bez względu na to, czy działa on w zakresie prowadzonej działalności gospodarczej.</w:t>
      </w:r>
    </w:p>
    <w:p w:rsidR="005B1C86" w:rsidRDefault="005B1C86" w:rsidP="005B1C86">
      <w:pPr>
        <w:pStyle w:val="Akapitzlist"/>
        <w:numPr>
          <w:ilvl w:val="0"/>
          <w:numId w:val="3"/>
        </w:numPr>
        <w:suppressAutoHyphens w:val="0"/>
        <w:ind w:left="284"/>
        <w:contextualSpacing/>
        <w:jc w:val="both"/>
        <w:rPr>
          <w:bCs/>
          <w:sz w:val="26"/>
          <w:szCs w:val="26"/>
        </w:rPr>
      </w:pPr>
      <w:r>
        <w:rPr>
          <w:bCs/>
          <w:sz w:val="26"/>
          <w:szCs w:val="26"/>
        </w:rPr>
        <w:lastRenderedPageBreak/>
        <w:t>Treść Umowy określa Rada Nadzorcza na warunkach określonych w ustawie z dnia 9 czerwca 2016 r. o zasadach kształtowania wynagrodzeń osób kierujących</w:t>
      </w:r>
      <w:r w:rsidR="00F54116">
        <w:rPr>
          <w:bCs/>
          <w:sz w:val="26"/>
          <w:szCs w:val="26"/>
        </w:rPr>
        <w:t xml:space="preserve"> </w:t>
      </w:r>
      <w:r>
        <w:rPr>
          <w:bCs/>
          <w:sz w:val="26"/>
          <w:szCs w:val="26"/>
        </w:rPr>
        <w:t>niektórymi spółkami („</w:t>
      </w:r>
      <w:r>
        <w:rPr>
          <w:sz w:val="26"/>
          <w:szCs w:val="26"/>
        </w:rPr>
        <w:t>Ustawa</w:t>
      </w:r>
      <w:r>
        <w:rPr>
          <w:bCs/>
          <w:sz w:val="26"/>
          <w:szCs w:val="26"/>
        </w:rPr>
        <w:t>”) oraz zgodnie z postanowieniami niniejszej uchwały.</w:t>
      </w:r>
    </w:p>
    <w:p w:rsidR="005B1C86" w:rsidRDefault="005B1C86" w:rsidP="005B1C86">
      <w:pPr>
        <w:pStyle w:val="Akapitzlist"/>
        <w:autoSpaceDE w:val="0"/>
        <w:autoSpaceDN w:val="0"/>
        <w:adjustRightInd w:val="0"/>
        <w:ind w:left="357"/>
        <w:rPr>
          <w:sz w:val="26"/>
          <w:szCs w:val="26"/>
          <w:lang w:eastAsia="pl-PL"/>
        </w:rPr>
      </w:pPr>
    </w:p>
    <w:p w:rsidR="005B1C86" w:rsidRDefault="005B1C86" w:rsidP="005B1C86">
      <w:pPr>
        <w:jc w:val="center"/>
        <w:rPr>
          <w:b/>
          <w:sz w:val="26"/>
          <w:szCs w:val="26"/>
        </w:rPr>
      </w:pPr>
      <w:r>
        <w:rPr>
          <w:b/>
          <w:sz w:val="26"/>
          <w:szCs w:val="26"/>
        </w:rPr>
        <w:t>§ 3</w:t>
      </w:r>
    </w:p>
    <w:p w:rsidR="005B1C86" w:rsidRDefault="005B1C86" w:rsidP="005B1C86">
      <w:pPr>
        <w:pStyle w:val="Akapitzlist"/>
        <w:numPr>
          <w:ilvl w:val="0"/>
          <w:numId w:val="4"/>
        </w:numPr>
        <w:suppressAutoHyphens w:val="0"/>
        <w:ind w:left="284"/>
        <w:contextualSpacing/>
        <w:jc w:val="both"/>
        <w:rPr>
          <w:bCs/>
          <w:sz w:val="26"/>
          <w:szCs w:val="26"/>
        </w:rPr>
      </w:pPr>
      <w:r>
        <w:rPr>
          <w:bCs/>
          <w:sz w:val="26"/>
          <w:szCs w:val="26"/>
        </w:rPr>
        <w:t>Wynagrodzenie całkowite Członka Zarządu Spółki składa się z części stałej, stanowiącej wynagrodzenie miesięczne podstawowe („</w:t>
      </w:r>
      <w:r>
        <w:rPr>
          <w:sz w:val="26"/>
          <w:szCs w:val="26"/>
        </w:rPr>
        <w:t>Wynagrodzenie Stałe</w:t>
      </w:r>
      <w:r>
        <w:rPr>
          <w:bCs/>
          <w:sz w:val="26"/>
          <w:szCs w:val="26"/>
        </w:rPr>
        <w:t>”) oraz części zmiennej, stanowiącej wynagrodzenie uzupełniające za rok obrotowy Spółki („</w:t>
      </w:r>
      <w:r>
        <w:rPr>
          <w:sz w:val="26"/>
          <w:szCs w:val="26"/>
        </w:rPr>
        <w:t>Wynagrodzenie Zmienne</w:t>
      </w:r>
      <w:r>
        <w:rPr>
          <w:bCs/>
          <w:sz w:val="26"/>
          <w:szCs w:val="26"/>
        </w:rPr>
        <w:t>”).</w:t>
      </w:r>
    </w:p>
    <w:p w:rsidR="005B1C86" w:rsidRDefault="005B1C86" w:rsidP="005B1C86">
      <w:pPr>
        <w:pStyle w:val="Akapitzlist"/>
        <w:numPr>
          <w:ilvl w:val="0"/>
          <w:numId w:val="4"/>
        </w:numPr>
        <w:suppressAutoHyphens w:val="0"/>
        <w:ind w:left="284"/>
        <w:contextualSpacing/>
        <w:jc w:val="both"/>
        <w:rPr>
          <w:bCs/>
          <w:sz w:val="26"/>
          <w:szCs w:val="26"/>
        </w:rPr>
      </w:pPr>
      <w:r>
        <w:rPr>
          <w:bCs/>
          <w:sz w:val="26"/>
          <w:szCs w:val="26"/>
        </w:rPr>
        <w:t xml:space="preserve">Z uwagi na fakt, iż Spółka jest podmiotem o strategicznym znaczeniu dla polskiej gospodarki, w szczególności z uwagi na zadania Spółki wynikające z ustawy z dnia 4 lipca 2019 r. o systemie instytucji rozwoju (Dz.U. z 2022 r. poz. 2183 z </w:t>
      </w:r>
      <w:proofErr w:type="spellStart"/>
      <w:r>
        <w:rPr>
          <w:bCs/>
          <w:sz w:val="26"/>
          <w:szCs w:val="26"/>
        </w:rPr>
        <w:t>późn</w:t>
      </w:r>
      <w:proofErr w:type="spellEnd"/>
      <w:r>
        <w:rPr>
          <w:bCs/>
          <w:sz w:val="26"/>
          <w:szCs w:val="26"/>
        </w:rPr>
        <w:t>. zm.) oraz ustawy z dnia 6 grudnia 2006 r. o zasadach prowadzenia polityki rozwoju (Dz. U. z 2023 r., poz. 225), Wynagrodzenie Stałe dla poszczególnych Członków Zarządu Spółki zawiera się w przedziale kwotowym mieszczącym się od siedmiokrotności do piętnastokrotności wysokości przeciętnego miesięcznego wynagrodzenia w sektorze przedsiębiorstw bez wypłat nagród z zysku w czwartym kwartale roku poprzedniego, ogłoszonego przez Prezesa Głównego Urzędu Statystycznego.</w:t>
      </w:r>
    </w:p>
    <w:p w:rsidR="005B1C86" w:rsidRDefault="005B1C86" w:rsidP="005B1C86">
      <w:pPr>
        <w:pStyle w:val="Akapitzlist"/>
        <w:numPr>
          <w:ilvl w:val="0"/>
          <w:numId w:val="4"/>
        </w:numPr>
        <w:suppressAutoHyphens w:val="0"/>
        <w:ind w:left="284"/>
        <w:contextualSpacing/>
        <w:jc w:val="both"/>
        <w:rPr>
          <w:bCs/>
          <w:sz w:val="26"/>
          <w:szCs w:val="26"/>
        </w:rPr>
      </w:pPr>
      <w:r>
        <w:rPr>
          <w:bCs/>
          <w:sz w:val="26"/>
          <w:szCs w:val="26"/>
        </w:rPr>
        <w:t>Upoważnia się Radę Nadzorczą Spółki do określenia kwotowo Wynagrodzenia Stałego dla poszczególnych Członków Zarządu zgodnie z postanowieniem ust. 2.</w:t>
      </w:r>
    </w:p>
    <w:p w:rsidR="005B1C86" w:rsidRDefault="005B1C86" w:rsidP="005B1C86">
      <w:pPr>
        <w:jc w:val="center"/>
        <w:rPr>
          <w:b/>
          <w:sz w:val="26"/>
          <w:szCs w:val="26"/>
        </w:rPr>
      </w:pPr>
    </w:p>
    <w:p w:rsidR="005B1C86" w:rsidRDefault="005B1C86" w:rsidP="005B1C86">
      <w:pPr>
        <w:jc w:val="center"/>
        <w:rPr>
          <w:b/>
          <w:sz w:val="26"/>
          <w:szCs w:val="26"/>
        </w:rPr>
      </w:pPr>
      <w:r>
        <w:rPr>
          <w:b/>
          <w:sz w:val="26"/>
          <w:szCs w:val="26"/>
        </w:rPr>
        <w:t>§ 4</w:t>
      </w:r>
    </w:p>
    <w:p w:rsidR="005B1C86" w:rsidRDefault="005B1C86" w:rsidP="005B1C86">
      <w:pPr>
        <w:pStyle w:val="Akapitzlist"/>
        <w:numPr>
          <w:ilvl w:val="0"/>
          <w:numId w:val="5"/>
        </w:numPr>
        <w:suppressAutoHyphens w:val="0"/>
        <w:ind w:left="284"/>
        <w:contextualSpacing/>
        <w:jc w:val="both"/>
        <w:rPr>
          <w:bCs/>
          <w:sz w:val="26"/>
          <w:szCs w:val="26"/>
        </w:rPr>
      </w:pPr>
      <w:r>
        <w:rPr>
          <w:bCs/>
          <w:sz w:val="26"/>
          <w:szCs w:val="26"/>
        </w:rPr>
        <w:t>Wynagrodzenie Zmienne jest uzależnione od poziomu realizacji ustalonych Celów Zarządczych i nie może przekroczyć 100% Wynagrodzenia Stałego w poprzednim roku obrotowym, dla którego dokonywane jest obliczenie wysokości przysługującego Wynagrodzenia Zmiennego.</w:t>
      </w:r>
    </w:p>
    <w:p w:rsidR="005B1C86" w:rsidRDefault="005B1C86" w:rsidP="005B1C86">
      <w:pPr>
        <w:pStyle w:val="Akapitzlist"/>
        <w:numPr>
          <w:ilvl w:val="0"/>
          <w:numId w:val="5"/>
        </w:numPr>
        <w:suppressAutoHyphens w:val="0"/>
        <w:ind w:left="284"/>
        <w:contextualSpacing/>
        <w:jc w:val="both"/>
        <w:rPr>
          <w:bCs/>
          <w:sz w:val="26"/>
          <w:szCs w:val="26"/>
        </w:rPr>
      </w:pPr>
      <w:r>
        <w:rPr>
          <w:bCs/>
          <w:sz w:val="26"/>
          <w:szCs w:val="26"/>
        </w:rPr>
        <w:t>Wysokość Wynagrodzenia Zmiennego dla każdego z Członków Zarządu ustala Rada Nadzorcza Spółki.</w:t>
      </w:r>
    </w:p>
    <w:p w:rsidR="005B1C86" w:rsidRDefault="005B1C86" w:rsidP="005B1C86">
      <w:pPr>
        <w:pStyle w:val="Akapitzlist"/>
        <w:numPr>
          <w:ilvl w:val="0"/>
          <w:numId w:val="5"/>
        </w:numPr>
        <w:suppressAutoHyphens w:val="0"/>
        <w:ind w:left="284"/>
        <w:contextualSpacing/>
        <w:jc w:val="both"/>
        <w:rPr>
          <w:bCs/>
          <w:sz w:val="26"/>
          <w:szCs w:val="26"/>
        </w:rPr>
      </w:pPr>
      <w:r>
        <w:rPr>
          <w:bCs/>
          <w:sz w:val="26"/>
          <w:szCs w:val="26"/>
        </w:rPr>
        <w:t>Ustala się następujące ogólne Cele Zarządcze:</w:t>
      </w:r>
    </w:p>
    <w:p w:rsidR="005B1C86" w:rsidRDefault="005B1C86" w:rsidP="005B1C86">
      <w:pPr>
        <w:pStyle w:val="Akapitzlist"/>
        <w:numPr>
          <w:ilvl w:val="0"/>
          <w:numId w:val="6"/>
        </w:numPr>
        <w:suppressAutoHyphens w:val="0"/>
        <w:contextualSpacing/>
        <w:jc w:val="both"/>
        <w:rPr>
          <w:bCs/>
          <w:sz w:val="26"/>
          <w:szCs w:val="26"/>
        </w:rPr>
      </w:pPr>
      <w:r>
        <w:rPr>
          <w:bCs/>
          <w:sz w:val="26"/>
          <w:szCs w:val="26"/>
        </w:rPr>
        <w:t>realizacja strategii;</w:t>
      </w:r>
    </w:p>
    <w:p w:rsidR="005B1C86" w:rsidRDefault="005B1C86" w:rsidP="005B1C86">
      <w:pPr>
        <w:pStyle w:val="Akapitzlist"/>
        <w:numPr>
          <w:ilvl w:val="0"/>
          <w:numId w:val="6"/>
        </w:numPr>
        <w:suppressAutoHyphens w:val="0"/>
        <w:contextualSpacing/>
        <w:jc w:val="both"/>
        <w:rPr>
          <w:bCs/>
          <w:sz w:val="26"/>
          <w:szCs w:val="26"/>
        </w:rPr>
      </w:pPr>
      <w:r>
        <w:rPr>
          <w:bCs/>
          <w:sz w:val="26"/>
          <w:szCs w:val="26"/>
        </w:rPr>
        <w:t>realizacja inwestycji;</w:t>
      </w:r>
    </w:p>
    <w:p w:rsidR="005B1C86" w:rsidRDefault="005B1C86" w:rsidP="005B1C86">
      <w:pPr>
        <w:pStyle w:val="Akapitzlist"/>
        <w:numPr>
          <w:ilvl w:val="0"/>
          <w:numId w:val="6"/>
        </w:numPr>
        <w:suppressAutoHyphens w:val="0"/>
        <w:contextualSpacing/>
        <w:jc w:val="both"/>
        <w:rPr>
          <w:bCs/>
          <w:sz w:val="26"/>
          <w:szCs w:val="26"/>
        </w:rPr>
      </w:pPr>
      <w:r>
        <w:rPr>
          <w:bCs/>
          <w:sz w:val="26"/>
          <w:szCs w:val="26"/>
        </w:rPr>
        <w:t>poprawa wskaźników ekonomiczno-finansowych.</w:t>
      </w:r>
    </w:p>
    <w:p w:rsidR="005B1C86" w:rsidRDefault="005B1C86" w:rsidP="005B1C86">
      <w:pPr>
        <w:pStyle w:val="Akapitzlist"/>
        <w:numPr>
          <w:ilvl w:val="0"/>
          <w:numId w:val="5"/>
        </w:numPr>
        <w:suppressAutoHyphens w:val="0"/>
        <w:ind w:left="284"/>
        <w:contextualSpacing/>
        <w:jc w:val="both"/>
        <w:rPr>
          <w:bCs/>
          <w:sz w:val="26"/>
          <w:szCs w:val="26"/>
        </w:rPr>
      </w:pPr>
      <w:r>
        <w:rPr>
          <w:bCs/>
          <w:sz w:val="26"/>
          <w:szCs w:val="26"/>
        </w:rPr>
        <w:t>Upoważnia się Radę Nadzorczą Spółki do ustalenia szczegółowych Celów Zarządczych.</w:t>
      </w:r>
    </w:p>
    <w:p w:rsidR="005B1C86" w:rsidRDefault="005B1C86" w:rsidP="005B1C86">
      <w:pPr>
        <w:pStyle w:val="Akapitzlist"/>
        <w:numPr>
          <w:ilvl w:val="0"/>
          <w:numId w:val="5"/>
        </w:numPr>
        <w:suppressAutoHyphens w:val="0"/>
        <w:ind w:left="284"/>
        <w:contextualSpacing/>
        <w:jc w:val="both"/>
        <w:rPr>
          <w:bCs/>
          <w:sz w:val="26"/>
          <w:szCs w:val="26"/>
        </w:rPr>
      </w:pPr>
      <w:r>
        <w:rPr>
          <w:bCs/>
          <w:sz w:val="26"/>
          <w:szCs w:val="26"/>
        </w:rPr>
        <w:t>Upoważnia się Radę Nadzorczą do określenia Wag dla Celów Zarządczych oraz obiektywnych i mierzalnych kryteriów (wskaźników) ich realizacji i rozliczania (KPI).</w:t>
      </w:r>
    </w:p>
    <w:p w:rsidR="005B1C86" w:rsidRDefault="005B1C86" w:rsidP="005B1C86">
      <w:pPr>
        <w:pStyle w:val="Akapitzlist"/>
        <w:numPr>
          <w:ilvl w:val="0"/>
          <w:numId w:val="5"/>
        </w:numPr>
        <w:suppressAutoHyphens w:val="0"/>
        <w:ind w:left="284"/>
        <w:contextualSpacing/>
        <w:jc w:val="both"/>
        <w:rPr>
          <w:bCs/>
          <w:sz w:val="26"/>
          <w:szCs w:val="26"/>
        </w:rPr>
      </w:pPr>
      <w:r>
        <w:rPr>
          <w:bCs/>
          <w:sz w:val="26"/>
          <w:szCs w:val="26"/>
        </w:rPr>
        <w:t>Przy określaniu szczegółowych Celów Zarządczych, ich Wagi oraz kryteriów ich realizacji i rozliczania, Rada Nadzorcza uwzględni także stopień realizacji misji publicznej.</w:t>
      </w:r>
    </w:p>
    <w:p w:rsidR="005B1C86" w:rsidRDefault="005B1C86" w:rsidP="005B1C86">
      <w:pPr>
        <w:pStyle w:val="Akapitzlist"/>
        <w:numPr>
          <w:ilvl w:val="0"/>
          <w:numId w:val="5"/>
        </w:numPr>
        <w:suppressAutoHyphens w:val="0"/>
        <w:ind w:left="284"/>
        <w:contextualSpacing/>
        <w:jc w:val="both"/>
        <w:rPr>
          <w:bCs/>
          <w:sz w:val="26"/>
          <w:szCs w:val="26"/>
        </w:rPr>
      </w:pPr>
      <w:r>
        <w:rPr>
          <w:bCs/>
          <w:sz w:val="26"/>
          <w:szCs w:val="26"/>
        </w:rPr>
        <w:t>Jako odrębne Cele Zarządcze, warunkujące możliwość otrzymania Wynagrodzenia Zmiennego określa się:</w:t>
      </w:r>
    </w:p>
    <w:p w:rsidR="005B1C86" w:rsidRDefault="005B1C86" w:rsidP="005B1C86">
      <w:pPr>
        <w:pStyle w:val="Akapitzlist"/>
        <w:numPr>
          <w:ilvl w:val="0"/>
          <w:numId w:val="7"/>
        </w:numPr>
        <w:suppressAutoHyphens w:val="0"/>
        <w:contextualSpacing/>
        <w:jc w:val="both"/>
        <w:rPr>
          <w:bCs/>
          <w:sz w:val="26"/>
          <w:szCs w:val="26"/>
        </w:rPr>
      </w:pPr>
      <w:r>
        <w:rPr>
          <w:bCs/>
          <w:sz w:val="26"/>
          <w:szCs w:val="26"/>
        </w:rPr>
        <w:t>ukształtowanie i stosowanie zasad wynagradzania członków organów zarządzających i nadzorczych podmiotów zależnych odpowiadających zasadom określonym w Ustawie,</w:t>
      </w:r>
    </w:p>
    <w:p w:rsidR="005B1C86" w:rsidRDefault="005B1C86" w:rsidP="005B1C86">
      <w:pPr>
        <w:pStyle w:val="Akapitzlist"/>
        <w:numPr>
          <w:ilvl w:val="0"/>
          <w:numId w:val="7"/>
        </w:numPr>
        <w:suppressAutoHyphens w:val="0"/>
        <w:contextualSpacing/>
        <w:jc w:val="both"/>
        <w:rPr>
          <w:bCs/>
          <w:sz w:val="26"/>
          <w:szCs w:val="26"/>
        </w:rPr>
      </w:pPr>
      <w:r>
        <w:rPr>
          <w:bCs/>
          <w:sz w:val="26"/>
          <w:szCs w:val="26"/>
        </w:rPr>
        <w:t>realizację obowiązków, o których mowa w art. 17-20, art. 22 i art. 23 ustawy</w:t>
      </w:r>
      <w:r w:rsidR="00F54116">
        <w:rPr>
          <w:bCs/>
          <w:sz w:val="26"/>
          <w:szCs w:val="26"/>
        </w:rPr>
        <w:br/>
      </w:r>
      <w:r>
        <w:rPr>
          <w:bCs/>
          <w:sz w:val="26"/>
          <w:szCs w:val="26"/>
        </w:rPr>
        <w:t xml:space="preserve">z dnia 16 grudnia 2016 r. o zasadach zarządzania mieniem państwowym (Dz. U. z 2021 r., poz. 1933, z </w:t>
      </w:r>
      <w:proofErr w:type="spellStart"/>
      <w:r>
        <w:rPr>
          <w:bCs/>
          <w:sz w:val="26"/>
          <w:szCs w:val="26"/>
        </w:rPr>
        <w:t>późn</w:t>
      </w:r>
      <w:proofErr w:type="spellEnd"/>
      <w:r>
        <w:rPr>
          <w:bCs/>
          <w:sz w:val="26"/>
          <w:szCs w:val="26"/>
        </w:rPr>
        <w:t xml:space="preserve">. zm.), w stosunku do </w:t>
      </w:r>
      <w:bookmarkStart w:id="1" w:name="_Hlk88565568"/>
      <w:r>
        <w:rPr>
          <w:bCs/>
          <w:sz w:val="26"/>
          <w:szCs w:val="26"/>
        </w:rPr>
        <w:t>spółek zależnych Spółki</w:t>
      </w:r>
      <w:r w:rsidR="00F54116">
        <w:rPr>
          <w:bCs/>
          <w:sz w:val="26"/>
          <w:szCs w:val="26"/>
        </w:rPr>
        <w:br/>
      </w:r>
      <w:r>
        <w:rPr>
          <w:bCs/>
          <w:sz w:val="26"/>
          <w:szCs w:val="26"/>
        </w:rPr>
        <w:t xml:space="preserve">w rozumieniu art. 4 pkt 3 ustawy z dnia 16 lutego 2007 r. o ochronie konkurencji i konsumentów (Dz.U. z 2021 r. poz. 275, z </w:t>
      </w:r>
      <w:proofErr w:type="spellStart"/>
      <w:r>
        <w:rPr>
          <w:bCs/>
          <w:sz w:val="26"/>
          <w:szCs w:val="26"/>
        </w:rPr>
        <w:t>późn</w:t>
      </w:r>
      <w:proofErr w:type="spellEnd"/>
      <w:r>
        <w:rPr>
          <w:bCs/>
          <w:sz w:val="26"/>
          <w:szCs w:val="26"/>
        </w:rPr>
        <w:t>. zm.)</w:t>
      </w:r>
      <w:bookmarkEnd w:id="1"/>
      <w:r>
        <w:rPr>
          <w:bCs/>
          <w:sz w:val="26"/>
          <w:szCs w:val="26"/>
        </w:rPr>
        <w:t>.</w:t>
      </w:r>
    </w:p>
    <w:p w:rsidR="005B1C86" w:rsidRDefault="005B1C86" w:rsidP="005B1C86">
      <w:pPr>
        <w:pStyle w:val="Akapitzlist"/>
        <w:numPr>
          <w:ilvl w:val="0"/>
          <w:numId w:val="5"/>
        </w:numPr>
        <w:suppressAutoHyphens w:val="0"/>
        <w:ind w:left="284"/>
        <w:contextualSpacing/>
        <w:jc w:val="both"/>
        <w:rPr>
          <w:bCs/>
          <w:sz w:val="26"/>
          <w:szCs w:val="26"/>
        </w:rPr>
      </w:pPr>
      <w:r>
        <w:rPr>
          <w:bCs/>
          <w:sz w:val="26"/>
          <w:szCs w:val="26"/>
        </w:rPr>
        <w:t>Spełnienie warunków do przyznania poszczególnym Członkom Zarządu Wynagrodzenia Zmiennego za dany rok obrotowy stwierdza Rada Nadzorcza</w:t>
      </w:r>
      <w:r w:rsidR="00F54116">
        <w:rPr>
          <w:bCs/>
          <w:sz w:val="26"/>
          <w:szCs w:val="26"/>
        </w:rPr>
        <w:br/>
      </w:r>
      <w:r>
        <w:rPr>
          <w:bCs/>
          <w:sz w:val="26"/>
          <w:szCs w:val="26"/>
        </w:rPr>
        <w:t>w oparciu o zweryfikowane przez biegłych sprawozdanie finansowe oraz inne dokumenty właściwe do oceny realizacji wyznaczonych Celów Zarządczych,</w:t>
      </w:r>
      <w:r w:rsidR="00F54116">
        <w:rPr>
          <w:bCs/>
          <w:sz w:val="26"/>
          <w:szCs w:val="26"/>
        </w:rPr>
        <w:br/>
      </w:r>
      <w:r>
        <w:rPr>
          <w:bCs/>
          <w:sz w:val="26"/>
          <w:szCs w:val="26"/>
        </w:rPr>
        <w:t>z zastrzeżeniem ust. 9. Na tej podstawie Rada Nadzorcza określa kwotę Wynagrodzenia Zmiennego dla poszczególnych Członków Zarządu, przy czym</w:t>
      </w:r>
      <w:r w:rsidR="00F54116">
        <w:rPr>
          <w:bCs/>
          <w:sz w:val="26"/>
          <w:szCs w:val="26"/>
        </w:rPr>
        <w:br/>
      </w:r>
      <w:r>
        <w:rPr>
          <w:bCs/>
          <w:sz w:val="26"/>
          <w:szCs w:val="26"/>
        </w:rPr>
        <w:t>w przypadku sprawowania mandatu przez Członka Zarządu tylko przez część danego roku obrotowego, wysokość Wynagrodzenia Zmiennego przysługującego za ten rok jest ustalana z uwzględnieniem okresu sprawowania funkcji Członka Zarządu</w:t>
      </w:r>
      <w:r w:rsidR="00F54116">
        <w:rPr>
          <w:bCs/>
          <w:sz w:val="26"/>
          <w:szCs w:val="26"/>
        </w:rPr>
        <w:br/>
      </w:r>
      <w:r>
        <w:rPr>
          <w:bCs/>
          <w:sz w:val="26"/>
          <w:szCs w:val="26"/>
        </w:rPr>
        <w:t xml:space="preserve">w takim roku obrotowym. </w:t>
      </w:r>
    </w:p>
    <w:p w:rsidR="005B1C86" w:rsidRDefault="005B1C86" w:rsidP="005B1C86">
      <w:pPr>
        <w:pStyle w:val="Akapitzlist"/>
        <w:numPr>
          <w:ilvl w:val="0"/>
          <w:numId w:val="5"/>
        </w:numPr>
        <w:suppressAutoHyphens w:val="0"/>
        <w:ind w:left="284"/>
        <w:contextualSpacing/>
        <w:jc w:val="both"/>
        <w:rPr>
          <w:bCs/>
          <w:sz w:val="26"/>
          <w:szCs w:val="26"/>
        </w:rPr>
      </w:pPr>
      <w:r>
        <w:rPr>
          <w:bCs/>
          <w:sz w:val="26"/>
          <w:szCs w:val="26"/>
        </w:rPr>
        <w:t xml:space="preserve">Wynagrodzenie Zmienne przysługuje danemu Członkowi Zarządu, po zatwierdzeniu sprawozdania Zarządu z działalności Spółki oraz sprawozdania finansowego za ubiegły rok obrotowy i udzieleniu temu członkowi absolutorium z wykonywania przez niego obowiązków przez Walne Zgromadzenie. </w:t>
      </w:r>
    </w:p>
    <w:p w:rsidR="005B1C86" w:rsidRDefault="005B1C86" w:rsidP="005B1C86">
      <w:pPr>
        <w:pStyle w:val="Akapitzlist"/>
        <w:numPr>
          <w:ilvl w:val="0"/>
          <w:numId w:val="5"/>
        </w:numPr>
        <w:suppressAutoHyphens w:val="0"/>
        <w:ind w:left="284"/>
        <w:contextualSpacing/>
        <w:jc w:val="both"/>
        <w:rPr>
          <w:bCs/>
          <w:sz w:val="26"/>
          <w:szCs w:val="26"/>
        </w:rPr>
      </w:pPr>
      <w:r>
        <w:rPr>
          <w:bCs/>
          <w:sz w:val="26"/>
          <w:szCs w:val="26"/>
        </w:rPr>
        <w:t>Wygaśnięcie mandatu w trakcie albo po upływie roku obrotowego ocenianego pod względem wykonania Celów Zarządczych nie powoduje utraty prawa do Wynagrodzenia Zmiennego, którego wysokość w takiej sytuacji jest ustalana zgodnie z ust. 8.</w:t>
      </w:r>
    </w:p>
    <w:p w:rsidR="005B1C86" w:rsidRDefault="005B1C86" w:rsidP="005B1C86">
      <w:pPr>
        <w:rPr>
          <w:bCs/>
          <w:sz w:val="26"/>
          <w:szCs w:val="26"/>
        </w:rPr>
      </w:pPr>
    </w:p>
    <w:p w:rsidR="005B1C86" w:rsidRDefault="005B1C86" w:rsidP="005B1C86">
      <w:pPr>
        <w:jc w:val="center"/>
        <w:rPr>
          <w:b/>
          <w:sz w:val="26"/>
          <w:szCs w:val="26"/>
        </w:rPr>
      </w:pPr>
      <w:r>
        <w:rPr>
          <w:b/>
          <w:sz w:val="26"/>
          <w:szCs w:val="26"/>
        </w:rPr>
        <w:t>§ 5</w:t>
      </w:r>
    </w:p>
    <w:p w:rsidR="005B1C86" w:rsidRDefault="005B1C86" w:rsidP="005B1C86">
      <w:pPr>
        <w:pStyle w:val="Akapitzlist"/>
        <w:numPr>
          <w:ilvl w:val="0"/>
          <w:numId w:val="8"/>
        </w:numPr>
        <w:suppressAutoHyphens w:val="0"/>
        <w:ind w:left="284"/>
        <w:contextualSpacing/>
        <w:jc w:val="both"/>
        <w:rPr>
          <w:bCs/>
          <w:sz w:val="26"/>
          <w:szCs w:val="26"/>
        </w:rPr>
      </w:pPr>
      <w:r>
        <w:rPr>
          <w:bCs/>
          <w:sz w:val="26"/>
          <w:szCs w:val="26"/>
        </w:rPr>
        <w:t>Umowa zawiera obowiązek informowania przez Członka Zarządu o zamiarze pełnienia funkcji w organach innej spółki handlowej, nabyciu w niej akcji oraz może przewidywać zakaz pełnienia funkcji w organach jakiejkolwiek innej spółki handlowej lub wprowadzać inne ograniczenia dotyczące dodatkowej działalności Członka Zarządu.</w:t>
      </w:r>
    </w:p>
    <w:p w:rsidR="005B1C86" w:rsidRDefault="005B1C86" w:rsidP="005B1C86">
      <w:pPr>
        <w:pStyle w:val="Akapitzlist"/>
        <w:numPr>
          <w:ilvl w:val="0"/>
          <w:numId w:val="8"/>
        </w:numPr>
        <w:suppressAutoHyphens w:val="0"/>
        <w:ind w:left="284"/>
        <w:contextualSpacing/>
        <w:jc w:val="both"/>
        <w:rPr>
          <w:bCs/>
          <w:sz w:val="26"/>
          <w:szCs w:val="26"/>
        </w:rPr>
      </w:pPr>
      <w:r>
        <w:rPr>
          <w:bCs/>
          <w:sz w:val="26"/>
          <w:szCs w:val="26"/>
        </w:rPr>
        <w:t>Członek Zarządu nie może pobierać wynagrodzenia z tytułu pełnienia funkcji członka organu w podmiotach zależnych od Spółki w ramach grupy kapitałowej</w:t>
      </w:r>
      <w:r w:rsidR="00F54116">
        <w:rPr>
          <w:bCs/>
          <w:sz w:val="26"/>
          <w:szCs w:val="26"/>
        </w:rPr>
        <w:br/>
      </w:r>
      <w:r>
        <w:rPr>
          <w:bCs/>
          <w:sz w:val="26"/>
          <w:szCs w:val="26"/>
        </w:rPr>
        <w:t>w rozumieniu art. 4 pkt 14 ustawy z dnia 16 lutego 2007 r. o ochronie konkurencji</w:t>
      </w:r>
      <w:r w:rsidR="00F54116">
        <w:rPr>
          <w:bCs/>
          <w:sz w:val="26"/>
          <w:szCs w:val="26"/>
        </w:rPr>
        <w:br/>
      </w:r>
      <w:r>
        <w:rPr>
          <w:bCs/>
          <w:sz w:val="26"/>
          <w:szCs w:val="26"/>
        </w:rPr>
        <w:t>i konsumentów.</w:t>
      </w:r>
    </w:p>
    <w:p w:rsidR="005B1C86" w:rsidRDefault="005B1C86" w:rsidP="005B1C86">
      <w:pPr>
        <w:pStyle w:val="Akapitzlist"/>
        <w:numPr>
          <w:ilvl w:val="0"/>
          <w:numId w:val="8"/>
        </w:numPr>
        <w:suppressAutoHyphens w:val="0"/>
        <w:ind w:left="284"/>
        <w:contextualSpacing/>
        <w:jc w:val="both"/>
        <w:rPr>
          <w:bCs/>
          <w:sz w:val="26"/>
          <w:szCs w:val="26"/>
        </w:rPr>
      </w:pPr>
      <w:r>
        <w:rPr>
          <w:bCs/>
          <w:sz w:val="26"/>
          <w:szCs w:val="26"/>
        </w:rPr>
        <w:t>Upoważnia się Radę Nadzorczą do określenia zakazów i ograniczeń, o których mowa w ust. 1 i 2 powyżej, obowiązków sprawozdawczych z ich wykonania oraz sankcji za nienależyte wykonanie.</w:t>
      </w:r>
    </w:p>
    <w:p w:rsidR="005B1C86" w:rsidRDefault="005B1C86" w:rsidP="005B1C86">
      <w:pPr>
        <w:rPr>
          <w:bCs/>
          <w:sz w:val="26"/>
          <w:szCs w:val="26"/>
        </w:rPr>
      </w:pPr>
    </w:p>
    <w:p w:rsidR="005B1C86" w:rsidRDefault="005B1C86" w:rsidP="005B1C86">
      <w:pPr>
        <w:jc w:val="center"/>
        <w:rPr>
          <w:b/>
          <w:sz w:val="26"/>
          <w:szCs w:val="26"/>
        </w:rPr>
      </w:pPr>
      <w:r>
        <w:rPr>
          <w:b/>
          <w:sz w:val="26"/>
          <w:szCs w:val="26"/>
        </w:rPr>
        <w:t>§ 6</w:t>
      </w:r>
    </w:p>
    <w:p w:rsidR="005B1C86" w:rsidRDefault="005B1C86" w:rsidP="005B1C86">
      <w:pPr>
        <w:pStyle w:val="Akapitzlist"/>
        <w:numPr>
          <w:ilvl w:val="0"/>
          <w:numId w:val="9"/>
        </w:numPr>
        <w:suppressAutoHyphens w:val="0"/>
        <w:ind w:left="284"/>
        <w:contextualSpacing/>
        <w:jc w:val="both"/>
        <w:rPr>
          <w:bCs/>
          <w:sz w:val="26"/>
          <w:szCs w:val="26"/>
        </w:rPr>
      </w:pPr>
      <w:r>
        <w:rPr>
          <w:bCs/>
          <w:sz w:val="26"/>
          <w:szCs w:val="26"/>
        </w:rPr>
        <w:t>Rada Nadzorcza określi w Umowie zakres i zasady udostępniania Członkowi Zarządu urządzeń technicznych oraz zasobów stanowiących mienie Spółki, niezbędnych do wykonywania funkcji, a także limity dotyczące poszczególnych kosztów albo sposób ich określania.</w:t>
      </w:r>
    </w:p>
    <w:p w:rsidR="005B1C86" w:rsidRDefault="005B1C86" w:rsidP="005B1C86">
      <w:pPr>
        <w:pStyle w:val="Akapitzlist"/>
        <w:numPr>
          <w:ilvl w:val="0"/>
          <w:numId w:val="9"/>
        </w:numPr>
        <w:suppressAutoHyphens w:val="0"/>
        <w:ind w:left="284"/>
        <w:contextualSpacing/>
        <w:jc w:val="both"/>
        <w:rPr>
          <w:bCs/>
          <w:sz w:val="26"/>
          <w:szCs w:val="26"/>
        </w:rPr>
      </w:pPr>
      <w:r>
        <w:rPr>
          <w:bCs/>
          <w:sz w:val="26"/>
          <w:szCs w:val="26"/>
        </w:rPr>
        <w:t>Umowa może określić także zasady korzystania przez Członka Zarządu z mienia spółki do celów prywatnych, jak również szczegółowe zasady lub limity przyznawania Członkowi Zarządu świadczeń niepieniężnych.</w:t>
      </w:r>
    </w:p>
    <w:p w:rsidR="005B1C86" w:rsidRDefault="005B1C86" w:rsidP="005B1C86">
      <w:pPr>
        <w:pStyle w:val="Akapitzlist"/>
        <w:numPr>
          <w:ilvl w:val="0"/>
          <w:numId w:val="9"/>
        </w:numPr>
        <w:suppressAutoHyphens w:val="0"/>
        <w:ind w:left="284"/>
        <w:contextualSpacing/>
        <w:jc w:val="both"/>
        <w:rPr>
          <w:bCs/>
          <w:sz w:val="26"/>
          <w:szCs w:val="26"/>
        </w:rPr>
      </w:pPr>
      <w:r>
        <w:rPr>
          <w:bCs/>
          <w:sz w:val="26"/>
          <w:szCs w:val="26"/>
        </w:rPr>
        <w:t xml:space="preserve">Umowa może określić zasady udzielania Członkom Zarządu przerw w świadczeniu usług na podstawie własnej decyzji Członka Zarządu, w tym wskutek choroby, nie powodujących obniżenia wynagrodzenia Członka Zarządu, w wymiarze nieprzekraczającym do 24 dni kalendarzowych w danym roku obrotowym.  </w:t>
      </w:r>
    </w:p>
    <w:p w:rsidR="005B1C86" w:rsidRDefault="005B1C86" w:rsidP="005B1C86">
      <w:pPr>
        <w:pStyle w:val="Akapitzlist"/>
        <w:ind w:left="284"/>
        <w:rPr>
          <w:bCs/>
          <w:sz w:val="26"/>
          <w:szCs w:val="26"/>
        </w:rPr>
      </w:pPr>
    </w:p>
    <w:p w:rsidR="005B1C86" w:rsidRDefault="005B1C86" w:rsidP="005B1C86">
      <w:pPr>
        <w:jc w:val="center"/>
        <w:rPr>
          <w:b/>
          <w:sz w:val="26"/>
          <w:szCs w:val="26"/>
        </w:rPr>
      </w:pPr>
      <w:r>
        <w:rPr>
          <w:b/>
          <w:sz w:val="26"/>
          <w:szCs w:val="26"/>
        </w:rPr>
        <w:t>§ 7</w:t>
      </w:r>
    </w:p>
    <w:p w:rsidR="005B1C86" w:rsidRDefault="005B1C86" w:rsidP="005B1C86">
      <w:pPr>
        <w:pStyle w:val="Akapitzlist"/>
        <w:numPr>
          <w:ilvl w:val="0"/>
          <w:numId w:val="10"/>
        </w:numPr>
        <w:suppressAutoHyphens w:val="0"/>
        <w:ind w:left="284"/>
        <w:contextualSpacing/>
        <w:jc w:val="both"/>
        <w:rPr>
          <w:bCs/>
          <w:sz w:val="26"/>
          <w:szCs w:val="26"/>
        </w:rPr>
      </w:pPr>
      <w:r>
        <w:rPr>
          <w:bCs/>
          <w:sz w:val="26"/>
          <w:szCs w:val="26"/>
        </w:rPr>
        <w:t>W przypadku wygaśnięcia mandatu, w szczególności na skutek śmierci, odwołania lub złożenia rezygnacji, Umowa rozwiązuje się z ostatnim dniem pełnienia funkcji bez okresu wypowiedzenia i konieczności dokonywania dodatkowych czynności.</w:t>
      </w:r>
    </w:p>
    <w:p w:rsidR="005B1C86" w:rsidRDefault="005B1C86" w:rsidP="005B1C86">
      <w:pPr>
        <w:pStyle w:val="Akapitzlist"/>
        <w:numPr>
          <w:ilvl w:val="0"/>
          <w:numId w:val="10"/>
        </w:numPr>
        <w:suppressAutoHyphens w:val="0"/>
        <w:ind w:left="284"/>
        <w:contextualSpacing/>
        <w:jc w:val="both"/>
        <w:rPr>
          <w:bCs/>
          <w:sz w:val="26"/>
          <w:szCs w:val="26"/>
        </w:rPr>
      </w:pPr>
      <w:r>
        <w:rPr>
          <w:bCs/>
          <w:sz w:val="26"/>
          <w:szCs w:val="26"/>
        </w:rPr>
        <w:t xml:space="preserve">W przypadku rozwiązania Umowy za porozumieniem Stron ustalony termin rozwiązania Umowy nie może być dłuższy niż 3 (trzy) miesiące. </w:t>
      </w:r>
    </w:p>
    <w:p w:rsidR="005B1C86" w:rsidRDefault="005B1C86" w:rsidP="005B1C86">
      <w:pPr>
        <w:pStyle w:val="Akapitzlist"/>
        <w:numPr>
          <w:ilvl w:val="0"/>
          <w:numId w:val="10"/>
        </w:numPr>
        <w:suppressAutoHyphens w:val="0"/>
        <w:ind w:left="284"/>
        <w:contextualSpacing/>
        <w:jc w:val="both"/>
        <w:rPr>
          <w:bCs/>
          <w:sz w:val="26"/>
          <w:szCs w:val="26"/>
        </w:rPr>
      </w:pPr>
      <w:r>
        <w:rPr>
          <w:bCs/>
          <w:sz w:val="26"/>
          <w:szCs w:val="26"/>
        </w:rPr>
        <w:t>Każda ze Stron ma prawo wypowiedzenia Umowy ze skutkiem natychmiastowym</w:t>
      </w:r>
      <w:r>
        <w:rPr>
          <w:bCs/>
          <w:sz w:val="26"/>
          <w:szCs w:val="26"/>
        </w:rPr>
        <w:br/>
        <w:t>w przypadku istotnego naruszenia przez drugą Stronę postanowień Umowy.</w:t>
      </w:r>
    </w:p>
    <w:p w:rsidR="005B1C86" w:rsidRDefault="005B1C86" w:rsidP="005B1C86">
      <w:pPr>
        <w:pStyle w:val="Akapitzlist"/>
        <w:numPr>
          <w:ilvl w:val="0"/>
          <w:numId w:val="10"/>
        </w:numPr>
        <w:suppressAutoHyphens w:val="0"/>
        <w:ind w:left="284"/>
        <w:contextualSpacing/>
        <w:jc w:val="both"/>
        <w:rPr>
          <w:bCs/>
          <w:sz w:val="26"/>
          <w:szCs w:val="26"/>
        </w:rPr>
      </w:pPr>
      <w:r>
        <w:rPr>
          <w:bCs/>
          <w:sz w:val="26"/>
          <w:szCs w:val="26"/>
        </w:rPr>
        <w:t>Każda ze Stron ma prawo wypowiedzenia Umowy z innych przyczyn niż określona w ust. 3, z maksymalnie 3 (trzy) miesięcznym terminem wypowiedzenia,</w:t>
      </w:r>
      <w:r w:rsidR="00F54116">
        <w:rPr>
          <w:bCs/>
          <w:sz w:val="26"/>
          <w:szCs w:val="26"/>
        </w:rPr>
        <w:br/>
      </w:r>
      <w:r>
        <w:rPr>
          <w:bCs/>
          <w:sz w:val="26"/>
          <w:szCs w:val="26"/>
        </w:rPr>
        <w:t>z zastrzeżeniem, że w przypadku, gdy w okresie wypowiedzenia wystąpi zdarzenie, o którym mowa w ust. 1 skutkujące rozwiązaniem Umowy wskutek zaprzestania pełnienia funkcji, to Umowa ulega rozwiązaniu zgodnie z treścią ust. 1.</w:t>
      </w:r>
    </w:p>
    <w:p w:rsidR="005B1C86" w:rsidRDefault="005B1C86" w:rsidP="005B1C86">
      <w:pPr>
        <w:pStyle w:val="Akapitzlist"/>
        <w:numPr>
          <w:ilvl w:val="0"/>
          <w:numId w:val="10"/>
        </w:numPr>
        <w:suppressAutoHyphens w:val="0"/>
        <w:ind w:left="284"/>
        <w:contextualSpacing/>
        <w:jc w:val="both"/>
        <w:rPr>
          <w:bCs/>
          <w:sz w:val="26"/>
          <w:szCs w:val="26"/>
        </w:rPr>
      </w:pPr>
      <w:r>
        <w:rPr>
          <w:bCs/>
          <w:sz w:val="26"/>
          <w:szCs w:val="26"/>
        </w:rPr>
        <w:t>Umowa może przewidywać różne terminy wypowiedzenia w zależności od czasu pełnienia funkcji Członka Zarządu, z zastrzeżeniem ust. 1, a także, że termin wypowiedzenia upływa z końcem miesiąca kalendarzowego.</w:t>
      </w:r>
    </w:p>
    <w:p w:rsidR="005B1C86" w:rsidRDefault="005B1C86" w:rsidP="005B1C86">
      <w:pPr>
        <w:pStyle w:val="Akapitzlist"/>
        <w:numPr>
          <w:ilvl w:val="0"/>
          <w:numId w:val="10"/>
        </w:numPr>
        <w:suppressAutoHyphens w:val="0"/>
        <w:ind w:left="284"/>
        <w:contextualSpacing/>
        <w:jc w:val="both"/>
        <w:rPr>
          <w:bCs/>
          <w:sz w:val="26"/>
          <w:szCs w:val="26"/>
        </w:rPr>
      </w:pPr>
      <w:r>
        <w:rPr>
          <w:bCs/>
          <w:sz w:val="26"/>
          <w:szCs w:val="26"/>
        </w:rPr>
        <w:t xml:space="preserve">W razie rozwiązania albo wypowiedzenia przez Spółkę Umowy, z innych przyczyn niż naruszenie podstawowych obowiązków, Członkowi Zarządu może być przyznana odprawa w wysokości nie wyższej niż </w:t>
      </w:r>
      <w:r>
        <w:rPr>
          <w:bCs/>
          <w:iCs/>
          <w:sz w:val="26"/>
          <w:szCs w:val="26"/>
        </w:rPr>
        <w:t xml:space="preserve"> 3 (trzy) – krotno</w:t>
      </w:r>
      <w:r>
        <w:rPr>
          <w:bCs/>
          <w:sz w:val="26"/>
          <w:szCs w:val="26"/>
        </w:rPr>
        <w:t xml:space="preserve">ść części stałej </w:t>
      </w:r>
      <w:r>
        <w:rPr>
          <w:bCs/>
          <w:iCs/>
          <w:sz w:val="26"/>
          <w:szCs w:val="26"/>
        </w:rPr>
        <w:t xml:space="preserve">wynagrodzenia, pod warunkiem pełnienia przez niego funkcji przez okres co najmniej 12 (dwunastu) miesięcy przed rozwiązaniem tej umowy. </w:t>
      </w:r>
    </w:p>
    <w:p w:rsidR="005B1C86" w:rsidRDefault="005B1C86" w:rsidP="005B1C86">
      <w:pPr>
        <w:pStyle w:val="Akapitzlist"/>
        <w:numPr>
          <w:ilvl w:val="0"/>
          <w:numId w:val="10"/>
        </w:numPr>
        <w:suppressAutoHyphens w:val="0"/>
        <w:ind w:left="284"/>
        <w:contextualSpacing/>
        <w:jc w:val="both"/>
        <w:rPr>
          <w:bCs/>
          <w:sz w:val="26"/>
          <w:szCs w:val="26"/>
        </w:rPr>
      </w:pPr>
      <w:r>
        <w:rPr>
          <w:bCs/>
          <w:sz w:val="26"/>
          <w:szCs w:val="26"/>
        </w:rPr>
        <w:t>Odprawa, o której mowa w ust. 6 nie przysługuje Członkowi Zarządu w przypadku:</w:t>
      </w:r>
    </w:p>
    <w:p w:rsidR="005B1C86" w:rsidRDefault="005B1C86" w:rsidP="005B1C86">
      <w:pPr>
        <w:pStyle w:val="Akapitzlist"/>
        <w:numPr>
          <w:ilvl w:val="0"/>
          <w:numId w:val="11"/>
        </w:numPr>
        <w:suppressAutoHyphens w:val="0"/>
        <w:contextualSpacing/>
        <w:jc w:val="both"/>
        <w:rPr>
          <w:bCs/>
          <w:sz w:val="26"/>
          <w:szCs w:val="26"/>
        </w:rPr>
      </w:pPr>
      <w:r>
        <w:rPr>
          <w:bCs/>
          <w:sz w:val="26"/>
          <w:szCs w:val="26"/>
        </w:rPr>
        <w:t>wypowiedzenia, rozwiązania lub zmiany Umowy wskutek zmiany funkcji pełnionej w składzie Zarządu;</w:t>
      </w:r>
    </w:p>
    <w:p w:rsidR="005B1C86" w:rsidRDefault="005B1C86" w:rsidP="005B1C86">
      <w:pPr>
        <w:pStyle w:val="Akapitzlist"/>
        <w:numPr>
          <w:ilvl w:val="0"/>
          <w:numId w:val="11"/>
        </w:numPr>
        <w:suppressAutoHyphens w:val="0"/>
        <w:contextualSpacing/>
        <w:jc w:val="both"/>
        <w:rPr>
          <w:bCs/>
          <w:sz w:val="26"/>
          <w:szCs w:val="26"/>
        </w:rPr>
      </w:pPr>
      <w:r>
        <w:rPr>
          <w:bCs/>
          <w:sz w:val="26"/>
          <w:szCs w:val="26"/>
        </w:rPr>
        <w:t>wypowiedzenia, rozwiązania lub zmiany Umowy wskutek powołania na kolejną kadencję Zarządu;</w:t>
      </w:r>
    </w:p>
    <w:p w:rsidR="005B1C86" w:rsidRDefault="005B1C86" w:rsidP="005B1C86">
      <w:pPr>
        <w:pStyle w:val="Akapitzlist"/>
        <w:numPr>
          <w:ilvl w:val="0"/>
          <w:numId w:val="11"/>
        </w:numPr>
        <w:suppressAutoHyphens w:val="0"/>
        <w:contextualSpacing/>
        <w:jc w:val="both"/>
        <w:rPr>
          <w:bCs/>
          <w:sz w:val="26"/>
          <w:szCs w:val="26"/>
        </w:rPr>
      </w:pPr>
      <w:r>
        <w:rPr>
          <w:bCs/>
          <w:sz w:val="26"/>
          <w:szCs w:val="26"/>
        </w:rPr>
        <w:t>rozwiązania Umowy wskutek objęcia funkcji członka zarządu w innej spółce</w:t>
      </w:r>
      <w:r w:rsidR="00F54116">
        <w:rPr>
          <w:bCs/>
          <w:sz w:val="26"/>
          <w:szCs w:val="26"/>
        </w:rPr>
        <w:br/>
      </w:r>
      <w:r>
        <w:rPr>
          <w:bCs/>
          <w:sz w:val="26"/>
          <w:szCs w:val="26"/>
        </w:rPr>
        <w:t>z grupy kapitałowej Spółki;</w:t>
      </w:r>
    </w:p>
    <w:p w:rsidR="005B1C86" w:rsidRDefault="005B1C86" w:rsidP="005B1C86">
      <w:pPr>
        <w:pStyle w:val="Akapitzlist"/>
        <w:numPr>
          <w:ilvl w:val="0"/>
          <w:numId w:val="11"/>
        </w:numPr>
        <w:suppressAutoHyphens w:val="0"/>
        <w:contextualSpacing/>
        <w:jc w:val="both"/>
        <w:rPr>
          <w:bCs/>
          <w:sz w:val="26"/>
          <w:szCs w:val="26"/>
        </w:rPr>
      </w:pPr>
      <w:r>
        <w:rPr>
          <w:bCs/>
          <w:sz w:val="26"/>
          <w:szCs w:val="26"/>
        </w:rPr>
        <w:t>rezygnacji z pełnienia funkcji.</w:t>
      </w:r>
    </w:p>
    <w:p w:rsidR="005B1C86" w:rsidRDefault="005B1C86" w:rsidP="005B1C86">
      <w:pPr>
        <w:pStyle w:val="Akapitzlist"/>
        <w:ind w:left="284"/>
        <w:rPr>
          <w:bCs/>
          <w:sz w:val="26"/>
          <w:szCs w:val="26"/>
        </w:rPr>
      </w:pPr>
    </w:p>
    <w:p w:rsidR="005B1C86" w:rsidRDefault="005B1C86" w:rsidP="005B1C86">
      <w:pPr>
        <w:jc w:val="center"/>
        <w:rPr>
          <w:b/>
          <w:sz w:val="26"/>
          <w:szCs w:val="26"/>
        </w:rPr>
      </w:pPr>
      <w:r>
        <w:rPr>
          <w:b/>
          <w:sz w:val="26"/>
          <w:szCs w:val="26"/>
        </w:rPr>
        <w:t>§ 8</w:t>
      </w:r>
    </w:p>
    <w:p w:rsidR="005B1C86" w:rsidRDefault="005B1C86" w:rsidP="005B1C86">
      <w:pPr>
        <w:pStyle w:val="Akapitzlist"/>
        <w:numPr>
          <w:ilvl w:val="0"/>
          <w:numId w:val="12"/>
        </w:numPr>
        <w:suppressAutoHyphens w:val="0"/>
        <w:ind w:left="284"/>
        <w:contextualSpacing/>
        <w:jc w:val="both"/>
        <w:rPr>
          <w:bCs/>
          <w:sz w:val="26"/>
          <w:szCs w:val="26"/>
        </w:rPr>
      </w:pPr>
      <w:r>
        <w:rPr>
          <w:bCs/>
          <w:sz w:val="26"/>
          <w:szCs w:val="26"/>
        </w:rPr>
        <w:t>Rada Nadzorcza może zawrzeć z Członkiem Zarządu umowę o zakazie konkurencji obowiązującym po ustaniu pełnienia funkcji, przy czym może być ona zawarta jedynie w przypadku pełnienia funkcji przez Członka Zarządu przez okres co najmniej 3 (trzech) miesięcy.</w:t>
      </w:r>
    </w:p>
    <w:p w:rsidR="005B1C86" w:rsidRDefault="005B1C86" w:rsidP="005B1C86">
      <w:pPr>
        <w:pStyle w:val="Akapitzlist"/>
        <w:numPr>
          <w:ilvl w:val="0"/>
          <w:numId w:val="12"/>
        </w:numPr>
        <w:suppressAutoHyphens w:val="0"/>
        <w:ind w:left="284"/>
        <w:contextualSpacing/>
        <w:jc w:val="both"/>
        <w:rPr>
          <w:bCs/>
          <w:sz w:val="26"/>
          <w:szCs w:val="26"/>
        </w:rPr>
      </w:pPr>
      <w:r>
        <w:rPr>
          <w:bCs/>
          <w:sz w:val="26"/>
          <w:szCs w:val="26"/>
        </w:rPr>
        <w:t>Zawarcie umowy o zakazie konkurencji po rozwiązaniu lub wypowiedzeniu umowy</w:t>
      </w:r>
      <w:r>
        <w:rPr>
          <w:bCs/>
          <w:sz w:val="26"/>
          <w:szCs w:val="26"/>
        </w:rPr>
        <w:br/>
        <w:t xml:space="preserve">o świadczenie usług zarządzania jest niedopuszczalne. </w:t>
      </w:r>
    </w:p>
    <w:p w:rsidR="005B1C86" w:rsidRDefault="005B1C86" w:rsidP="005B1C86">
      <w:pPr>
        <w:pStyle w:val="Akapitzlist"/>
        <w:numPr>
          <w:ilvl w:val="0"/>
          <w:numId w:val="12"/>
        </w:numPr>
        <w:suppressAutoHyphens w:val="0"/>
        <w:ind w:left="284"/>
        <w:contextualSpacing/>
        <w:jc w:val="both"/>
        <w:rPr>
          <w:bCs/>
          <w:sz w:val="26"/>
          <w:szCs w:val="26"/>
        </w:rPr>
      </w:pPr>
      <w:r>
        <w:rPr>
          <w:bCs/>
          <w:sz w:val="26"/>
          <w:szCs w:val="26"/>
        </w:rPr>
        <w:t>Okres zakazu konkurencji nie może przekraczać 6 (sześciu) miesięcy po ustaniu pełnienia funkcji przez Członka Zarządu.</w:t>
      </w:r>
    </w:p>
    <w:p w:rsidR="005B1C86" w:rsidRDefault="005B1C86" w:rsidP="005B1C86">
      <w:pPr>
        <w:pStyle w:val="Akapitzlist"/>
        <w:numPr>
          <w:ilvl w:val="0"/>
          <w:numId w:val="12"/>
        </w:numPr>
        <w:suppressAutoHyphens w:val="0"/>
        <w:ind w:left="284"/>
        <w:contextualSpacing/>
        <w:jc w:val="both"/>
        <w:rPr>
          <w:bCs/>
          <w:sz w:val="26"/>
          <w:szCs w:val="26"/>
        </w:rPr>
      </w:pPr>
      <w:r>
        <w:rPr>
          <w:bCs/>
          <w:sz w:val="26"/>
          <w:szCs w:val="26"/>
        </w:rPr>
        <w:t>W razie niewykonania lub nienależytego wykonania przez Członka Zarządu umowy o zakazie konkurencji będzie on zobowiązany do zapłaty kary umownej na rzecz Spółki, nie niższej niż wysokość odszkodowania przysługującego za cały okres zakazu konkurencji.</w:t>
      </w:r>
    </w:p>
    <w:p w:rsidR="005B1C86" w:rsidRDefault="005B1C86" w:rsidP="005B1C86">
      <w:pPr>
        <w:pStyle w:val="Akapitzlist"/>
        <w:numPr>
          <w:ilvl w:val="0"/>
          <w:numId w:val="12"/>
        </w:numPr>
        <w:suppressAutoHyphens w:val="0"/>
        <w:ind w:left="284"/>
        <w:contextualSpacing/>
        <w:jc w:val="both"/>
        <w:rPr>
          <w:bCs/>
          <w:sz w:val="26"/>
          <w:szCs w:val="26"/>
        </w:rPr>
      </w:pPr>
      <w:r>
        <w:rPr>
          <w:bCs/>
          <w:sz w:val="26"/>
          <w:szCs w:val="26"/>
        </w:rPr>
        <w:t>Zakaz konkurencji przestaje obowiązywać przed upływem terminu, na jaki została zawarta umowa o zakazie konkurencji, w razie podjęcia się pełnienia przez Członka Zarządu funkcji w innej spółce w rozumieniu art. 1 ust. 3 pkt 7 Ustawy.</w:t>
      </w:r>
    </w:p>
    <w:p w:rsidR="005B1C86" w:rsidRDefault="005B1C86" w:rsidP="005B1C86">
      <w:pPr>
        <w:jc w:val="center"/>
        <w:rPr>
          <w:b/>
          <w:sz w:val="26"/>
          <w:szCs w:val="26"/>
        </w:rPr>
      </w:pPr>
    </w:p>
    <w:p w:rsidR="005B1C86" w:rsidRDefault="005B1C86" w:rsidP="005B1C86">
      <w:pPr>
        <w:jc w:val="center"/>
        <w:rPr>
          <w:b/>
          <w:sz w:val="26"/>
          <w:szCs w:val="26"/>
        </w:rPr>
      </w:pPr>
      <w:r>
        <w:rPr>
          <w:b/>
          <w:sz w:val="26"/>
          <w:szCs w:val="26"/>
        </w:rPr>
        <w:t>§ 9</w:t>
      </w:r>
    </w:p>
    <w:p w:rsidR="005B1C86" w:rsidRDefault="005B1C86" w:rsidP="005B1C86">
      <w:pPr>
        <w:jc w:val="both"/>
        <w:rPr>
          <w:bCs/>
          <w:sz w:val="26"/>
          <w:szCs w:val="26"/>
        </w:rPr>
      </w:pPr>
      <w:r>
        <w:rPr>
          <w:bCs/>
          <w:sz w:val="26"/>
          <w:szCs w:val="26"/>
        </w:rPr>
        <w:t xml:space="preserve">Uchwała wchodzi w życie z dniem podjęcia, przy czym zasady określone niniejszą uchwałą są skuteczne od dnia 1 lutego 2023 r. </w:t>
      </w:r>
    </w:p>
    <w:p w:rsidR="0020587C" w:rsidRDefault="0020587C"/>
    <w:p w:rsidR="00E76649" w:rsidRDefault="00E76649"/>
    <w:p w:rsidR="00E76649" w:rsidRDefault="00E76649"/>
    <w:p w:rsidR="00D77B85" w:rsidRDefault="00D77B85"/>
    <w:p w:rsidR="00D77B85" w:rsidRPr="00D77B85" w:rsidRDefault="00D77B85" w:rsidP="00D77B85">
      <w:pPr>
        <w:jc w:val="center"/>
        <w:rPr>
          <w:b/>
          <w:sz w:val="26"/>
          <w:szCs w:val="26"/>
          <w:lang w:eastAsia="pl-PL"/>
        </w:rPr>
      </w:pPr>
      <w:r w:rsidRPr="00D77B85">
        <w:rPr>
          <w:b/>
          <w:sz w:val="26"/>
          <w:szCs w:val="26"/>
        </w:rPr>
        <w:t xml:space="preserve">Uzasadnienie podmiotu uprawnionego do wykonywania praw udziałowych </w:t>
      </w:r>
    </w:p>
    <w:p w:rsidR="00D77B85" w:rsidRDefault="00D77B85" w:rsidP="00D77B85">
      <w:pPr>
        <w:jc w:val="center"/>
        <w:rPr>
          <w:b/>
          <w:sz w:val="26"/>
          <w:szCs w:val="26"/>
        </w:rPr>
      </w:pPr>
      <w:r w:rsidRPr="00D77B85">
        <w:rPr>
          <w:b/>
          <w:sz w:val="26"/>
          <w:szCs w:val="26"/>
        </w:rPr>
        <w:t>w sprawie ustalenia wysokości części stałej wynagrodzenia Członków Zarządu</w:t>
      </w:r>
    </w:p>
    <w:p w:rsidR="00D77B85" w:rsidRDefault="00D77B85" w:rsidP="00D77B85">
      <w:pPr>
        <w:jc w:val="center"/>
        <w:rPr>
          <w:b/>
          <w:sz w:val="26"/>
          <w:szCs w:val="26"/>
        </w:rPr>
      </w:pPr>
    </w:p>
    <w:p w:rsidR="00D77B85" w:rsidRDefault="00D77B85" w:rsidP="00E76649">
      <w:pPr>
        <w:pStyle w:val="Bezodstpw"/>
        <w:numPr>
          <w:ilvl w:val="3"/>
          <w:numId w:val="11"/>
        </w:numPr>
        <w:ind w:left="284" w:hanging="284"/>
        <w:jc w:val="both"/>
        <w:rPr>
          <w:rFonts w:cs="Times New Roman"/>
          <w:sz w:val="26"/>
          <w:szCs w:val="26"/>
        </w:rPr>
      </w:pPr>
      <w:r w:rsidRPr="00D77B85">
        <w:rPr>
          <w:rFonts w:cs="Times New Roman"/>
          <w:sz w:val="26"/>
          <w:szCs w:val="26"/>
        </w:rPr>
        <w:t>Polski Fundusz Rozwoju S.A. jest podmiotem o strategicznym znaczeniu dla Rzeczypospolitej Polskiej. Je</w:t>
      </w:r>
      <w:r w:rsidR="000313EA">
        <w:rPr>
          <w:rFonts w:cs="Times New Roman"/>
          <w:sz w:val="26"/>
          <w:szCs w:val="26"/>
        </w:rPr>
        <w:t>go</w:t>
      </w:r>
      <w:r w:rsidRPr="00D77B85">
        <w:rPr>
          <w:rFonts w:cs="Times New Roman"/>
          <w:sz w:val="26"/>
          <w:szCs w:val="26"/>
        </w:rPr>
        <w:t xml:space="preserve"> szczególne znaczenie dla realizacji poszczególnych zadań strategicznych wynika m.in. z faktu, że Spółka jest instytucją rozwoju i zakres jej zadań został dodatkowo uregulowany przez ustawodawcę w ustawie z dnia 4 lipca 2019r. o systemie instytucji rozwoju (dalej: „</w:t>
      </w:r>
      <w:r w:rsidRPr="00D77B85">
        <w:rPr>
          <w:rFonts w:cs="Times New Roman"/>
          <w:bCs/>
          <w:sz w:val="26"/>
          <w:szCs w:val="26"/>
        </w:rPr>
        <w:t>USIR</w:t>
      </w:r>
      <w:r w:rsidRPr="00D77B85">
        <w:rPr>
          <w:rFonts w:cs="Times New Roman"/>
          <w:sz w:val="26"/>
          <w:szCs w:val="26"/>
        </w:rPr>
        <w:t xml:space="preserve">”). Na podstawie art. 11 USIR działalność PFR można podzielić na dwa obszary, tj. własne działania inwestycyjne oraz zadania powierzone Spółce przez organy administracji rządowej, inne jednostki wykonujące zadania publiczne lub jednostki samorządu terytorialnego, które są kluczowe z perspektywy wzmacniania, funkcjonowania oraz rozwoju polskiej gospodarki. </w:t>
      </w:r>
    </w:p>
    <w:p w:rsidR="00D77B85" w:rsidRPr="00D77B85" w:rsidRDefault="00D77B85" w:rsidP="00E76649">
      <w:pPr>
        <w:pStyle w:val="Bezodstpw"/>
        <w:numPr>
          <w:ilvl w:val="3"/>
          <w:numId w:val="11"/>
        </w:numPr>
        <w:tabs>
          <w:tab w:val="left" w:pos="284"/>
        </w:tabs>
        <w:ind w:left="0" w:firstLine="0"/>
        <w:jc w:val="both"/>
        <w:rPr>
          <w:rFonts w:cs="Times New Roman"/>
          <w:sz w:val="26"/>
          <w:szCs w:val="26"/>
        </w:rPr>
      </w:pPr>
      <w:r w:rsidRPr="00D77B85">
        <w:rPr>
          <w:rFonts w:cs="Times New Roman"/>
          <w:sz w:val="26"/>
          <w:szCs w:val="26"/>
        </w:rPr>
        <w:t xml:space="preserve">Do zadań PFR, na gruncie USIR należy m.in.: </w:t>
      </w:r>
    </w:p>
    <w:p w:rsidR="00D77B85" w:rsidRPr="00D77B85" w:rsidRDefault="00D77B85" w:rsidP="00D77B85">
      <w:pPr>
        <w:pStyle w:val="Default"/>
        <w:numPr>
          <w:ilvl w:val="0"/>
          <w:numId w:val="15"/>
        </w:numPr>
        <w:spacing w:after="32"/>
        <w:jc w:val="both"/>
        <w:rPr>
          <w:rFonts w:ascii="Times New Roman" w:hAnsi="Times New Roman" w:cs="Times New Roman"/>
          <w:sz w:val="26"/>
          <w:szCs w:val="26"/>
        </w:rPr>
      </w:pPr>
      <w:r w:rsidRPr="00D77B85">
        <w:rPr>
          <w:rFonts w:ascii="Times New Roman" w:hAnsi="Times New Roman" w:cs="Times New Roman"/>
          <w:sz w:val="26"/>
          <w:szCs w:val="26"/>
        </w:rPr>
        <w:t>wykonywanie zadań powierzonych przez organy administracji rządowej, inne jednostki wykonujące zadania publiczne lub jednostki samorządu terytorialnego, w szczególności w związku z sytuacjami kryzysowymi, w tym</w:t>
      </w:r>
      <w:r w:rsidR="000313EA">
        <w:rPr>
          <w:rFonts w:ascii="Times New Roman" w:hAnsi="Times New Roman" w:cs="Times New Roman"/>
          <w:sz w:val="26"/>
          <w:szCs w:val="26"/>
        </w:rPr>
        <w:t xml:space="preserve"> </w:t>
      </w:r>
      <w:r w:rsidRPr="00D77B85">
        <w:rPr>
          <w:rFonts w:ascii="Times New Roman" w:hAnsi="Times New Roman" w:cs="Times New Roman"/>
          <w:sz w:val="26"/>
          <w:szCs w:val="26"/>
        </w:rPr>
        <w:t>rozprzestrzenianiem się choroby zakaźnej wywołanej wirusem SARS-CoV-2,</w:t>
      </w:r>
    </w:p>
    <w:p w:rsidR="00D77B85" w:rsidRPr="00D77B85" w:rsidRDefault="00D77B85" w:rsidP="00D77B85">
      <w:pPr>
        <w:pStyle w:val="Default"/>
        <w:numPr>
          <w:ilvl w:val="0"/>
          <w:numId w:val="15"/>
        </w:numPr>
        <w:spacing w:after="32"/>
        <w:jc w:val="both"/>
        <w:rPr>
          <w:rFonts w:ascii="Times New Roman" w:hAnsi="Times New Roman" w:cs="Times New Roman"/>
          <w:sz w:val="26"/>
          <w:szCs w:val="26"/>
        </w:rPr>
      </w:pPr>
      <w:r w:rsidRPr="00D77B85">
        <w:rPr>
          <w:rFonts w:ascii="Times New Roman" w:hAnsi="Times New Roman" w:cs="Times New Roman"/>
          <w:sz w:val="26"/>
          <w:szCs w:val="26"/>
        </w:rPr>
        <w:t>obsługa podmiotu powołanego na podstawie USIR – Rady Grupy Polskiego Funduszu Rozwoju,</w:t>
      </w:r>
    </w:p>
    <w:p w:rsidR="00D77B85" w:rsidRPr="00D77B85" w:rsidRDefault="00D77B85" w:rsidP="00D77B85">
      <w:pPr>
        <w:pStyle w:val="Default"/>
        <w:numPr>
          <w:ilvl w:val="0"/>
          <w:numId w:val="15"/>
        </w:numPr>
        <w:spacing w:after="32"/>
        <w:jc w:val="both"/>
        <w:rPr>
          <w:rFonts w:ascii="Times New Roman" w:hAnsi="Times New Roman" w:cs="Times New Roman"/>
          <w:sz w:val="26"/>
          <w:szCs w:val="26"/>
        </w:rPr>
      </w:pPr>
      <w:r w:rsidRPr="00D77B85">
        <w:rPr>
          <w:rFonts w:ascii="Times New Roman" w:hAnsi="Times New Roman" w:cs="Times New Roman"/>
          <w:sz w:val="26"/>
          <w:szCs w:val="26"/>
        </w:rPr>
        <w:t>powierzenie Prezesowi Zarządu PFR przewodnictwa nad kolegialnym ciałem powołanym na mocy USIR – Radą Grupy PFR,</w:t>
      </w:r>
    </w:p>
    <w:p w:rsidR="00D77B85" w:rsidRPr="00D77B85" w:rsidRDefault="00D77B85" w:rsidP="00D77B85">
      <w:pPr>
        <w:pStyle w:val="Default"/>
        <w:numPr>
          <w:ilvl w:val="0"/>
          <w:numId w:val="15"/>
        </w:numPr>
        <w:spacing w:after="32"/>
        <w:jc w:val="both"/>
        <w:rPr>
          <w:rFonts w:ascii="Times New Roman" w:hAnsi="Times New Roman" w:cs="Times New Roman"/>
          <w:sz w:val="26"/>
          <w:szCs w:val="26"/>
        </w:rPr>
      </w:pPr>
      <w:r w:rsidRPr="00D77B85">
        <w:rPr>
          <w:rFonts w:ascii="Times New Roman" w:hAnsi="Times New Roman" w:cs="Times New Roman"/>
          <w:sz w:val="26"/>
          <w:szCs w:val="26"/>
        </w:rPr>
        <w:t>wykonywanie zadań związanych z pracowniczymi planami kapitałowymi,</w:t>
      </w:r>
      <w:r w:rsidR="000313EA">
        <w:rPr>
          <w:rFonts w:ascii="Times New Roman" w:hAnsi="Times New Roman" w:cs="Times New Roman"/>
          <w:sz w:val="26"/>
          <w:szCs w:val="26"/>
        </w:rPr>
        <w:br/>
      </w:r>
      <w:r w:rsidRPr="00D77B85">
        <w:rPr>
          <w:rFonts w:ascii="Times New Roman" w:hAnsi="Times New Roman" w:cs="Times New Roman"/>
          <w:sz w:val="26"/>
          <w:szCs w:val="26"/>
        </w:rPr>
        <w:t>o których mowa</w:t>
      </w:r>
      <w:r>
        <w:rPr>
          <w:rFonts w:ascii="Times New Roman" w:hAnsi="Times New Roman" w:cs="Times New Roman"/>
          <w:sz w:val="26"/>
          <w:szCs w:val="26"/>
        </w:rPr>
        <w:t xml:space="preserve"> </w:t>
      </w:r>
      <w:r w:rsidRPr="00D77B85">
        <w:rPr>
          <w:rFonts w:ascii="Times New Roman" w:hAnsi="Times New Roman" w:cs="Times New Roman"/>
          <w:sz w:val="26"/>
          <w:szCs w:val="26"/>
        </w:rPr>
        <w:t>w ustawie z dnia 4 października 2018 r. o pracowniczych planach kapitałowych,</w:t>
      </w:r>
    </w:p>
    <w:p w:rsidR="00D77B85" w:rsidRPr="00D77B85" w:rsidRDefault="00D77B85" w:rsidP="00D77B85">
      <w:pPr>
        <w:pStyle w:val="Default"/>
        <w:numPr>
          <w:ilvl w:val="0"/>
          <w:numId w:val="15"/>
        </w:numPr>
        <w:spacing w:after="32"/>
        <w:jc w:val="both"/>
        <w:rPr>
          <w:rFonts w:ascii="Times New Roman" w:hAnsi="Times New Roman" w:cs="Times New Roman"/>
          <w:sz w:val="26"/>
          <w:szCs w:val="26"/>
        </w:rPr>
      </w:pPr>
      <w:r w:rsidRPr="00D77B85">
        <w:rPr>
          <w:rFonts w:ascii="Times New Roman" w:hAnsi="Times New Roman" w:cs="Times New Roman"/>
          <w:sz w:val="26"/>
          <w:szCs w:val="26"/>
        </w:rPr>
        <w:t>podejmowanie działań służących zapobieganiu lub łagodzeniu skutków sytuacji kryzysowych</w:t>
      </w:r>
      <w:r>
        <w:rPr>
          <w:rFonts w:ascii="Times New Roman" w:hAnsi="Times New Roman" w:cs="Times New Roman"/>
          <w:sz w:val="26"/>
          <w:szCs w:val="26"/>
        </w:rPr>
        <w:t xml:space="preserve"> </w:t>
      </w:r>
      <w:r w:rsidRPr="00D77B85">
        <w:rPr>
          <w:rFonts w:ascii="Times New Roman" w:hAnsi="Times New Roman" w:cs="Times New Roman"/>
          <w:sz w:val="26"/>
          <w:szCs w:val="26"/>
        </w:rPr>
        <w:t>w rozumieniu art. 3 pkt 1 ustawy z dnia 26 kwietnia 2007 r.</w:t>
      </w:r>
      <w:r w:rsidR="000313EA">
        <w:rPr>
          <w:rFonts w:ascii="Times New Roman" w:hAnsi="Times New Roman" w:cs="Times New Roman"/>
          <w:sz w:val="26"/>
          <w:szCs w:val="26"/>
        </w:rPr>
        <w:br/>
      </w:r>
      <w:r w:rsidRPr="00D77B85">
        <w:rPr>
          <w:rFonts w:ascii="Times New Roman" w:hAnsi="Times New Roman" w:cs="Times New Roman"/>
          <w:sz w:val="26"/>
          <w:szCs w:val="26"/>
        </w:rPr>
        <w:t>o zarządzaniu kryzysowym, w tym skutków rozprzestrzeniania się COVID-19, w szczególności poprzez: udzielanie wsparcia finansowego przedsiębiorcom</w:t>
      </w:r>
      <w:r w:rsidR="00F54116">
        <w:rPr>
          <w:rFonts w:ascii="Times New Roman" w:hAnsi="Times New Roman" w:cs="Times New Roman"/>
          <w:sz w:val="26"/>
          <w:szCs w:val="26"/>
        </w:rPr>
        <w:br/>
      </w:r>
      <w:r w:rsidRPr="00D77B85">
        <w:rPr>
          <w:rFonts w:ascii="Times New Roman" w:hAnsi="Times New Roman" w:cs="Times New Roman"/>
          <w:sz w:val="26"/>
          <w:szCs w:val="26"/>
        </w:rPr>
        <w:t>i innym podmiotom dotkniętym tymi sytuacjami, w tym bezzwrotnego lub</w:t>
      </w:r>
      <w:r w:rsidR="000313EA">
        <w:rPr>
          <w:rFonts w:ascii="Times New Roman" w:hAnsi="Times New Roman" w:cs="Times New Roman"/>
          <w:sz w:val="26"/>
          <w:szCs w:val="26"/>
        </w:rPr>
        <w:br/>
      </w:r>
      <w:r w:rsidRPr="00D77B85">
        <w:rPr>
          <w:rFonts w:ascii="Times New Roman" w:hAnsi="Times New Roman" w:cs="Times New Roman"/>
          <w:sz w:val="26"/>
          <w:szCs w:val="26"/>
        </w:rPr>
        <w:t>w formie gwarancji lub poręczeń, naprawienie lub pokrycie, w całości lub</w:t>
      </w:r>
      <w:r w:rsidR="000313EA">
        <w:rPr>
          <w:rFonts w:ascii="Times New Roman" w:hAnsi="Times New Roman" w:cs="Times New Roman"/>
          <w:sz w:val="26"/>
          <w:szCs w:val="26"/>
        </w:rPr>
        <w:br/>
      </w:r>
      <w:r w:rsidRPr="00D77B85">
        <w:rPr>
          <w:rFonts w:ascii="Times New Roman" w:hAnsi="Times New Roman" w:cs="Times New Roman"/>
          <w:sz w:val="26"/>
          <w:szCs w:val="26"/>
        </w:rPr>
        <w:t>w części, szkód lub strat spowodowanych tymi sytuacjami, podejmowanie działań związanych z realizacją rządowego programu udzielania wsparcia</w:t>
      </w:r>
      <w:r w:rsidR="000313EA">
        <w:rPr>
          <w:rFonts w:ascii="Times New Roman" w:hAnsi="Times New Roman" w:cs="Times New Roman"/>
          <w:sz w:val="26"/>
          <w:szCs w:val="26"/>
        </w:rPr>
        <w:t xml:space="preserve"> </w:t>
      </w:r>
      <w:r w:rsidRPr="00D77B85">
        <w:rPr>
          <w:rFonts w:ascii="Times New Roman" w:hAnsi="Times New Roman" w:cs="Times New Roman"/>
          <w:sz w:val="26"/>
          <w:szCs w:val="26"/>
        </w:rPr>
        <w:t>finansowego przedsiębiorcom oraz innym podmiotom przyjętego w związku</w:t>
      </w:r>
      <w:r w:rsidR="000313EA">
        <w:rPr>
          <w:rFonts w:ascii="Times New Roman" w:hAnsi="Times New Roman" w:cs="Times New Roman"/>
          <w:sz w:val="26"/>
          <w:szCs w:val="26"/>
        </w:rPr>
        <w:br/>
      </w:r>
      <w:r w:rsidRPr="00D77B85">
        <w:rPr>
          <w:rFonts w:ascii="Times New Roman" w:hAnsi="Times New Roman" w:cs="Times New Roman"/>
          <w:sz w:val="26"/>
          <w:szCs w:val="26"/>
        </w:rPr>
        <w:t>z zakazem, o którym mowa w art. 12a ust. 1 ustawy z dnia 12 października 1990r. o ochronie granicy państwowej, dokonywanie wypłat w ramach planu rozwojowego, o którym mowa w art. 5 pkt 7aa ustawy z dnia 6 grudnia 2006 r.</w:t>
      </w:r>
      <w:r w:rsidRPr="00D77B85">
        <w:rPr>
          <w:rFonts w:ascii="Times New Roman" w:hAnsi="Times New Roman" w:cs="Times New Roman"/>
          <w:sz w:val="26"/>
          <w:szCs w:val="26"/>
        </w:rPr>
        <w:br/>
        <w:t xml:space="preserve">o zasadach prowadzenia polityki rozwoju. </w:t>
      </w:r>
    </w:p>
    <w:p w:rsidR="00D77B85" w:rsidRDefault="00D77B85" w:rsidP="00E76649">
      <w:pPr>
        <w:pStyle w:val="Bezodstpw"/>
        <w:numPr>
          <w:ilvl w:val="3"/>
          <w:numId w:val="11"/>
        </w:numPr>
        <w:tabs>
          <w:tab w:val="left" w:pos="426"/>
        </w:tabs>
        <w:ind w:left="284" w:hanging="284"/>
        <w:jc w:val="both"/>
        <w:rPr>
          <w:sz w:val="26"/>
          <w:szCs w:val="26"/>
        </w:rPr>
      </w:pPr>
      <w:r w:rsidRPr="00D77B85">
        <w:rPr>
          <w:sz w:val="26"/>
          <w:szCs w:val="26"/>
        </w:rPr>
        <w:t>W zakresie realizacji rządowych programów powierzonych Spółce, PFR</w:t>
      </w:r>
      <w:r w:rsidR="000313EA">
        <w:rPr>
          <w:sz w:val="26"/>
          <w:szCs w:val="26"/>
        </w:rPr>
        <w:t xml:space="preserve"> S.A. </w:t>
      </w:r>
      <w:r w:rsidRPr="00D77B85">
        <w:rPr>
          <w:sz w:val="26"/>
          <w:szCs w:val="26"/>
        </w:rPr>
        <w:t xml:space="preserve"> realizuje m.in.: w ramach art. 21a ust. 1 USIR programy składające się na Tarczę Finansową Polskiego Funduszu Rozwoju, w ramach art. 11 ust. 2 pkt 7 USIR oraz z art. 14ln ust. 1 pkt 2 ustawy z dnia 6 grudnia 2006 r. o zasadach prowadzenia polityki rozwoju, istotne z perspektywy wzmocnienia polskiej gospodarki po skutkach pandemii COVID–19, zadanie polegające na dokonywaniu wypłat w ramach Krajowego Planu Odbudowy i Zwiększania Odporności („</w:t>
      </w:r>
      <w:r w:rsidRPr="00D77B85">
        <w:rPr>
          <w:bCs/>
          <w:sz w:val="26"/>
          <w:szCs w:val="26"/>
        </w:rPr>
        <w:t>KPO</w:t>
      </w:r>
      <w:r w:rsidRPr="00D77B85">
        <w:rPr>
          <w:sz w:val="26"/>
          <w:szCs w:val="26"/>
        </w:rPr>
        <w:t>”).</w:t>
      </w:r>
    </w:p>
    <w:p w:rsidR="00D77B85" w:rsidRPr="00E76649" w:rsidRDefault="00D77B85" w:rsidP="00E76649">
      <w:pPr>
        <w:pStyle w:val="Bezodstpw"/>
        <w:numPr>
          <w:ilvl w:val="3"/>
          <w:numId w:val="11"/>
        </w:numPr>
        <w:tabs>
          <w:tab w:val="left" w:pos="426"/>
        </w:tabs>
        <w:ind w:left="284" w:hanging="284"/>
        <w:jc w:val="both"/>
        <w:rPr>
          <w:sz w:val="26"/>
          <w:szCs w:val="26"/>
        </w:rPr>
      </w:pPr>
      <w:bookmarkStart w:id="2" w:name="_GoBack"/>
      <w:bookmarkEnd w:id="2"/>
      <w:r w:rsidRPr="00E76649">
        <w:rPr>
          <w:rFonts w:cs="Times New Roman"/>
          <w:sz w:val="26"/>
          <w:szCs w:val="26"/>
        </w:rPr>
        <w:t xml:space="preserve">Ponadto, w ramach prowadzonej działalności inwestycyjnej, Spółka tworząc konsorcjum wraz z wybranymi spółkami z grupy kapitałowej PFR (PFR TFI S.A. oraz PFR </w:t>
      </w:r>
      <w:proofErr w:type="spellStart"/>
      <w:r w:rsidRPr="00E76649">
        <w:rPr>
          <w:rFonts w:cs="Times New Roman"/>
          <w:sz w:val="26"/>
          <w:szCs w:val="26"/>
        </w:rPr>
        <w:t>Ventures</w:t>
      </w:r>
      <w:proofErr w:type="spellEnd"/>
      <w:r w:rsidRPr="00E76649">
        <w:rPr>
          <w:rFonts w:cs="Times New Roman"/>
          <w:sz w:val="26"/>
          <w:szCs w:val="26"/>
        </w:rPr>
        <w:t xml:space="preserve"> sp. z o.o.), a także PFR NFOŚiGW FIZ AN jako docelowym beneficjentem programu, została wyłoniona w naborze w ramach programu</w:t>
      </w:r>
      <w:r w:rsidR="000313EA" w:rsidRPr="00E76649">
        <w:rPr>
          <w:rFonts w:cs="Times New Roman"/>
          <w:sz w:val="26"/>
          <w:szCs w:val="26"/>
        </w:rPr>
        <w:t xml:space="preserve"> </w:t>
      </w:r>
      <w:r w:rsidRPr="00E76649">
        <w:rPr>
          <w:rFonts w:cs="Times New Roman"/>
          <w:sz w:val="26"/>
          <w:szCs w:val="26"/>
        </w:rPr>
        <w:t xml:space="preserve">priorytetowego „Przemysł dla transformacji – zwiększenie potencjału przedsięwzięć do produkcji rozwiązań zero i niskoemisyjnych”, którego celem jest przyczynianie się do rozwoju gospodarki niskoemisyjnej i </w:t>
      </w:r>
      <w:proofErr w:type="spellStart"/>
      <w:r w:rsidRPr="00E76649">
        <w:rPr>
          <w:rFonts w:cs="Times New Roman"/>
          <w:sz w:val="26"/>
          <w:szCs w:val="26"/>
        </w:rPr>
        <w:t>bezemisyjnej</w:t>
      </w:r>
      <w:proofErr w:type="spellEnd"/>
      <w:r w:rsidRPr="00E76649">
        <w:rPr>
          <w:rFonts w:cs="Times New Roman"/>
          <w:sz w:val="26"/>
          <w:szCs w:val="26"/>
        </w:rPr>
        <w:t xml:space="preserve"> przez wspieranie przemysłu z myślą o sektorach czystej mobilności i energii. Program priorytetowy dotyczy wdrażania inwestycji E1.1.1 Wsparcie dla gospodarki niskoemisyjnej</w:t>
      </w:r>
      <w:r w:rsidR="000313EA" w:rsidRPr="00E76649">
        <w:rPr>
          <w:rFonts w:cs="Times New Roman"/>
          <w:sz w:val="26"/>
          <w:szCs w:val="26"/>
        </w:rPr>
        <w:t xml:space="preserve"> </w:t>
      </w:r>
      <w:r w:rsidRPr="00E76649">
        <w:rPr>
          <w:rFonts w:cs="Times New Roman"/>
          <w:sz w:val="26"/>
          <w:szCs w:val="26"/>
        </w:rPr>
        <w:t>w ramach Krajowego Planu Odbudowy i Zwiększania Odporności.</w:t>
      </w:r>
    </w:p>
    <w:p w:rsidR="00D77B85" w:rsidRPr="00D77B85" w:rsidRDefault="00D77B85" w:rsidP="00D77B85">
      <w:pPr>
        <w:pStyle w:val="Default"/>
        <w:jc w:val="both"/>
        <w:rPr>
          <w:rFonts w:ascii="Times New Roman" w:hAnsi="Times New Roman" w:cs="Times New Roman"/>
          <w:sz w:val="26"/>
          <w:szCs w:val="26"/>
        </w:rPr>
      </w:pPr>
    </w:p>
    <w:p w:rsidR="00D77B85" w:rsidRPr="00D77B85" w:rsidRDefault="00D77B85" w:rsidP="00D77B85">
      <w:pPr>
        <w:pStyle w:val="Default"/>
        <w:jc w:val="both"/>
        <w:rPr>
          <w:rFonts w:ascii="Times New Roman" w:hAnsi="Times New Roman" w:cs="Times New Roman"/>
          <w:sz w:val="26"/>
          <w:szCs w:val="26"/>
        </w:rPr>
      </w:pPr>
    </w:p>
    <w:p w:rsidR="00D77B85" w:rsidRPr="00D77B85" w:rsidRDefault="00D77B85">
      <w:pPr>
        <w:rPr>
          <w:sz w:val="26"/>
          <w:szCs w:val="26"/>
        </w:rPr>
      </w:pPr>
    </w:p>
    <w:sectPr w:rsidR="00D77B85" w:rsidRPr="00D77B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D3FE9"/>
    <w:multiLevelType w:val="hybridMultilevel"/>
    <w:tmpl w:val="AC7229A2"/>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D0C60EE"/>
    <w:multiLevelType w:val="hybridMultilevel"/>
    <w:tmpl w:val="8C0C20C0"/>
    <w:lvl w:ilvl="0" w:tplc="04150011">
      <w:start w:val="1"/>
      <w:numFmt w:val="decimal"/>
      <w:lvlText w:val="%1)"/>
      <w:lvlJc w:val="left"/>
      <w:pPr>
        <w:ind w:left="1288"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D83F80D"/>
    <w:multiLevelType w:val="hybridMultilevel"/>
    <w:tmpl w:val="606334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0586496"/>
    <w:multiLevelType w:val="hybridMultilevel"/>
    <w:tmpl w:val="AC7229A2"/>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EF62890"/>
    <w:multiLevelType w:val="hybridMultilevel"/>
    <w:tmpl w:val="FA1A66C6"/>
    <w:lvl w:ilvl="0" w:tplc="FFFFFFFF">
      <w:start w:val="1"/>
      <w:numFmt w:val="decimal"/>
      <w:lvlText w:val="%1."/>
      <w:lvlJc w:val="left"/>
      <w:pPr>
        <w:ind w:left="720" w:hanging="360"/>
      </w:pPr>
      <w:rPr>
        <w:b w:val="0"/>
        <w:bCs/>
      </w:rPr>
    </w:lvl>
    <w:lvl w:ilvl="1" w:tplc="4BF8BDF2">
      <w:start w:val="1"/>
      <w:numFmt w:val="decimal"/>
      <w:lvlText w:val="%2)"/>
      <w:lvlJc w:val="left"/>
      <w:pPr>
        <w:ind w:left="1440" w:hanging="360"/>
      </w:pPr>
      <w:rPr>
        <w:rFonts w:asciiTheme="minorHAnsi" w:eastAsia="Calibri" w:hAnsiTheme="minorHAnsi" w:cstheme="minorHAns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FC819B1"/>
    <w:multiLevelType w:val="hybridMultilevel"/>
    <w:tmpl w:val="40CC37A8"/>
    <w:lvl w:ilvl="0" w:tplc="38B4C61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15:restartNumberingAfterBreak="0">
    <w:nsid w:val="41952A85"/>
    <w:multiLevelType w:val="hybridMultilevel"/>
    <w:tmpl w:val="AC7229A2"/>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1C61A4A"/>
    <w:multiLevelType w:val="hybridMultilevel"/>
    <w:tmpl w:val="7E6EC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02139F"/>
    <w:multiLevelType w:val="hybridMultilevel"/>
    <w:tmpl w:val="AC7229A2"/>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9F02D98"/>
    <w:multiLevelType w:val="hybridMultilevel"/>
    <w:tmpl w:val="AC7229A2"/>
    <w:lvl w:ilvl="0" w:tplc="5E566C9E">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AB007A5"/>
    <w:multiLevelType w:val="hybridMultilevel"/>
    <w:tmpl w:val="0A640CA2"/>
    <w:lvl w:ilvl="0" w:tplc="D9F424AA">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 w15:restartNumberingAfterBreak="0">
    <w:nsid w:val="5E908039"/>
    <w:multiLevelType w:val="hybridMultilevel"/>
    <w:tmpl w:val="C434B036"/>
    <w:lvl w:ilvl="0" w:tplc="B3E62272">
      <w:start w:val="1"/>
      <w:numFmt w:val="decimal"/>
      <w:lvlText w:val="%1)"/>
      <w:lvlJc w:val="left"/>
      <w:rPr>
        <w:rFonts w:asciiTheme="minorHAnsi" w:eastAsia="Times New Roman"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1AB3948"/>
    <w:multiLevelType w:val="hybridMultilevel"/>
    <w:tmpl w:val="B1A0FEE8"/>
    <w:lvl w:ilvl="0" w:tplc="6E0C5B70">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A684CA2C">
      <w:start w:val="1"/>
      <w:numFmt w:val="decimal"/>
      <w:lvlText w:val="%4."/>
      <w:lvlJc w:val="left"/>
      <w:pPr>
        <w:ind w:left="2804" w:hanging="360"/>
      </w:pPr>
      <w:rPr>
        <w:rFonts w:ascii="Times New Roman" w:eastAsia="Times New Roman" w:hAnsi="Times New Roman" w:cs="Times New Roman"/>
      </w:r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62D5461D"/>
    <w:multiLevelType w:val="hybridMultilevel"/>
    <w:tmpl w:val="AC7229A2"/>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CC03FE5"/>
    <w:multiLevelType w:val="hybridMultilevel"/>
    <w:tmpl w:val="AC7229A2"/>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C86"/>
    <w:rsid w:val="000313EA"/>
    <w:rsid w:val="0020587C"/>
    <w:rsid w:val="005B1C86"/>
    <w:rsid w:val="00AB0ABF"/>
    <w:rsid w:val="00D77B85"/>
    <w:rsid w:val="00E76649"/>
    <w:rsid w:val="00F54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A0C2D-92E4-4986-A280-DEBABCCC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C86"/>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semiHidden/>
    <w:unhideWhenUsed/>
    <w:rsid w:val="005B1C86"/>
    <w:pPr>
      <w:tabs>
        <w:tab w:val="right" w:leader="hyphen" w:pos="9072"/>
        <w:tab w:val="right" w:leader="hyphen" w:pos="9356"/>
      </w:tabs>
      <w:spacing w:line="360" w:lineRule="auto"/>
      <w:jc w:val="both"/>
    </w:pPr>
    <w:rPr>
      <w:sz w:val="26"/>
    </w:rPr>
  </w:style>
  <w:style w:type="character" w:customStyle="1" w:styleId="TekstpodstawowywcityZnak">
    <w:name w:val="Tekst podstawowy wcięty Znak"/>
    <w:basedOn w:val="Domylnaczcionkaakapitu"/>
    <w:link w:val="Tekstpodstawowywcity"/>
    <w:semiHidden/>
    <w:rsid w:val="005B1C86"/>
    <w:rPr>
      <w:rFonts w:ascii="Times New Roman" w:eastAsia="Times New Roman" w:hAnsi="Times New Roman" w:cs="Times New Roman"/>
      <w:sz w:val="26"/>
      <w:szCs w:val="20"/>
      <w:lang w:eastAsia="zh-CN"/>
    </w:rPr>
  </w:style>
  <w:style w:type="paragraph" w:styleId="Akapitzlist">
    <w:name w:val="List Paragraph"/>
    <w:aliases w:val="HŁ_Bullet1,lp1,1 Akapit z listą3f,Wypunktowanie 1,Akapit z listą3f2,Numerowanie,Akapit z listą3f BS,Kolorowa lista —97 akcent 11,1 Akapit z listą,Akapit z listą2,Puce tableau,L1,Akapit z listą5,maz_wyliczenie,opis dzialania,K-P_odwolanie"/>
    <w:basedOn w:val="Normalny"/>
    <w:uiPriority w:val="99"/>
    <w:qFormat/>
    <w:rsid w:val="005B1C86"/>
    <w:rPr>
      <w:sz w:val="24"/>
    </w:rPr>
  </w:style>
  <w:style w:type="paragraph" w:styleId="Bezodstpw">
    <w:name w:val="No Spacing"/>
    <w:uiPriority w:val="1"/>
    <w:qFormat/>
    <w:rsid w:val="00D77B85"/>
    <w:pPr>
      <w:widowControl w:val="0"/>
      <w:suppressAutoHyphens/>
      <w:spacing w:after="0" w:line="240" w:lineRule="auto"/>
    </w:pPr>
    <w:rPr>
      <w:rFonts w:ascii="Times New Roman" w:eastAsia="Times New Roman" w:hAnsi="Times New Roman" w:cs="Mangal"/>
      <w:color w:val="00000A"/>
      <w:szCs w:val="24"/>
      <w:lang w:eastAsia="zh-CN" w:bidi="hi-IN"/>
    </w:rPr>
  </w:style>
  <w:style w:type="paragraph" w:customStyle="1" w:styleId="Default">
    <w:name w:val="Default"/>
    <w:rsid w:val="00D77B85"/>
    <w:pPr>
      <w:autoSpaceDE w:val="0"/>
      <w:autoSpaceDN w:val="0"/>
      <w:adjustRightInd w:val="0"/>
      <w:spacing w:after="0" w:line="240" w:lineRule="auto"/>
    </w:pPr>
    <w:rPr>
      <w:rFonts w:ascii="Calibri" w:eastAsia="Times New Roman"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581476">
      <w:bodyDiv w:val="1"/>
      <w:marLeft w:val="0"/>
      <w:marRight w:val="0"/>
      <w:marTop w:val="0"/>
      <w:marBottom w:val="0"/>
      <w:divBdr>
        <w:top w:val="none" w:sz="0" w:space="0" w:color="auto"/>
        <w:left w:val="none" w:sz="0" w:space="0" w:color="auto"/>
        <w:bottom w:val="none" w:sz="0" w:space="0" w:color="auto"/>
        <w:right w:val="none" w:sz="0" w:space="0" w:color="auto"/>
      </w:divBdr>
    </w:div>
    <w:div w:id="141659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2094</Words>
  <Characters>12568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Albiński Rafał</dc:creator>
  <cp:keywords/>
  <dc:description/>
  <cp:lastModifiedBy>Czajkowski Piotr</cp:lastModifiedBy>
  <cp:revision>2</cp:revision>
  <dcterms:created xsi:type="dcterms:W3CDTF">2023-03-17T09:11:00Z</dcterms:created>
  <dcterms:modified xsi:type="dcterms:W3CDTF">2023-03-17T09:11:00Z</dcterms:modified>
</cp:coreProperties>
</file>