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B4F78" w14:textId="4C731AB3" w:rsidR="00526B43" w:rsidRDefault="00526B43" w:rsidP="00421333">
      <w:pPr>
        <w:jc w:val="both"/>
      </w:pPr>
      <w:r w:rsidRPr="00526B43">
        <w:t>Dotyczy: załącznik</w:t>
      </w:r>
      <w:r w:rsidR="00ED0FA0">
        <w:t>a</w:t>
      </w:r>
      <w:r w:rsidRPr="00526B43">
        <w:t xml:space="preserve"> do Informacji dodatkowej do sprawozdania finansowego za 20</w:t>
      </w:r>
      <w:r w:rsidR="000A5322">
        <w:t>20</w:t>
      </w:r>
      <w:r w:rsidRPr="00526B43">
        <w:t xml:space="preserve"> rok</w:t>
      </w:r>
    </w:p>
    <w:p w14:paraId="5514AECC" w14:textId="77777777" w:rsidR="00526B43" w:rsidRPr="00526B43" w:rsidRDefault="00526B43" w:rsidP="00421333">
      <w:pPr>
        <w:jc w:val="both"/>
      </w:pPr>
    </w:p>
    <w:p w14:paraId="158299C9" w14:textId="77777777" w:rsidR="00D80CB8" w:rsidRDefault="00526B43" w:rsidP="00421333">
      <w:pPr>
        <w:jc w:val="both"/>
      </w:pPr>
      <w:r w:rsidRPr="00526B43">
        <w:t>Komenda Miejska Państwowej Straży Pożarnej w Jaworznie, zgodnie z punktem I.4.</w:t>
      </w:r>
      <w:r w:rsidR="00D80CB8">
        <w:t xml:space="preserve">     </w:t>
      </w:r>
    </w:p>
    <w:p w14:paraId="4E52670C" w14:textId="6AB9A02F" w:rsidR="00BB4BEF" w:rsidRDefault="00526B43" w:rsidP="00421333">
      <w:pPr>
        <w:jc w:val="both"/>
      </w:pPr>
      <w:r w:rsidRPr="00526B43">
        <w:t>Informacji dodatkowej do sprawozdania finansowego za 20</w:t>
      </w:r>
      <w:r w:rsidR="000A5322">
        <w:t>20</w:t>
      </w:r>
      <w:r w:rsidRPr="00526B43">
        <w:t xml:space="preserve"> rok przedkłada omówienie przyjętych zasad (polityki) rachunkowości, w tym metod wyceny aktywów i pasywów </w:t>
      </w:r>
    </w:p>
    <w:p w14:paraId="4A480596" w14:textId="77777777" w:rsidR="00526B43" w:rsidRPr="00526B43" w:rsidRDefault="00526B43" w:rsidP="00421333">
      <w:pPr>
        <w:jc w:val="both"/>
      </w:pPr>
      <w:r w:rsidRPr="00526B43">
        <w:t>(także amortyzacji):</w:t>
      </w:r>
      <w:r>
        <w:t xml:space="preserve"> </w:t>
      </w:r>
    </w:p>
    <w:p w14:paraId="480B173F" w14:textId="77777777" w:rsidR="00526B43" w:rsidRPr="00ED0FA0" w:rsidRDefault="00EB6C82" w:rsidP="00421333">
      <w:pPr>
        <w:pStyle w:val="Akapitzlist"/>
        <w:widowControl w:val="0"/>
        <w:numPr>
          <w:ilvl w:val="3"/>
          <w:numId w:val="5"/>
        </w:numPr>
        <w:suppressAutoHyphens/>
        <w:autoSpaceDE w:val="0"/>
        <w:spacing w:before="26"/>
        <w:ind w:left="567" w:hanging="283"/>
        <w:jc w:val="both"/>
        <w:textAlignment w:val="baseline"/>
        <w:rPr>
          <w:color w:val="000000"/>
          <w:lang w:eastAsia="zh-CN"/>
        </w:rPr>
      </w:pPr>
      <w:r w:rsidRPr="00ED0FA0">
        <w:rPr>
          <w:color w:val="000000"/>
          <w:lang w:eastAsia="zh-CN"/>
        </w:rPr>
        <w:t>Środki trwałe w dniu przyjęcia do użytkowania wycenia się:</w:t>
      </w:r>
    </w:p>
    <w:p w14:paraId="6C8797DD" w14:textId="77777777" w:rsidR="00EB6C82" w:rsidRPr="00D80CB8" w:rsidRDefault="00D80CB8" w:rsidP="00D80CB8">
      <w:pPr>
        <w:widowControl w:val="0"/>
        <w:suppressAutoHyphens/>
        <w:autoSpaceDE w:val="0"/>
        <w:ind w:left="360" w:firstLine="348"/>
        <w:jc w:val="both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 xml:space="preserve">a)  </w:t>
      </w:r>
      <w:r w:rsidR="00EB6C82" w:rsidRPr="00D80CB8">
        <w:rPr>
          <w:color w:val="000000"/>
          <w:lang w:eastAsia="zh-CN"/>
        </w:rPr>
        <w:t xml:space="preserve">w przypadku zakupu - według ceny nabycia, </w:t>
      </w:r>
    </w:p>
    <w:p w14:paraId="28D9DA2B" w14:textId="77777777" w:rsidR="00EB6C82" w:rsidRPr="00603F52" w:rsidRDefault="00EB6C82" w:rsidP="00421333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w przypadku wytworzenia we własnym zakresie – według kosztu wytworzenia, który obejmuje ogół kosztów poniesionych przez jednostkę od rozpoczęcia budowy, montażu, przystosowania, ulepszenia do dnia bilansowego lub przyjęcia do użytkowania, </w:t>
      </w:r>
    </w:p>
    <w:p w14:paraId="48937837" w14:textId="77777777" w:rsidR="00EB6C82" w:rsidRPr="00603F52" w:rsidRDefault="00EB6C82" w:rsidP="00421333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w przypadku ujawnienia w trakcie inwentaryzacji - według posiadanych dokumentów z uwzględnieniem zużycia, a przy ich braku według wartości rynkowej, ujawnione nadwyżki środków trwałych wprowadza się do ksiąg pod datą ich zinwentaryzowania, </w:t>
      </w:r>
    </w:p>
    <w:p w14:paraId="5C77B297" w14:textId="77777777" w:rsidR="00EB6C82" w:rsidRPr="00603F52" w:rsidRDefault="00EB6C82" w:rsidP="00421333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>w przypadku n</w:t>
      </w:r>
      <w:r>
        <w:rPr>
          <w:color w:val="000000"/>
          <w:lang w:eastAsia="zh-CN"/>
        </w:rPr>
        <w:t xml:space="preserve">ieodpłatnego otrzymania </w:t>
      </w:r>
      <w:r w:rsidRPr="00603F52">
        <w:rPr>
          <w:color w:val="000000"/>
          <w:lang w:eastAsia="zh-CN"/>
        </w:rPr>
        <w:t xml:space="preserve">lub darowizny - według wartości rynkowej z dnia otrzymania lub w niższej wartości określonej w umowie o przekazaniu, </w:t>
      </w:r>
    </w:p>
    <w:p w14:paraId="770B382C" w14:textId="77777777" w:rsidR="00EB6C82" w:rsidRPr="00603F52" w:rsidRDefault="00EB6C82" w:rsidP="00421333">
      <w:pPr>
        <w:widowControl w:val="0"/>
        <w:numPr>
          <w:ilvl w:val="0"/>
          <w:numId w:val="5"/>
        </w:numPr>
        <w:suppressAutoHyphens/>
        <w:autoSpaceDE w:val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w przypadku otrzymania w sposób nieodpłatny od Skarbu Państwa lub jednostki samorządu terytorialnego – w wysokości określonej w decyzji o ich przekazaniu, </w:t>
      </w:r>
    </w:p>
    <w:p w14:paraId="0476F0B7" w14:textId="77777777" w:rsidR="00EB6C82" w:rsidRPr="00ED0FA0" w:rsidRDefault="00EB6C82" w:rsidP="0042133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ED0FA0">
        <w:rPr>
          <w:color w:val="000000"/>
          <w:lang w:eastAsia="zh-CN"/>
        </w:rPr>
        <w:t>Wartości niematerialne i prawne wprowadza się do ewidencji w cenie nabycia, otrzymane nieodpłatnie na podstawie dokumentu przekazania - według wartości określonej w tym dokumencie, a otrzymane na podstawie darowizny - według wartości rynkowej z dnia otrzymania lub wartości określonej w umowie o przekazaniu.</w:t>
      </w:r>
    </w:p>
    <w:p w14:paraId="61FD525A" w14:textId="77777777" w:rsidR="00EB6C82" w:rsidRPr="00ED0FA0" w:rsidRDefault="00EB6C82" w:rsidP="00421333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ED0FA0">
        <w:rPr>
          <w:color w:val="000000"/>
          <w:lang w:eastAsia="zh-CN"/>
        </w:rPr>
        <w:t>Jednorazowo, przez spisanie w koszty w miesiącu p</w:t>
      </w:r>
      <w:r w:rsidR="00062C40" w:rsidRPr="00ED0FA0">
        <w:rPr>
          <w:color w:val="000000"/>
          <w:lang w:eastAsia="zh-CN"/>
        </w:rPr>
        <w:t>rzyjęcia do używania</w:t>
      </w:r>
      <w:r w:rsidRPr="00ED0FA0">
        <w:rPr>
          <w:color w:val="000000"/>
          <w:lang w:eastAsia="zh-CN"/>
        </w:rPr>
        <w:t xml:space="preserve">: </w:t>
      </w:r>
    </w:p>
    <w:p w14:paraId="4E4D3789" w14:textId="77777777" w:rsidR="00EB6C82" w:rsidRPr="00603F52" w:rsidRDefault="00EB6C82" w:rsidP="00421333">
      <w:pPr>
        <w:widowControl w:val="0"/>
        <w:numPr>
          <w:ilvl w:val="2"/>
          <w:numId w:val="3"/>
        </w:numPr>
        <w:tabs>
          <w:tab w:val="left" w:pos="709"/>
        </w:tabs>
        <w:suppressAutoHyphens/>
        <w:autoSpaceDE w:val="0"/>
        <w:ind w:left="709" w:firstLine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książki i inne zbiory biblioteczne, </w:t>
      </w:r>
    </w:p>
    <w:p w14:paraId="035871BE" w14:textId="77777777" w:rsidR="00EB6C82" w:rsidRPr="00603F52" w:rsidRDefault="00EB6C82" w:rsidP="00421333">
      <w:pPr>
        <w:widowControl w:val="0"/>
        <w:numPr>
          <w:ilvl w:val="2"/>
          <w:numId w:val="3"/>
        </w:numPr>
        <w:tabs>
          <w:tab w:val="left" w:pos="709"/>
        </w:tabs>
        <w:suppressAutoHyphens/>
        <w:autoSpaceDE w:val="0"/>
        <w:ind w:left="709" w:firstLine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>środki dydaktyczn</w:t>
      </w:r>
      <w:r w:rsidR="00421333">
        <w:rPr>
          <w:color w:val="000000"/>
          <w:lang w:eastAsia="zh-CN"/>
        </w:rPr>
        <w:t>e,</w:t>
      </w:r>
    </w:p>
    <w:p w14:paraId="731039DF" w14:textId="77777777" w:rsidR="00EB6C82" w:rsidRPr="00603F52" w:rsidRDefault="00EB6C82" w:rsidP="00421333">
      <w:pPr>
        <w:widowControl w:val="0"/>
        <w:numPr>
          <w:ilvl w:val="2"/>
          <w:numId w:val="3"/>
        </w:numPr>
        <w:tabs>
          <w:tab w:val="left" w:pos="709"/>
        </w:tabs>
        <w:suppressAutoHyphens/>
        <w:autoSpaceDE w:val="0"/>
        <w:ind w:left="709" w:firstLine="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odzież i umundurowanie, </w:t>
      </w:r>
    </w:p>
    <w:p w14:paraId="50891486" w14:textId="77777777" w:rsidR="00EB6C82" w:rsidRDefault="00062C40" w:rsidP="00421333">
      <w:pPr>
        <w:widowControl w:val="0"/>
        <w:numPr>
          <w:ilvl w:val="2"/>
          <w:numId w:val="3"/>
        </w:numPr>
        <w:tabs>
          <w:tab w:val="left" w:pos="709"/>
        </w:tabs>
        <w:suppressAutoHyphens/>
        <w:autoSpaceDE w:val="0"/>
        <w:ind w:left="709" w:firstLine="0"/>
        <w:jc w:val="both"/>
        <w:textAlignment w:val="baseline"/>
        <w:rPr>
          <w:color w:val="000000"/>
          <w:lang w:eastAsia="zh-CN"/>
        </w:rPr>
      </w:pPr>
      <w:r>
        <w:rPr>
          <w:color w:val="000000"/>
          <w:lang w:eastAsia="zh-CN"/>
        </w:rPr>
        <w:t>meble i dywany,</w:t>
      </w:r>
    </w:p>
    <w:p w14:paraId="35E543E7" w14:textId="77777777" w:rsidR="00EB6C82" w:rsidRPr="00062C40" w:rsidRDefault="00062C40" w:rsidP="00421333">
      <w:pPr>
        <w:tabs>
          <w:tab w:val="center" w:pos="4536"/>
        </w:tabs>
        <w:ind w:left="709"/>
        <w:jc w:val="both"/>
      </w:pPr>
      <w:r>
        <w:rPr>
          <w:color w:val="000000"/>
          <w:lang w:eastAsia="zh-CN"/>
        </w:rPr>
        <w:t xml:space="preserve">- </w:t>
      </w:r>
      <w:r w:rsidR="00EB6C82" w:rsidRPr="00603F52">
        <w:rPr>
          <w:color w:val="000000"/>
          <w:lang w:eastAsia="zh-CN"/>
        </w:rPr>
        <w:t>pozostałe środki trwałe (wyposażenie) oraz wartości niematerialne i prawne, o wartości nieprzekraczającej wielkości ustalonej w przepisach o podatku dochodowym od osób prawnych, dla których odpisy amortyzacyjne są uznawane za koszt uzyskania przychodu w 100% ich wartości</w:t>
      </w:r>
      <w:r w:rsidR="00CE60A0">
        <w:rPr>
          <w:color w:val="000000"/>
          <w:lang w:eastAsia="zh-CN"/>
        </w:rPr>
        <w:t xml:space="preserve"> w momencie oddania do używania,</w:t>
      </w:r>
      <w:r w:rsidR="00EB6C82" w:rsidRPr="00603F52">
        <w:rPr>
          <w:color w:val="000000"/>
          <w:lang w:eastAsia="zh-CN"/>
        </w:rPr>
        <w:t xml:space="preserve"> </w:t>
      </w:r>
      <w:r w:rsidRPr="003D7CD1">
        <w:t>podlegają one umorzeniu w pełnej wartości, poprzez spisanie w koszty, w miesiącu przyjęcia do użytkowania.</w:t>
      </w:r>
    </w:p>
    <w:p w14:paraId="376ACBFC" w14:textId="77777777" w:rsidR="00EB6C82" w:rsidRPr="00603F52" w:rsidRDefault="00EB6C82" w:rsidP="00421333">
      <w:pPr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603F52">
        <w:rPr>
          <w:lang w:eastAsia="zh-CN"/>
        </w:rPr>
        <w:t xml:space="preserve">Środki trwałe umarza się i amortyzuje wg stawek określonych w </w:t>
      </w:r>
      <w:hyperlink r:id="rId7" w:anchor="/document/16794608?cm=DOCUMENT" w:history="1">
        <w:r w:rsidRPr="00603F52">
          <w:rPr>
            <w:lang w:eastAsia="zh-CN"/>
          </w:rPr>
          <w:t>ustawie</w:t>
        </w:r>
      </w:hyperlink>
      <w:r>
        <w:rPr>
          <w:lang w:eastAsia="zh-CN"/>
        </w:rPr>
        <w:t xml:space="preserve"> </w:t>
      </w:r>
      <w:r w:rsidRPr="00603F52">
        <w:rPr>
          <w:lang w:eastAsia="zh-CN"/>
        </w:rPr>
        <w:t>o podatku dochod</w:t>
      </w:r>
      <w:r w:rsidR="003249F8">
        <w:rPr>
          <w:lang w:eastAsia="zh-CN"/>
        </w:rPr>
        <w:t>owym od osób prawnych.</w:t>
      </w:r>
    </w:p>
    <w:p w14:paraId="17205EF0" w14:textId="77777777" w:rsidR="00286AB0" w:rsidRDefault="00EB6C82" w:rsidP="00421333">
      <w:pPr>
        <w:widowControl w:val="0"/>
        <w:suppressAutoHyphens/>
        <w:autoSpaceDE w:val="0"/>
        <w:spacing w:before="26"/>
        <w:ind w:left="720"/>
        <w:jc w:val="both"/>
        <w:textAlignment w:val="baseline"/>
        <w:rPr>
          <w:color w:val="000000"/>
          <w:shd w:val="clear" w:color="auto" w:fill="FFFFFF"/>
          <w:lang w:eastAsia="zh-CN"/>
        </w:rPr>
      </w:pPr>
      <w:r w:rsidRPr="00603F52">
        <w:rPr>
          <w:color w:val="000000"/>
          <w:shd w:val="clear" w:color="auto" w:fill="FFFFFF"/>
          <w:lang w:eastAsia="zh-CN"/>
        </w:rPr>
        <w:t xml:space="preserve">Podstawowym poziomem istotności wartości środków </w:t>
      </w:r>
      <w:r>
        <w:rPr>
          <w:color w:val="000000"/>
          <w:shd w:val="clear" w:color="auto" w:fill="FFFFFF"/>
          <w:lang w:eastAsia="zh-CN"/>
        </w:rPr>
        <w:t>trwałych jest kwota wynikająca z ustawy o</w:t>
      </w:r>
      <w:r w:rsidRPr="00603F52">
        <w:rPr>
          <w:color w:val="000000"/>
          <w:shd w:val="clear" w:color="auto" w:fill="FFFFFF"/>
          <w:lang w:eastAsia="zh-CN"/>
        </w:rPr>
        <w:t xml:space="preserve"> po</w:t>
      </w:r>
      <w:r>
        <w:rPr>
          <w:color w:val="000000"/>
          <w:shd w:val="clear" w:color="auto" w:fill="FFFFFF"/>
          <w:lang w:eastAsia="zh-CN"/>
        </w:rPr>
        <w:t>datku dochodowym</w:t>
      </w:r>
      <w:r w:rsidR="00286AB0">
        <w:rPr>
          <w:color w:val="000000"/>
          <w:shd w:val="clear" w:color="auto" w:fill="FFFFFF"/>
          <w:lang w:eastAsia="zh-CN"/>
        </w:rPr>
        <w:t>.</w:t>
      </w:r>
    </w:p>
    <w:p w14:paraId="4FE6CF3D" w14:textId="77777777" w:rsidR="00EB6C82" w:rsidRPr="00603F52" w:rsidRDefault="00EB6C82" w:rsidP="00421333">
      <w:pPr>
        <w:widowControl w:val="0"/>
        <w:suppressAutoHyphens/>
        <w:autoSpaceDE w:val="0"/>
        <w:spacing w:before="26"/>
        <w:ind w:left="720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Umorzenie środków trwałych oraz wartości niematerialnych i prawnych nalicza się od miesiąca następnego po miesiącu, w którym nastąpiło przyjęcie środka trwałego lub wartości niematerialnej i prawnej. </w:t>
      </w:r>
    </w:p>
    <w:p w14:paraId="64A93DE3" w14:textId="77777777" w:rsidR="00EB6C82" w:rsidRPr="00603F52" w:rsidRDefault="00EB6C82" w:rsidP="00421333">
      <w:pPr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>Dla umorzenia środków trwałych oraz wartości niematerialnych i prawnych przyjmuje się metodę liniową.</w:t>
      </w:r>
    </w:p>
    <w:p w14:paraId="4BB8086D" w14:textId="77777777" w:rsidR="00EB6C82" w:rsidRPr="00603F52" w:rsidRDefault="00EB6C82" w:rsidP="00421333">
      <w:pPr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 xml:space="preserve">Środki trwałe oraz wartości niematerialne i prawne </w:t>
      </w:r>
      <w:r w:rsidRPr="00603F52">
        <w:rPr>
          <w:color w:val="000000"/>
          <w:shd w:val="clear" w:color="auto" w:fill="FFFFFF"/>
          <w:lang w:eastAsia="zh-CN"/>
        </w:rPr>
        <w:t>umarza się i amortyzuje jednorazowo za okres całego roku</w:t>
      </w:r>
      <w:r>
        <w:rPr>
          <w:color w:val="000000"/>
          <w:shd w:val="clear" w:color="auto" w:fill="FFFFFF"/>
          <w:lang w:eastAsia="zh-CN"/>
        </w:rPr>
        <w:t xml:space="preserve"> na dzień 31 grudnia</w:t>
      </w:r>
      <w:r w:rsidRPr="00603F52">
        <w:rPr>
          <w:color w:val="000000"/>
          <w:shd w:val="clear" w:color="auto" w:fill="FFFFFF"/>
          <w:lang w:eastAsia="zh-CN"/>
        </w:rPr>
        <w:t>.</w:t>
      </w:r>
    </w:p>
    <w:p w14:paraId="6E282B11" w14:textId="77777777" w:rsidR="00EB6C82" w:rsidRDefault="00EB6C82" w:rsidP="00421333">
      <w:pPr>
        <w:widowControl w:val="0"/>
        <w:numPr>
          <w:ilvl w:val="0"/>
          <w:numId w:val="12"/>
        </w:numPr>
        <w:suppressAutoHyphens/>
        <w:autoSpaceDE w:val="0"/>
        <w:spacing w:before="26"/>
        <w:jc w:val="both"/>
        <w:textAlignment w:val="baseline"/>
        <w:rPr>
          <w:color w:val="000000"/>
          <w:lang w:eastAsia="zh-CN"/>
        </w:rPr>
      </w:pPr>
      <w:r w:rsidRPr="00603F52">
        <w:rPr>
          <w:color w:val="000000"/>
          <w:lang w:eastAsia="zh-CN"/>
        </w:rPr>
        <w:t>W przypadku, gdy nieumorzony środek trwały uległ w trakcie roku obrotowego likwidacji, sprzedaży, przekazaniu, itp. odpisów amortyzacyjnych (umorzeniowych) dokonuje się w ostatnim miesiącu, w którym był użytkowany.</w:t>
      </w:r>
    </w:p>
    <w:p w14:paraId="1609137B" w14:textId="77777777" w:rsidR="00062C40" w:rsidRPr="000901A2" w:rsidRDefault="00062C40" w:rsidP="00421333">
      <w:pPr>
        <w:numPr>
          <w:ilvl w:val="0"/>
          <w:numId w:val="12"/>
        </w:numPr>
        <w:jc w:val="both"/>
        <w:rPr>
          <w:bCs/>
        </w:rPr>
      </w:pPr>
      <w:r w:rsidRPr="000901A2">
        <w:rPr>
          <w:bCs/>
          <w:color w:val="000000"/>
        </w:rPr>
        <w:t>Ponadto nie podlegają ewidencji ilościowej przedmioty przyjmowane na magazyn.</w:t>
      </w:r>
    </w:p>
    <w:p w14:paraId="753D032A" w14:textId="77777777" w:rsidR="006D40ED" w:rsidRDefault="00D80CB8" w:rsidP="00421333">
      <w:pPr>
        <w:rPr>
          <w:rFonts w:eastAsiaTheme="minorEastAsia"/>
        </w:rPr>
      </w:pPr>
      <w:r>
        <w:rPr>
          <w:rFonts w:eastAsiaTheme="minorEastAsia"/>
        </w:rPr>
        <w:lastRenderedPageBreak/>
        <w:t>9</w:t>
      </w:r>
      <w:r w:rsidR="003449E5">
        <w:rPr>
          <w:rFonts w:eastAsiaTheme="minorEastAsia"/>
        </w:rPr>
        <w:t xml:space="preserve">. </w:t>
      </w:r>
      <w:r w:rsidR="003449E5" w:rsidRPr="003449E5">
        <w:rPr>
          <w:rFonts w:eastAsiaTheme="minorEastAsia"/>
        </w:rPr>
        <w:t>Ewidencji magazynowej podlegają następujące przedmioty i wyposażenie:</w:t>
      </w:r>
    </w:p>
    <w:p w14:paraId="40AF45EA" w14:textId="77777777" w:rsidR="009D5335" w:rsidRDefault="006D40ED" w:rsidP="00421333">
      <w:pPr>
        <w:rPr>
          <w:rFonts w:eastAsiaTheme="minorEastAsia"/>
        </w:rPr>
      </w:pPr>
      <w:r>
        <w:rPr>
          <w:rFonts w:eastAsiaTheme="minorEastAsia"/>
        </w:rPr>
        <w:t xml:space="preserve">- </w:t>
      </w:r>
      <w:r w:rsidR="003449E5" w:rsidRPr="003449E5">
        <w:rPr>
          <w:rFonts w:eastAsiaTheme="minorEastAsia"/>
        </w:rPr>
        <w:t xml:space="preserve">paliwa do samochodów i sprzętu, </w:t>
      </w:r>
    </w:p>
    <w:p w14:paraId="1F19EBF7" w14:textId="77777777" w:rsidR="006D40ED" w:rsidRDefault="003449E5" w:rsidP="00421333">
      <w:pPr>
        <w:rPr>
          <w:rFonts w:eastAsiaTheme="minorEastAsia"/>
        </w:rPr>
      </w:pPr>
      <w:r w:rsidRPr="003449E5">
        <w:rPr>
          <w:rFonts w:eastAsiaTheme="minorEastAsia"/>
        </w:rPr>
        <w:t>- zakupy umundurowania i wyposaż</w:t>
      </w:r>
      <w:r w:rsidR="006D40ED">
        <w:rPr>
          <w:rFonts w:eastAsiaTheme="minorEastAsia"/>
        </w:rPr>
        <w:t>enia osobistego funkcjonariuszy</w:t>
      </w:r>
    </w:p>
    <w:p w14:paraId="407E20EC" w14:textId="77777777" w:rsidR="006D40ED" w:rsidRDefault="003449E5" w:rsidP="00421333">
      <w:pPr>
        <w:rPr>
          <w:rFonts w:eastAsiaTheme="minorEastAsia"/>
        </w:rPr>
      </w:pPr>
      <w:r w:rsidRPr="003449E5">
        <w:rPr>
          <w:rFonts w:eastAsiaTheme="minorEastAsia"/>
        </w:rPr>
        <w:t>- węże pożarnicze,</w:t>
      </w:r>
    </w:p>
    <w:p w14:paraId="41C1CE6F" w14:textId="77777777" w:rsidR="006D40ED" w:rsidRDefault="006D40ED" w:rsidP="00421333">
      <w:pPr>
        <w:rPr>
          <w:rFonts w:eastAsiaTheme="minorEastAsia"/>
        </w:rPr>
      </w:pPr>
      <w:r>
        <w:rPr>
          <w:rFonts w:eastAsiaTheme="minorEastAsia"/>
        </w:rPr>
        <w:t xml:space="preserve">- </w:t>
      </w:r>
      <w:r w:rsidR="003449E5" w:rsidRPr="003449E5">
        <w:rPr>
          <w:rFonts w:eastAsiaTheme="minorEastAsia"/>
        </w:rPr>
        <w:t xml:space="preserve">inne zakupy, w stosunku do których kierownictwo Komendy wskaże potrzebę zaewidencjonowania.  </w:t>
      </w:r>
    </w:p>
    <w:p w14:paraId="431943DA" w14:textId="77777777" w:rsidR="006D40ED" w:rsidRDefault="00EC0DD5" w:rsidP="00421333">
      <w:r w:rsidRPr="00E36477">
        <w:t xml:space="preserve">Materiały wycenia się są w cenach ewidencyjnych równych cenom zakupu. </w:t>
      </w:r>
    </w:p>
    <w:p w14:paraId="3B4CDFA2" w14:textId="77777777" w:rsidR="006D40ED" w:rsidRDefault="00EC0DD5" w:rsidP="00421333">
      <w:r w:rsidRPr="00E36477">
        <w:t>Komenda prowadzi ewidencję materiałów ilościowo-wartościową.</w:t>
      </w:r>
    </w:p>
    <w:p w14:paraId="0F2C10BD" w14:textId="77777777" w:rsidR="006D40ED" w:rsidRDefault="00EC0DD5" w:rsidP="00421333">
      <w:r w:rsidRPr="00E36477">
        <w:t>Przyjęcie materiałów do magazynu następuje w rzeczywistych cenach zakupu,</w:t>
      </w:r>
    </w:p>
    <w:p w14:paraId="288ACFB2" w14:textId="77777777" w:rsidR="006D40ED" w:rsidRDefault="00EC0DD5" w:rsidP="00421333">
      <w:r w:rsidRPr="00E36477">
        <w:t>Rozchód materiałów z magazynu wycenia się metodą:</w:t>
      </w:r>
    </w:p>
    <w:p w14:paraId="704E9982" w14:textId="77777777" w:rsidR="00EC0DD5" w:rsidRPr="006D40ED" w:rsidRDefault="00EC0DD5" w:rsidP="00421333">
      <w:pPr>
        <w:rPr>
          <w:rFonts w:eastAsiaTheme="minorEastAsia"/>
        </w:rPr>
      </w:pPr>
      <w:r>
        <w:t xml:space="preserve">- </w:t>
      </w:r>
      <w:r w:rsidRPr="00E36477">
        <w:t>„pierwsze w</w:t>
      </w:r>
      <w:r>
        <w:t>eszło, pierwsze wyszło” (FIFO).</w:t>
      </w:r>
    </w:p>
    <w:p w14:paraId="1263F2C3" w14:textId="77777777" w:rsidR="00AF3024" w:rsidRPr="00421333" w:rsidRDefault="00D80CB8" w:rsidP="00421333">
      <w:pPr>
        <w:jc w:val="both"/>
        <w:rPr>
          <w:bCs/>
        </w:rPr>
      </w:pPr>
      <w:r>
        <w:t>10</w:t>
      </w:r>
      <w:r w:rsidR="00421333">
        <w:t xml:space="preserve">. </w:t>
      </w:r>
      <w:r w:rsidR="00AF3024" w:rsidRPr="00E36477">
        <w:t>Rachunek kosztów prowadzi się poprzez ujmowanie ponoszonych kosztów w układzie</w:t>
      </w:r>
    </w:p>
    <w:p w14:paraId="1F64D0EC" w14:textId="77777777" w:rsidR="00AF3024" w:rsidRPr="00E36477" w:rsidRDefault="00AF3024" w:rsidP="00421333">
      <w:pPr>
        <w:pStyle w:val="Lista3"/>
        <w:ind w:left="0" w:firstLine="0"/>
        <w:jc w:val="both"/>
      </w:pPr>
      <w:r w:rsidRPr="00E36477">
        <w:t>rodzajowym zgodnie z obowiązującą klasyfikacją wydatków budżetowych dla jednostki</w:t>
      </w:r>
    </w:p>
    <w:p w14:paraId="79AFBC68" w14:textId="77777777" w:rsidR="00712750" w:rsidRDefault="00AF3024" w:rsidP="00421333">
      <w:pPr>
        <w:pStyle w:val="Lista3"/>
        <w:ind w:left="0" w:firstLine="0"/>
        <w:jc w:val="both"/>
        <w:rPr>
          <w:bCs/>
        </w:rPr>
      </w:pPr>
      <w:r w:rsidRPr="00E36477">
        <w:t>budżetowej</w:t>
      </w:r>
      <w:r w:rsidR="00712750">
        <w:t xml:space="preserve">. </w:t>
      </w:r>
      <w:r w:rsidRPr="00E36477">
        <w:t>Koszty ujmowane są w księgach w wartości brutto na  podstawie dowodów księgowych.</w:t>
      </w:r>
      <w:r w:rsidR="00712750" w:rsidRPr="00712750">
        <w:rPr>
          <w:bCs/>
        </w:rPr>
        <w:t xml:space="preserve"> </w:t>
      </w:r>
      <w:r w:rsidR="00712750" w:rsidRPr="00EC0DD5">
        <w:rPr>
          <w:bCs/>
        </w:rPr>
        <w:t>Ewidencja i rozliczanie kosztów prowadzona jest w układzie ro</w:t>
      </w:r>
      <w:r w:rsidR="00712750">
        <w:rPr>
          <w:bCs/>
        </w:rPr>
        <w:t xml:space="preserve">dzajowym na kontach zespołu „4”, nie prowadzi się rozliczenia kosztów w czasie. Przyjęte </w:t>
      </w:r>
      <w:r w:rsidR="00712750" w:rsidRPr="00EC0DD5">
        <w:rPr>
          <w:bCs/>
        </w:rPr>
        <w:t>uproszczenia nie wywierają istotnego ujemnego wpływu na rzetelne i jasne przedstawienie sytuacji majątkowej i finansowej oraz wynik</w:t>
      </w:r>
      <w:r w:rsidR="00712750">
        <w:rPr>
          <w:bCs/>
        </w:rPr>
        <w:t xml:space="preserve"> finansowy Komendy.</w:t>
      </w:r>
    </w:p>
    <w:p w14:paraId="65DBD757" w14:textId="77777777" w:rsidR="00EC0DD5" w:rsidRPr="00E36477" w:rsidRDefault="00F803E6" w:rsidP="00421333">
      <w:pPr>
        <w:pStyle w:val="Lista3"/>
        <w:ind w:left="0" w:firstLine="0"/>
        <w:jc w:val="both"/>
      </w:pPr>
      <w:r>
        <w:t>11</w:t>
      </w:r>
      <w:r w:rsidR="00421333">
        <w:t xml:space="preserve">. </w:t>
      </w:r>
      <w:r w:rsidR="00EC0DD5">
        <w:t>Środki pieniężne w kasie i na rachunkach banko</w:t>
      </w:r>
      <w:r w:rsidR="00712750">
        <w:t>wych ujmowane są w wartości nom</w:t>
      </w:r>
      <w:r w:rsidR="00EC0DD5">
        <w:t>inalnej.</w:t>
      </w:r>
    </w:p>
    <w:p w14:paraId="3DE124A9" w14:textId="77777777" w:rsidR="00AF3024" w:rsidRPr="00E36477" w:rsidRDefault="00AF3024" w:rsidP="00421333">
      <w:pPr>
        <w:pStyle w:val="Lista3"/>
        <w:ind w:left="0" w:firstLine="0"/>
        <w:jc w:val="both"/>
      </w:pPr>
    </w:p>
    <w:sectPr w:rsidR="00AF3024" w:rsidRPr="00E36477" w:rsidSect="0071275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5A996" w14:textId="77777777" w:rsidR="00D32EB5" w:rsidRDefault="00D32EB5" w:rsidP="00526B43">
      <w:r>
        <w:separator/>
      </w:r>
    </w:p>
  </w:endnote>
  <w:endnote w:type="continuationSeparator" w:id="0">
    <w:p w14:paraId="771FA496" w14:textId="77777777" w:rsidR="00D32EB5" w:rsidRDefault="00D32EB5" w:rsidP="0052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0EBE3" w14:textId="77777777" w:rsidR="00D32EB5" w:rsidRDefault="00D32EB5" w:rsidP="00526B43">
      <w:r>
        <w:separator/>
      </w:r>
    </w:p>
  </w:footnote>
  <w:footnote w:type="continuationSeparator" w:id="0">
    <w:p w14:paraId="1A959F76" w14:textId="77777777" w:rsidR="00D32EB5" w:rsidRDefault="00D32EB5" w:rsidP="0052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343571D"/>
    <w:multiLevelType w:val="hybridMultilevel"/>
    <w:tmpl w:val="5808951C"/>
    <w:lvl w:ilvl="0" w:tplc="047C43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8338F8"/>
    <w:multiLevelType w:val="hybridMultilevel"/>
    <w:tmpl w:val="B39CF4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B42614"/>
    <w:multiLevelType w:val="hybridMultilevel"/>
    <w:tmpl w:val="A2F87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70755"/>
    <w:multiLevelType w:val="hybridMultilevel"/>
    <w:tmpl w:val="4DD08A32"/>
    <w:lvl w:ilvl="0" w:tplc="D930A2A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533DD"/>
    <w:multiLevelType w:val="hybridMultilevel"/>
    <w:tmpl w:val="DDF47952"/>
    <w:lvl w:ilvl="0" w:tplc="278A57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B6D35"/>
    <w:multiLevelType w:val="singleLevel"/>
    <w:tmpl w:val="5E0087B2"/>
    <w:lvl w:ilvl="0">
      <w:start w:val="1"/>
      <w:numFmt w:val="bullet"/>
      <w:pStyle w:val="kwadrat2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9" w15:restartNumberingAfterBreak="0">
    <w:nsid w:val="35AC4FED"/>
    <w:multiLevelType w:val="singleLevel"/>
    <w:tmpl w:val="98CE8D0A"/>
    <w:lvl w:ilvl="0">
      <w:start w:val="1"/>
      <w:numFmt w:val="bullet"/>
      <w:pStyle w:val="kwadrat1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0" w15:restartNumberingAfterBreak="0">
    <w:nsid w:val="444F3EE0"/>
    <w:multiLevelType w:val="hybridMultilevel"/>
    <w:tmpl w:val="B3D22B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F02AC4"/>
    <w:multiLevelType w:val="hybridMultilevel"/>
    <w:tmpl w:val="C9B81AF2"/>
    <w:lvl w:ilvl="0" w:tplc="87264D9C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3C"/>
    <w:rsid w:val="00062C40"/>
    <w:rsid w:val="000A5322"/>
    <w:rsid w:val="000D577E"/>
    <w:rsid w:val="000E19EE"/>
    <w:rsid w:val="00155969"/>
    <w:rsid w:val="001F2BB1"/>
    <w:rsid w:val="0022464A"/>
    <w:rsid w:val="00283921"/>
    <w:rsid w:val="00286AB0"/>
    <w:rsid w:val="003249F8"/>
    <w:rsid w:val="003449E5"/>
    <w:rsid w:val="00370593"/>
    <w:rsid w:val="00421333"/>
    <w:rsid w:val="00470FDC"/>
    <w:rsid w:val="00526B43"/>
    <w:rsid w:val="005C7090"/>
    <w:rsid w:val="0064565B"/>
    <w:rsid w:val="006D40ED"/>
    <w:rsid w:val="006E41BF"/>
    <w:rsid w:val="00712750"/>
    <w:rsid w:val="008E2D9A"/>
    <w:rsid w:val="00981483"/>
    <w:rsid w:val="009D5335"/>
    <w:rsid w:val="00AF3024"/>
    <w:rsid w:val="00BB4BEF"/>
    <w:rsid w:val="00BE5F4B"/>
    <w:rsid w:val="00C12403"/>
    <w:rsid w:val="00CE60A0"/>
    <w:rsid w:val="00D32EB5"/>
    <w:rsid w:val="00D80CB8"/>
    <w:rsid w:val="00DF4412"/>
    <w:rsid w:val="00E436F9"/>
    <w:rsid w:val="00EB6C82"/>
    <w:rsid w:val="00EC0DD5"/>
    <w:rsid w:val="00EC3C30"/>
    <w:rsid w:val="00EC773E"/>
    <w:rsid w:val="00ED0FA0"/>
    <w:rsid w:val="00EE04A3"/>
    <w:rsid w:val="00F174C3"/>
    <w:rsid w:val="00F803E6"/>
    <w:rsid w:val="00FA17A4"/>
    <w:rsid w:val="00FB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8372B"/>
  <w15:chartTrackingRefBased/>
  <w15:docId w15:val="{27D6F6CA-E9C2-40FD-B917-A5F985EE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9E5"/>
    <w:pPr>
      <w:ind w:left="720"/>
      <w:contextualSpacing/>
    </w:pPr>
  </w:style>
  <w:style w:type="paragraph" w:styleId="Lista3">
    <w:name w:val="List 3"/>
    <w:basedOn w:val="Normalny"/>
    <w:semiHidden/>
    <w:rsid w:val="00AF3024"/>
    <w:pPr>
      <w:widowControl w:val="0"/>
      <w:suppressAutoHyphens/>
      <w:ind w:left="849" w:hanging="283"/>
    </w:pPr>
    <w:rPr>
      <w:rFonts w:eastAsia="Lucida Sans Unicode"/>
      <w:kern w:val="1"/>
    </w:rPr>
  </w:style>
  <w:style w:type="paragraph" w:customStyle="1" w:styleId="kreska2">
    <w:name w:val="kreska2"/>
    <w:basedOn w:val="Normalny"/>
    <w:rsid w:val="00AF3024"/>
    <w:pPr>
      <w:tabs>
        <w:tab w:val="num" w:pos="567"/>
        <w:tab w:val="right" w:leader="dot" w:pos="9072"/>
      </w:tabs>
      <w:spacing w:before="60" w:line="276" w:lineRule="auto"/>
      <w:ind w:left="567" w:hanging="284"/>
      <w:jc w:val="both"/>
    </w:pPr>
    <w:rPr>
      <w:sz w:val="22"/>
      <w:szCs w:val="20"/>
    </w:rPr>
  </w:style>
  <w:style w:type="paragraph" w:customStyle="1" w:styleId="kwadrat2">
    <w:name w:val="kwadrat2"/>
    <w:basedOn w:val="kreska2"/>
    <w:rsid w:val="00AF3024"/>
    <w:pPr>
      <w:numPr>
        <w:numId w:val="8"/>
      </w:numPr>
      <w:tabs>
        <w:tab w:val="clear" w:pos="360"/>
        <w:tab w:val="num" w:pos="567"/>
      </w:tabs>
      <w:ind w:left="567"/>
    </w:pPr>
  </w:style>
  <w:style w:type="paragraph" w:customStyle="1" w:styleId="kwadrat1">
    <w:name w:val="kwadrat1"/>
    <w:basedOn w:val="kwadrat2"/>
    <w:rsid w:val="00AF3024"/>
    <w:pPr>
      <w:numPr>
        <w:numId w:val="9"/>
      </w:numPr>
      <w:tabs>
        <w:tab w:val="clear" w:pos="360"/>
        <w:tab w:val="num" w:pos="284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27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75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6B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6B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B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6B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Fudała</dc:creator>
  <cp:keywords/>
  <dc:description/>
  <cp:lastModifiedBy>A F</cp:lastModifiedBy>
  <cp:revision>4</cp:revision>
  <cp:lastPrinted>2021-02-25T08:33:00Z</cp:lastPrinted>
  <dcterms:created xsi:type="dcterms:W3CDTF">2021-02-25T08:32:00Z</dcterms:created>
  <dcterms:modified xsi:type="dcterms:W3CDTF">2021-02-25T08:41:00Z</dcterms:modified>
</cp:coreProperties>
</file>