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110C" w:rsidRDefault="0013110C" w:rsidP="00225ACD">
      <w:pPr>
        <w:spacing w:before="120"/>
        <w:jc w:val="right"/>
        <w:rPr>
          <w:rFonts w:ascii="Cambria" w:hAnsi="Cambria" w:cs="Arial"/>
          <w:b/>
          <w:bCs/>
          <w:sz w:val="22"/>
          <w:szCs w:val="22"/>
        </w:rPr>
      </w:pPr>
    </w:p>
    <w:p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rsidR="0013110C" w:rsidRDefault="0013110C" w:rsidP="00225ACD">
      <w:pPr>
        <w:suppressAutoHyphens w:val="0"/>
        <w:spacing w:before="120"/>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13110C" w:rsidRDefault="0013110C" w:rsidP="00225ACD">
      <w:pPr>
        <w:suppressAutoHyphens w:val="0"/>
        <w:spacing w:before="120"/>
        <w:jc w:val="both"/>
        <w:rPr>
          <w:rFonts w:ascii="Cambria" w:hAnsi="Cambria" w:cs="Arial"/>
          <w:i/>
          <w:sz w:val="22"/>
          <w:szCs w:val="22"/>
          <w:lang w:eastAsia="pl-PL"/>
        </w:rPr>
      </w:pP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13110C" w:rsidRDefault="0013110C" w:rsidP="00225ACD">
      <w:pPr>
        <w:suppressAutoHyphens w:val="0"/>
        <w:spacing w:before="120"/>
        <w:rPr>
          <w:rFonts w:ascii="Cambria" w:hAnsi="Cambria" w:cs="Arial"/>
          <w:sz w:val="22"/>
          <w:szCs w:val="22"/>
          <w:lang w:eastAsia="pl-PL"/>
        </w:rPr>
      </w:pPr>
    </w:p>
    <w:p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13110C" w:rsidRDefault="0013110C" w:rsidP="00225ACD">
      <w:pPr>
        <w:suppressAutoHyphens w:val="0"/>
        <w:spacing w:before="120"/>
        <w:ind w:left="574" w:hanging="574"/>
        <w:jc w:val="both"/>
        <w:rPr>
          <w:rFonts w:ascii="Cambria" w:hAnsi="Cambria" w:cs="Arial"/>
          <w:sz w:val="22"/>
          <w:szCs w:val="22"/>
          <w:lang w:eastAsia="pl-PL"/>
        </w:rPr>
      </w:pPr>
    </w:p>
    <w:p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13110C" w:rsidRDefault="0013110C" w:rsidP="00225ACD">
      <w:pPr>
        <w:suppressAutoHyphens w:val="0"/>
        <w:spacing w:before="120"/>
        <w:ind w:left="574" w:hanging="574"/>
        <w:jc w:val="both"/>
        <w:rPr>
          <w:rFonts w:ascii="Cambria" w:hAnsi="Cambria" w:cs="Arial"/>
          <w:sz w:val="22"/>
          <w:szCs w:val="22"/>
          <w:lang w:eastAsia="pl-PL"/>
        </w:rPr>
      </w:pPr>
    </w:p>
    <w:p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13110C" w:rsidRDefault="0013110C" w:rsidP="00225ACD">
      <w:pPr>
        <w:suppressAutoHyphens w:val="0"/>
        <w:spacing w:before="120"/>
        <w:rPr>
          <w:rFonts w:ascii="Cambria" w:hAnsi="Cambria" w:cs="Arial"/>
          <w:sz w:val="22"/>
          <w:szCs w:val="22"/>
          <w:lang w:eastAsia="pl-PL"/>
        </w:rPr>
      </w:pPr>
    </w:p>
    <w:p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rsidR="00C243CF" w:rsidRDefault="00C243CF" w:rsidP="008F41CD">
      <w:pPr>
        <w:suppressAutoHyphens w:val="0"/>
        <w:spacing w:before="120"/>
        <w:jc w:val="both"/>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w:t>
      </w:r>
      <w:r w:rsidR="008C7C22">
        <w:rPr>
          <w:rFonts w:ascii="Cambria" w:hAnsi="Cambria" w:cs="Arial"/>
          <w:sz w:val="22"/>
          <w:szCs w:val="22"/>
          <w:lang w:eastAsia="pl-PL"/>
        </w:rPr>
        <w:t xml:space="preserve">pozyskania i zrywki drewna </w:t>
      </w:r>
      <w:r>
        <w:rPr>
          <w:rFonts w:ascii="Cambria" w:hAnsi="Cambria" w:cs="Arial"/>
          <w:sz w:val="22"/>
          <w:szCs w:val="22"/>
          <w:lang w:eastAsia="pl-PL"/>
        </w:rPr>
        <w:t>polegające</w:t>
      </w:r>
      <w:r w:rsidR="008C7C22">
        <w:rPr>
          <w:rFonts w:ascii="Cambria" w:hAnsi="Cambria" w:cs="Arial"/>
          <w:sz w:val="22"/>
          <w:szCs w:val="22"/>
          <w:lang w:eastAsia="pl-PL"/>
        </w:rPr>
        <w:t>j</w:t>
      </w:r>
      <w:r>
        <w:rPr>
          <w:rFonts w:ascii="Cambria" w:hAnsi="Cambria" w:cs="Arial"/>
          <w:sz w:val="22"/>
          <w:szCs w:val="22"/>
          <w:lang w:eastAsia="pl-PL"/>
        </w:rPr>
        <w:t xml:space="preserve"> na wykonaniu zamówienia pn. </w:t>
      </w:r>
      <w:r w:rsidR="008C7C22">
        <w:rPr>
          <w:rFonts w:ascii="Cambria" w:hAnsi="Cambria" w:cs="Arial"/>
          <w:sz w:val="22"/>
          <w:szCs w:val="22"/>
          <w:lang w:eastAsia="pl-PL"/>
        </w:rPr>
        <w:t xml:space="preserve">„Pozyskanie i zrywka drewna z cięć przygodnych rębnych i przedrębnych” </w:t>
      </w:r>
      <w:r>
        <w:rPr>
          <w:rFonts w:ascii="Cambria" w:hAnsi="Cambria" w:cs="Arial"/>
          <w:sz w:val="22"/>
          <w:szCs w:val="22"/>
          <w:lang w:eastAsia="pl-PL"/>
        </w:rPr>
        <w:t>(„Przedmiot Umowy”).</w:t>
      </w:r>
    </w:p>
    <w:p w:rsidR="00025A11" w:rsidRPr="004C5F13"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C5F13">
        <w:rPr>
          <w:rFonts w:ascii="Cambria" w:hAnsi="Cambria" w:cs="Arial"/>
          <w:sz w:val="22"/>
          <w:szCs w:val="22"/>
          <w:lang w:eastAsia="pl-PL"/>
        </w:rPr>
        <w:lastRenderedPageBreak/>
        <w:t>Zestawienie ilości prac wchodzących w zakres Przedmiotu Umowy</w:t>
      </w:r>
      <w:r w:rsidR="004C5F13" w:rsidRPr="004C5F13">
        <w:rPr>
          <w:rFonts w:ascii="Cambria" w:hAnsi="Cambria" w:cs="Arial"/>
          <w:sz w:val="22"/>
          <w:szCs w:val="22"/>
          <w:lang w:eastAsia="pl-PL"/>
        </w:rPr>
        <w:t xml:space="preserve"> to 1300 m</w:t>
      </w:r>
      <w:r w:rsidR="004C5F13" w:rsidRPr="004C5F13">
        <w:rPr>
          <w:rFonts w:ascii="Cambria" w:hAnsi="Cambria" w:cs="Arial"/>
          <w:sz w:val="22"/>
          <w:szCs w:val="22"/>
          <w:vertAlign w:val="superscript"/>
          <w:lang w:eastAsia="pl-PL"/>
        </w:rPr>
        <w:t xml:space="preserve">3 </w:t>
      </w:r>
      <w:r w:rsidR="004C5F13" w:rsidRPr="004C5F13">
        <w:rPr>
          <w:rFonts w:ascii="Cambria" w:hAnsi="Cambria" w:cs="Arial"/>
          <w:sz w:val="22"/>
          <w:szCs w:val="22"/>
          <w:lang w:eastAsia="pl-PL"/>
        </w:rPr>
        <w:t>do pozyskania w użytkach przygodnych rębnych i przedrębnych</w:t>
      </w:r>
      <w:r w:rsidR="00E241AF">
        <w:rPr>
          <w:rFonts w:ascii="Cambria" w:hAnsi="Cambria" w:cs="Arial"/>
          <w:sz w:val="22"/>
          <w:szCs w:val="22"/>
          <w:lang w:eastAsia="pl-PL"/>
        </w:rPr>
        <w:t>,</w:t>
      </w:r>
      <w:bookmarkStart w:id="0" w:name="_GoBack"/>
      <w:bookmarkEnd w:id="0"/>
      <w:r w:rsidR="00E241AF">
        <w:rPr>
          <w:rFonts w:ascii="Cambria" w:hAnsi="Cambria" w:cs="Arial"/>
          <w:sz w:val="22"/>
          <w:szCs w:val="22"/>
          <w:lang w:eastAsia="pl-PL"/>
        </w:rPr>
        <w:t xml:space="preserve"> w tym </w:t>
      </w:r>
      <w:r w:rsidR="004C5F13" w:rsidRPr="004C5F13">
        <w:rPr>
          <w:rFonts w:ascii="Cambria" w:hAnsi="Cambria" w:cs="Arial"/>
          <w:sz w:val="22"/>
          <w:szCs w:val="22"/>
          <w:lang w:eastAsia="pl-PL"/>
        </w:rPr>
        <w:t>głównie wiatrołomów i wiatrowałów.</w:t>
      </w:r>
    </w:p>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w:t>
      </w:r>
      <w:r w:rsidR="004C5F13">
        <w:rPr>
          <w:rFonts w:ascii="Cambria" w:hAnsi="Cambria" w:cs="Arial"/>
          <w:sz w:val="22"/>
          <w:szCs w:val="22"/>
          <w:lang w:eastAsia="pl-PL"/>
        </w:rPr>
        <w:t>złożonej ofercie</w:t>
      </w:r>
      <w:r>
        <w:rPr>
          <w:rFonts w:ascii="Cambria" w:hAnsi="Cambria" w:cs="Arial"/>
          <w:sz w:val="22"/>
          <w:szCs w:val="22"/>
          <w:lang w:eastAsia="pl-PL"/>
        </w:rPr>
        <w:t>)</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8820E2">
        <w:rPr>
          <w:rFonts w:ascii="Cambria" w:hAnsi="Cambria" w:cs="Arial"/>
          <w:sz w:val="22"/>
          <w:szCs w:val="22"/>
          <w:lang w:eastAsia="pl-PL"/>
        </w:rPr>
        <w:t>zaproszeniu do składania ofert</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jednakże nie mniej niż 70 % Wartości Przedmiotu Umowy określonej zgodnie z § 10 ust 1 i 2. </w:t>
      </w:r>
    </w:p>
    <w:p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 xml:space="preserve"> Lokalizacja (adres leśny) poszczególnych prac wchodzących w zakres Przedmiotu Umowy zostanie określona w Zleceniu, z zastrzeżeniem, iż zawsze będzie to Obszar Realizacji </w:t>
      </w:r>
      <w:r w:rsidR="000A1D03">
        <w:rPr>
          <w:rFonts w:ascii="Cambria" w:hAnsi="Cambria" w:cs="Arial"/>
          <w:bCs/>
          <w:sz w:val="22"/>
          <w:szCs w:val="22"/>
          <w:lang w:eastAsia="en-US"/>
        </w:rPr>
        <w:t>Przedmiotu Umowy (leśnictwo Święty Hubert)</w:t>
      </w:r>
      <w:r>
        <w:rPr>
          <w:rFonts w:ascii="Cambria" w:hAnsi="Cambria" w:cs="Arial"/>
          <w:bCs/>
          <w:sz w:val="22"/>
          <w:szCs w:val="22"/>
          <w:lang w:eastAsia="en-US"/>
        </w:rPr>
        <w:t xml:space="preserve">. </w:t>
      </w:r>
    </w:p>
    <w:p w:rsidR="00302965" w:rsidRDefault="00302965"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sz w:val="22"/>
          <w:szCs w:val="22"/>
          <w:lang w:eastAsia="pl-PL"/>
        </w:rPr>
        <w:t>Przedmiot Umowy dotyczy głównie pozyskania drzew niebezpiecznych (wiatrołomy i wiatrowały).</w:t>
      </w:r>
    </w:p>
    <w:bookmarkEnd w:id="3"/>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p>
    <w:p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CE0976" w:rsidRPr="008636FA" w:rsidRDefault="00CE0976" w:rsidP="000A57AB">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 xml:space="preserve">zleconej do pozyskania oraz </w:t>
      </w:r>
      <w:r w:rsidR="00B77C3D">
        <w:rPr>
          <w:rFonts w:ascii="Cambria" w:hAnsi="Cambria" w:cs="Arial"/>
          <w:sz w:val="22"/>
          <w:szCs w:val="22"/>
          <w:lang w:eastAsia="pl-PL"/>
        </w:rPr>
        <w:lastRenderedPageBreak/>
        <w:t>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leceniu ilość surowca drzewnego przewidywanego do pozyskania i zrywki jest jedynie wielkością szacunkową. Uznaje się, że wykonanie Zlecenia z zakresu pozyskania i zrywki drewna zostanie zrealizowane w momencie zrealizowania przez Wykonawcę wsz</w:t>
      </w:r>
      <w:r w:rsidR="00AD3224">
        <w:rPr>
          <w:rFonts w:ascii="Cambria" w:hAnsi="Cambria" w:cs="Arial"/>
          <w:sz w:val="22"/>
          <w:szCs w:val="22"/>
          <w:lang w:eastAsia="pl-PL"/>
        </w:rPr>
        <w:t>ystkich prac objętych Zleceniem.</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Wykonawca nie m</w:t>
      </w:r>
      <w:r w:rsidR="00AD3224">
        <w:rPr>
          <w:rFonts w:ascii="Cambria" w:hAnsi="Cambria"/>
          <w:sz w:val="22"/>
          <w:szCs w:val="22"/>
          <w:lang w:eastAsia="pl-PL"/>
        </w:rPr>
        <w:t>oże odmówić przyjęcia Zlecenia.</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Zamawiający jest uprawniony do zmiany lokalizacji realizacji przedmiotu Zlecenia, wstrzymania realizacji lub rezygnacji z realizacji Zlecenia w całości lub w części w przypadku zaistnienia niesprzyjających warunków przyrodniczych bądź atmosferycznych, zmian na rynku sprzedaży drewna lub powierzenia Zamawiając</w:t>
      </w:r>
      <w:r w:rsidR="00B907FD">
        <w:rPr>
          <w:rFonts w:ascii="Cambria" w:hAnsi="Cambria" w:cs="Arial"/>
          <w:sz w:val="22"/>
          <w:szCs w:val="22"/>
          <w:lang w:eastAsia="pl-PL"/>
        </w:rPr>
        <w:t>emu nowych zadań gospodarczych</w:t>
      </w:r>
      <w:r w:rsidR="0013110C">
        <w:rPr>
          <w:rFonts w:ascii="Cambria" w:hAnsi="Cambria" w:cs="Arial"/>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wykonał prac stanowiących Przedmiot Zlecenia w terminie określonym w Zleceniu, w szczególności, gdy wykonanie prac stanowiących Przedmiot Zlecenia po terminie określonym w Zleceniu utraciło znaczenie z punktu widzenia interesu </w:t>
      </w:r>
      <w:r>
        <w:rPr>
          <w:rFonts w:ascii="Cambria" w:hAnsi="Cambria" w:cs="Arial"/>
          <w:sz w:val="22"/>
          <w:szCs w:val="22"/>
          <w:lang w:eastAsia="pl-PL"/>
        </w:rPr>
        <w:lastRenderedPageBreak/>
        <w:t>Zamawiającego (w tym w szczególności z uwagi na zasady prawidłowej gospodarki leśnej, uwarunkowania przyrodnicze bądź atmosferyczne);</w:t>
      </w:r>
    </w:p>
    <w:p w:rsidR="0013110C" w:rsidRPr="00B907FD" w:rsidRDefault="0013110C" w:rsidP="00B907F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w:t>
      </w:r>
      <w:r w:rsidR="00B907FD">
        <w:rPr>
          <w:rFonts w:ascii="Cambria" w:hAnsi="Cambria" w:cs="Arial"/>
          <w:sz w:val="22"/>
          <w:szCs w:val="22"/>
          <w:lang w:eastAsia="pl-PL"/>
        </w:rPr>
        <w:t xml:space="preserve"> zgonie z Umową</w:t>
      </w:r>
      <w:r>
        <w:rPr>
          <w:rFonts w:ascii="Cambria" w:hAnsi="Cambria" w:cs="Arial"/>
          <w:sz w:val="22"/>
          <w:szCs w:val="22"/>
          <w:lang w:eastAsia="pl-PL"/>
        </w:rPr>
        <w:t>. Termin wykonania poszczególnych prac stanowiących przedmiot Zlecenia określony zostanie każdorazowo w Zleceniu.</w:t>
      </w:r>
    </w:p>
    <w:p w:rsidR="0013110C" w:rsidRDefault="0013110C" w:rsidP="00225A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w:t>
      </w:r>
      <w:r w:rsidR="00B907FD">
        <w:rPr>
          <w:rFonts w:ascii="Cambria" w:hAnsi="Cambria" w:cs="Arial"/>
          <w:sz w:val="22"/>
          <w:szCs w:val="22"/>
          <w:lang w:eastAsia="pl-PL"/>
        </w:rPr>
        <w:t>ami;</w:t>
      </w:r>
    </w:p>
    <w:p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Pakietu; </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rsidR="0013110C" w:rsidRDefault="0013110C" w:rsidP="00225ACD">
      <w:pPr>
        <w:suppressAutoHyphens w:val="0"/>
        <w:spacing w:before="120"/>
        <w:jc w:val="center"/>
        <w:rPr>
          <w:rFonts w:ascii="Cambria" w:hAnsi="Cambria" w:cs="Arial"/>
          <w:b/>
          <w:color w:val="000000"/>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najwyższą starannością i zgodnie z obowiązującymi w tym zakresie wymaganiami i zasadami wynikającymi z obowiązujących przepisów i un</w:t>
      </w:r>
      <w:r w:rsidR="004C5F13">
        <w:rPr>
          <w:rFonts w:ascii="Cambria" w:hAnsi="Cambria" w:cs="Arial"/>
          <w:sz w:val="22"/>
          <w:szCs w:val="22"/>
          <w:lang w:eastAsia="pl-PL"/>
        </w:rPr>
        <w:t>ormowań oraz postanowień Umowy.</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w:t>
      </w:r>
      <w:r>
        <w:rPr>
          <w:rFonts w:ascii="Cambria" w:hAnsi="Cambria" w:cs="Calibri"/>
          <w:color w:val="000000"/>
          <w:sz w:val="22"/>
          <w:szCs w:val="22"/>
          <w:lang w:eastAsia="pl-PL"/>
        </w:rPr>
        <w:lastRenderedPageBreak/>
        <w:t>Umowy, chyba, że Zamawiający zażąda usunięcia przez Wykonawcę szkód wynikających z niewykonania lub nienależytego wykonania zobowiązań związanych z realizacją Umowy poprzez przywrócenie do stanu poprzedniego.</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wyraźnie wskazano odmiennie.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746BFA" w:rsidRDefault="00746BFA" w:rsidP="00225ACD">
      <w:pPr>
        <w:suppressAutoHyphens w:val="0"/>
        <w:spacing w:before="120"/>
        <w:jc w:val="center"/>
        <w:outlineLvl w:val="0"/>
        <w:rPr>
          <w:rFonts w:ascii="Cambria" w:hAnsi="Cambria" w:cs="Arial"/>
          <w:b/>
          <w:color w:val="000000"/>
          <w:sz w:val="22"/>
          <w:szCs w:val="22"/>
          <w:lang w:eastAsia="pl-PL"/>
        </w:rPr>
      </w:pPr>
    </w:p>
    <w:p w:rsidR="00746BFA" w:rsidRDefault="00746BFA" w:rsidP="00225ACD">
      <w:pPr>
        <w:suppressAutoHyphens w:val="0"/>
        <w:spacing w:before="120"/>
        <w:jc w:val="center"/>
        <w:outlineLvl w:val="0"/>
        <w:rPr>
          <w:rFonts w:ascii="Cambria" w:hAnsi="Cambria" w:cs="Arial"/>
          <w:b/>
          <w:color w:val="000000"/>
          <w:sz w:val="22"/>
          <w:szCs w:val="22"/>
          <w:lang w:eastAsia="pl-PL"/>
        </w:rPr>
      </w:pPr>
    </w:p>
    <w:p w:rsidR="00746BFA" w:rsidRDefault="00746BFA" w:rsidP="00225ACD">
      <w:pPr>
        <w:suppressAutoHyphens w:val="0"/>
        <w:spacing w:before="120"/>
        <w:jc w:val="center"/>
        <w:outlineLvl w:val="0"/>
        <w:rPr>
          <w:rFonts w:ascii="Cambria" w:hAnsi="Cambria" w:cs="Arial"/>
          <w:b/>
          <w:color w:val="000000"/>
          <w:sz w:val="22"/>
          <w:szCs w:val="22"/>
          <w:lang w:eastAsia="pl-PL"/>
        </w:rPr>
      </w:pPr>
    </w:p>
    <w:p w:rsidR="0009497D" w:rsidRDefault="0009497D" w:rsidP="008F41CD">
      <w:pPr>
        <w:suppressAutoHyphens w:val="0"/>
        <w:spacing w:before="120"/>
        <w:outlineLvl w:val="0"/>
        <w:rPr>
          <w:rFonts w:ascii="Cambria" w:hAnsi="Cambria" w:cs="Arial"/>
          <w:b/>
          <w:color w:val="000000"/>
          <w:sz w:val="22"/>
          <w:szCs w:val="22"/>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w:t>
      </w:r>
      <w:r w:rsidR="00FC4ADA">
        <w:rPr>
          <w:rFonts w:ascii="Cambria" w:eastAsia="Calibri" w:hAnsi="Cambria" w:cs="Arial"/>
          <w:sz w:val="22"/>
          <w:szCs w:val="22"/>
          <w:lang w:eastAsia="en-US"/>
        </w:rPr>
        <w:t>, o których mowa w ust. 2, 3 i 4</w:t>
      </w:r>
      <w:r>
        <w:rPr>
          <w:rFonts w:ascii="Cambria" w:eastAsia="Calibri" w:hAnsi="Cambria" w:cs="Arial"/>
          <w:sz w:val="22"/>
          <w:szCs w:val="22"/>
          <w:lang w:eastAsia="en-US"/>
        </w:rPr>
        <w:t xml:space="preserve">. </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09497D" w:rsidRDefault="0009497D" w:rsidP="008F41CD">
      <w:pPr>
        <w:suppressAutoHyphens w:val="0"/>
        <w:spacing w:before="120"/>
        <w:outlineLvl w:val="0"/>
        <w:rPr>
          <w:rFonts w:ascii="Cambria" w:hAnsi="Cambria" w:cs="Arial"/>
          <w:b/>
          <w:color w:val="000000"/>
          <w:sz w:val="22"/>
          <w:szCs w:val="22"/>
          <w:lang w:eastAsia="pl-PL"/>
        </w:rPr>
      </w:pPr>
    </w:p>
    <w:p w:rsidR="00FC4ADA" w:rsidRDefault="00FC4ADA" w:rsidP="008F41CD">
      <w:pPr>
        <w:suppressAutoHyphens w:val="0"/>
        <w:spacing w:before="120"/>
        <w:outlineLvl w:val="0"/>
        <w:rPr>
          <w:rFonts w:ascii="Cambria" w:hAnsi="Cambria" w:cs="Arial"/>
          <w:b/>
          <w:color w:val="000000"/>
          <w:sz w:val="22"/>
          <w:szCs w:val="22"/>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13110C" w:rsidRDefault="00E63ED4"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13110C" w:rsidRDefault="00E63ED4"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w:t>
      </w:r>
      <w:r w:rsidR="00E934C3">
        <w:rPr>
          <w:rFonts w:ascii="Cambria" w:hAnsi="Cambria" w:cs="Arial"/>
          <w:sz w:val="22"/>
          <w:szCs w:val="22"/>
          <w:shd w:val="clear" w:color="auto" w:fill="FFFFFF"/>
          <w:lang w:eastAsia="en-US"/>
        </w:rPr>
        <w:t>kacje oraz wymagane uprawnienia</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13110C" w:rsidRDefault="00E63ED4"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13110C" w:rsidRDefault="00E63ED4"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13110C" w:rsidRDefault="00E63ED4"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13110C" w:rsidRDefault="00E63ED4"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rsidR="0013110C" w:rsidRDefault="00E63ED4"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13110C" w:rsidRDefault="0013110C" w:rsidP="00225ACD">
      <w:pPr>
        <w:tabs>
          <w:tab w:val="left" w:pos="567"/>
        </w:tabs>
        <w:suppressAutoHyphens w:val="0"/>
        <w:spacing w:before="120"/>
        <w:jc w:val="both"/>
        <w:rPr>
          <w:sz w:val="24"/>
          <w:szCs w:val="24"/>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13110C" w:rsidRDefault="0013110C" w:rsidP="00225ACD">
      <w:pPr>
        <w:suppressAutoHyphens w:val="0"/>
        <w:autoSpaceDE w:val="0"/>
        <w:autoSpaceDN w:val="0"/>
        <w:adjustRightInd w:val="0"/>
        <w:spacing w:before="120"/>
        <w:ind w:left="567"/>
        <w:jc w:val="both"/>
        <w:rPr>
          <w:sz w:val="22"/>
          <w:szCs w:val="22"/>
          <w:lang w:eastAsia="pl-PL"/>
        </w:rPr>
      </w:pPr>
    </w:p>
    <w:p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wszystkie prace objęte danym Zleceniem lub poszczególne pozycje Zlecenia, a w przypadku prac z zakresu pozyskania - również jego część.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Gotowości do Odbioru prac st</w:t>
      </w:r>
      <w:r w:rsidR="00E934C3">
        <w:rPr>
          <w:rFonts w:ascii="Cambria" w:hAnsi="Cambria"/>
          <w:sz w:val="22"/>
          <w:szCs w:val="22"/>
          <w:lang w:eastAsia="pl-PL"/>
        </w:rPr>
        <w:t>anowiących przedmiot Zlecenia,</w:t>
      </w:r>
      <w:r>
        <w:rPr>
          <w:rFonts w:ascii="Cambria" w:hAnsi="Cambria"/>
          <w:sz w:val="22"/>
          <w:szCs w:val="22"/>
          <w:lang w:eastAsia="pl-PL"/>
        </w:rPr>
        <w:t xml:space="preserve">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w:t>
      </w:r>
      <w:r w:rsidR="00E934C3">
        <w:rPr>
          <w:rFonts w:ascii="Cambria" w:hAnsi="Cambria" w:cs="Arial"/>
          <w:sz w:val="22"/>
          <w:szCs w:val="22"/>
          <w:lang w:eastAsia="pl-PL"/>
        </w:rPr>
        <w:t>towany Protokołem Odbioru Robót.</w:t>
      </w:r>
      <w:r>
        <w:rPr>
          <w:rFonts w:ascii="Cambria" w:hAnsi="Cambria" w:cs="Arial"/>
          <w:sz w:val="22"/>
          <w:szCs w:val="22"/>
          <w:lang w:eastAsia="pl-PL"/>
        </w:rPr>
        <w:t xml:space="preserve"> </w:t>
      </w:r>
    </w:p>
    <w:p w:rsidR="00BC2D70" w:rsidRDefault="0013110C" w:rsidP="00BC2D70">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a Wykonawca nie dokona uprzątnięcia powierzchni, na której wykonywane były prace z zakresu pozyskania i zrywki, to wówczas Odbiór zostanie dokonany dopiero po uprzątnięciu powierzchni.</w:t>
      </w:r>
    </w:p>
    <w:p w:rsidR="0013110C" w:rsidRDefault="0013110C" w:rsidP="00BC2D70">
      <w:pPr>
        <w:suppressAutoHyphens w:val="0"/>
        <w:spacing w:before="120"/>
        <w:ind w:left="1134"/>
        <w:jc w:val="both"/>
        <w:rPr>
          <w:rFonts w:ascii="Cambria" w:hAnsi="Cambria" w:cs="Arial"/>
          <w:sz w:val="22"/>
          <w:szCs w:val="22"/>
          <w:lang w:eastAsia="pl-PL"/>
        </w:rPr>
      </w:pP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sidR="00BC2D70">
        <w:rPr>
          <w:rFonts w:ascii="Cambria" w:hAnsi="Cambria" w:cs="Arial"/>
          <w:sz w:val="22"/>
          <w:szCs w:val="22"/>
          <w:lang w:eastAsia="pl-PL"/>
        </w:rPr>
        <w:t>stanowi</w:t>
      </w:r>
      <w:r>
        <w:rPr>
          <w:rFonts w:ascii="Cambria" w:hAnsi="Cambria" w:cs="Arial"/>
          <w:sz w:val="22"/>
          <w:szCs w:val="22"/>
          <w:lang w:eastAsia="pl-PL"/>
        </w:rPr>
        <w:t xml:space="preserve"> protokolarne potwierdzenie zwrotu powierzchni, na których wykonywane były prace wchodzące w skład przedmiotu Zlecenia. </w:t>
      </w:r>
    </w:p>
    <w:p w:rsidR="00746BFA" w:rsidRDefault="00746BFA" w:rsidP="00BC2D70">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BC2D70">
        <w:rPr>
          <w:rFonts w:ascii="Cambria" w:hAnsi="Cambria" w:cs="Arial"/>
          <w:sz w:val="22"/>
          <w:szCs w:val="22"/>
          <w:lang w:eastAsia="pl-PL"/>
        </w:rPr>
        <w:t>.</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w:t>
      </w:r>
      <w:r w:rsidR="00BC2D70">
        <w:rPr>
          <w:rFonts w:ascii="Cambria" w:hAnsi="Cambria" w:cs="Arial"/>
          <w:sz w:val="22"/>
          <w:szCs w:val="22"/>
          <w:lang w:eastAsia="pl-PL"/>
        </w:rPr>
        <w:t>u Robót.</w:t>
      </w:r>
    </w:p>
    <w:p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w:t>
      </w:r>
      <w:r w:rsidR="00BC2D70">
        <w:rPr>
          <w:rFonts w:ascii="Cambria" w:hAnsi="Cambria" w:cs="Arial"/>
          <w:sz w:val="22"/>
          <w:szCs w:val="22"/>
          <w:lang w:eastAsia="pl-PL"/>
        </w:rPr>
        <w:t>.</w:t>
      </w:r>
    </w:p>
    <w:p w:rsidR="009E4481" w:rsidRDefault="009E4481" w:rsidP="008F41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ind w:left="588" w:hanging="588"/>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w:t>
      </w:r>
      <w:r>
        <w:rPr>
          <w:rFonts w:ascii="Cambria" w:hAnsi="Cambria" w:cs="Arial"/>
          <w:sz w:val="22"/>
          <w:szCs w:val="22"/>
          <w:lang w:eastAsia="pl-PL"/>
        </w:rPr>
        <w:lastRenderedPageBreak/>
        <w:t>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6"/>
      <w:r>
        <w:rPr>
          <w:rFonts w:ascii="Cambria" w:hAnsi="Cambria" w:cs="Arial"/>
          <w:sz w:val="22"/>
          <w:szCs w:val="22"/>
          <w:lang w:eastAsia="pl-PL"/>
        </w:rPr>
        <w:t xml:space="preserve">). </w:t>
      </w:r>
    </w:p>
    <w:p w:rsidR="009E6DCB" w:rsidRDefault="009E6DCB" w:rsidP="009E6DCB">
      <w:pPr>
        <w:suppressAutoHyphens w:val="0"/>
        <w:spacing w:before="120"/>
        <w:jc w:val="both"/>
        <w:rPr>
          <w:rFonts w:ascii="Cambria" w:hAnsi="Cambria" w:cs="Arial"/>
          <w:sz w:val="22"/>
          <w:szCs w:val="22"/>
          <w:lang w:eastAsia="pl-PL"/>
        </w:rPr>
      </w:pP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w:t>
      </w:r>
      <w:r>
        <w:rPr>
          <w:rFonts w:ascii="Cambria" w:hAnsi="Cambria" w:cs="Arial"/>
          <w:sz w:val="22"/>
          <w:szCs w:val="22"/>
          <w:lang w:eastAsia="pl-PL"/>
        </w:rPr>
        <w:lastRenderedPageBreak/>
        <w:t xml:space="preserve">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ind w:left="567" w:hanging="567"/>
        <w:jc w:val="both"/>
        <w:rPr>
          <w:rFonts w:ascii="Cambria" w:hAnsi="Cambria" w:cs="Arial"/>
          <w:sz w:val="22"/>
          <w:szCs w:val="22"/>
          <w:lang w:eastAsia="pl-PL"/>
        </w:rPr>
      </w:pPr>
    </w:p>
    <w:p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lastRenderedPageBreak/>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ab/>
        <w:t xml:space="preserve"> </w:t>
      </w:r>
    </w:p>
    <w:p w:rsidR="0013110C" w:rsidRDefault="008820E2"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sidR="0013110C">
        <w:rPr>
          <w:rFonts w:ascii="Cambria" w:hAnsi="Cambria" w:cs="Arial"/>
          <w:sz w:val="22"/>
          <w:szCs w:val="22"/>
          <w:lang w:eastAsia="pl-PL"/>
        </w:rPr>
        <w:t>.</w:t>
      </w:r>
      <w:r w:rsidR="0013110C">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0013110C">
        <w:t xml:space="preserve"> </w:t>
      </w:r>
      <w:r w:rsidR="0013110C">
        <w:rPr>
          <w:rFonts w:ascii="Cambria" w:hAnsi="Cambria" w:cs="Arial"/>
          <w:sz w:val="22"/>
          <w:szCs w:val="22"/>
          <w:lang w:eastAsia="pl-PL"/>
        </w:rPr>
        <w:t>lecz nie mniej niż 2.500 zł.</w:t>
      </w:r>
    </w:p>
    <w:p w:rsidR="0013110C" w:rsidRDefault="008820E2"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3</w:t>
      </w:r>
      <w:r w:rsidR="0013110C">
        <w:rPr>
          <w:rFonts w:ascii="Cambria" w:hAnsi="Cambria"/>
          <w:sz w:val="22"/>
          <w:szCs w:val="22"/>
          <w:lang w:eastAsia="pl-PL"/>
        </w:rPr>
        <w:t>.</w:t>
      </w:r>
      <w:r w:rsidR="0013110C">
        <w:rPr>
          <w:rFonts w:ascii="Cambria" w:hAnsi="Cambria"/>
          <w:sz w:val="22"/>
          <w:szCs w:val="22"/>
          <w:lang w:eastAsia="pl-PL"/>
        </w:rPr>
        <w:tab/>
      </w:r>
      <w:r w:rsidR="0013110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13110C" w:rsidRDefault="008820E2"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4</w:t>
      </w:r>
      <w:r w:rsidR="0013110C">
        <w:rPr>
          <w:rFonts w:ascii="Cambria" w:hAnsi="Cambria"/>
          <w:sz w:val="22"/>
          <w:szCs w:val="22"/>
          <w:lang w:eastAsia="pl-PL"/>
        </w:rPr>
        <w:t>.</w:t>
      </w:r>
      <w:r w:rsidR="0013110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13110C" w:rsidRDefault="008820E2"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jest uprawniony do naliczenia kary umownej za każdy rozpoczęty dzień zwłoki Zamawiającego </w:t>
      </w:r>
      <w:r w:rsidR="0013110C">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13110C" w:rsidRDefault="008820E2"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6</w:t>
      </w:r>
      <w:r w:rsidR="0013110C">
        <w:rPr>
          <w:rFonts w:ascii="Cambria" w:hAnsi="Cambria" w:cs="Arial"/>
          <w:bCs/>
          <w:sz w:val="22"/>
          <w:szCs w:val="22"/>
          <w:lang w:eastAsia="pl-PL"/>
        </w:rPr>
        <w:t>.</w:t>
      </w:r>
      <w:r w:rsidR="0013110C">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sidR="0013110C">
        <w:rPr>
          <w:rFonts w:ascii="Cambria" w:hAnsi="Cambria" w:cs="Arial"/>
          <w:bCs/>
          <w:sz w:val="22"/>
          <w:szCs w:val="22"/>
          <w:lang w:eastAsia="pl-PL"/>
        </w:rPr>
        <w:t xml:space="preserve">na 50% Wartości Przedmiotu Umowy. </w:t>
      </w:r>
    </w:p>
    <w:p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lastRenderedPageBreak/>
        <w:t>§ 14</w:t>
      </w:r>
      <w:bookmarkStart w:id="12" w:name="_Toc68356761"/>
      <w:r>
        <w:rPr>
          <w:rFonts w:ascii="Cambria" w:hAnsi="Cambria" w:cs="Arial"/>
          <w:b/>
          <w:sz w:val="22"/>
          <w:szCs w:val="22"/>
          <w:lang w:eastAsia="pl-PL"/>
        </w:rPr>
        <w:br/>
        <w:t>Ubezpieczenia</w:t>
      </w:r>
      <w:bookmarkEnd w:id="12"/>
    </w:p>
    <w:p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przed zawarciem Umowy zawarł umowę ubezpieczenia odpowiedzialności cywilnej dotyczącej działalności objętej Przedmiotem Umowy („Ubezpieczenie OC”) na sumę ubezpieczenia nie mniejszą niż </w:t>
      </w:r>
      <w:r w:rsidR="00E241AF">
        <w:rPr>
          <w:rFonts w:ascii="Cambria" w:hAnsi="Cambria" w:cs="Arial"/>
          <w:sz w:val="22"/>
          <w:szCs w:val="22"/>
          <w:lang w:eastAsia="pl-PL"/>
        </w:rPr>
        <w:t>100 000</w:t>
      </w:r>
      <w:r>
        <w:rPr>
          <w:rFonts w:ascii="Cambria" w:hAnsi="Cambria" w:cs="Arial"/>
          <w:sz w:val="22"/>
          <w:szCs w:val="22"/>
          <w:lang w:eastAsia="pl-PL"/>
        </w:rPr>
        <w:t xml:space="preserve"> zł.</w:t>
      </w:r>
    </w:p>
    <w:p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76698F" w:rsidRDefault="0076698F" w:rsidP="00225ACD">
      <w:pPr>
        <w:tabs>
          <w:tab w:val="left" w:pos="1134"/>
        </w:tabs>
        <w:suppressAutoHyphens w:val="0"/>
        <w:spacing w:before="120"/>
        <w:ind w:left="1134"/>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w:t>
      </w:r>
    </w:p>
    <w:p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0E2786">
        <w:rPr>
          <w:rFonts w:ascii="Cambria" w:hAnsi="Cambria" w:cs="Arial"/>
          <w:sz w:val="22"/>
          <w:szCs w:val="22"/>
          <w:lang w:eastAsia="en-US"/>
        </w:rPr>
        <w:t>, telefonicznie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rsidR="0013110C" w:rsidRDefault="0013110C" w:rsidP="00225ACD">
      <w:pPr>
        <w:suppressAutoHyphens w:val="0"/>
        <w:spacing w:before="120"/>
        <w:ind w:left="567"/>
        <w:jc w:val="both"/>
        <w:rPr>
          <w:rFonts w:ascii="Cambria" w:hAnsi="Cambria" w:cs="Arial"/>
          <w:sz w:val="22"/>
          <w:szCs w:val="22"/>
          <w:lang w:eastAsia="pl-PL"/>
        </w:rPr>
      </w:pPr>
    </w:p>
    <w:p w:rsidR="000C69B9" w:rsidRDefault="000C69B9" w:rsidP="00225ACD">
      <w:pPr>
        <w:suppressAutoHyphens w:val="0"/>
        <w:spacing w:before="120"/>
        <w:ind w:left="567"/>
        <w:jc w:val="both"/>
        <w:rPr>
          <w:rFonts w:ascii="Cambria" w:hAnsi="Cambria" w:cs="Arial"/>
          <w:sz w:val="22"/>
          <w:szCs w:val="22"/>
          <w:lang w:eastAsia="pl-PL"/>
        </w:rPr>
      </w:pPr>
    </w:p>
    <w:p w:rsidR="000C69B9" w:rsidRDefault="000C69B9" w:rsidP="00225A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13110C" w:rsidRDefault="0013110C" w:rsidP="00225ACD">
      <w:pPr>
        <w:keepNext/>
        <w:suppressAutoHyphens w:val="0"/>
        <w:spacing w:before="120"/>
        <w:outlineLvl w:val="0"/>
        <w:rPr>
          <w:rFonts w:ascii="Cambria" w:hAnsi="Cambria" w:cs="Arial"/>
          <w:b/>
          <w:bCs/>
          <w:kern w:val="32"/>
          <w:sz w:val="22"/>
          <w:szCs w:val="22"/>
          <w:lang w:eastAsia="pl-PL"/>
        </w:rPr>
      </w:pPr>
    </w:p>
    <w:p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0E2786" w:rsidRDefault="000E2786" w:rsidP="00225ACD">
      <w:pPr>
        <w:tabs>
          <w:tab w:val="left" w:pos="1134"/>
        </w:tabs>
        <w:suppressAutoHyphens w:val="0"/>
        <w:spacing w:before="120"/>
        <w:jc w:val="right"/>
        <w:rPr>
          <w:rFonts w:ascii="Cambria" w:hAnsi="Cambria" w:cs="Arial"/>
          <w:color w:val="000000"/>
          <w:sz w:val="22"/>
          <w:szCs w:val="22"/>
          <w:lang w:eastAsia="pl-PL"/>
        </w:rPr>
      </w:pPr>
    </w:p>
    <w:sectPr w:rsidR="000E2786">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C07" w:rsidRDefault="00016C07">
      <w:r>
        <w:separator/>
      </w:r>
    </w:p>
  </w:endnote>
  <w:endnote w:type="continuationSeparator" w:id="0">
    <w:p w:rsidR="00016C07" w:rsidRDefault="0001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0C" w:rsidRDefault="0013110C">
    <w:pPr>
      <w:pStyle w:val="Stopka"/>
      <w:pBdr>
        <w:top w:val="single" w:sz="4" w:space="1" w:color="D9D9D9"/>
      </w:pBdr>
      <w:jc w:val="right"/>
      <w:rPr>
        <w:rFonts w:ascii="Cambria" w:hAnsi="Cambria"/>
      </w:rPr>
    </w:pPr>
  </w:p>
  <w:p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E241AF">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C07" w:rsidRDefault="00016C07">
      <w:r>
        <w:separator/>
      </w:r>
    </w:p>
  </w:footnote>
  <w:footnote w:type="continuationSeparator" w:id="0">
    <w:p w:rsidR="00016C07" w:rsidRDefault="00016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3"/>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C07"/>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6A9"/>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1D03"/>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0BEC"/>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786"/>
    <w:rsid w:val="000E2DE0"/>
    <w:rsid w:val="000E2ED1"/>
    <w:rsid w:val="000E3C8A"/>
    <w:rsid w:val="000E49FF"/>
    <w:rsid w:val="000E565E"/>
    <w:rsid w:val="000E604A"/>
    <w:rsid w:val="000E64CB"/>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965"/>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5F13"/>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131"/>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20E2"/>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C7C22"/>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6DE6"/>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E6DCB"/>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224"/>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554F"/>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07FD"/>
    <w:rsid w:val="00B91AE8"/>
    <w:rsid w:val="00B91B38"/>
    <w:rsid w:val="00B94484"/>
    <w:rsid w:val="00B96929"/>
    <w:rsid w:val="00B97707"/>
    <w:rsid w:val="00BA0D37"/>
    <w:rsid w:val="00BA10AC"/>
    <w:rsid w:val="00BA1C8E"/>
    <w:rsid w:val="00BA2A1B"/>
    <w:rsid w:val="00BA301C"/>
    <w:rsid w:val="00BA43BE"/>
    <w:rsid w:val="00BA44C8"/>
    <w:rsid w:val="00BA577B"/>
    <w:rsid w:val="00BB0327"/>
    <w:rsid w:val="00BB13A6"/>
    <w:rsid w:val="00BB2403"/>
    <w:rsid w:val="00BB3924"/>
    <w:rsid w:val="00BB4CD6"/>
    <w:rsid w:val="00BB4E59"/>
    <w:rsid w:val="00BB7ACB"/>
    <w:rsid w:val="00BB7BE5"/>
    <w:rsid w:val="00BC02F7"/>
    <w:rsid w:val="00BC0FFF"/>
    <w:rsid w:val="00BC1204"/>
    <w:rsid w:val="00BC2D70"/>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858EF"/>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1AF"/>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63ED4"/>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34C3"/>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14704"/>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4ADA"/>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19EC93F-8B38-49BA-8998-FB90F679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574A5-F1C7-488D-B2ED-948CB1E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5841</Words>
  <Characters>35049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Tomasz Bogonowicz</cp:lastModifiedBy>
  <cp:revision>3</cp:revision>
  <cp:lastPrinted>2017-05-23T11:32:00Z</cp:lastPrinted>
  <dcterms:created xsi:type="dcterms:W3CDTF">2023-11-28T08:20:00Z</dcterms:created>
  <dcterms:modified xsi:type="dcterms:W3CDTF">2023-11-28T08:20:00Z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