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BFE2" w14:textId="77777777" w:rsidR="00AF2F3A" w:rsidRPr="002E3224" w:rsidRDefault="00AF2F3A" w:rsidP="00AF2F3A">
      <w:pPr>
        <w:jc w:val="right"/>
        <w:rPr>
          <w:rFonts w:ascii="Arial" w:hAnsi="Arial" w:cs="Arial"/>
          <w:b/>
          <w:sz w:val="20"/>
          <w:szCs w:val="20"/>
        </w:rPr>
      </w:pPr>
      <w:r w:rsidRPr="002E3224">
        <w:rPr>
          <w:rFonts w:ascii="Arial" w:hAnsi="Arial" w:cs="Arial"/>
          <w:b/>
          <w:sz w:val="20"/>
          <w:szCs w:val="20"/>
        </w:rPr>
        <w:t>Załącznik nr 1 do Oszacowania wartości zamówienia</w:t>
      </w:r>
    </w:p>
    <w:p w14:paraId="02564E13" w14:textId="77777777" w:rsidR="000543E9" w:rsidRPr="002E3224" w:rsidRDefault="000543E9" w:rsidP="000543E9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bookmarkStart w:id="0" w:name="_Hlk207790867"/>
      <w:r w:rsidRPr="002E3224">
        <w:rPr>
          <w:rFonts w:ascii="Arial" w:hAnsi="Arial" w:cs="Arial"/>
          <w:sz w:val="20"/>
          <w:szCs w:val="20"/>
        </w:rPr>
        <w:t xml:space="preserve">na </w:t>
      </w:r>
      <w:bookmarkStart w:id="1" w:name="_Hlk207790814"/>
      <w:r w:rsidRPr="002E3224">
        <w:rPr>
          <w:rFonts w:ascii="Arial" w:hAnsi="Arial" w:cs="Arial"/>
          <w:spacing w:val="4"/>
          <w:sz w:val="20"/>
          <w:szCs w:val="20"/>
        </w:rPr>
        <w:t>zakup systemu Rozszerzonego Wykrywana i Reagowania (XDR - Extended Detection and Response) wraz z wdrożeniem i instruktażem oraz usługami wsparcia technicznego dla Ministerstwa Rozwoju i Technologii</w:t>
      </w:r>
    </w:p>
    <w:bookmarkEnd w:id="0"/>
    <w:bookmarkEnd w:id="1"/>
    <w:p w14:paraId="6B806BE5" w14:textId="77777777" w:rsidR="00400DF2" w:rsidRPr="002E3224" w:rsidRDefault="00400DF2">
      <w:pPr>
        <w:rPr>
          <w:rFonts w:ascii="Arial" w:hAnsi="Arial" w:cs="Arial"/>
          <w:sz w:val="20"/>
          <w:szCs w:val="20"/>
        </w:rPr>
      </w:pPr>
    </w:p>
    <w:p w14:paraId="04FEF846" w14:textId="77777777" w:rsidR="000F1C71" w:rsidRDefault="000F1C71" w:rsidP="00AF2F3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bookmarkStart w:id="2" w:name="_Hlk207790907"/>
    </w:p>
    <w:p w14:paraId="2BAAE38D" w14:textId="311EC882" w:rsidR="00AF2F3A" w:rsidRPr="002E3224" w:rsidRDefault="00AF2F3A" w:rsidP="00AF2F3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E3224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55E851B2" w14:textId="3B611A2B" w:rsidR="00AF2F3A" w:rsidRPr="002E3224" w:rsidRDefault="00AF2F3A" w:rsidP="00AF2F3A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3" w:name="_Hlk114731293"/>
      <w:r w:rsidRPr="002E3224">
        <w:rPr>
          <w:rFonts w:ascii="Arial" w:hAnsi="Arial" w:cs="Arial"/>
          <w:bCs/>
          <w:spacing w:val="4"/>
          <w:sz w:val="20"/>
          <w:szCs w:val="20"/>
        </w:rPr>
        <w:t xml:space="preserve">dotyczący </w:t>
      </w:r>
      <w:bookmarkEnd w:id="3"/>
      <w:r w:rsidRPr="002E3224">
        <w:rPr>
          <w:rFonts w:ascii="Arial" w:hAnsi="Arial" w:cs="Arial"/>
          <w:bCs/>
          <w:spacing w:val="4"/>
          <w:sz w:val="20"/>
          <w:szCs w:val="20"/>
        </w:rPr>
        <w:t>oszacowania wartości zamówienia na zakup systemu Rozszerzonego Wykrywana i Reagowania (XDR - Extended Detection and Response) wraz z wdrożeniem i instruktażem oraz usługami wsparcia technicznego dla Ministerstwa Rozwoju i Technologii.</w:t>
      </w:r>
    </w:p>
    <w:p w14:paraId="4C92F05B" w14:textId="77777777" w:rsidR="00AF2F3A" w:rsidRPr="002E3224" w:rsidRDefault="00AF2F3A" w:rsidP="00AF2F3A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C1BB2F8" w14:textId="77777777" w:rsidR="00AF2F3A" w:rsidRPr="002E3224" w:rsidRDefault="00AF2F3A" w:rsidP="00AF2F3A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2E322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2E3224"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C4250F0" w14:textId="77777777" w:rsidR="00AF2F3A" w:rsidRPr="002E3224" w:rsidRDefault="00AF2F3A" w:rsidP="00AF2F3A">
      <w:pPr>
        <w:spacing w:before="240" w:after="120"/>
        <w:jc w:val="both"/>
        <w:rPr>
          <w:rFonts w:ascii="Arial" w:hAnsi="Arial" w:cs="Arial"/>
          <w:sz w:val="20"/>
          <w:szCs w:val="20"/>
        </w:rPr>
      </w:pPr>
    </w:p>
    <w:p w14:paraId="531C5352" w14:textId="02EAE176" w:rsidR="00AF2F3A" w:rsidRPr="002E3224" w:rsidRDefault="00AF2F3A" w:rsidP="00AF2F3A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E3224">
        <w:rPr>
          <w:rFonts w:ascii="Arial" w:hAnsi="Arial" w:cs="Arial"/>
          <w:sz w:val="20"/>
          <w:szCs w:val="20"/>
        </w:rPr>
        <w:t>Firma: ……………………….……Zarejestrowany adres siedziby:…………………..……….……………….</w:t>
      </w:r>
    </w:p>
    <w:p w14:paraId="7BBAABB5" w14:textId="6410DF56" w:rsidR="00AF2F3A" w:rsidRPr="002E3224" w:rsidRDefault="00AF2F3A" w:rsidP="00AF2F3A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2E3224">
        <w:rPr>
          <w:rFonts w:ascii="Arial" w:hAnsi="Arial" w:cs="Arial"/>
          <w:sz w:val="20"/>
          <w:szCs w:val="20"/>
        </w:rPr>
        <w:t>Numer telefonu …………..………..…… Adres email:……….…………………….………...... NIP:……...….</w:t>
      </w:r>
    </w:p>
    <w:bookmarkEnd w:id="2"/>
    <w:p w14:paraId="7E041807" w14:textId="77777777" w:rsidR="00565A6B" w:rsidRPr="002E3224" w:rsidRDefault="00565A6B" w:rsidP="00565A6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7597616" w14:textId="0088F170" w:rsidR="00BE7F16" w:rsidRPr="002E3224" w:rsidRDefault="00BE7F16" w:rsidP="00BE7F16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 w:rsidRPr="002E3224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Dostawa systemu XDR </w:t>
      </w:r>
    </w:p>
    <w:tbl>
      <w:tblPr>
        <w:tblStyle w:val="Tabela-Siatka"/>
        <w:tblW w:w="10995" w:type="dxa"/>
        <w:tblInd w:w="-672" w:type="dxa"/>
        <w:tblLayout w:type="fixed"/>
        <w:tblLook w:val="04A0" w:firstRow="1" w:lastRow="0" w:firstColumn="1" w:lastColumn="0" w:noHBand="0" w:noVBand="1"/>
      </w:tblPr>
      <w:tblGrid>
        <w:gridCol w:w="4459"/>
        <w:gridCol w:w="1028"/>
        <w:gridCol w:w="1417"/>
        <w:gridCol w:w="1134"/>
        <w:gridCol w:w="1237"/>
        <w:gridCol w:w="1720"/>
      </w:tblGrid>
      <w:tr w:rsidR="00BE7F16" w:rsidRPr="002E3224" w14:paraId="6181BFB4" w14:textId="77777777" w:rsidTr="000F1C71">
        <w:tc>
          <w:tcPr>
            <w:tcW w:w="4459" w:type="dxa"/>
            <w:vAlign w:val="center"/>
          </w:tcPr>
          <w:p w14:paraId="01C2C78A" w14:textId="77777777" w:rsidR="00BE7F16" w:rsidRPr="000F1C71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C71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028" w:type="dxa"/>
            <w:vAlign w:val="center"/>
          </w:tcPr>
          <w:p w14:paraId="286D9EC0" w14:textId="77777777" w:rsidR="00BE7F16" w:rsidRPr="000F1C71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C71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1417" w:type="dxa"/>
            <w:vAlign w:val="center"/>
          </w:tcPr>
          <w:p w14:paraId="106FE646" w14:textId="77777777" w:rsidR="00BE7F16" w:rsidRPr="000F1C71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C71">
              <w:rPr>
                <w:rFonts w:ascii="Arial" w:hAnsi="Arial" w:cs="Arial"/>
                <w:b/>
                <w:sz w:val="18"/>
                <w:szCs w:val="18"/>
              </w:rPr>
              <w:t>Cena jednostkowa netto PLN</w:t>
            </w:r>
          </w:p>
        </w:tc>
        <w:tc>
          <w:tcPr>
            <w:tcW w:w="1134" w:type="dxa"/>
            <w:vAlign w:val="center"/>
          </w:tcPr>
          <w:p w14:paraId="2FE1D097" w14:textId="77777777" w:rsidR="00BE7F16" w:rsidRPr="000F1C71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C71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  <w:p w14:paraId="050BFD70" w14:textId="77777777" w:rsidR="00BE7F16" w:rsidRPr="000F1C71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C71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1237" w:type="dxa"/>
            <w:vAlign w:val="center"/>
          </w:tcPr>
          <w:p w14:paraId="3806573A" w14:textId="77777777" w:rsidR="00BE7F16" w:rsidRPr="000F1C71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C71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  <w:p w14:paraId="664D25FB" w14:textId="77777777" w:rsidR="00BE7F16" w:rsidRPr="000F1C71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C71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1720" w:type="dxa"/>
          </w:tcPr>
          <w:p w14:paraId="38B70D30" w14:textId="77777777" w:rsidR="00BE7F16" w:rsidRPr="000F1C71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C71">
              <w:rPr>
                <w:rFonts w:ascii="Arial" w:hAnsi="Arial" w:cs="Arial"/>
                <w:b/>
                <w:sz w:val="18"/>
                <w:szCs w:val="18"/>
              </w:rPr>
              <w:t>Termin realizacji - liczba dni kalendarzowych od zawarcia umowy do uzupełnienia przez Wykonawcę*</w:t>
            </w:r>
          </w:p>
        </w:tc>
      </w:tr>
      <w:tr w:rsidR="00BE7F16" w:rsidRPr="002E3224" w14:paraId="6177CFB3" w14:textId="77777777" w:rsidTr="000F1C71">
        <w:trPr>
          <w:trHeight w:val="567"/>
        </w:trPr>
        <w:tc>
          <w:tcPr>
            <w:tcW w:w="4459" w:type="dxa"/>
            <w:vAlign w:val="center"/>
          </w:tcPr>
          <w:p w14:paraId="49A4515A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028" w:type="dxa"/>
            <w:vAlign w:val="center"/>
          </w:tcPr>
          <w:p w14:paraId="3FD1D84A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70636C9E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314ACC28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37" w:type="dxa"/>
            <w:vAlign w:val="center"/>
          </w:tcPr>
          <w:p w14:paraId="1D86DD98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  <w:vAlign w:val="center"/>
          </w:tcPr>
          <w:p w14:paraId="59EFD97F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E7F16" w:rsidRPr="002E3224" w14:paraId="136E3E8A" w14:textId="77777777" w:rsidTr="000F1C71">
        <w:trPr>
          <w:trHeight w:val="1128"/>
        </w:trPr>
        <w:tc>
          <w:tcPr>
            <w:tcW w:w="4459" w:type="dxa"/>
            <w:vAlign w:val="center"/>
          </w:tcPr>
          <w:p w14:paraId="4C67FBD0" w14:textId="1CA9184E" w:rsidR="00BE7F16" w:rsidRPr="002E3224" w:rsidRDefault="00BE7F16" w:rsidP="5149397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Dostawa subskrypcji dla </w:t>
            </w:r>
            <w:r w:rsidRPr="002E3224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systemu Rozszerzonego Wykrywana i Reagowania (XDR - Extended Detection and Response) wraz z gwarancją i usługą wsparcia technicznego na okres 36 miesięcy</w:t>
            </w:r>
            <w:r w:rsidR="00206D88" w:rsidRPr="002E3224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dla 1600 stacji roboczych Windows/Linux/macOS</w:t>
            </w:r>
          </w:p>
        </w:tc>
        <w:tc>
          <w:tcPr>
            <w:tcW w:w="1028" w:type="dxa"/>
            <w:vAlign w:val="center"/>
          </w:tcPr>
          <w:p w14:paraId="4C344915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E48166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44E692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…………</w:t>
            </w:r>
          </w:p>
        </w:tc>
        <w:tc>
          <w:tcPr>
            <w:tcW w:w="1237" w:type="dxa"/>
            <w:vAlign w:val="center"/>
          </w:tcPr>
          <w:p w14:paraId="2F4E3194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</w:t>
            </w:r>
          </w:p>
        </w:tc>
        <w:tc>
          <w:tcPr>
            <w:tcW w:w="1720" w:type="dxa"/>
            <w:vAlign w:val="center"/>
          </w:tcPr>
          <w:p w14:paraId="65D0B9A1" w14:textId="77777777" w:rsidR="00BE7F16" w:rsidRPr="002E3224" w:rsidRDefault="00BE7F16" w:rsidP="0007727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…………………</w:t>
            </w:r>
          </w:p>
        </w:tc>
      </w:tr>
      <w:tr w:rsidR="00873D6C" w:rsidRPr="002E3224" w14:paraId="75F9D3CF" w14:textId="77777777" w:rsidTr="000F1C71">
        <w:trPr>
          <w:trHeight w:val="1128"/>
        </w:trPr>
        <w:tc>
          <w:tcPr>
            <w:tcW w:w="4459" w:type="dxa"/>
            <w:vAlign w:val="center"/>
          </w:tcPr>
          <w:p w14:paraId="348DFDB7" w14:textId="2846B5D4" w:rsidR="00873D6C" w:rsidRPr="002E3224" w:rsidRDefault="00873D6C" w:rsidP="5149397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Dostawa subskrypcji dla </w:t>
            </w:r>
            <w:r w:rsidRPr="002E3224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systemu Rozszerzonego Wykrywana i Reagowania (XDR - Extended Detection and Response) wraz z gwarancją i usługą wsparcia technicznego na okres 36 miesięcy dla 2</w:t>
            </w:r>
            <w:r w:rsidR="00CE67C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0</w:t>
            </w:r>
            <w:r w:rsidRPr="002E3224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0 serwerów Windows Server</w:t>
            </w:r>
          </w:p>
        </w:tc>
        <w:tc>
          <w:tcPr>
            <w:tcW w:w="1028" w:type="dxa"/>
            <w:vAlign w:val="center"/>
          </w:tcPr>
          <w:p w14:paraId="464B1DC9" w14:textId="77777777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C28CB9" w14:textId="77777777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9D73D8" w14:textId="7E93758B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…………</w:t>
            </w:r>
          </w:p>
        </w:tc>
        <w:tc>
          <w:tcPr>
            <w:tcW w:w="1237" w:type="dxa"/>
            <w:vAlign w:val="center"/>
          </w:tcPr>
          <w:p w14:paraId="4771E8C1" w14:textId="7A115E16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</w:t>
            </w:r>
          </w:p>
        </w:tc>
        <w:tc>
          <w:tcPr>
            <w:tcW w:w="1720" w:type="dxa"/>
            <w:vAlign w:val="center"/>
          </w:tcPr>
          <w:p w14:paraId="77FB124C" w14:textId="0753774B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…………………</w:t>
            </w:r>
          </w:p>
        </w:tc>
      </w:tr>
      <w:tr w:rsidR="00873D6C" w:rsidRPr="002E3224" w14:paraId="591273B4" w14:textId="77777777" w:rsidTr="000F1C71">
        <w:trPr>
          <w:trHeight w:val="1128"/>
        </w:trPr>
        <w:tc>
          <w:tcPr>
            <w:tcW w:w="4459" w:type="dxa"/>
            <w:vAlign w:val="center"/>
          </w:tcPr>
          <w:p w14:paraId="2286D6BB" w14:textId="09D3E089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Dostawa subskrypcji dla systemu Rozszerzonego Wykrywana i Reagowania (XDR - Extended Detection and Response) wraz z gwarancją i usługą wsparcia technicznego na okres 36 miesięcy dla 2</w:t>
            </w:r>
            <w:r w:rsidR="00CE67C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2E3224">
              <w:rPr>
                <w:rFonts w:ascii="Arial" w:hAnsi="Arial" w:cs="Arial"/>
                <w:b/>
                <w:sz w:val="20"/>
                <w:szCs w:val="20"/>
              </w:rPr>
              <w:t>0 serwerów Linux</w:t>
            </w:r>
          </w:p>
        </w:tc>
        <w:tc>
          <w:tcPr>
            <w:tcW w:w="1028" w:type="dxa"/>
            <w:vAlign w:val="center"/>
          </w:tcPr>
          <w:p w14:paraId="29E88D71" w14:textId="77777777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86E2CB" w14:textId="77777777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B76F2C" w14:textId="789CD0FE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…………</w:t>
            </w:r>
          </w:p>
        </w:tc>
        <w:tc>
          <w:tcPr>
            <w:tcW w:w="1237" w:type="dxa"/>
            <w:vAlign w:val="center"/>
          </w:tcPr>
          <w:p w14:paraId="6630B443" w14:textId="330AA8B8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</w:t>
            </w:r>
          </w:p>
        </w:tc>
        <w:tc>
          <w:tcPr>
            <w:tcW w:w="1720" w:type="dxa"/>
            <w:vAlign w:val="center"/>
          </w:tcPr>
          <w:p w14:paraId="758060E7" w14:textId="3AF76BD8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…………………</w:t>
            </w:r>
          </w:p>
        </w:tc>
      </w:tr>
      <w:tr w:rsidR="00873D6C" w:rsidRPr="002E3224" w14:paraId="73DBB9C8" w14:textId="77777777" w:rsidTr="000F1C71">
        <w:trPr>
          <w:trHeight w:val="1128"/>
        </w:trPr>
        <w:tc>
          <w:tcPr>
            <w:tcW w:w="4459" w:type="dxa"/>
            <w:vAlign w:val="center"/>
          </w:tcPr>
          <w:p w14:paraId="45D8416A" w14:textId="15019D81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Dostawa subskrypcji dla systemu Rozszerzonego Wykrywana i Reagowania (XDR - Extended Detection and Response) wraz z gwarancją i usługą wsparcia technicznego na okres 36 miesięcy dla 500 urządzeń mobilnych</w:t>
            </w:r>
          </w:p>
        </w:tc>
        <w:tc>
          <w:tcPr>
            <w:tcW w:w="1028" w:type="dxa"/>
            <w:vAlign w:val="center"/>
          </w:tcPr>
          <w:p w14:paraId="14525F92" w14:textId="77777777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291245" w14:textId="77777777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AEBDAE" w14:textId="6D7B7BD6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…………</w:t>
            </w:r>
          </w:p>
        </w:tc>
        <w:tc>
          <w:tcPr>
            <w:tcW w:w="1237" w:type="dxa"/>
            <w:vAlign w:val="center"/>
          </w:tcPr>
          <w:p w14:paraId="73AF832A" w14:textId="354ABD33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</w:t>
            </w:r>
          </w:p>
        </w:tc>
        <w:tc>
          <w:tcPr>
            <w:tcW w:w="1720" w:type="dxa"/>
            <w:vAlign w:val="center"/>
          </w:tcPr>
          <w:p w14:paraId="2F47E2FC" w14:textId="0F491C21" w:rsidR="00873D6C" w:rsidRPr="002E3224" w:rsidRDefault="00873D6C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…………………</w:t>
            </w:r>
          </w:p>
        </w:tc>
      </w:tr>
      <w:tr w:rsidR="002E3224" w:rsidRPr="000F1C71" w14:paraId="719BD095" w14:textId="77777777" w:rsidTr="000F1C71">
        <w:trPr>
          <w:trHeight w:val="1128"/>
        </w:trPr>
        <w:tc>
          <w:tcPr>
            <w:tcW w:w="4459" w:type="dxa"/>
            <w:vAlign w:val="center"/>
          </w:tcPr>
          <w:p w14:paraId="47755501" w14:textId="6FE74E9C" w:rsidR="002E3224" w:rsidRPr="000F1C71" w:rsidRDefault="002E3224" w:rsidP="00734265">
            <w:pPr>
              <w:pStyle w:val="Teksttreci0"/>
              <w:tabs>
                <w:tab w:val="left" w:pos="748"/>
              </w:tabs>
              <w:spacing w:after="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1C71">
              <w:rPr>
                <w:rFonts w:ascii="Arial" w:hAnsi="Arial" w:cs="Arial"/>
                <w:b/>
                <w:bCs/>
                <w:sz w:val="20"/>
                <w:szCs w:val="20"/>
              </w:rPr>
              <w:t>Rozbudowa rozwiązania o moduł ITDR (Identity Threat Detection and Response</w:t>
            </w:r>
          </w:p>
        </w:tc>
        <w:tc>
          <w:tcPr>
            <w:tcW w:w="1028" w:type="dxa"/>
            <w:vAlign w:val="center"/>
          </w:tcPr>
          <w:p w14:paraId="7B4AD61C" w14:textId="77777777" w:rsidR="002E3224" w:rsidRPr="000F1C71" w:rsidRDefault="002E3224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104ECB5" w14:textId="77777777" w:rsidR="002E3224" w:rsidRPr="000F1C71" w:rsidRDefault="002E3224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4F98B09" w14:textId="77777777" w:rsidR="002E3224" w:rsidRPr="000F1C71" w:rsidRDefault="002E3224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237" w:type="dxa"/>
            <w:vAlign w:val="center"/>
          </w:tcPr>
          <w:p w14:paraId="6457A359" w14:textId="77777777" w:rsidR="002E3224" w:rsidRPr="000F1C71" w:rsidRDefault="002E3224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20" w:type="dxa"/>
            <w:vAlign w:val="center"/>
          </w:tcPr>
          <w:p w14:paraId="112272D3" w14:textId="77777777" w:rsidR="002E3224" w:rsidRPr="000F1C71" w:rsidRDefault="002E3224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734265" w:rsidRPr="002E3224" w14:paraId="19AC2CC9" w14:textId="77777777" w:rsidTr="000F1C71">
        <w:trPr>
          <w:trHeight w:val="729"/>
        </w:trPr>
        <w:tc>
          <w:tcPr>
            <w:tcW w:w="4459" w:type="dxa"/>
            <w:vAlign w:val="center"/>
          </w:tcPr>
          <w:p w14:paraId="625613AA" w14:textId="3CA46E46" w:rsidR="00734265" w:rsidRPr="002E3224" w:rsidRDefault="00734265" w:rsidP="000F1C71">
            <w:pPr>
              <w:pStyle w:val="Teksttreci0"/>
              <w:tabs>
                <w:tab w:val="left" w:pos="748"/>
              </w:tabs>
              <w:spacing w:after="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bCs/>
                <w:sz w:val="20"/>
                <w:szCs w:val="20"/>
              </w:rPr>
              <w:t>Wdrożenie dostarczonego systemu XDR</w:t>
            </w:r>
          </w:p>
        </w:tc>
        <w:tc>
          <w:tcPr>
            <w:tcW w:w="1028" w:type="dxa"/>
            <w:vAlign w:val="center"/>
          </w:tcPr>
          <w:p w14:paraId="1B3D55B9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0E6271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E3406D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562B51FD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14:paraId="56F5402F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34265" w:rsidRPr="002E3224" w14:paraId="079B059F" w14:textId="77777777" w:rsidTr="000F1C71">
        <w:trPr>
          <w:trHeight w:val="1128"/>
        </w:trPr>
        <w:tc>
          <w:tcPr>
            <w:tcW w:w="4459" w:type="dxa"/>
            <w:vAlign w:val="center"/>
          </w:tcPr>
          <w:p w14:paraId="32DDB16E" w14:textId="00FF8190" w:rsidR="00734265" w:rsidRPr="002E3224" w:rsidRDefault="00734265" w:rsidP="00734265">
            <w:pPr>
              <w:pStyle w:val="Teksttreci0"/>
              <w:tabs>
                <w:tab w:val="left" w:pos="748"/>
              </w:tabs>
              <w:spacing w:after="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bCs/>
                <w:sz w:val="20"/>
                <w:szCs w:val="20"/>
              </w:rPr>
              <w:t>Usługi asysty technicznej dla wdrożonego Systemu, świadczone na podstawie dodatkowych zleceń Zamawiająceg</w:t>
            </w:r>
            <w:r w:rsidRPr="002E322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028" w:type="dxa"/>
            <w:vAlign w:val="center"/>
          </w:tcPr>
          <w:p w14:paraId="7DECA20C" w14:textId="27FFFDB6" w:rsidR="00734265" w:rsidRPr="002E3224" w:rsidRDefault="008B0CAA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224">
              <w:rPr>
                <w:rFonts w:ascii="Arial" w:hAnsi="Arial" w:cs="Arial"/>
                <w:b/>
                <w:sz w:val="20"/>
                <w:szCs w:val="20"/>
              </w:rPr>
              <w:t>200 roboczogodzin</w:t>
            </w:r>
          </w:p>
        </w:tc>
        <w:tc>
          <w:tcPr>
            <w:tcW w:w="1417" w:type="dxa"/>
          </w:tcPr>
          <w:p w14:paraId="7A11A56F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0495ED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54F86FA6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14:paraId="59E0293E" w14:textId="77777777" w:rsidR="00734265" w:rsidRPr="002E3224" w:rsidRDefault="00734265" w:rsidP="00873D6C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E5C439" w14:textId="77777777" w:rsidR="00AF2F3A" w:rsidRPr="002E3224" w:rsidRDefault="00AF2F3A">
      <w:pPr>
        <w:rPr>
          <w:rFonts w:ascii="Arial" w:hAnsi="Arial" w:cs="Arial"/>
          <w:sz w:val="20"/>
          <w:szCs w:val="20"/>
        </w:rPr>
      </w:pPr>
    </w:p>
    <w:p w14:paraId="4FB5D2A1" w14:textId="77777777" w:rsidR="00256DC8" w:rsidRPr="002E3224" w:rsidRDefault="00256DC8">
      <w:pPr>
        <w:rPr>
          <w:rFonts w:ascii="Arial" w:hAnsi="Arial" w:cs="Arial"/>
          <w:sz w:val="20"/>
          <w:szCs w:val="20"/>
        </w:rPr>
      </w:pPr>
    </w:p>
    <w:p w14:paraId="7E172994" w14:textId="61F343CB" w:rsidR="00256DC8" w:rsidRPr="000F1C71" w:rsidRDefault="00256DC8" w:rsidP="000F1C71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 w:rsidRPr="002E3224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59A30AB9" w14:textId="4EF705D8" w:rsidR="00256DC8" w:rsidRPr="002E3224" w:rsidRDefault="00256DC8" w:rsidP="00256DC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E3224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Termin realizacji zamówienia w zakresie dostawy i wdrożenia Systemu, szczegółowo opisany w pkt I Przedmiot Zamówienia ppkt 1</w:t>
      </w:r>
      <w:r w:rsidR="00880A55" w:rsidRPr="002E3224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,</w:t>
      </w:r>
      <w:r w:rsidRPr="002E3224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  2</w:t>
      </w:r>
      <w:r w:rsidR="00880A55" w:rsidRPr="002E3224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, 3</w:t>
      </w:r>
      <w:r w:rsidRPr="002E3224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 Zapytania o wycenę należy zaznaczyć poniżej.</w:t>
      </w:r>
    </w:p>
    <w:p w14:paraId="38A8E97E" w14:textId="75A7FD51" w:rsidR="00256DC8" w:rsidRPr="002E3224" w:rsidRDefault="00256DC8" w:rsidP="00256DC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E3224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Z zastrzeżeniem, że termin realizacji przedmiotu zamówienia, o którym mowa powyżej, od daty zawarcia umowy, nie może być dłuższy niż </w:t>
      </w:r>
      <w:r w:rsidR="00880A55" w:rsidRPr="002E3224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3</w:t>
      </w:r>
      <w:r w:rsidRPr="002E3224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0 dni:</w:t>
      </w:r>
    </w:p>
    <w:p w14:paraId="43124E08" w14:textId="5E2A173B" w:rsidR="00256DC8" w:rsidRPr="002E3224" w:rsidRDefault="00256DC8" w:rsidP="00256DC8">
      <w:pPr>
        <w:pStyle w:val="Akapitzlist"/>
        <w:widowControl/>
        <w:numPr>
          <w:ilvl w:val="0"/>
          <w:numId w:val="1"/>
        </w:numPr>
        <w:suppressAutoHyphens w:val="0"/>
        <w:spacing w:before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E3224">
        <w:rPr>
          <w:rFonts w:ascii="Arial" w:eastAsiaTheme="minorHAnsi" w:hAnsi="Arial" w:cs="Arial"/>
          <w:sz w:val="20"/>
          <w:szCs w:val="20"/>
          <w:lang w:eastAsia="en-US"/>
        </w:rPr>
        <w:t xml:space="preserve">do </w:t>
      </w:r>
      <w:r w:rsidR="00880A55" w:rsidRPr="002E3224">
        <w:rPr>
          <w:rFonts w:ascii="Arial" w:eastAsiaTheme="minorHAnsi" w:hAnsi="Arial" w:cs="Arial"/>
          <w:sz w:val="20"/>
          <w:szCs w:val="20"/>
          <w:lang w:eastAsia="en-US"/>
        </w:rPr>
        <w:t>3</w:t>
      </w:r>
      <w:r w:rsidRPr="002E3224">
        <w:rPr>
          <w:rFonts w:ascii="Arial" w:eastAsiaTheme="minorHAnsi" w:hAnsi="Arial" w:cs="Arial"/>
          <w:sz w:val="20"/>
          <w:szCs w:val="20"/>
          <w:lang w:eastAsia="en-US"/>
        </w:rPr>
        <w:t xml:space="preserve">0 dni </w:t>
      </w:r>
      <w:r w:rsidRPr="002E3224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2E3224">
        <w:rPr>
          <w:rFonts w:ascii="Arial" w:eastAsiaTheme="minorHAnsi" w:hAnsi="Arial" w:cs="Arial"/>
          <w:sz w:val="20"/>
          <w:szCs w:val="20"/>
          <w:lang w:eastAsia="en-US"/>
        </w:rPr>
        <w:t>*</w:t>
      </w:r>
    </w:p>
    <w:p w14:paraId="304858C8" w14:textId="554E4AB6" w:rsidR="00256DC8" w:rsidRPr="002E3224" w:rsidRDefault="00256DC8" w:rsidP="00256DC8">
      <w:pPr>
        <w:pStyle w:val="Akapitzlist"/>
        <w:widowControl/>
        <w:numPr>
          <w:ilvl w:val="0"/>
          <w:numId w:val="1"/>
        </w:numPr>
        <w:suppressAutoHyphens w:val="0"/>
        <w:spacing w:before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E3224">
        <w:rPr>
          <w:rFonts w:ascii="Arial" w:eastAsiaTheme="minorHAnsi" w:hAnsi="Arial" w:cs="Arial"/>
          <w:sz w:val="20"/>
          <w:szCs w:val="20"/>
          <w:lang w:eastAsia="en-US"/>
        </w:rPr>
        <w:t xml:space="preserve">do </w:t>
      </w:r>
      <w:r w:rsidR="00880A55" w:rsidRPr="002E3224">
        <w:rPr>
          <w:rFonts w:ascii="Arial" w:eastAsiaTheme="minorHAnsi" w:hAnsi="Arial" w:cs="Arial"/>
          <w:sz w:val="20"/>
          <w:szCs w:val="20"/>
          <w:lang w:eastAsia="en-US"/>
        </w:rPr>
        <w:t>2</w:t>
      </w:r>
      <w:r w:rsidRPr="002E3224">
        <w:rPr>
          <w:rFonts w:ascii="Arial" w:eastAsiaTheme="minorHAnsi" w:hAnsi="Arial" w:cs="Arial"/>
          <w:sz w:val="20"/>
          <w:szCs w:val="20"/>
          <w:lang w:eastAsia="en-US"/>
        </w:rPr>
        <w:t xml:space="preserve">0 dni </w:t>
      </w:r>
      <w:r w:rsidRPr="002E3224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2E3224">
        <w:rPr>
          <w:rFonts w:ascii="Arial" w:eastAsiaTheme="minorHAnsi" w:hAnsi="Arial" w:cs="Arial"/>
          <w:sz w:val="20"/>
          <w:szCs w:val="20"/>
          <w:lang w:eastAsia="en-US"/>
        </w:rPr>
        <w:t>*</w:t>
      </w:r>
    </w:p>
    <w:p w14:paraId="65B79184" w14:textId="4118DD3F" w:rsidR="00DD701F" w:rsidRPr="00DD701F" w:rsidRDefault="00256DC8" w:rsidP="00DD701F">
      <w:pPr>
        <w:pStyle w:val="Akapitzlist"/>
        <w:widowControl/>
        <w:numPr>
          <w:ilvl w:val="0"/>
          <w:numId w:val="1"/>
        </w:numPr>
        <w:suppressAutoHyphens w:val="0"/>
        <w:spacing w:before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E3224">
        <w:rPr>
          <w:rFonts w:ascii="Arial" w:eastAsiaTheme="minorHAnsi" w:hAnsi="Arial" w:cs="Arial"/>
          <w:sz w:val="20"/>
          <w:szCs w:val="20"/>
          <w:lang w:eastAsia="en-US"/>
        </w:rPr>
        <w:t xml:space="preserve">do </w:t>
      </w:r>
      <w:r w:rsidR="00880A55" w:rsidRPr="002E3224">
        <w:rPr>
          <w:rFonts w:ascii="Arial" w:eastAsiaTheme="minorHAnsi" w:hAnsi="Arial" w:cs="Arial"/>
          <w:sz w:val="20"/>
          <w:szCs w:val="20"/>
          <w:lang w:eastAsia="en-US"/>
        </w:rPr>
        <w:t>1</w:t>
      </w:r>
      <w:r w:rsidRPr="002E3224">
        <w:rPr>
          <w:rFonts w:ascii="Arial" w:eastAsiaTheme="minorHAnsi" w:hAnsi="Arial" w:cs="Arial"/>
          <w:sz w:val="20"/>
          <w:szCs w:val="20"/>
          <w:lang w:eastAsia="en-US"/>
        </w:rPr>
        <w:t xml:space="preserve">0 dni </w:t>
      </w:r>
      <w:r w:rsidRPr="002E3224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2E3224">
        <w:rPr>
          <w:rFonts w:ascii="Arial" w:eastAsiaTheme="minorHAnsi" w:hAnsi="Arial" w:cs="Arial"/>
          <w:sz w:val="20"/>
          <w:szCs w:val="20"/>
          <w:lang w:eastAsia="en-US"/>
        </w:rPr>
        <w:t>*</w:t>
      </w:r>
    </w:p>
    <w:p w14:paraId="1DCF67BC" w14:textId="20A304D2" w:rsidR="00880A55" w:rsidRPr="00AF7D0D" w:rsidRDefault="00256DC8" w:rsidP="00256DC8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18"/>
          <w:szCs w:val="18"/>
          <w:lang w:eastAsia="en-US" w:bidi="ar-SA"/>
        </w:rPr>
      </w:pPr>
      <w:r w:rsidRPr="00AF7D0D">
        <w:rPr>
          <w:rFonts w:ascii="Arial" w:eastAsiaTheme="minorHAnsi" w:hAnsi="Arial" w:cs="Arial"/>
          <w:i/>
          <w:iCs/>
          <w:kern w:val="0"/>
          <w:sz w:val="18"/>
          <w:szCs w:val="18"/>
          <w:lang w:eastAsia="en-US" w:bidi="ar-SA"/>
        </w:rPr>
        <w:t>* należy zaznaczyć odpowiednie pole</w:t>
      </w:r>
    </w:p>
    <w:p w14:paraId="20064569" w14:textId="77777777" w:rsidR="006C4DFA" w:rsidRPr="002E3224" w:rsidRDefault="006C4DFA" w:rsidP="00256DC8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p w14:paraId="767584E8" w14:textId="0846C9FC" w:rsidR="00256DC8" w:rsidRPr="000F1C71" w:rsidRDefault="00880A55" w:rsidP="00B6305B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 w:rsidRPr="000F1C71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Rozbudowa rozwiązania o moduł ITDR</w:t>
      </w:r>
      <w:r w:rsidR="002E3224" w:rsidRPr="000F1C71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 (</w:t>
      </w:r>
      <w:r w:rsidR="002E3224" w:rsidRPr="000F1C71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Identity Threat Detection and Response</w:t>
      </w:r>
      <w:r w:rsidR="002E3224" w:rsidRPr="000F1C71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)</w:t>
      </w:r>
    </w:p>
    <w:p w14:paraId="19B511A9" w14:textId="77777777" w:rsidR="00880A55" w:rsidRPr="000F1C71" w:rsidRDefault="00880A55">
      <w:pPr>
        <w:rPr>
          <w:rFonts w:ascii="Arial" w:hAnsi="Arial" w:cs="Arial"/>
          <w:sz w:val="20"/>
          <w:szCs w:val="20"/>
          <w:lang w:val="en-US"/>
        </w:rPr>
      </w:pPr>
    </w:p>
    <w:p w14:paraId="2A65AEFE" w14:textId="3E3E1385" w:rsidR="00880A55" w:rsidRPr="002E3224" w:rsidRDefault="00880A55">
      <w:pPr>
        <w:rPr>
          <w:rFonts w:ascii="Arial" w:hAnsi="Arial" w:cs="Arial"/>
          <w:sz w:val="20"/>
          <w:szCs w:val="20"/>
        </w:rPr>
      </w:pPr>
      <w:r w:rsidRPr="002E3224">
        <w:rPr>
          <w:rFonts w:ascii="Arial" w:hAnsi="Arial" w:cs="Arial"/>
          <w:sz w:val="20"/>
          <w:szCs w:val="20"/>
        </w:rPr>
        <w:t>Rozwiązanie będzie umożliwiało realizację wszystkich następujących funkcji z wykorzystaniem pojedynczego agenta:</w:t>
      </w:r>
    </w:p>
    <w:p w14:paraId="70F32581" w14:textId="77777777" w:rsidR="00880A55" w:rsidRPr="002E3224" w:rsidRDefault="00880A55" w:rsidP="000F1C71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E3224">
        <w:rPr>
          <w:rFonts w:ascii="Arial" w:hAnsi="Arial" w:cs="Arial"/>
          <w:sz w:val="20"/>
          <w:szCs w:val="20"/>
        </w:rPr>
        <w:t>Bieżąca weryfikacja konfiguracji środowiska Active Directory pod kątem bezpieczeństwa wraz z rekomendacją zmiany konfiguracji. </w:t>
      </w:r>
    </w:p>
    <w:p w14:paraId="3AF2C4F1" w14:textId="77777777" w:rsidR="00880A55" w:rsidRPr="002E3224" w:rsidRDefault="00880A55" w:rsidP="00880A55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E3224">
        <w:rPr>
          <w:rFonts w:ascii="Arial" w:hAnsi="Arial" w:cs="Arial"/>
          <w:sz w:val="20"/>
          <w:szCs w:val="20"/>
        </w:rPr>
        <w:t>Wykrywanie kont użytkowników posługujących się takim samym hasłem wraz z opcją automatycznego resetu hasła. </w:t>
      </w:r>
    </w:p>
    <w:p w14:paraId="0E7A2DCA" w14:textId="77777777" w:rsidR="00880A55" w:rsidRPr="002E3224" w:rsidRDefault="00880A55" w:rsidP="00880A55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E3224">
        <w:rPr>
          <w:rFonts w:ascii="Arial" w:hAnsi="Arial" w:cs="Arial"/>
          <w:sz w:val="20"/>
          <w:szCs w:val="20"/>
        </w:rPr>
        <w:t>Wykrywanie kont użytkowników posługujących się hasłem, które zostało ujawnione w publicznym wycieku poprzez integrację z serwisem haveibeenpwned.com lub podobnym wraz z opcją automatycznego resetu hasła.</w:t>
      </w:r>
    </w:p>
    <w:p w14:paraId="003B68DE" w14:textId="77777777" w:rsidR="00880A55" w:rsidRPr="002E3224" w:rsidRDefault="00880A55" w:rsidP="00880A55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E3224">
        <w:rPr>
          <w:rFonts w:ascii="Arial" w:hAnsi="Arial" w:cs="Arial"/>
          <w:sz w:val="20"/>
          <w:szCs w:val="20"/>
        </w:rPr>
        <w:t>Wykrywanie ataków na protokół Kerberos (Golden Ticket, Pass The Hash, Kerberoasting) i LDAP</w:t>
      </w:r>
    </w:p>
    <w:p w14:paraId="0232AEE5" w14:textId="77777777" w:rsidR="00880A55" w:rsidRPr="002E3224" w:rsidRDefault="00880A55" w:rsidP="00880A55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E3224">
        <w:rPr>
          <w:rFonts w:ascii="Arial" w:hAnsi="Arial" w:cs="Arial"/>
          <w:sz w:val="20"/>
          <w:szCs w:val="20"/>
        </w:rPr>
        <w:t>Możliwość blokowania prób logowania po RDP do wskazanych serwerów z komputerów bez zainstalowanego agenta</w:t>
      </w:r>
    </w:p>
    <w:p w14:paraId="6D6C3B0A" w14:textId="77777777" w:rsidR="00880A55" w:rsidRPr="002E3224" w:rsidRDefault="00880A55" w:rsidP="00880A55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E3224">
        <w:rPr>
          <w:rFonts w:ascii="Arial" w:hAnsi="Arial" w:cs="Arial"/>
          <w:sz w:val="20"/>
          <w:szCs w:val="20"/>
        </w:rPr>
        <w:t>Możliwość blokowania prób logowania po RDP do wskazanych serwerów z wykorzystaniem kont serwisowych</w:t>
      </w:r>
    </w:p>
    <w:p w14:paraId="6EDD079A" w14:textId="77777777" w:rsidR="00880A55" w:rsidRPr="002E3224" w:rsidRDefault="00880A55" w:rsidP="00880A55">
      <w:pPr>
        <w:ind w:left="1080"/>
        <w:rPr>
          <w:rFonts w:ascii="Arial" w:hAnsi="Arial" w:cs="Arial"/>
          <w:sz w:val="20"/>
          <w:szCs w:val="20"/>
        </w:rPr>
      </w:pPr>
    </w:p>
    <w:p w14:paraId="7895032D" w14:textId="77777777" w:rsidR="00880A55" w:rsidRPr="002E3224" w:rsidRDefault="00880A55" w:rsidP="00F41B72">
      <w:pPr>
        <w:pStyle w:val="Akapitzlist"/>
        <w:widowControl/>
        <w:numPr>
          <w:ilvl w:val="0"/>
          <w:numId w:val="5"/>
        </w:numPr>
        <w:suppressAutoHyphens w:val="0"/>
        <w:spacing w:before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E3224">
        <w:rPr>
          <w:rFonts w:ascii="Arial" w:eastAsiaTheme="minorHAnsi" w:hAnsi="Arial" w:cs="Arial"/>
          <w:sz w:val="20"/>
          <w:szCs w:val="20"/>
          <w:lang w:eastAsia="en-US"/>
        </w:rPr>
        <w:t xml:space="preserve">TAK </w:t>
      </w:r>
      <w:r w:rsidRPr="002E3224">
        <w:rPr>
          <w:rFonts w:ascii="Segoe UI Symbol" w:eastAsiaTheme="minorHAnsi" w:hAnsi="Segoe UI Symbol" w:cs="Segoe UI Symbol"/>
          <w:sz w:val="20"/>
          <w:szCs w:val="20"/>
          <w:lang w:eastAsia="en-US"/>
        </w:rPr>
        <w:t>☐</w:t>
      </w:r>
      <w:r w:rsidRPr="002E3224">
        <w:rPr>
          <w:rFonts w:ascii="Arial" w:eastAsiaTheme="minorHAnsi" w:hAnsi="Arial" w:cs="Arial"/>
          <w:sz w:val="20"/>
          <w:szCs w:val="20"/>
          <w:lang w:eastAsia="en-US"/>
        </w:rPr>
        <w:t>*</w:t>
      </w:r>
    </w:p>
    <w:p w14:paraId="07A7DB66" w14:textId="77777777" w:rsidR="00880A55" w:rsidRPr="002E3224" w:rsidRDefault="00880A55" w:rsidP="00F41B72">
      <w:pPr>
        <w:pStyle w:val="Akapitzlist"/>
        <w:widowControl/>
        <w:numPr>
          <w:ilvl w:val="0"/>
          <w:numId w:val="5"/>
        </w:numPr>
        <w:suppressAutoHyphens w:val="0"/>
        <w:spacing w:before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E3224">
        <w:rPr>
          <w:rFonts w:ascii="Arial" w:eastAsiaTheme="minorHAnsi" w:hAnsi="Arial" w:cs="Arial"/>
          <w:sz w:val="20"/>
          <w:szCs w:val="20"/>
          <w:lang w:eastAsia="en-US"/>
        </w:rPr>
        <w:t xml:space="preserve">NIE </w:t>
      </w:r>
      <w:r w:rsidRPr="002E3224">
        <w:rPr>
          <w:rFonts w:ascii="Segoe UI Symbol" w:eastAsiaTheme="minorHAnsi" w:hAnsi="Segoe UI Symbol" w:cs="Segoe UI Symbol"/>
          <w:sz w:val="20"/>
          <w:szCs w:val="20"/>
          <w:lang w:eastAsia="en-US"/>
        </w:rPr>
        <w:t>☐</w:t>
      </w:r>
      <w:r w:rsidRPr="002E3224">
        <w:rPr>
          <w:rFonts w:ascii="Arial" w:eastAsiaTheme="minorHAnsi" w:hAnsi="Arial" w:cs="Arial"/>
          <w:sz w:val="20"/>
          <w:szCs w:val="20"/>
          <w:lang w:eastAsia="en-US"/>
        </w:rPr>
        <w:t>*</w:t>
      </w:r>
    </w:p>
    <w:p w14:paraId="4D9889E2" w14:textId="77777777" w:rsidR="00880A55" w:rsidRPr="002E3224" w:rsidRDefault="00880A55" w:rsidP="00880A55">
      <w:pPr>
        <w:rPr>
          <w:rFonts w:ascii="Arial" w:hAnsi="Arial" w:cs="Arial"/>
          <w:i/>
          <w:iCs/>
          <w:sz w:val="20"/>
          <w:szCs w:val="20"/>
        </w:rPr>
      </w:pPr>
      <w:r w:rsidRPr="002E3224">
        <w:rPr>
          <w:rFonts w:ascii="Arial" w:hAnsi="Arial" w:cs="Arial"/>
          <w:i/>
          <w:iCs/>
          <w:sz w:val="20"/>
          <w:szCs w:val="20"/>
        </w:rPr>
        <w:t>* należy zaznaczyć odpowiednie pole</w:t>
      </w:r>
    </w:p>
    <w:p w14:paraId="338F01C8" w14:textId="77777777" w:rsidR="00880A55" w:rsidRPr="002E3224" w:rsidRDefault="00880A55">
      <w:pPr>
        <w:rPr>
          <w:rFonts w:ascii="Arial" w:hAnsi="Arial" w:cs="Arial"/>
          <w:sz w:val="20"/>
          <w:szCs w:val="20"/>
        </w:rPr>
      </w:pPr>
    </w:p>
    <w:p w14:paraId="41CA21C6" w14:textId="77777777" w:rsidR="00880A55" w:rsidRPr="002E3224" w:rsidRDefault="00880A55">
      <w:pPr>
        <w:rPr>
          <w:rFonts w:ascii="Arial" w:hAnsi="Arial" w:cs="Arial"/>
          <w:sz w:val="20"/>
          <w:szCs w:val="20"/>
        </w:rPr>
      </w:pPr>
    </w:p>
    <w:p w14:paraId="33284E8B" w14:textId="6F061E88" w:rsidR="00880A55" w:rsidRPr="002E3224" w:rsidRDefault="00880A55" w:rsidP="00880A55">
      <w:pPr>
        <w:rPr>
          <w:rFonts w:ascii="Arial" w:hAnsi="Arial" w:cs="Arial"/>
          <w:b/>
          <w:bCs/>
          <w:sz w:val="20"/>
          <w:szCs w:val="20"/>
        </w:rPr>
      </w:pPr>
    </w:p>
    <w:p w14:paraId="1B6BED84" w14:textId="77777777" w:rsidR="00880A55" w:rsidRPr="002E3224" w:rsidRDefault="00880A55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1629D1" w:rsidRPr="002E3224" w14:paraId="0EB814AC" w14:textId="77777777" w:rsidTr="0007727B">
        <w:trPr>
          <w:gridAfter w:val="1"/>
          <w:wAfter w:w="486" w:type="dxa"/>
        </w:trPr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1558E78F" w14:textId="77777777" w:rsidR="001629D1" w:rsidRPr="002E3224" w:rsidRDefault="001629D1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224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</w:tr>
      <w:tr w:rsidR="001629D1" w:rsidRPr="002E3224" w14:paraId="2E1C1809" w14:textId="77777777" w:rsidTr="0007727B">
        <w:trPr>
          <w:trHeight w:val="612"/>
        </w:trPr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DB50B" w14:textId="77777777" w:rsidR="001629D1" w:rsidRPr="002E3224" w:rsidRDefault="001629D1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224">
              <w:rPr>
                <w:rFonts w:ascii="Arial" w:hAnsi="Arial" w:cs="Arial"/>
                <w:sz w:val="20"/>
                <w:szCs w:val="20"/>
              </w:rPr>
              <w:t>(data i podpis osoby/-ób uprawnionej/-ych</w:t>
            </w:r>
          </w:p>
          <w:p w14:paraId="0E17476F" w14:textId="77777777" w:rsidR="001629D1" w:rsidRPr="002E3224" w:rsidRDefault="001629D1" w:rsidP="0007727B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224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5D2343D" w14:textId="77777777" w:rsidR="00880A55" w:rsidRPr="00F2455E" w:rsidRDefault="00880A55">
      <w:pPr>
        <w:rPr>
          <w:rFonts w:ascii="Arial" w:hAnsi="Arial" w:cs="Arial"/>
          <w:sz w:val="20"/>
          <w:szCs w:val="20"/>
        </w:rPr>
      </w:pPr>
    </w:p>
    <w:sectPr w:rsidR="00880A55" w:rsidRPr="00F24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6FB"/>
    <w:multiLevelType w:val="multilevel"/>
    <w:tmpl w:val="F2D464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E46225"/>
    <w:multiLevelType w:val="multilevel"/>
    <w:tmpl w:val="F2D464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907A3D"/>
    <w:multiLevelType w:val="multilevel"/>
    <w:tmpl w:val="FDD68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D30357B"/>
    <w:multiLevelType w:val="multilevel"/>
    <w:tmpl w:val="F2D464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6E25BB5"/>
    <w:multiLevelType w:val="multilevel"/>
    <w:tmpl w:val="576899B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F96942"/>
    <w:multiLevelType w:val="multilevel"/>
    <w:tmpl w:val="F2D464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7986046">
    <w:abstractNumId w:val="3"/>
  </w:num>
  <w:num w:numId="2" w16cid:durableId="652487563">
    <w:abstractNumId w:val="2"/>
  </w:num>
  <w:num w:numId="3" w16cid:durableId="807626832">
    <w:abstractNumId w:val="3"/>
    <w:lvlOverride w:ilvl="0">
      <w:startOverride w:val="1"/>
    </w:lvlOverride>
  </w:num>
  <w:num w:numId="4" w16cid:durableId="1663393284">
    <w:abstractNumId w:val="1"/>
  </w:num>
  <w:num w:numId="5" w16cid:durableId="1735619857">
    <w:abstractNumId w:val="5"/>
  </w:num>
  <w:num w:numId="6" w16cid:durableId="1045909503">
    <w:abstractNumId w:val="0"/>
  </w:num>
  <w:num w:numId="7" w16cid:durableId="1747218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89"/>
    <w:rsid w:val="000543E9"/>
    <w:rsid w:val="000F1C71"/>
    <w:rsid w:val="001145F8"/>
    <w:rsid w:val="001629D1"/>
    <w:rsid w:val="00176B69"/>
    <w:rsid w:val="001F000F"/>
    <w:rsid w:val="001F74C2"/>
    <w:rsid w:val="001F7EC7"/>
    <w:rsid w:val="00206D88"/>
    <w:rsid w:val="00256DC8"/>
    <w:rsid w:val="002B7EDD"/>
    <w:rsid w:val="002E3224"/>
    <w:rsid w:val="003C1B49"/>
    <w:rsid w:val="00400DF2"/>
    <w:rsid w:val="00404D98"/>
    <w:rsid w:val="004E6D54"/>
    <w:rsid w:val="00565A6B"/>
    <w:rsid w:val="00600138"/>
    <w:rsid w:val="006C4DFA"/>
    <w:rsid w:val="006E0365"/>
    <w:rsid w:val="00734265"/>
    <w:rsid w:val="00873D6C"/>
    <w:rsid w:val="00880A55"/>
    <w:rsid w:val="008B0CAA"/>
    <w:rsid w:val="00A64DDC"/>
    <w:rsid w:val="00AF2F3A"/>
    <w:rsid w:val="00AF7D0D"/>
    <w:rsid w:val="00B05F7B"/>
    <w:rsid w:val="00B6305B"/>
    <w:rsid w:val="00B70D89"/>
    <w:rsid w:val="00BE7F16"/>
    <w:rsid w:val="00CE67CF"/>
    <w:rsid w:val="00D16A5B"/>
    <w:rsid w:val="00DD701F"/>
    <w:rsid w:val="00E51199"/>
    <w:rsid w:val="00E755CC"/>
    <w:rsid w:val="00F2455E"/>
    <w:rsid w:val="00F41B72"/>
    <w:rsid w:val="00F76155"/>
    <w:rsid w:val="5149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AA2F"/>
  <w15:chartTrackingRefBased/>
  <w15:docId w15:val="{BA90D507-F5D3-4F0A-BB60-6CB2B195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F3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0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0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0D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0D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0D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0D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0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0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0D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0D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0D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0D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0D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0D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0D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0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0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0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0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0D8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70D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0D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0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0D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0D89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qFormat/>
    <w:rsid w:val="00AF2F3A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AF2F3A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sz w:val="22"/>
      <w:szCs w:val="22"/>
      <w:lang w:eastAsia="en-US" w:bidi="ar-SA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65A6B"/>
    <w:rPr>
      <w:sz w:val="16"/>
      <w:szCs w:val="16"/>
    </w:rPr>
  </w:style>
  <w:style w:type="table" w:styleId="Tabela-Siatka">
    <w:name w:val="Table Grid"/>
    <w:basedOn w:val="Standardowy"/>
    <w:uiPriority w:val="39"/>
    <w:rsid w:val="00565A6B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256DC8"/>
  </w:style>
  <w:style w:type="paragraph" w:styleId="Tekstkomentarza">
    <w:name w:val="annotation text"/>
    <w:basedOn w:val="Normalny"/>
    <w:link w:val="TekstkomentarzaZnak"/>
    <w:uiPriority w:val="99"/>
    <w:unhideWhenUsed/>
    <w:rsid w:val="003C1B49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1B49"/>
    <w:rPr>
      <w:rFonts w:ascii="Times New Roman" w:eastAsia="SimSun" w:hAnsi="Times New Roman" w:cs="Mangal"/>
      <w:sz w:val="20"/>
      <w:szCs w:val="18"/>
      <w:lang w:eastAsia="hi-I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1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1B49"/>
    <w:rPr>
      <w:rFonts w:ascii="Times New Roman" w:eastAsia="SimSun" w:hAnsi="Times New Roman" w:cs="Mangal"/>
      <w:b/>
      <w:bCs/>
      <w:sz w:val="20"/>
      <w:szCs w:val="18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8EDDF-C622-485C-B689-80D1580967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7A306D-FD12-489F-AA63-05E2EB5D21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950DDF-C4C1-4E6F-8BF8-EB34CA739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Krzewski Arkadiusz</dc:creator>
  <cp:keywords/>
  <dc:description/>
  <cp:lastModifiedBy>Dąbrowski Krzysztof</cp:lastModifiedBy>
  <cp:revision>4</cp:revision>
  <dcterms:created xsi:type="dcterms:W3CDTF">2025-10-07T10:15:00Z</dcterms:created>
  <dcterms:modified xsi:type="dcterms:W3CDTF">2025-10-07T10:24:00Z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2025-09-03T08:23:09Z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a1b168c3-d424-482c-8f1d-213cd255c244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  <property fmtid="{D5CDD505-2E9C-101B-9397-08002B2CF9AE}" pid="10" name="ContentTypeId">
    <vt:lpwstr>0x01010024FC3163E27D444EAB1A814B9985FE4F</vt:lpwstr>
  </property>
</Properties>
</file>