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43" w:rsidRDefault="000E4559" w:rsidP="000E4559">
      <w:pPr>
        <w:pStyle w:val="Nagwek2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E4559">
        <w:rPr>
          <w:rFonts w:ascii="Arial" w:hAnsi="Arial" w:cs="Arial"/>
          <w:sz w:val="28"/>
          <w:szCs w:val="28"/>
        </w:rPr>
        <w:t xml:space="preserve">Procedura rozeznania rynku na dostawę i montaż </w:t>
      </w:r>
      <w:r w:rsidR="008A4D43">
        <w:rPr>
          <w:rFonts w:ascii="Arial" w:hAnsi="Arial" w:cs="Arial"/>
          <w:sz w:val="28"/>
          <w:szCs w:val="28"/>
        </w:rPr>
        <w:t>mikrofonów</w:t>
      </w:r>
    </w:p>
    <w:p w:rsidR="000E4559" w:rsidRPr="000E4559" w:rsidRDefault="003B6692" w:rsidP="000E4559">
      <w:pPr>
        <w:pStyle w:val="Nagwek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wraz z osprzętem na potrzeby </w:t>
      </w:r>
      <w:r w:rsidR="000E4559" w:rsidRPr="000E4559">
        <w:rPr>
          <w:rFonts w:ascii="Arial" w:hAnsi="Arial" w:cs="Arial"/>
          <w:sz w:val="28"/>
          <w:szCs w:val="28"/>
        </w:rPr>
        <w:t>MRiT</w:t>
      </w:r>
    </w:p>
    <w:p w:rsidR="00193E63" w:rsidRPr="000E4559" w:rsidRDefault="00193E63" w:rsidP="000E4559">
      <w:pPr>
        <w:jc w:val="both"/>
        <w:rPr>
          <w:rFonts w:ascii="Arial" w:hAnsi="Arial" w:cs="Arial"/>
        </w:rPr>
      </w:pPr>
    </w:p>
    <w:p w:rsidR="000E4559" w:rsidRPr="000E4559" w:rsidRDefault="000E4559" w:rsidP="000E4559">
      <w:pPr>
        <w:jc w:val="both"/>
        <w:rPr>
          <w:rFonts w:ascii="Arial" w:hAnsi="Arial" w:cs="Arial"/>
        </w:rPr>
      </w:pPr>
      <w:r w:rsidRPr="000E4559">
        <w:rPr>
          <w:rFonts w:ascii="Arial" w:hAnsi="Arial" w:cs="Arial"/>
        </w:rPr>
        <w:t>Pytania Wykonawców wraz z udzielonymi przez Zamawiającego odpowiedziami:</w:t>
      </w:r>
    </w:p>
    <w:p w:rsidR="000E4559" w:rsidRPr="000E4559" w:rsidRDefault="000E4559" w:rsidP="000E4559">
      <w:pPr>
        <w:jc w:val="both"/>
        <w:rPr>
          <w:rFonts w:ascii="Arial" w:hAnsi="Arial" w:cs="Arial"/>
        </w:rPr>
      </w:pP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3B6692" w:rsidRDefault="003B6692" w:rsidP="003B669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Prosimy o:</w:t>
      </w: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- informację czy matryca ControlSpace ESP-88C posiada kartę rozszerzeń obsługującą protokół Dante, czy też Zamawiający przewiduje podłączenie odbiornika czterokanałowego przez zbiorcze analogowe wyjście audio, co spowoduje brak możliwości regulacji każdego mikrofonu osobno;</w:t>
      </w:r>
    </w:p>
    <w:p w:rsidR="008A4D43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</w:t>
      </w:r>
      <w:r w:rsidR="003B6692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:</w:t>
      </w:r>
    </w:p>
    <w:p w:rsidR="003B6692" w:rsidRPr="002E38CA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Matryca n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ie posiada karty rozszerzeń obsługujących protokół Dante. Zamawiający przewiduje podłączenie odbiornika czterokanałowego przez zbiorcze analogowe wyjście audio.</w:t>
      </w:r>
    </w:p>
    <w:p w:rsidR="008A4D43" w:rsidRDefault="008A4D43" w:rsidP="003B6692">
      <w:pPr>
        <w:pStyle w:val="Akapitzlist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- informację, ile jest wolnych torów wejściowych i wyjściowych audio w matrycy ControlSpace ESP-88C będącej na posiadaniu Zamawiającego;</w:t>
      </w:r>
    </w:p>
    <w:p w:rsidR="008A4D43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</w:t>
      </w:r>
      <w:r w:rsidR="003B6692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:</w:t>
      </w:r>
    </w:p>
    <w:p w:rsidR="003B6692" w:rsidRPr="002E38CA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4 wolne tory wejściowe lub wyjściowe.</w:t>
      </w:r>
    </w:p>
    <w:p w:rsidR="002E38CA" w:rsidRPr="003B6692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- informację czy mikser audio z zestawienia ma </w:t>
      </w:r>
      <w:r w:rsidR="008A4D43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być urządzeniem współpracującym</w:t>
      </w:r>
      <w:r w:rsidR="008A4D43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br/>
      </w: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z matrycą </w:t>
      </w:r>
      <w:proofErr w:type="spellStart"/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ControlSpace</w:t>
      </w:r>
      <w:proofErr w:type="spellEnd"/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 ESP-88C czy jest to urządzenie do innego wykorzystania, jeśli tak to proszę o precyzyjną odpowiedź do jakiego wykorzystania;</w:t>
      </w:r>
    </w:p>
    <w:p w:rsidR="002E38CA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</w:t>
      </w:r>
      <w:r w:rsidR="003B6692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:</w:t>
      </w:r>
    </w:p>
    <w:p w:rsidR="008A4D43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Tak, mikser audio z zestawienia ma być urządzeniem współpracującym z matrycą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- czy zamawiający posiada kody wejściowe i hasła do matrycy ControlSpace ESP-88C</w:t>
      </w:r>
    </w:p>
    <w:p w:rsidR="002E38CA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</w:t>
      </w:r>
      <w:r w:rsidR="003B6692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:</w:t>
      </w:r>
    </w:p>
    <w:p w:rsidR="002E38CA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amawiający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nie posiada kodów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do matrycy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- czy w ramach dostawy i uruchomienia należy zainstal</w:t>
      </w:r>
      <w:r w:rsidR="008A4D43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ować oferowane przeloty kablowe</w:t>
      </w:r>
      <w:r w:rsidR="008A4D43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br/>
      </w: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w mównicach Zamawiającego? Jeśli tak to proszę o informację z jakiego materiału wykonane są mównice (metal, drewno, itp.);</w:t>
      </w:r>
    </w:p>
    <w:p w:rsidR="002E38CA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</w:t>
      </w:r>
      <w:r w:rsidR="003B6692"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:</w:t>
      </w:r>
    </w:p>
    <w:p w:rsidR="002E38CA" w:rsidRDefault="002E38CA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ak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, przeloty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kablowe należy zainstalować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mównicach Zamawiającego.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Przedmiotowe m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ównice wykonane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są 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 pleksy.</w:t>
      </w: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3B6692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- co zamawiający rozumie przez „montaż i konfigurację” systemu dźwiękowego „z dwoma ekranami wizyjnymi w systemie audio-wideo”;</w:t>
      </w:r>
    </w:p>
    <w:p w:rsidR="002E38CA" w:rsidRDefault="002E38CA" w:rsidP="002E38CA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Odp.:</w:t>
      </w:r>
    </w:p>
    <w:p w:rsidR="002E38CA" w:rsidRDefault="002E38CA" w:rsidP="002E38CA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Przez sformułowanie 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„</w:t>
      </w:r>
      <w:r w:rsidRPr="002E38CA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montaż i konfiguracja</w:t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” zamawiający miał na myśli: podłączenie ekranu wizyjnego z ekranem 100 calowym będącym w posiadaniu Zamawiającego oraz skonfigurowanie dźwięku z głośnikami będącymi </w:t>
      </w:r>
      <w:r w:rsidR="008A4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posiadaniu Zamawiającego oraz</w:t>
      </w:r>
      <w:r w:rsidR="008A4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</w:r>
      <w:r w:rsidRPr="002E38C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 laptop-em będącym w posiadaniu Zamawiającego (wizja, dźwięk)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</w:p>
    <w:p w:rsidR="002E38CA" w:rsidRDefault="002E38CA" w:rsidP="002E38CA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2E38CA" w:rsidRPr="00CA4481" w:rsidRDefault="002E38CA" w:rsidP="002E38C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CA4481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>Jakie i jakiej długości przewiduje Zamawiający dodatkowe okablowanie?</w:t>
      </w:r>
    </w:p>
    <w:p w:rsidR="00CA4481" w:rsidRDefault="00CA4481" w:rsidP="00CA4481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Odp.:</w:t>
      </w:r>
    </w:p>
    <w:p w:rsidR="001D0AC4" w:rsidRDefault="001D0AC4" w:rsidP="001D0AC4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Zamawiający wymaga dostarczenie dodatkowego okablowania w postaci </w:t>
      </w:r>
      <w:r w:rsidRPr="001D0AC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kabla symetrycznego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</w:t>
      </w:r>
      <w:proofErr w:type="spellStart"/>
      <w:r w:rsidRPr="001D0AC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phantom</w:t>
      </w:r>
      <w:proofErr w:type="spellEnd"/>
      <w:r w:rsidRPr="001D0AC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/</w:t>
      </w:r>
      <w:proofErr w:type="spellStart"/>
      <w:r w:rsidRPr="001D0AC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xlr</w:t>
      </w:r>
      <w:proofErr w:type="spellEnd"/>
      <w:r w:rsidRPr="001D0AC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) – </w:t>
      </w:r>
      <w:r w:rsidR="008A4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łącznie ok. </w:t>
      </w:r>
      <w:r w:rsidRPr="001D0AC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10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1D0AC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m.</w:t>
      </w:r>
    </w:p>
    <w:p w:rsidR="00CA4481" w:rsidRDefault="00CA4481" w:rsidP="00CA4481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</w:p>
    <w:p w:rsidR="00CA4481" w:rsidRPr="00CA4481" w:rsidRDefault="00CA4481" w:rsidP="00CA448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CA4481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Dostawa obejmuje 4 komplety torów bezprzewodowych audio (mikrofonów mównicowych bezprzewodowych), zatem czy w opisie dotyczącym montażu i konfiguracji jest błąd, czy </w:t>
      </w:r>
      <w:r w:rsidRPr="00CA4481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lastRenderedPageBreak/>
        <w:t>też należy zamontować i skonfigurować inne, będące w posiadaniu Zamawiającego urządzenia, jeśli tak to jakie?</w:t>
      </w:r>
    </w:p>
    <w:p w:rsidR="00CA4481" w:rsidRDefault="00CA4481" w:rsidP="00CA4481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Odp.:</w:t>
      </w:r>
    </w:p>
    <w:p w:rsidR="00CA4481" w:rsidRDefault="001B324C" w:rsidP="00CA4481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Zamawiający wymaga wykonania konfiguracji nowych mikrofonów (</w:t>
      </w:r>
      <w:r w:rsidR="00CA4481" w:rsidRPr="00CA448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4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szt. </w:t>
      </w:r>
      <w:r w:rsidR="008A4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ocowane</w:t>
      </w:r>
      <w:r w:rsidR="008A4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</w:t>
      </w:r>
      <w:r w:rsidR="00CA4481" w:rsidRPr="00CA448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mównicach) jak i będąc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ych już</w:t>
      </w:r>
      <w:r w:rsidR="00CA4481" w:rsidRPr="00CA448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posiadaniu Zamawiającego (4 mikrofony mobilne</w:t>
      </w:r>
      <w:r w:rsidRPr="001B324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CA448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Sennheiser Spechline</w:t>
      </w:r>
      <w:r w:rsidR="00CA4481" w:rsidRPr="00CA448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</w:p>
    <w:p w:rsidR="00CA4481" w:rsidRPr="00CA4481" w:rsidRDefault="00CA4481" w:rsidP="00CA4481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CA4481" w:rsidRPr="001B324C" w:rsidRDefault="00CA4481" w:rsidP="00CA448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</w:pPr>
      <w:r w:rsidRPr="001B324C">
        <w:rPr>
          <w:rFonts w:ascii="Calibri" w:hAnsi="Calibri" w:cs="Calibri"/>
          <w:i/>
          <w:color w:val="000000"/>
        </w:rPr>
        <w:t>Zamawiający wymaga terminu wykonania prac do 06.06.2022 r. Biorąc pod uwagę obecne terminy dostaw specyfikowanych mikrofonów realny termin dostawy mikrofonó</w:t>
      </w:r>
      <w:r w:rsidR="001B324C" w:rsidRPr="001B324C">
        <w:rPr>
          <w:rFonts w:ascii="Calibri" w:hAnsi="Calibri" w:cs="Calibri"/>
          <w:i/>
          <w:color w:val="000000"/>
        </w:rPr>
        <w:t>w to 15.07.2022 r</w:t>
      </w:r>
      <w:r w:rsidRPr="001B324C">
        <w:rPr>
          <w:rFonts w:ascii="Calibri" w:hAnsi="Calibri" w:cs="Calibri"/>
          <w:i/>
          <w:color w:val="000000"/>
        </w:rPr>
        <w:t>. Czy Zamawiający wydłuży termin realizacji umowy do 15.07.2022 r.?</w:t>
      </w:r>
    </w:p>
    <w:p w:rsidR="001B324C" w:rsidRDefault="001B324C" w:rsidP="001B324C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583025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Odp.:</w:t>
      </w:r>
    </w:p>
    <w:p w:rsidR="001B324C" w:rsidRPr="003B6692" w:rsidRDefault="001B324C" w:rsidP="001B324C">
      <w:pPr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Zamawiający dokonał stosownych zmian </w:t>
      </w:r>
      <w:r w:rsidR="008A4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terminu realizacji przedmiotu zakupu – został on przedłużony do dnia 17 lipca 2022 r.</w:t>
      </w:r>
    </w:p>
    <w:sectPr w:rsidR="001B324C" w:rsidRPr="003B6692" w:rsidSect="008A4D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4DB5"/>
    <w:multiLevelType w:val="hybridMultilevel"/>
    <w:tmpl w:val="CC80DC0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34D"/>
    <w:multiLevelType w:val="hybridMultilevel"/>
    <w:tmpl w:val="A49C95D8"/>
    <w:lvl w:ilvl="0" w:tplc="350C5A2E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0A2551"/>
    <w:multiLevelType w:val="hybridMultilevel"/>
    <w:tmpl w:val="92D6858C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7410"/>
    <w:multiLevelType w:val="hybridMultilevel"/>
    <w:tmpl w:val="9E76B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9A0998"/>
    <w:multiLevelType w:val="hybridMultilevel"/>
    <w:tmpl w:val="5F5A833C"/>
    <w:lvl w:ilvl="0" w:tplc="350C5A2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8F5F96"/>
    <w:multiLevelType w:val="hybridMultilevel"/>
    <w:tmpl w:val="6FB85AB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A1C03"/>
    <w:multiLevelType w:val="hybridMultilevel"/>
    <w:tmpl w:val="BFD03AB4"/>
    <w:lvl w:ilvl="0" w:tplc="350C5A2E">
      <w:numFmt w:val="bullet"/>
      <w:lvlText w:val="•"/>
      <w:lvlJc w:val="left"/>
      <w:pPr>
        <w:ind w:left="1410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AAC26D6"/>
    <w:multiLevelType w:val="multilevel"/>
    <w:tmpl w:val="E838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73D91"/>
    <w:multiLevelType w:val="hybridMultilevel"/>
    <w:tmpl w:val="2D6846D8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7C6FBC"/>
    <w:multiLevelType w:val="hybridMultilevel"/>
    <w:tmpl w:val="32D441C6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59"/>
    <w:rsid w:val="00071802"/>
    <w:rsid w:val="000E4559"/>
    <w:rsid w:val="00193E63"/>
    <w:rsid w:val="001B324C"/>
    <w:rsid w:val="001B7C46"/>
    <w:rsid w:val="001D0AC4"/>
    <w:rsid w:val="00235CD2"/>
    <w:rsid w:val="00275891"/>
    <w:rsid w:val="002D3F2B"/>
    <w:rsid w:val="002E38CA"/>
    <w:rsid w:val="003B6692"/>
    <w:rsid w:val="003B7C88"/>
    <w:rsid w:val="00583025"/>
    <w:rsid w:val="005D0CA0"/>
    <w:rsid w:val="005F280F"/>
    <w:rsid w:val="0071206D"/>
    <w:rsid w:val="008A4D43"/>
    <w:rsid w:val="009236C1"/>
    <w:rsid w:val="00963CAE"/>
    <w:rsid w:val="00A015CD"/>
    <w:rsid w:val="00C602F3"/>
    <w:rsid w:val="00C835E8"/>
    <w:rsid w:val="00CA4481"/>
    <w:rsid w:val="00DF63C5"/>
    <w:rsid w:val="00E04836"/>
    <w:rsid w:val="00E67E05"/>
    <w:rsid w:val="00E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5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45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45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B7C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C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5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45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45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B7C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C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Tomasz</dc:creator>
  <cp:lastModifiedBy>Joanna Jablonska</cp:lastModifiedBy>
  <cp:revision>2</cp:revision>
  <dcterms:created xsi:type="dcterms:W3CDTF">2022-05-31T10:16:00Z</dcterms:created>
  <dcterms:modified xsi:type="dcterms:W3CDTF">2022-05-31T10:16:00Z</dcterms:modified>
</cp:coreProperties>
</file>