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62" w:rsidRPr="007F4D91" w:rsidRDefault="00FC1862" w:rsidP="00FC1862">
      <w:pPr>
        <w:pStyle w:val="ECHRDecisionBody"/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7F4D91">
        <w:rPr>
          <w:rFonts w:ascii="Arial" w:hAnsi="Arial" w:cs="Arial"/>
          <w:sz w:val="20"/>
          <w:szCs w:val="20"/>
          <w:lang w:val="en-US"/>
        </w:rPr>
        <w:t xml:space="preserve">© </w:t>
      </w:r>
      <w:proofErr w:type="spellStart"/>
      <w:r w:rsidRPr="00FC1862">
        <w:rPr>
          <w:rFonts w:ascii="Arial" w:hAnsi="Arial" w:cs="Arial"/>
          <w:sz w:val="20"/>
          <w:szCs w:val="20"/>
          <w:lang w:val="en-US"/>
        </w:rPr>
        <w:t>Prokurator</w:t>
      </w:r>
      <w:proofErr w:type="spellEnd"/>
      <w:r w:rsidRPr="007F4D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C1862">
        <w:rPr>
          <w:rFonts w:ascii="Arial" w:hAnsi="Arial" w:cs="Arial"/>
          <w:sz w:val="20"/>
          <w:szCs w:val="20"/>
          <w:lang w:val="en-US"/>
        </w:rPr>
        <w:t>Generalny</w:t>
      </w:r>
      <w:proofErr w:type="spellEnd"/>
      <w:r w:rsidRPr="007F4D91">
        <w:rPr>
          <w:rFonts w:ascii="Arial" w:hAnsi="Arial" w:cs="Arial"/>
          <w:sz w:val="20"/>
          <w:szCs w:val="20"/>
          <w:lang w:val="en-US"/>
        </w:rPr>
        <w:t xml:space="preserve"> – Minister Sprawiedliwości, www.pk.gov.pl [Translation already published on the official websites of the Polish National Prosecutor’s Office and the Ministry of Justice]</w:t>
      </w:r>
    </w:p>
    <w:p w:rsidR="00FC1862" w:rsidRPr="00FC1862" w:rsidRDefault="00FC1862" w:rsidP="00FC1862">
      <w:pPr>
        <w:pStyle w:val="ECHRDecisionBody"/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7F4D91">
        <w:rPr>
          <w:rFonts w:ascii="Arial" w:hAnsi="Arial" w:cs="Arial"/>
          <w:sz w:val="20"/>
          <w:szCs w:val="20"/>
          <w:lang w:val="en-US"/>
        </w:rPr>
        <w:t>Permission to re-publish this translation has been granted by the Polish Prosecutor General for the sole purpose of its inclusion in the Court’s database HUDOC</w:t>
      </w:r>
    </w:p>
    <w:p w:rsidR="00FC1862" w:rsidRPr="007F4D91" w:rsidRDefault="00FC1862" w:rsidP="00FC1862">
      <w:pPr>
        <w:pStyle w:val="ECHRDecisionBody"/>
        <w:spacing w:after="120"/>
        <w:jc w:val="both"/>
        <w:rPr>
          <w:rFonts w:ascii="Arial" w:hAnsi="Arial" w:cs="Arial"/>
          <w:sz w:val="20"/>
          <w:szCs w:val="20"/>
        </w:rPr>
      </w:pPr>
      <w:r w:rsidRPr="007F4D91">
        <w:rPr>
          <w:rFonts w:ascii="Arial" w:hAnsi="Arial" w:cs="Arial"/>
          <w:sz w:val="20"/>
          <w:szCs w:val="20"/>
        </w:rPr>
        <w:t>© Prokurator Generalny – Minister Sprawiedliwości, www.pk.gov.pl [Tłumaczenie zostało już opublikowane na oficjalnej stronie Prokuratury Krajowej i Ministerstwa Sprawiedliwości]</w:t>
      </w:r>
    </w:p>
    <w:p w:rsidR="00FC1862" w:rsidRPr="007F4D91" w:rsidRDefault="00FC1862" w:rsidP="00FC1862">
      <w:pPr>
        <w:pStyle w:val="ECHRDecisionBody"/>
        <w:spacing w:after="120"/>
        <w:jc w:val="both"/>
        <w:rPr>
          <w:rFonts w:ascii="Arial" w:hAnsi="Arial" w:cs="Arial"/>
          <w:sz w:val="20"/>
          <w:szCs w:val="20"/>
        </w:rPr>
      </w:pPr>
      <w:r w:rsidRPr="007F4D91">
        <w:rPr>
          <w:rFonts w:ascii="Arial" w:hAnsi="Arial" w:cs="Arial"/>
          <w:sz w:val="20"/>
          <w:szCs w:val="20"/>
        </w:rPr>
        <w:t>Zezwolenie na publikację tego tłumaczenia zostało udzielone przez Prokuratora Generalnego wyłącznie w celu zamieszczenia w bazie Trybunału HUDOC</w:t>
      </w:r>
    </w:p>
    <w:p w:rsidR="00FC1862" w:rsidRDefault="00FC1862" w:rsidP="00F15818">
      <w:pPr>
        <w:pStyle w:val="ECHRDecisionBody"/>
        <w:jc w:val="center"/>
      </w:pPr>
    </w:p>
    <w:p w:rsidR="00F15818" w:rsidRDefault="00F15818" w:rsidP="00F15818">
      <w:pPr>
        <w:pStyle w:val="ECHRDecisionBody"/>
        <w:jc w:val="center"/>
      </w:pPr>
      <w:r>
        <w:t>EUROPEJSKI TRYBUNAŁ PRAW CZŁOWIEKA</w:t>
      </w:r>
    </w:p>
    <w:p w:rsidR="00B14674" w:rsidRPr="003E0C66" w:rsidRDefault="00B14674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F4731F" w:rsidP="00BC0CE7">
      <w:pPr>
        <w:tabs>
          <w:tab w:val="left" w:pos="5529"/>
        </w:tabs>
        <w:jc w:val="center"/>
        <w:rPr>
          <w:rFonts w:ascii="Times New Roman" w:hAnsi="Times New Roman" w:cs="Times New Roman"/>
        </w:rPr>
      </w:pPr>
      <w:r w:rsidRPr="003E0C66">
        <w:rPr>
          <w:rFonts w:ascii="Times New Roman" w:hAnsi="Times New Roman" w:cs="Times New Roman"/>
        </w:rPr>
        <w:t>WIELKA IZBA</w:t>
      </w: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EF2EB7" w:rsidRPr="003E0C66" w:rsidRDefault="00EF2EB7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853703" w:rsidP="00BC0CE7">
      <w:pPr>
        <w:jc w:val="center"/>
        <w:rPr>
          <w:rFonts w:ascii="Times New Roman" w:hAnsi="Times New Roman" w:cs="Times New Roman"/>
          <w:b/>
        </w:rPr>
      </w:pPr>
      <w:bookmarkStart w:id="0" w:name="To"/>
      <w:r w:rsidRPr="003E0C66">
        <w:rPr>
          <w:rFonts w:ascii="Times New Roman" w:hAnsi="Times New Roman" w:cs="Times New Roman"/>
          <w:b/>
        </w:rPr>
        <w:t>SPRAWA</w:t>
      </w:r>
      <w:r w:rsidR="00DC4033" w:rsidRPr="003E0C66">
        <w:rPr>
          <w:rFonts w:ascii="Times New Roman" w:hAnsi="Times New Roman" w:cs="Times New Roman"/>
          <w:b/>
        </w:rPr>
        <w:t xml:space="preserve"> </w:t>
      </w:r>
      <w:bookmarkEnd w:id="0"/>
      <w:r w:rsidRPr="003E0C66">
        <w:rPr>
          <w:rFonts w:ascii="Times New Roman" w:hAnsi="Times New Roman" w:cs="Times New Roman"/>
          <w:b/>
        </w:rPr>
        <w:t>SCHATSCHASCHWILI przeciw</w:t>
      </w:r>
      <w:r w:rsidR="002A2316" w:rsidRPr="003E0C66">
        <w:rPr>
          <w:rFonts w:ascii="Times New Roman" w:hAnsi="Times New Roman" w:cs="Times New Roman"/>
          <w:b/>
        </w:rPr>
        <w:t xml:space="preserve">ko Niemcom </w:t>
      </w: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F4731F" w:rsidP="00BC0CE7">
      <w:pPr>
        <w:jc w:val="center"/>
        <w:rPr>
          <w:rFonts w:ascii="Times New Roman" w:hAnsi="Times New Roman" w:cs="Times New Roman"/>
          <w:i/>
        </w:rPr>
      </w:pPr>
      <w:r w:rsidRPr="003E0C66">
        <w:rPr>
          <w:rFonts w:ascii="Times New Roman" w:hAnsi="Times New Roman" w:cs="Times New Roman"/>
          <w:i/>
        </w:rPr>
        <w:t xml:space="preserve">(Skarga nr </w:t>
      </w:r>
      <w:r w:rsidR="00DC4033" w:rsidRPr="003E0C66">
        <w:rPr>
          <w:rFonts w:ascii="Times New Roman" w:hAnsi="Times New Roman" w:cs="Times New Roman"/>
          <w:i/>
        </w:rPr>
        <w:t xml:space="preserve"> </w:t>
      </w:r>
      <w:r w:rsidR="00E05B22" w:rsidRPr="003E0C66">
        <w:rPr>
          <w:rFonts w:ascii="Times New Roman" w:hAnsi="Times New Roman" w:cs="Times New Roman"/>
          <w:i/>
        </w:rPr>
        <w:t>9154/10</w:t>
      </w:r>
      <w:r w:rsidR="00DC4033" w:rsidRPr="003E0C66">
        <w:rPr>
          <w:rFonts w:ascii="Times New Roman" w:hAnsi="Times New Roman" w:cs="Times New Roman"/>
          <w:i/>
        </w:rPr>
        <w:t>)</w:t>
      </w: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F4731F" w:rsidP="00BC0CE7">
      <w:pPr>
        <w:jc w:val="center"/>
        <w:rPr>
          <w:rFonts w:ascii="Times New Roman" w:hAnsi="Times New Roman" w:cs="Times New Roman"/>
        </w:rPr>
      </w:pPr>
      <w:r w:rsidRPr="003E0C66">
        <w:rPr>
          <w:rFonts w:ascii="Times New Roman" w:hAnsi="Times New Roman" w:cs="Times New Roman"/>
        </w:rPr>
        <w:t>WYROK</w:t>
      </w:r>
    </w:p>
    <w:p w:rsidR="00DC4033" w:rsidRPr="003E0C66" w:rsidRDefault="00DC4033" w:rsidP="00BC0CE7">
      <w:pPr>
        <w:jc w:val="center"/>
        <w:rPr>
          <w:rFonts w:asciiTheme="majorHAnsi" w:hAnsiTheme="majorHAnsi" w:cstheme="majorHAnsi"/>
          <w:i/>
          <w:szCs w:val="24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17354A" w:rsidP="00BC0C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STRASB</w:t>
      </w:r>
      <w:r w:rsidR="00DC4033" w:rsidRPr="003E0C66">
        <w:rPr>
          <w:rFonts w:ascii="Times New Roman" w:hAnsi="Times New Roman" w:cs="Times New Roman"/>
        </w:rPr>
        <w:t>URG</w:t>
      </w: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853703" w:rsidP="00BC0CE7">
      <w:pPr>
        <w:jc w:val="center"/>
        <w:rPr>
          <w:rFonts w:ascii="Times New Roman" w:hAnsi="Times New Roman" w:cs="Times New Roman"/>
        </w:rPr>
      </w:pPr>
      <w:r w:rsidRPr="003E0C66">
        <w:rPr>
          <w:rFonts w:ascii="Times New Roman" w:hAnsi="Times New Roman" w:cs="Times New Roman"/>
        </w:rPr>
        <w:t xml:space="preserve">15 </w:t>
      </w:r>
      <w:r w:rsidR="00761EFD">
        <w:rPr>
          <w:rFonts w:ascii="Times New Roman" w:hAnsi="Times New Roman" w:cs="Times New Roman"/>
        </w:rPr>
        <w:t>grudnia</w:t>
      </w:r>
      <w:r w:rsidR="00761EFD" w:rsidRPr="003E0C66">
        <w:rPr>
          <w:rFonts w:ascii="Times New Roman" w:hAnsi="Times New Roman" w:cs="Times New Roman"/>
        </w:rPr>
        <w:t xml:space="preserve"> </w:t>
      </w:r>
      <w:r w:rsidR="0030001C" w:rsidRPr="003E0C66">
        <w:rPr>
          <w:rFonts w:ascii="Times New Roman" w:hAnsi="Times New Roman" w:cs="Times New Roman"/>
        </w:rPr>
        <w:t>2015</w:t>
      </w:r>
      <w:r w:rsidR="00761EFD">
        <w:rPr>
          <w:rFonts w:ascii="Times New Roman" w:hAnsi="Times New Roman" w:cs="Times New Roman"/>
        </w:rPr>
        <w:t xml:space="preserve"> roku</w:t>
      </w: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DC4033" w:rsidP="00BC0CE7">
      <w:pPr>
        <w:jc w:val="center"/>
        <w:rPr>
          <w:rFonts w:ascii="Times New Roman" w:hAnsi="Times New Roman" w:cs="Times New Roman"/>
        </w:rPr>
      </w:pPr>
    </w:p>
    <w:p w:rsidR="00DC4033" w:rsidRPr="003E0C66" w:rsidRDefault="00853703" w:rsidP="00674349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3E0C66">
        <w:rPr>
          <w:rFonts w:ascii="Times New Roman" w:hAnsi="Times New Roman" w:cs="Times New Roman"/>
          <w:i/>
          <w:sz w:val="22"/>
        </w:rPr>
        <w:t>Wyrok jest ostateczny, jednakże</w:t>
      </w:r>
      <w:r w:rsidR="007529BC" w:rsidRPr="003E0C66">
        <w:rPr>
          <w:rFonts w:ascii="Times New Roman" w:hAnsi="Times New Roman" w:cs="Times New Roman"/>
          <w:i/>
          <w:sz w:val="22"/>
        </w:rPr>
        <w:t xml:space="preserve"> </w:t>
      </w:r>
      <w:r w:rsidR="00186FE3" w:rsidRPr="003E0C66">
        <w:rPr>
          <w:rFonts w:ascii="Times New Roman" w:hAnsi="Times New Roman" w:cs="Times New Roman"/>
          <w:i/>
          <w:sz w:val="22"/>
        </w:rPr>
        <w:t xml:space="preserve">może </w:t>
      </w:r>
      <w:r w:rsidR="007529BC" w:rsidRPr="003E0C66">
        <w:rPr>
          <w:i/>
          <w:iCs/>
          <w:sz w:val="22"/>
        </w:rPr>
        <w:t>podlegać korekcie wydawniczej.</w:t>
      </w:r>
    </w:p>
    <w:p w:rsidR="00B14674" w:rsidRPr="003E0C66" w:rsidRDefault="00B14674" w:rsidP="00BC0CE7">
      <w:pPr>
        <w:rPr>
          <w:rFonts w:ascii="Times New Roman" w:hAnsi="Times New Roman" w:cs="Times New Roman"/>
          <w:sz w:val="22"/>
        </w:rPr>
        <w:sectPr w:rsidR="00B14674" w:rsidRPr="003E0C66" w:rsidSect="001F1C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</w:sectPr>
      </w:pPr>
    </w:p>
    <w:p w:rsidR="00DC4033" w:rsidRPr="003E0C66" w:rsidRDefault="00186FE3" w:rsidP="00BC0CE7">
      <w:pPr>
        <w:pStyle w:val="JuCase"/>
        <w:rPr>
          <w:rFonts w:ascii="Times New Roman" w:hAnsi="Times New Roman" w:cs="Times New Roman"/>
        </w:rPr>
      </w:pPr>
      <w:r w:rsidRPr="003E0C66">
        <w:rPr>
          <w:rFonts w:ascii="Times New Roman" w:hAnsi="Times New Roman" w:cs="Times New Roman"/>
        </w:rPr>
        <w:lastRenderedPageBreak/>
        <w:t>W sprawie</w:t>
      </w:r>
      <w:r w:rsidR="00DC4033" w:rsidRPr="003E0C66">
        <w:rPr>
          <w:rFonts w:ascii="Times New Roman" w:hAnsi="Times New Roman" w:cs="Times New Roman"/>
        </w:rPr>
        <w:t xml:space="preserve"> </w:t>
      </w:r>
      <w:proofErr w:type="spellStart"/>
      <w:r w:rsidR="00E05B22" w:rsidRPr="003E0C66">
        <w:rPr>
          <w:rFonts w:ascii="Times New Roman" w:hAnsi="Times New Roman" w:cs="Times New Roman"/>
        </w:rPr>
        <w:t>Schatschaschwili</w:t>
      </w:r>
      <w:proofErr w:type="spellEnd"/>
      <w:r w:rsidR="00E05B22" w:rsidRPr="003E0C66">
        <w:rPr>
          <w:rFonts w:ascii="Times New Roman" w:hAnsi="Times New Roman" w:cs="Times New Roman"/>
        </w:rPr>
        <w:t xml:space="preserve"> </w:t>
      </w:r>
      <w:r w:rsidR="00853703" w:rsidRPr="003E0C66">
        <w:rPr>
          <w:rFonts w:ascii="Times New Roman" w:hAnsi="Times New Roman" w:cs="Times New Roman"/>
        </w:rPr>
        <w:t>przeciw</w:t>
      </w:r>
      <w:r w:rsidRPr="003E0C66">
        <w:rPr>
          <w:rFonts w:ascii="Times New Roman" w:hAnsi="Times New Roman" w:cs="Times New Roman"/>
        </w:rPr>
        <w:t>ko</w:t>
      </w:r>
      <w:r w:rsidR="00853703" w:rsidRPr="003E0C66">
        <w:rPr>
          <w:rFonts w:ascii="Times New Roman" w:hAnsi="Times New Roman" w:cs="Times New Roman"/>
        </w:rPr>
        <w:t xml:space="preserve"> </w:t>
      </w:r>
      <w:r w:rsidRPr="003E0C66">
        <w:rPr>
          <w:rFonts w:ascii="Times New Roman" w:hAnsi="Times New Roman" w:cs="Times New Roman"/>
        </w:rPr>
        <w:t>Niemcom</w:t>
      </w:r>
      <w:r w:rsidR="00DC4033" w:rsidRPr="003E0C66">
        <w:rPr>
          <w:rFonts w:ascii="Times New Roman" w:hAnsi="Times New Roman" w:cs="Times New Roman"/>
        </w:rPr>
        <w:t>,</w:t>
      </w:r>
    </w:p>
    <w:p w:rsidR="00186FE3" w:rsidRPr="003E0C66" w:rsidRDefault="00853703" w:rsidP="00BC0CE7">
      <w:pPr>
        <w:pStyle w:val="ECHRPara"/>
      </w:pPr>
      <w:r w:rsidRPr="003E0C66">
        <w:t>Europejski Trybunał Praw Człowieka,</w:t>
      </w:r>
      <w:r w:rsidR="00186FE3" w:rsidRPr="003E0C66">
        <w:t xml:space="preserve"> zasiadający jako Wielka Izba,</w:t>
      </w:r>
    </w:p>
    <w:p w:rsidR="00E05B22" w:rsidRPr="003E0C66" w:rsidRDefault="00186FE3" w:rsidP="00BC0CE7">
      <w:pPr>
        <w:pStyle w:val="ECHRPara"/>
      </w:pPr>
      <w:r w:rsidRPr="003E0C66">
        <w:t xml:space="preserve">w </w:t>
      </w:r>
      <w:r w:rsidR="00853703" w:rsidRPr="003E0C66">
        <w:t>skład</w:t>
      </w:r>
      <w:r w:rsidRPr="003E0C66">
        <w:t>zie</w:t>
      </w:r>
      <w:r w:rsidR="00E05B22" w:rsidRPr="003E0C66">
        <w:t>:</w:t>
      </w:r>
    </w:p>
    <w:p w:rsidR="00E05B22" w:rsidRPr="003E0C66" w:rsidRDefault="00E05B22" w:rsidP="00BC0CE7">
      <w:pPr>
        <w:pStyle w:val="ECHRDecisionBody"/>
      </w:pPr>
      <w:r w:rsidRPr="003E0C66">
        <w:tab/>
        <w:t xml:space="preserve">Dean </w:t>
      </w:r>
      <w:proofErr w:type="spellStart"/>
      <w:r w:rsidRPr="003E0C66">
        <w:t>Spielmann</w:t>
      </w:r>
      <w:proofErr w:type="spellEnd"/>
      <w:r w:rsidRPr="003E0C66">
        <w:t>,</w:t>
      </w:r>
      <w:r w:rsidR="008B1F39" w:rsidRPr="003E0C66">
        <w:rPr>
          <w:i/>
        </w:rPr>
        <w:t xml:space="preserve"> Przewodniczący</w:t>
      </w:r>
      <w:r w:rsidRPr="003E0C66">
        <w:rPr>
          <w:i/>
        </w:rPr>
        <w:t>,</w:t>
      </w:r>
      <w:r w:rsidRPr="003E0C66">
        <w:rPr>
          <w:i/>
        </w:rPr>
        <w:br/>
      </w:r>
      <w:r w:rsidRPr="003E0C66">
        <w:tab/>
      </w:r>
      <w:proofErr w:type="spellStart"/>
      <w:r w:rsidRPr="003E0C66">
        <w:t>Işıl</w:t>
      </w:r>
      <w:proofErr w:type="spellEnd"/>
      <w:r w:rsidRPr="003E0C66">
        <w:t xml:space="preserve"> </w:t>
      </w:r>
      <w:proofErr w:type="spellStart"/>
      <w:r w:rsidRPr="003E0C66">
        <w:t>Karakaş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</w:r>
      <w:proofErr w:type="spellStart"/>
      <w:r w:rsidRPr="003E0C66">
        <w:t>András</w:t>
      </w:r>
      <w:proofErr w:type="spellEnd"/>
      <w:r w:rsidRPr="003E0C66">
        <w:t xml:space="preserve"> </w:t>
      </w:r>
      <w:proofErr w:type="spellStart"/>
      <w:r w:rsidRPr="003E0C66">
        <w:t>Sajó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  <w:t xml:space="preserve">Luis </w:t>
      </w:r>
      <w:proofErr w:type="spellStart"/>
      <w:r w:rsidRPr="003E0C66">
        <w:t>López</w:t>
      </w:r>
      <w:proofErr w:type="spellEnd"/>
      <w:r w:rsidRPr="003E0C66">
        <w:t xml:space="preserve"> </w:t>
      </w:r>
      <w:proofErr w:type="spellStart"/>
      <w:r w:rsidRPr="003E0C66">
        <w:t>Guerra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</w:r>
      <w:proofErr w:type="spellStart"/>
      <w:r w:rsidRPr="003E0C66">
        <w:t>Päivi</w:t>
      </w:r>
      <w:proofErr w:type="spellEnd"/>
      <w:r w:rsidRPr="003E0C66">
        <w:t xml:space="preserve"> </w:t>
      </w:r>
      <w:proofErr w:type="spellStart"/>
      <w:r w:rsidRPr="003E0C66">
        <w:t>Hirvelä</w:t>
      </w:r>
      <w:proofErr w:type="spellEnd"/>
      <w:r w:rsidRPr="003E0C66">
        <w:t>,</w:t>
      </w:r>
      <w:bookmarkStart w:id="1" w:name="_GoBack"/>
      <w:bookmarkEnd w:id="1"/>
      <w:r w:rsidRPr="003E0C66">
        <w:rPr>
          <w:i/>
        </w:rPr>
        <w:br/>
      </w:r>
      <w:r w:rsidRPr="003E0C66">
        <w:tab/>
      </w:r>
      <w:proofErr w:type="spellStart"/>
      <w:r w:rsidRPr="003E0C66">
        <w:t>Khanlar</w:t>
      </w:r>
      <w:proofErr w:type="spellEnd"/>
      <w:r w:rsidRPr="003E0C66">
        <w:t xml:space="preserve"> </w:t>
      </w:r>
      <w:proofErr w:type="spellStart"/>
      <w:r w:rsidRPr="003E0C66">
        <w:t>Hajiyev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</w:r>
      <w:proofErr w:type="spellStart"/>
      <w:r w:rsidRPr="003E0C66">
        <w:t>Dragoljub</w:t>
      </w:r>
      <w:proofErr w:type="spellEnd"/>
      <w:r w:rsidRPr="003E0C66">
        <w:t xml:space="preserve"> </w:t>
      </w:r>
      <w:proofErr w:type="spellStart"/>
      <w:r w:rsidRPr="003E0C66">
        <w:t>Popović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  <w:t xml:space="preserve">Nona </w:t>
      </w:r>
      <w:proofErr w:type="spellStart"/>
      <w:r w:rsidRPr="003E0C66">
        <w:t>Tsotsoria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</w:r>
      <w:proofErr w:type="spellStart"/>
      <w:r w:rsidRPr="003E0C66">
        <w:t>Kristina</w:t>
      </w:r>
      <w:proofErr w:type="spellEnd"/>
      <w:r w:rsidRPr="003E0C66">
        <w:t xml:space="preserve"> </w:t>
      </w:r>
      <w:proofErr w:type="spellStart"/>
      <w:r w:rsidRPr="003E0C66">
        <w:t>Pardalos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  <w:t xml:space="preserve">Angelika </w:t>
      </w:r>
      <w:proofErr w:type="spellStart"/>
      <w:r w:rsidRPr="003E0C66">
        <w:t>Nußberger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  <w:t xml:space="preserve">Julia </w:t>
      </w:r>
      <w:proofErr w:type="spellStart"/>
      <w:r w:rsidRPr="003E0C66">
        <w:t>Laffranque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  <w:t>Helen Keller,</w:t>
      </w:r>
      <w:r w:rsidRPr="003E0C66">
        <w:rPr>
          <w:i/>
        </w:rPr>
        <w:br/>
      </w:r>
      <w:r w:rsidRPr="003E0C66">
        <w:tab/>
      </w:r>
      <w:proofErr w:type="spellStart"/>
      <w:r w:rsidRPr="003E0C66">
        <w:t>André</w:t>
      </w:r>
      <w:proofErr w:type="spellEnd"/>
      <w:r w:rsidRPr="003E0C66">
        <w:t xml:space="preserve"> Potocki,</w:t>
      </w:r>
      <w:r w:rsidRPr="003E0C66">
        <w:rPr>
          <w:i/>
        </w:rPr>
        <w:br/>
      </w:r>
      <w:r w:rsidRPr="003E0C66">
        <w:tab/>
        <w:t xml:space="preserve">Paul </w:t>
      </w:r>
      <w:proofErr w:type="spellStart"/>
      <w:r w:rsidRPr="003E0C66">
        <w:t>Mahoney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  <w:t xml:space="preserve">Valeriu </w:t>
      </w:r>
      <w:proofErr w:type="spellStart"/>
      <w:r w:rsidRPr="003E0C66">
        <w:t>Griţco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</w:r>
      <w:proofErr w:type="spellStart"/>
      <w:r w:rsidRPr="003E0C66">
        <w:t>Egidijus</w:t>
      </w:r>
      <w:proofErr w:type="spellEnd"/>
      <w:r w:rsidRPr="003E0C66">
        <w:t xml:space="preserve"> </w:t>
      </w:r>
      <w:proofErr w:type="spellStart"/>
      <w:r w:rsidRPr="003E0C66">
        <w:t>Kūris</w:t>
      </w:r>
      <w:proofErr w:type="spellEnd"/>
      <w:r w:rsidRPr="003E0C66">
        <w:t>,</w:t>
      </w:r>
      <w:r w:rsidRPr="003E0C66">
        <w:rPr>
          <w:i/>
        </w:rPr>
        <w:br/>
      </w:r>
      <w:r w:rsidRPr="003E0C66">
        <w:tab/>
        <w:t xml:space="preserve">Jon </w:t>
      </w:r>
      <w:proofErr w:type="spellStart"/>
      <w:r w:rsidRPr="003E0C66">
        <w:t>Fridrik</w:t>
      </w:r>
      <w:proofErr w:type="spellEnd"/>
      <w:r w:rsidRPr="003E0C66">
        <w:t xml:space="preserve"> </w:t>
      </w:r>
      <w:proofErr w:type="spellStart"/>
      <w:r w:rsidRPr="003E0C66">
        <w:t>Kjølbro</w:t>
      </w:r>
      <w:proofErr w:type="spellEnd"/>
      <w:r w:rsidRPr="003E0C66">
        <w:t>,</w:t>
      </w:r>
      <w:r w:rsidRPr="003E0C66">
        <w:rPr>
          <w:i/>
        </w:rPr>
        <w:t xml:space="preserve"> </w:t>
      </w:r>
      <w:r w:rsidR="008B1F39" w:rsidRPr="003E0C66">
        <w:rPr>
          <w:i/>
        </w:rPr>
        <w:t>sędziowie</w:t>
      </w:r>
      <w:r w:rsidRPr="003E0C66">
        <w:rPr>
          <w:i/>
        </w:rPr>
        <w:t>,</w:t>
      </w:r>
      <w:r w:rsidR="0025666E" w:rsidRPr="003E0C66">
        <w:br/>
      </w:r>
      <w:r w:rsidR="00853703" w:rsidRPr="003E0C66">
        <w:t xml:space="preserve">oraz </w:t>
      </w:r>
      <w:r w:rsidRPr="003E0C66">
        <w:t xml:space="preserve">Lawrence </w:t>
      </w:r>
      <w:proofErr w:type="spellStart"/>
      <w:r w:rsidRPr="003E0C66">
        <w:t>Early</w:t>
      </w:r>
      <w:proofErr w:type="spellEnd"/>
      <w:r w:rsidRPr="003E0C66">
        <w:t xml:space="preserve">, </w:t>
      </w:r>
      <w:r w:rsidR="00761EFD">
        <w:rPr>
          <w:i/>
          <w:iCs/>
        </w:rPr>
        <w:t>r</w:t>
      </w:r>
      <w:r w:rsidR="0025666E" w:rsidRPr="003E0C66">
        <w:rPr>
          <w:i/>
          <w:iCs/>
        </w:rPr>
        <w:t xml:space="preserve">adca </w:t>
      </w:r>
      <w:r w:rsidR="00761EFD">
        <w:rPr>
          <w:i/>
          <w:iCs/>
        </w:rPr>
        <w:t>p</w:t>
      </w:r>
      <w:r w:rsidR="0025666E" w:rsidRPr="003E0C66">
        <w:rPr>
          <w:i/>
          <w:iCs/>
        </w:rPr>
        <w:t>rawny</w:t>
      </w:r>
      <w:r w:rsidRPr="003E0C66">
        <w:t>,</w:t>
      </w:r>
    </w:p>
    <w:p w:rsidR="0025666E" w:rsidRPr="003E0C66" w:rsidRDefault="0025666E" w:rsidP="00BC0CE7">
      <w:pPr>
        <w:pStyle w:val="ECHRPara"/>
      </w:pPr>
      <w:r w:rsidRPr="003E0C66">
        <w:t>Obradując na posiedzeniu niejawnym w dniu 4 marca 2015 roku oraz</w:t>
      </w:r>
      <w:r w:rsidR="00461EBE" w:rsidRPr="003E0C66">
        <w:t xml:space="preserve"> </w:t>
      </w:r>
      <w:r w:rsidRPr="003E0C66">
        <w:t>8 października 2015</w:t>
      </w:r>
      <w:r w:rsidR="00761EFD">
        <w:t xml:space="preserve"> roku</w:t>
      </w:r>
      <w:r w:rsidRPr="003E0C66">
        <w:t>,</w:t>
      </w:r>
    </w:p>
    <w:p w:rsidR="00E05B22" w:rsidRPr="003E0C66" w:rsidRDefault="0025666E" w:rsidP="00461EBE">
      <w:pPr>
        <w:pStyle w:val="ECHRPara"/>
      </w:pPr>
      <w:r w:rsidRPr="003E0C66">
        <w:t xml:space="preserve">Wydaje następujący wyrok, który </w:t>
      </w:r>
      <w:r w:rsidR="0009331B" w:rsidRPr="003E0C66">
        <w:t>został przyjęty</w:t>
      </w:r>
      <w:r w:rsidR="002D6418" w:rsidRPr="003E0C66">
        <w:t xml:space="preserve"> w ostatniej z wymienionych dat. </w:t>
      </w:r>
      <w:r w:rsidR="00461EBE" w:rsidRPr="003E0C66">
        <w:t xml:space="preserve"> </w:t>
      </w:r>
    </w:p>
    <w:p w:rsidR="00E05B22" w:rsidRPr="003E0C66" w:rsidRDefault="00E05B22" w:rsidP="00BC0CE7">
      <w:pPr>
        <w:pStyle w:val="ECHRTitle1"/>
      </w:pPr>
      <w:r w:rsidRPr="003E0C66">
        <w:t>P</w:t>
      </w:r>
      <w:r w:rsidR="002D6418" w:rsidRPr="003E0C66">
        <w:t>OSTĘPOWANIE</w:t>
      </w:r>
      <w:r w:rsidR="00853703" w:rsidRPr="003E0C66">
        <w:t xml:space="preserve">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\r1</w:instrText>
      </w:r>
      <w:r w:rsidRPr="003E0C66">
        <w:fldChar w:fldCharType="begin"/>
      </w:r>
      <w:r w:rsidR="00E05B22" w:rsidRPr="003E0C66">
        <w:instrText xml:space="preserve"> .  SEQ level0 \*arabic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E05B22" w:rsidRPr="003E0C66">
        <w:instrText>1</w:instrText>
      </w:r>
      <w:r w:rsidRPr="003E0C66">
        <w:fldChar w:fldCharType="end"/>
      </w:r>
      <w:r w:rsidR="00E05B22" w:rsidRPr="003E0C66">
        <w:instrText xml:space="preserve"> </w:instrText>
      </w:r>
      <w:r w:rsidRPr="003E0C66">
        <w:fldChar w:fldCharType="separate"/>
      </w:r>
      <w:r w:rsidR="00CC1F60" w:rsidRPr="003E0C66">
        <w:rPr>
          <w:noProof/>
        </w:rPr>
        <w:t>1</w:t>
      </w:r>
      <w:r w:rsidRPr="003E0C66">
        <w:fldChar w:fldCharType="end"/>
      </w:r>
      <w:r w:rsidR="00E05B22" w:rsidRPr="003E0C66">
        <w:t>.  </w:t>
      </w:r>
      <w:r w:rsidR="002D6418" w:rsidRPr="003E0C66">
        <w:t xml:space="preserve">Sprawa wywodzi się ze skargi </w:t>
      </w:r>
      <w:r w:rsidR="00853703" w:rsidRPr="003E0C66">
        <w:t>(nr</w:t>
      </w:r>
      <w:r w:rsidR="00E05B22" w:rsidRPr="003E0C66">
        <w:t xml:space="preserve"> 9154/10) </w:t>
      </w:r>
      <w:r w:rsidR="00853703" w:rsidRPr="003E0C66">
        <w:t>przeciwko Republice Federalnej Nie</w:t>
      </w:r>
      <w:r w:rsidR="00ED56C6" w:rsidRPr="003E0C66">
        <w:t>miec</w:t>
      </w:r>
      <w:r w:rsidR="00761EFD">
        <w:t>, złożonej</w:t>
      </w:r>
      <w:r w:rsidR="00853703" w:rsidRPr="003E0C66">
        <w:t xml:space="preserve"> </w:t>
      </w:r>
      <w:r w:rsidR="00761EFD">
        <w:t xml:space="preserve">do Trybunału </w:t>
      </w:r>
      <w:r w:rsidR="00853703" w:rsidRPr="003E0C66">
        <w:t>na</w:t>
      </w:r>
      <w:r w:rsidR="00ED56C6" w:rsidRPr="003E0C66">
        <w:t xml:space="preserve"> podstawie </w:t>
      </w:r>
      <w:r w:rsidR="00853703" w:rsidRPr="003E0C66">
        <w:t>Artykuł</w:t>
      </w:r>
      <w:r w:rsidR="00ED56C6" w:rsidRPr="003E0C66">
        <w:t>u</w:t>
      </w:r>
      <w:r w:rsidR="00853703" w:rsidRPr="003E0C66">
        <w:t xml:space="preserve"> 34 Konwencji</w:t>
      </w:r>
      <w:r w:rsidR="00761EFD">
        <w:t xml:space="preserve"> o</w:t>
      </w:r>
      <w:r w:rsidR="00853703" w:rsidRPr="003E0C66">
        <w:t xml:space="preserve"> </w:t>
      </w:r>
      <w:r w:rsidR="00761EFD">
        <w:t>O</w:t>
      </w:r>
      <w:r w:rsidR="00853703" w:rsidRPr="003E0C66">
        <w:t>chron</w:t>
      </w:r>
      <w:r w:rsidR="00761EFD">
        <w:t>ie</w:t>
      </w:r>
      <w:r w:rsidR="00853703" w:rsidRPr="003E0C66">
        <w:t xml:space="preserve"> Praw Człowieka i Podstawowych </w:t>
      </w:r>
      <w:r w:rsidR="00006170" w:rsidRPr="003E0C66">
        <w:t>Wolności</w:t>
      </w:r>
      <w:r w:rsidR="00853703" w:rsidRPr="003E0C66">
        <w:t xml:space="preserve"> (‘’Konwencja’’) przez obywatela </w:t>
      </w:r>
      <w:r w:rsidR="00761EFD">
        <w:t>gruzińskiego</w:t>
      </w:r>
      <w:r w:rsidR="00ED56C6" w:rsidRPr="003E0C66">
        <w:t>, Pana</w:t>
      </w:r>
      <w:r w:rsidR="00E05B22" w:rsidRPr="003E0C66">
        <w:t xml:space="preserve"> </w:t>
      </w:r>
      <w:proofErr w:type="spellStart"/>
      <w:r w:rsidR="00E05B22" w:rsidRPr="003E0C66">
        <w:t>Swiadi</w:t>
      </w:r>
      <w:proofErr w:type="spellEnd"/>
      <w:r w:rsidR="00E05B22" w:rsidRPr="003E0C66">
        <w:t xml:space="preserve"> </w:t>
      </w:r>
      <w:proofErr w:type="spellStart"/>
      <w:r w:rsidR="00ED56C6" w:rsidRPr="003E0C66">
        <w:t>Schatschaschwili</w:t>
      </w:r>
      <w:proofErr w:type="spellEnd"/>
      <w:r w:rsidR="00ED56C6" w:rsidRPr="003E0C66">
        <w:t xml:space="preserve"> (“skarżący”), w dniu 12 lutego</w:t>
      </w:r>
      <w:r w:rsidR="00E05B22" w:rsidRPr="003E0C66">
        <w:t xml:space="preserve"> 2010</w:t>
      </w:r>
      <w:r w:rsidR="00761EFD">
        <w:t xml:space="preserve"> roku</w:t>
      </w:r>
      <w:r w:rsidR="00E05B22" w:rsidRPr="003E0C66">
        <w:t>.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2</w:t>
      </w:r>
      <w:r w:rsidRPr="003E0C66">
        <w:fldChar w:fldCharType="end"/>
      </w:r>
      <w:r w:rsidR="00E05B22" w:rsidRPr="003E0C66">
        <w:t>. </w:t>
      </w:r>
      <w:r w:rsidR="004D2A4E" w:rsidRPr="003E0C66">
        <w:t xml:space="preserve"> Pismem</w:t>
      </w:r>
      <w:r w:rsidR="00ED56C6" w:rsidRPr="003E0C66">
        <w:t xml:space="preserve"> datowanym na 29 </w:t>
      </w:r>
      <w:r w:rsidR="00761EFD">
        <w:t>grudnia</w:t>
      </w:r>
      <w:r w:rsidR="00761EFD" w:rsidRPr="003E0C66">
        <w:t xml:space="preserve"> </w:t>
      </w:r>
      <w:r w:rsidR="00ED56C6" w:rsidRPr="003E0C66">
        <w:t xml:space="preserve">2013 </w:t>
      </w:r>
      <w:r w:rsidR="00761EFD">
        <w:t xml:space="preserve">roku </w:t>
      </w:r>
      <w:r w:rsidR="00ED56C6" w:rsidRPr="003E0C66">
        <w:t xml:space="preserve">prawnik skarżącego </w:t>
      </w:r>
      <w:r w:rsidR="00452FAF" w:rsidRPr="003E0C66">
        <w:t xml:space="preserve">zgłosił </w:t>
      </w:r>
      <w:r w:rsidR="00761EFD">
        <w:t>Trybunałowi</w:t>
      </w:r>
      <w:r w:rsidR="004D2A4E" w:rsidRPr="003E0C66">
        <w:t>, iż klient</w:t>
      </w:r>
      <w:r w:rsidR="00D22DEE" w:rsidRPr="003E0C66">
        <w:t xml:space="preserve"> poinformował go o tym, że</w:t>
      </w:r>
      <w:r w:rsidR="00452FAF" w:rsidRPr="003E0C66">
        <w:t xml:space="preserve"> jego prawdziwe </w:t>
      </w:r>
      <w:r w:rsidR="00006170" w:rsidRPr="003E0C66">
        <w:t>imię</w:t>
      </w:r>
      <w:r w:rsidR="00452FAF" w:rsidRPr="003E0C66">
        <w:t xml:space="preserve"> i nazwisko to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Av</w:t>
      </w:r>
      <w:r w:rsidR="009F0851" w:rsidRPr="003E0C66">
        <w:rPr>
          <w:rFonts w:ascii="Times New Roman" w:eastAsia="Times New Roman" w:hAnsi="Times New Roman" w:cs="Times New Roman"/>
          <w:szCs w:val="20"/>
          <w:lang w:eastAsia="fr-FR"/>
        </w:rPr>
        <w:t>t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andil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Sisvadze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452FAF" w:rsidRPr="003E0C66">
        <w:rPr>
          <w:rFonts w:ascii="Times New Roman" w:eastAsia="Times New Roman" w:hAnsi="Times New Roman" w:cs="Times New Roman"/>
          <w:szCs w:val="20"/>
          <w:lang w:eastAsia="fr-FR"/>
        </w:rPr>
        <w:t>Trybunał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14 stycznia 2014</w:t>
      </w:r>
      <w:r w:rsidR="00452FA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 xml:space="preserve">roku </w:t>
      </w:r>
      <w:r w:rsidR="00452FAF" w:rsidRPr="003E0C66">
        <w:rPr>
          <w:rFonts w:ascii="Times New Roman" w:eastAsia="Times New Roman" w:hAnsi="Times New Roman" w:cs="Times New Roman"/>
          <w:szCs w:val="20"/>
          <w:lang w:eastAsia="fr-FR"/>
        </w:rPr>
        <w:t>poinformował strony, ż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452FA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skarga </w:t>
      </w:r>
      <w:r w:rsidR="00D22DEE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będzie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>dalej rozpoznawana</w:t>
      </w:r>
      <w:r w:rsidR="00506D4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pod nazwą </w:t>
      </w:r>
      <w:proofErr w:type="spellStart"/>
      <w:r w:rsidR="00D22DEE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Schatschaschwili</w:t>
      </w:r>
      <w:proofErr w:type="spellEnd"/>
      <w:r w:rsidR="00D22DEE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 p</w:t>
      </w:r>
      <w:r w:rsidR="0072143B">
        <w:rPr>
          <w:rFonts w:ascii="Times New Roman" w:eastAsia="Times New Roman" w:hAnsi="Times New Roman" w:cs="Times New Roman"/>
          <w:i/>
          <w:szCs w:val="20"/>
          <w:lang w:eastAsia="fr-FR"/>
        </w:rPr>
        <w:t>rzeciw</w:t>
      </w:r>
      <w:r w:rsidR="00D22DEE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ko</w:t>
      </w:r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 </w:t>
      </w:r>
      <w:r w:rsidR="00D22DEE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Niemcom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Odpowiada to imieniu i nazwisku skarżącego zadeklarowanemu w postępowaniu </w:t>
      </w:r>
      <w:r w:rsidR="00506D40" w:rsidRPr="003E0C66">
        <w:rPr>
          <w:rFonts w:ascii="Times New Roman" w:eastAsia="Times New Roman" w:hAnsi="Times New Roman" w:cs="Times New Roman"/>
          <w:szCs w:val="20"/>
          <w:lang w:eastAsia="fr-FR"/>
        </w:rPr>
        <w:t>dotycząc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>ym</w:t>
      </w:r>
      <w:r w:rsidR="00506D4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>tej sprawy,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 xml:space="preserve"> zarówno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przed 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ądem 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rajowym, jak również w skardze wniesionej 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>do</w:t>
      </w:r>
      <w:r w:rsidR="00506D4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>Trybunał</w:t>
      </w:r>
      <w:r w:rsidR="00506D40">
        <w:rPr>
          <w:rFonts w:ascii="Times New Roman" w:eastAsia="Times New Roman" w:hAnsi="Times New Roman" w:cs="Times New Roman"/>
          <w:szCs w:val="20"/>
          <w:lang w:eastAsia="fr-FR"/>
        </w:rPr>
        <w:t>u</w:t>
      </w:r>
      <w:r w:rsidR="00D22D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 </w:t>
      </w:r>
    </w:p>
    <w:p w:rsidR="00E05B22" w:rsidRPr="003E0C66" w:rsidRDefault="006B25B0" w:rsidP="00BC0CE7">
      <w:pPr>
        <w:pStyle w:val="ECHRPara"/>
      </w:pPr>
      <w:r w:rsidRPr="003E0C66">
        <w:lastRenderedPageBreak/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3</w:t>
      </w:r>
      <w:r w:rsidRPr="003E0C66">
        <w:fldChar w:fldCharType="end"/>
      </w:r>
      <w:r w:rsidR="00E05B22" w:rsidRPr="003E0C66">
        <w:t>.  </w:t>
      </w:r>
      <w:r w:rsidR="00D22DEE" w:rsidRPr="003E0C66">
        <w:t>Skarżący,</w:t>
      </w:r>
      <w:r w:rsidR="00A514DB" w:rsidRPr="003E0C66">
        <w:t xml:space="preserve"> który korzystał z pomocy prawnej, był reprezentowany przez Pana H. Meyer-</w:t>
      </w:r>
      <w:proofErr w:type="spellStart"/>
      <w:r w:rsidR="00A514DB" w:rsidRPr="003E0C66">
        <w:t>Mews</w:t>
      </w:r>
      <w:proofErr w:type="spellEnd"/>
      <w:r w:rsidR="00A514DB" w:rsidRPr="003E0C66">
        <w:t xml:space="preserve">, </w:t>
      </w:r>
      <w:r w:rsidR="00506D40">
        <w:t>prawnika</w:t>
      </w:r>
      <w:r w:rsidR="00506D40" w:rsidRPr="003E0C66">
        <w:t xml:space="preserve"> </w:t>
      </w:r>
      <w:r w:rsidR="00A514DB" w:rsidRPr="003E0C66">
        <w:t xml:space="preserve">praktykującego w </w:t>
      </w:r>
      <w:proofErr w:type="spellStart"/>
      <w:r w:rsidR="00A514DB" w:rsidRPr="003E0C66">
        <w:t>Bremen</w:t>
      </w:r>
      <w:proofErr w:type="spellEnd"/>
      <w:r w:rsidR="00A514DB" w:rsidRPr="003E0C66">
        <w:t xml:space="preserve">. Rząd </w:t>
      </w:r>
      <w:r w:rsidR="002D45C3">
        <w:t>n</w:t>
      </w:r>
      <w:r w:rsidR="00A514DB" w:rsidRPr="003E0C66">
        <w:t>iemiecki (</w:t>
      </w:r>
      <w:r w:rsidR="0072143B">
        <w:t>„</w:t>
      </w:r>
      <w:r w:rsidR="00A514DB" w:rsidRPr="003E0C66">
        <w:t>Rząd”)</w:t>
      </w:r>
      <w:r w:rsidR="006C190F" w:rsidRPr="003E0C66">
        <w:t xml:space="preserve"> był reprezentowany przez pełnomocników,</w:t>
      </w:r>
      <w:r w:rsidR="002D45C3">
        <w:t xml:space="preserve"> Panią</w:t>
      </w:r>
      <w:r w:rsidR="006C190F" w:rsidRPr="003E0C66">
        <w:t xml:space="preserve"> </w:t>
      </w:r>
      <w:r w:rsidR="00515091" w:rsidRPr="003E0C66">
        <w:t xml:space="preserve">A. </w:t>
      </w:r>
      <w:proofErr w:type="spellStart"/>
      <w:r w:rsidR="00515091" w:rsidRPr="003E0C66">
        <w:t>Wittling</w:t>
      </w:r>
      <w:proofErr w:type="spellEnd"/>
      <w:r w:rsidR="00515091" w:rsidRPr="003E0C66">
        <w:t xml:space="preserve">-Vogel, </w:t>
      </w:r>
      <w:r w:rsidR="002D45C3">
        <w:t xml:space="preserve">Pana </w:t>
      </w:r>
      <w:r w:rsidR="00515091" w:rsidRPr="003E0C66">
        <w:t>H.</w:t>
      </w:r>
      <w:r w:rsidR="0072143B">
        <w:t xml:space="preserve"> </w:t>
      </w:r>
      <w:r w:rsidR="00515091" w:rsidRPr="003E0C66">
        <w:t xml:space="preserve">J. </w:t>
      </w:r>
      <w:proofErr w:type="spellStart"/>
      <w:r w:rsidR="00515091" w:rsidRPr="003E0C66">
        <w:t>Behrens</w:t>
      </w:r>
      <w:proofErr w:type="spellEnd"/>
      <w:r w:rsidR="00515091" w:rsidRPr="003E0C66">
        <w:t xml:space="preserve"> oraz </w:t>
      </w:r>
      <w:r w:rsidR="002D45C3">
        <w:t xml:space="preserve">Panią </w:t>
      </w:r>
      <w:r w:rsidR="00515091" w:rsidRPr="003E0C66">
        <w:t>K. Behr z Federalnego Ministerstwa Sprawiedliwości i Ochrony Konsumenta</w:t>
      </w:r>
      <w:r w:rsidR="00E05B22" w:rsidRPr="003E0C66">
        <w:t>.</w:t>
      </w:r>
    </w:p>
    <w:p w:rsidR="00E05B22" w:rsidRPr="003E0C66" w:rsidRDefault="006B25B0" w:rsidP="00FA3031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4</w:t>
      </w:r>
      <w:r w:rsidRPr="003E0C66">
        <w:fldChar w:fldCharType="end"/>
      </w:r>
      <w:r w:rsidR="00E05B22" w:rsidRPr="003E0C66">
        <w:t>.  </w:t>
      </w:r>
      <w:r w:rsidR="00515091" w:rsidRPr="003E0C66">
        <w:t xml:space="preserve">Skarżący </w:t>
      </w:r>
      <w:r w:rsidR="002D45C3">
        <w:t>zarzucił</w:t>
      </w:r>
      <w:r w:rsidR="002D45C3" w:rsidRPr="003E0C66">
        <w:t xml:space="preserve"> </w:t>
      </w:r>
      <w:r w:rsidR="00515091" w:rsidRPr="003E0C66">
        <w:t xml:space="preserve">w szczególności, powołując się na Artykuł </w:t>
      </w:r>
      <w:r w:rsidR="00773BB8" w:rsidRPr="003E0C66">
        <w:t xml:space="preserve">6 § 3 (d) </w:t>
      </w:r>
      <w:r w:rsidR="00AA1F08" w:rsidRPr="003E0C66">
        <w:t>Konwencji, ż</w:t>
      </w:r>
      <w:r w:rsidR="002D45C3">
        <w:t xml:space="preserve">e </w:t>
      </w:r>
      <w:r w:rsidR="00BB5F74">
        <w:t>jego</w:t>
      </w:r>
      <w:r w:rsidR="00AA1F08" w:rsidRPr="003E0C66">
        <w:t xml:space="preserve"> proces </w:t>
      </w:r>
      <w:r w:rsidR="002D45C3" w:rsidRPr="003E0C66">
        <w:t xml:space="preserve">był </w:t>
      </w:r>
      <w:r w:rsidR="002D45C3">
        <w:t xml:space="preserve"> </w:t>
      </w:r>
      <w:r w:rsidR="0072143B">
        <w:t>nierzetelny</w:t>
      </w:r>
      <w:r w:rsidR="00AA1F08" w:rsidRPr="003E0C66">
        <w:t>, ponieważ a</w:t>
      </w:r>
      <w:r w:rsidR="007E4982" w:rsidRPr="003E0C66">
        <w:t xml:space="preserve">ni </w:t>
      </w:r>
      <w:r w:rsidR="002D45C3">
        <w:t>o</w:t>
      </w:r>
      <w:r w:rsidR="00A42A0C" w:rsidRPr="003E0C66">
        <w:t xml:space="preserve">n, ani </w:t>
      </w:r>
      <w:r w:rsidR="002D45C3">
        <w:t>j</w:t>
      </w:r>
      <w:r w:rsidR="00A42A0C" w:rsidRPr="003E0C66">
        <w:t xml:space="preserve">ego </w:t>
      </w:r>
      <w:r w:rsidR="0072143B">
        <w:t>prawnik</w:t>
      </w:r>
      <w:r w:rsidR="0072143B" w:rsidRPr="003E0C66">
        <w:t xml:space="preserve"> </w:t>
      </w:r>
      <w:r w:rsidR="007E4982" w:rsidRPr="003E0C66">
        <w:t xml:space="preserve">nie mieli możliwości, na żadnym z etapów postępowania toczącego się przeciw skarżącemu, </w:t>
      </w:r>
      <w:r w:rsidR="00670C90" w:rsidRPr="003E0C66">
        <w:t xml:space="preserve">przesłuchania </w:t>
      </w:r>
      <w:r w:rsidR="002D45C3">
        <w:t>pokrzywdzonych</w:t>
      </w:r>
      <w:r w:rsidR="002D45C3" w:rsidRPr="003E0C66">
        <w:t xml:space="preserve"> </w:t>
      </w:r>
      <w:r w:rsidR="002D45C3">
        <w:t>i naocznych świadków</w:t>
      </w:r>
      <w:r w:rsidR="001034A7" w:rsidRPr="003E0C66">
        <w:t xml:space="preserve"> </w:t>
      </w:r>
      <w:r w:rsidR="00010668" w:rsidRPr="003E0C66">
        <w:rPr>
          <w:color w:val="000000" w:themeColor="text1"/>
        </w:rPr>
        <w:t>przestępstwa</w:t>
      </w:r>
      <w:r w:rsidR="001034A7" w:rsidRPr="003E0C66">
        <w:rPr>
          <w:color w:val="FF0000"/>
        </w:rPr>
        <w:t xml:space="preserve"> </w:t>
      </w:r>
      <w:r w:rsidR="0001411E" w:rsidRPr="003E0C66">
        <w:rPr>
          <w:color w:val="191919" w:themeColor="background2" w:themeShade="1A"/>
        </w:rPr>
        <w:t>rzekomo</w:t>
      </w:r>
      <w:r w:rsidR="0001411E" w:rsidRPr="003E0C66">
        <w:rPr>
          <w:color w:val="FF0000"/>
        </w:rPr>
        <w:t xml:space="preserve"> </w:t>
      </w:r>
      <w:r w:rsidR="00EE4B39" w:rsidRPr="003E0C66">
        <w:rPr>
          <w:color w:val="000000" w:themeColor="text1"/>
        </w:rPr>
        <w:t xml:space="preserve">popełnionego przez </w:t>
      </w:r>
      <w:r w:rsidR="002D45C3">
        <w:rPr>
          <w:color w:val="000000" w:themeColor="text1"/>
        </w:rPr>
        <w:t>n</w:t>
      </w:r>
      <w:r w:rsidR="00EE4B39" w:rsidRPr="003E0C66">
        <w:rPr>
          <w:color w:val="000000" w:themeColor="text1"/>
        </w:rPr>
        <w:t xml:space="preserve">iego w </w:t>
      </w:r>
      <w:r w:rsidR="000D4829" w:rsidRPr="003E0C66">
        <w:rPr>
          <w:rFonts w:ascii="Times New Roman" w:eastAsia="Times New Roman" w:hAnsi="Times New Roman" w:cs="Times New Roman"/>
          <w:szCs w:val="20"/>
          <w:lang w:eastAsia="fr-FR"/>
        </w:rPr>
        <w:t>Göttingen</w:t>
      </w:r>
      <w:r w:rsidR="000D4829" w:rsidRPr="003E0C66">
        <w:rPr>
          <w:color w:val="000000" w:themeColor="text1"/>
        </w:rPr>
        <w:t xml:space="preserve"> </w:t>
      </w:r>
      <w:r w:rsidR="00DF7B83" w:rsidRPr="003E0C66">
        <w:rPr>
          <w:color w:val="000000" w:themeColor="text1"/>
        </w:rPr>
        <w:t xml:space="preserve">w lutym 2007 roku, </w:t>
      </w:r>
      <w:r w:rsidR="002D45C3">
        <w:rPr>
          <w:color w:val="000000" w:themeColor="text1"/>
        </w:rPr>
        <w:t xml:space="preserve">na zeznaniach których </w:t>
      </w:r>
      <w:r w:rsidR="000D4829" w:rsidRPr="003E0C66">
        <w:rPr>
          <w:color w:val="000000" w:themeColor="text1"/>
        </w:rPr>
        <w:t>Sąd Okręgowy w</w:t>
      </w:r>
      <w:r w:rsidR="00F3772F" w:rsidRPr="003E0C66">
        <w:rPr>
          <w:color w:val="000000" w:themeColor="text1"/>
        </w:rPr>
        <w:t xml:space="preserve"> </w:t>
      </w:r>
      <w:r w:rsidR="00F3772F" w:rsidRPr="003E0C66">
        <w:rPr>
          <w:rFonts w:ascii="Times New Roman" w:eastAsia="Times New Roman" w:hAnsi="Times New Roman" w:cs="Times New Roman"/>
          <w:szCs w:val="20"/>
          <w:lang w:eastAsia="fr-FR"/>
        </w:rPr>
        <w:t>Göttingen</w:t>
      </w:r>
      <w:r w:rsidR="00F3772F" w:rsidRPr="003E0C66">
        <w:rPr>
          <w:color w:val="000000" w:themeColor="text1"/>
        </w:rPr>
        <w:t xml:space="preserve"> </w:t>
      </w:r>
      <w:r w:rsidR="002D45C3">
        <w:rPr>
          <w:color w:val="000000" w:themeColor="text1"/>
        </w:rPr>
        <w:t>opierał się, uznają</w:t>
      </w:r>
      <w:r w:rsidR="00CF3A8F">
        <w:rPr>
          <w:color w:val="000000" w:themeColor="text1"/>
        </w:rPr>
        <w:t>c</w:t>
      </w:r>
      <w:r w:rsidR="002D45C3">
        <w:rPr>
          <w:color w:val="000000" w:themeColor="text1"/>
        </w:rPr>
        <w:t xml:space="preserve"> </w:t>
      </w:r>
      <w:r w:rsidR="000D4829" w:rsidRPr="003E0C66">
        <w:rPr>
          <w:color w:val="000000" w:themeColor="text1"/>
        </w:rPr>
        <w:t>go za winnego</w:t>
      </w:r>
      <w:r w:rsidR="00264B69" w:rsidRPr="003E0C66">
        <w:rPr>
          <w:color w:val="000000" w:themeColor="text1"/>
        </w:rPr>
        <w:t xml:space="preserve">.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5</w:t>
      </w:r>
      <w:r w:rsidRPr="003E0C66">
        <w:fldChar w:fldCharType="end"/>
      </w:r>
      <w:r w:rsidR="00E05B22" w:rsidRPr="003E0C66">
        <w:t>. </w:t>
      </w:r>
      <w:r w:rsidR="00F3772F" w:rsidRPr="003E0C66">
        <w:t xml:space="preserve">Skarga została przydzielona do Sekcji Piątej </w:t>
      </w:r>
      <w:r w:rsidR="002D45C3">
        <w:t>T</w:t>
      </w:r>
      <w:r w:rsidR="00EB5321" w:rsidRPr="003E0C66">
        <w:t>rybunału (Reguła</w:t>
      </w:r>
      <w:r w:rsidR="000847BE" w:rsidRPr="003E0C66">
        <w:t xml:space="preserve"> 52 § 1 Regulaminu Trybunału). Rząd </w:t>
      </w:r>
      <w:r w:rsidR="00927AE7">
        <w:t>otrzymał</w:t>
      </w:r>
      <w:r w:rsidR="000847BE" w:rsidRPr="003E0C66">
        <w:t xml:space="preserve"> informację </w:t>
      </w:r>
      <w:r w:rsidR="00927AE7">
        <w:t>o skardze</w:t>
      </w:r>
      <w:r w:rsidR="000847BE" w:rsidRPr="003E0C66">
        <w:t xml:space="preserve"> 15 stycznia 2013 roku. 17 </w:t>
      </w:r>
      <w:r w:rsidR="00927AE7">
        <w:t>k</w:t>
      </w:r>
      <w:r w:rsidR="000847BE" w:rsidRPr="003E0C66">
        <w:t>wietnia 2014</w:t>
      </w:r>
      <w:r w:rsidR="00927AE7">
        <w:t xml:space="preserve"> roku</w:t>
      </w:r>
      <w:r w:rsidR="000847BE" w:rsidRPr="003E0C66">
        <w:t xml:space="preserve"> </w:t>
      </w:r>
      <w:r w:rsidR="009B57F5" w:rsidRPr="003E0C66">
        <w:t xml:space="preserve">Izba Sekcji Piątej, </w:t>
      </w:r>
      <w:r w:rsidR="00927AE7">
        <w:t>w składzie:</w:t>
      </w:r>
      <w:r w:rsidR="009B57F5" w:rsidRPr="003E0C66"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Mark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Villiger</w:t>
      </w:r>
      <w:proofErr w:type="spellEnd"/>
      <w:r w:rsidR="009B57F5" w:rsidRPr="003E0C66">
        <w:rPr>
          <w:rFonts w:ascii="Times New Roman" w:eastAsia="Times New Roman" w:hAnsi="Times New Roman" w:cs="Times New Roman"/>
          <w:szCs w:val="20"/>
          <w:lang w:eastAsia="fr-FR"/>
        </w:rPr>
        <w:t>, Przewodniczący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Angelika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Nußberger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Boštjan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M.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Zupančič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, Ann Power-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Forde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Ganna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Yudkivska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 </w:t>
      </w:r>
      <w:r w:rsidR="009B57F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Helena </w:t>
      </w:r>
      <w:proofErr w:type="spellStart"/>
      <w:r w:rsidR="009B57F5" w:rsidRPr="003E0C66">
        <w:rPr>
          <w:rFonts w:ascii="Times New Roman" w:eastAsia="Times New Roman" w:hAnsi="Times New Roman" w:cs="Times New Roman"/>
          <w:szCs w:val="20"/>
          <w:lang w:eastAsia="fr-FR"/>
        </w:rPr>
        <w:t>Jäderblom</w:t>
      </w:r>
      <w:proofErr w:type="spellEnd"/>
      <w:r w:rsidR="009B57F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i </w:t>
      </w:r>
      <w:proofErr w:type="spellStart"/>
      <w:r w:rsidR="009B57F5" w:rsidRPr="003E0C66">
        <w:rPr>
          <w:rFonts w:ascii="Times New Roman" w:eastAsia="Times New Roman" w:hAnsi="Times New Roman" w:cs="Times New Roman"/>
          <w:szCs w:val="20"/>
          <w:lang w:eastAsia="fr-FR"/>
        </w:rPr>
        <w:t>Aleš</w:t>
      </w:r>
      <w:proofErr w:type="spellEnd"/>
      <w:r w:rsidR="009B57F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proofErr w:type="spellStart"/>
      <w:r w:rsidR="009B57F5" w:rsidRPr="003E0C66">
        <w:rPr>
          <w:rFonts w:ascii="Times New Roman" w:eastAsia="Times New Roman" w:hAnsi="Times New Roman" w:cs="Times New Roman"/>
          <w:szCs w:val="20"/>
          <w:lang w:eastAsia="fr-FR"/>
        </w:rPr>
        <w:t>Pejchal</w:t>
      </w:r>
      <w:proofErr w:type="spellEnd"/>
      <w:r w:rsidR="009B57F5" w:rsidRPr="003E0C66">
        <w:rPr>
          <w:rFonts w:ascii="Times New Roman" w:eastAsia="Times New Roman" w:hAnsi="Times New Roman" w:cs="Times New Roman"/>
          <w:szCs w:val="20"/>
          <w:lang w:eastAsia="fr-FR"/>
        </w:rPr>
        <w:t>, sędziowie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B57F5" w:rsidRPr="003E0C66">
        <w:t>oraz</w:t>
      </w:r>
      <w:r w:rsidR="00E05B22" w:rsidRPr="003E0C66"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Claudia </w:t>
      </w:r>
      <w:proofErr w:type="spellStart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Westerdiek</w:t>
      </w:r>
      <w:proofErr w:type="spellEnd"/>
      <w:r w:rsidR="00E05B22" w:rsidRPr="003E0C66">
        <w:t xml:space="preserve">, </w:t>
      </w:r>
      <w:r w:rsidR="00927AE7">
        <w:t>Kanclerz</w:t>
      </w:r>
      <w:r w:rsidR="00EF54E9" w:rsidRPr="003E0C66">
        <w:t xml:space="preserve"> Sekcji, </w:t>
      </w:r>
      <w:r w:rsidR="00906095" w:rsidRPr="003E0C66">
        <w:t xml:space="preserve">jednomyślnie </w:t>
      </w:r>
      <w:r w:rsidR="00EE53BC" w:rsidRPr="003E0C66">
        <w:t xml:space="preserve">uznali </w:t>
      </w:r>
      <w:r w:rsidR="00EE53BC" w:rsidRPr="003E0C66">
        <w:rPr>
          <w:color w:val="191919" w:themeColor="background2" w:themeShade="1A"/>
        </w:rPr>
        <w:t>skargę za częściowo dopuszczalną oraz wydali wyrok</w:t>
      </w:r>
      <w:r w:rsidR="00EE53BC" w:rsidRPr="003E0C66">
        <w:t>.</w:t>
      </w:r>
      <w:r w:rsidR="00E05B22" w:rsidRPr="003E0C66">
        <w:t xml:space="preserve"> </w:t>
      </w:r>
      <w:r w:rsidR="00927AE7">
        <w:t>Stwierdzono,</w:t>
      </w:r>
      <w:r w:rsidR="00927AE7" w:rsidRPr="003E0C66">
        <w:t xml:space="preserve"> </w:t>
      </w:r>
      <w:r w:rsidR="002B3134" w:rsidRPr="003E0C66">
        <w:t xml:space="preserve">pięcioma </w:t>
      </w:r>
      <w:r w:rsidR="00927AE7">
        <w:t xml:space="preserve">głosami </w:t>
      </w:r>
      <w:r w:rsidR="002B3134" w:rsidRPr="003E0C66">
        <w:t>do dwóch, ż</w:t>
      </w:r>
      <w:r w:rsidR="00927AE7">
        <w:t>e</w:t>
      </w:r>
      <w:r w:rsidR="002B3134" w:rsidRPr="003E0C66">
        <w:t> </w:t>
      </w:r>
      <w:r w:rsidR="00927AE7" w:rsidRPr="003E0C66">
        <w:t xml:space="preserve">Artykuł 6 § 1 w połączeniu z Artykułem 6 § 3 (d) Konwencji </w:t>
      </w:r>
      <w:r w:rsidR="002B3134" w:rsidRPr="003E0C66">
        <w:t xml:space="preserve">nie został naruszony. 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4"/>
          <w:lang w:eastAsia="fr-FR"/>
        </w:rPr>
      </w:pPr>
      <w:r w:rsidRPr="003E0C66">
        <w:rPr>
          <w:rFonts w:ascii="Times New Roman" w:eastAsia="Times New Roman" w:hAnsi="Times New Roman" w:cs="Times New Roman"/>
          <w:szCs w:val="24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4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4"/>
          <w:lang w:eastAsia="fr-FR"/>
        </w:rPr>
        <w:t>6</w:t>
      </w:r>
      <w:r w:rsidRPr="003E0C66">
        <w:rPr>
          <w:rFonts w:ascii="Times New Roman" w:eastAsia="Times New Roman" w:hAnsi="Times New Roman" w:cs="Times New Roman"/>
          <w:szCs w:val="24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t>. </w:t>
      </w:r>
      <w:r w:rsidR="002B3134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927AE7">
        <w:rPr>
          <w:rFonts w:ascii="Times New Roman" w:eastAsia="Times New Roman" w:hAnsi="Times New Roman" w:cs="Times New Roman"/>
          <w:szCs w:val="24"/>
          <w:lang w:eastAsia="fr-FR"/>
        </w:rPr>
        <w:t xml:space="preserve">W dniu </w:t>
      </w:r>
      <w:r w:rsidR="002B3134" w:rsidRPr="003E0C66">
        <w:rPr>
          <w:rFonts w:ascii="Times New Roman" w:eastAsia="Times New Roman" w:hAnsi="Times New Roman" w:cs="Times New Roman"/>
          <w:szCs w:val="24"/>
          <w:lang w:eastAsia="fr-FR"/>
        </w:rPr>
        <w:t>15 lipca 2014</w:t>
      </w:r>
      <w:r w:rsidR="00927AE7">
        <w:rPr>
          <w:rFonts w:ascii="Times New Roman" w:eastAsia="Times New Roman" w:hAnsi="Times New Roman" w:cs="Times New Roman"/>
          <w:szCs w:val="24"/>
          <w:lang w:eastAsia="fr-FR"/>
        </w:rPr>
        <w:t xml:space="preserve"> roku</w:t>
      </w:r>
      <w:r w:rsidR="002B3134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skarżący </w:t>
      </w:r>
      <w:r w:rsidR="00927AE7">
        <w:rPr>
          <w:rFonts w:ascii="Times New Roman" w:eastAsia="Times New Roman" w:hAnsi="Times New Roman" w:cs="Times New Roman"/>
          <w:szCs w:val="24"/>
          <w:lang w:eastAsia="fr-FR"/>
        </w:rPr>
        <w:t xml:space="preserve">wniósł o przekazanie sprawy </w:t>
      </w:r>
      <w:r w:rsidR="002B3134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do </w:t>
      </w:r>
      <w:r w:rsidR="00B51634" w:rsidRPr="003E0C66">
        <w:rPr>
          <w:rFonts w:ascii="Times New Roman" w:eastAsia="Times New Roman" w:hAnsi="Times New Roman" w:cs="Times New Roman"/>
          <w:szCs w:val="24"/>
          <w:lang w:eastAsia="fr-FR"/>
        </w:rPr>
        <w:t>Wielkiej Izby, na podstawie Art</w:t>
      </w:r>
      <w:r w:rsidR="00EB5321" w:rsidRPr="003E0C66">
        <w:rPr>
          <w:rFonts w:ascii="Times New Roman" w:eastAsia="Times New Roman" w:hAnsi="Times New Roman" w:cs="Times New Roman"/>
          <w:szCs w:val="24"/>
          <w:lang w:eastAsia="fr-FR"/>
        </w:rPr>
        <w:t>ykułu 43 Konwencji oraz Reguły</w:t>
      </w:r>
      <w:r w:rsidR="00B51634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73 </w:t>
      </w:r>
      <w:r w:rsidR="00727453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Regulaminu Trybunału. </w:t>
      </w:r>
      <w:r w:rsidR="00927AE7">
        <w:rPr>
          <w:rFonts w:ascii="Times New Roman" w:eastAsia="Times New Roman" w:hAnsi="Times New Roman" w:cs="Times New Roman"/>
          <w:szCs w:val="24"/>
          <w:lang w:eastAsia="fr-FR"/>
        </w:rPr>
        <w:t xml:space="preserve">W dniu </w:t>
      </w:r>
      <w:r w:rsidR="00727453" w:rsidRPr="003E0C66">
        <w:rPr>
          <w:rFonts w:ascii="Times New Roman" w:eastAsia="Times New Roman" w:hAnsi="Times New Roman" w:cs="Times New Roman"/>
          <w:szCs w:val="24"/>
          <w:lang w:eastAsia="fr-FR"/>
        </w:rPr>
        <w:t>8 września 20</w:t>
      </w:r>
      <w:r w:rsidR="00E80169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14 </w:t>
      </w:r>
      <w:r w:rsidR="00927AE7">
        <w:rPr>
          <w:rFonts w:ascii="Times New Roman" w:eastAsia="Times New Roman" w:hAnsi="Times New Roman" w:cs="Times New Roman"/>
          <w:szCs w:val="24"/>
          <w:lang w:eastAsia="fr-FR"/>
        </w:rPr>
        <w:t xml:space="preserve">roku </w:t>
      </w:r>
      <w:r w:rsidR="00E80169" w:rsidRPr="003E0C66">
        <w:rPr>
          <w:rFonts w:ascii="Times New Roman" w:eastAsia="Times New Roman" w:hAnsi="Times New Roman" w:cs="Times New Roman"/>
          <w:szCs w:val="24"/>
          <w:lang w:eastAsia="fr-FR"/>
        </w:rPr>
        <w:t>skład Wielkiej Izby zaakcept</w:t>
      </w:r>
      <w:r w:rsidR="00727453" w:rsidRPr="003E0C66">
        <w:rPr>
          <w:rFonts w:ascii="Times New Roman" w:eastAsia="Times New Roman" w:hAnsi="Times New Roman" w:cs="Times New Roman"/>
          <w:szCs w:val="24"/>
          <w:lang w:eastAsia="fr-FR"/>
        </w:rPr>
        <w:t>ował wniosek</w:t>
      </w:r>
      <w:r w:rsidR="00E80169" w:rsidRPr="003E0C66">
        <w:rPr>
          <w:rFonts w:ascii="Times New Roman" w:eastAsia="Times New Roman" w:hAnsi="Times New Roman" w:cs="Times New Roman"/>
          <w:szCs w:val="24"/>
          <w:lang w:eastAsia="fr-FR"/>
        </w:rPr>
        <w:t>.</w:t>
      </w:r>
      <w:r w:rsidR="00727453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7</w:t>
      </w:r>
      <w:r w:rsidRPr="003E0C66">
        <w:fldChar w:fldCharType="end"/>
      </w:r>
      <w:r w:rsidR="00DC6A02" w:rsidRPr="003E0C66">
        <w:t xml:space="preserve">. Skład Wielkiej Izby </w:t>
      </w:r>
      <w:r w:rsidR="003A0886" w:rsidRPr="003E0C66">
        <w:t xml:space="preserve">rozstrzygnął </w:t>
      </w:r>
      <w:r w:rsidR="003D46D0" w:rsidRPr="003E0C66">
        <w:t>zgodnie z przepisami Artykułu 26 §§</w:t>
      </w:r>
      <w:r w:rsidR="00CF3A8F">
        <w:t xml:space="preserve"> </w:t>
      </w:r>
      <w:r w:rsidR="003D46D0" w:rsidRPr="003E0C66">
        <w:t>4 i 5 Konwencji oraz</w:t>
      </w:r>
      <w:r w:rsidR="00EB5321" w:rsidRPr="003E0C66">
        <w:t xml:space="preserve"> Reguły</w:t>
      </w:r>
      <w:r w:rsidR="003D46D0" w:rsidRPr="003E0C66">
        <w:t xml:space="preserve"> 24 Regulaminu Trybunału. </w:t>
      </w:r>
      <w:r w:rsidR="00CF3A8F">
        <w:t>W</w:t>
      </w:r>
      <w:r w:rsidR="00CF3A8F" w:rsidRPr="003E0C66">
        <w:t xml:space="preserve"> obradach </w:t>
      </w:r>
      <w:r w:rsidR="003C6751" w:rsidRPr="003E0C66">
        <w:t>końcowych</w:t>
      </w:r>
      <w:r w:rsidR="00A600C9" w:rsidRPr="003E0C66">
        <w:t xml:space="preserve"> Jon </w:t>
      </w:r>
      <w:proofErr w:type="spellStart"/>
      <w:r w:rsidR="00A600C9" w:rsidRPr="003E0C66">
        <w:t>Fridrik</w:t>
      </w:r>
      <w:proofErr w:type="spellEnd"/>
      <w:r w:rsidR="00A600C9" w:rsidRPr="003E0C66">
        <w:t xml:space="preserve"> </w:t>
      </w:r>
      <w:proofErr w:type="spellStart"/>
      <w:r w:rsidR="00A600C9" w:rsidRPr="003E0C66">
        <w:t>Kjølbro</w:t>
      </w:r>
      <w:proofErr w:type="spellEnd"/>
      <w:r w:rsidR="00A600C9" w:rsidRPr="003E0C66">
        <w:t xml:space="preserve"> oraz </w:t>
      </w:r>
      <w:proofErr w:type="spellStart"/>
      <w:r w:rsidR="00A600C9" w:rsidRPr="003E0C66">
        <w:t>András</w:t>
      </w:r>
      <w:proofErr w:type="spellEnd"/>
      <w:r w:rsidR="00A600C9" w:rsidRPr="003E0C66">
        <w:t xml:space="preserve"> </w:t>
      </w:r>
      <w:proofErr w:type="spellStart"/>
      <w:r w:rsidR="00A600C9" w:rsidRPr="003E0C66">
        <w:t>Sajó</w:t>
      </w:r>
      <w:proofErr w:type="spellEnd"/>
      <w:r w:rsidR="00A600C9" w:rsidRPr="003E0C66">
        <w:t xml:space="preserve">, </w:t>
      </w:r>
      <w:r w:rsidR="00CF3A8F">
        <w:t>sędziowie zastępcy, zastąpili</w:t>
      </w:r>
      <w:r w:rsidR="00CF3A8F" w:rsidRPr="003E0C66">
        <w:t xml:space="preserve"> </w:t>
      </w:r>
      <w:proofErr w:type="spellStart"/>
      <w:r w:rsidR="00A600C9" w:rsidRPr="003E0C66">
        <w:t>Josep</w:t>
      </w:r>
      <w:proofErr w:type="spellEnd"/>
      <w:r w:rsidR="00A600C9" w:rsidRPr="003E0C66">
        <w:t xml:space="preserve"> </w:t>
      </w:r>
      <w:proofErr w:type="spellStart"/>
      <w:r w:rsidR="00A600C9" w:rsidRPr="003E0C66">
        <w:t>Casadevall</w:t>
      </w:r>
      <w:proofErr w:type="spellEnd"/>
      <w:r w:rsidR="00A600C9" w:rsidRPr="003E0C66">
        <w:t xml:space="preserve"> i </w:t>
      </w:r>
      <w:r w:rsidR="00E05B22" w:rsidRPr="003E0C66">
        <w:t xml:space="preserve">Isabelle </w:t>
      </w:r>
      <w:proofErr w:type="spellStart"/>
      <w:r w:rsidR="00E05B22" w:rsidRPr="003E0C66">
        <w:t>Berro</w:t>
      </w:r>
      <w:proofErr w:type="spellEnd"/>
      <w:r w:rsidR="00E05B22" w:rsidRPr="003E0C66">
        <w:t>,</w:t>
      </w:r>
      <w:r w:rsidR="00A600C9" w:rsidRPr="003E0C66">
        <w:t xml:space="preserve"> </w:t>
      </w:r>
      <w:r w:rsidR="003C6751" w:rsidRPr="003E0C66">
        <w:t xml:space="preserve">którzy nie </w:t>
      </w:r>
      <w:r w:rsidR="00CF3A8F">
        <w:t>byli w stanie</w:t>
      </w:r>
      <w:r w:rsidR="003C6751" w:rsidRPr="003E0C66">
        <w:t xml:space="preserve"> uczestniczyć w dalszym rozpatrywaniu sprawy</w:t>
      </w:r>
      <w:r w:rsidR="00EB5321" w:rsidRPr="003E0C66">
        <w:t xml:space="preserve"> (Reguła</w:t>
      </w:r>
      <w:r w:rsidR="003C6751" w:rsidRPr="003E0C66">
        <w:t xml:space="preserve"> 24 § 3).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</w:t>
      </w:r>
      <w:r w:rsidRPr="003E0C66">
        <w:fldChar w:fldCharType="end"/>
      </w:r>
      <w:r w:rsidR="00E05B22" w:rsidRPr="003E0C66">
        <w:t>. </w:t>
      </w:r>
      <w:r w:rsidR="00065F3C" w:rsidRPr="003E0C66">
        <w:t>Skarżący i R</w:t>
      </w:r>
      <w:r w:rsidR="00EB5321" w:rsidRPr="003E0C66">
        <w:t xml:space="preserve">ząd </w:t>
      </w:r>
      <w:r w:rsidR="00D8456D">
        <w:t>złożyli</w:t>
      </w:r>
      <w:r w:rsidR="00D8456D" w:rsidRPr="003E0C66">
        <w:t xml:space="preserve"> </w:t>
      </w:r>
      <w:r w:rsidR="00EB5321" w:rsidRPr="003E0C66">
        <w:t>uwagi</w:t>
      </w:r>
      <w:r w:rsidR="00065F3C" w:rsidRPr="003E0C66">
        <w:t xml:space="preserve"> </w:t>
      </w:r>
      <w:r w:rsidR="00EB5321" w:rsidRPr="003E0C66">
        <w:t>(Reguła</w:t>
      </w:r>
      <w:r w:rsidR="00F744B5" w:rsidRPr="003E0C66">
        <w:t xml:space="preserve"> 59 § 1) </w:t>
      </w:r>
      <w:r w:rsidR="00EB5321" w:rsidRPr="003E0C66">
        <w:t>do</w:t>
      </w:r>
      <w:r w:rsidR="00065F3C" w:rsidRPr="003E0C66">
        <w:t xml:space="preserve"> </w:t>
      </w:r>
      <w:r w:rsidR="00D8456D">
        <w:t xml:space="preserve">meritum </w:t>
      </w:r>
      <w:r w:rsidR="00F744B5" w:rsidRPr="003E0C66">
        <w:t xml:space="preserve">skargi. </w:t>
      </w:r>
      <w:r w:rsidR="00E05B22" w:rsidRPr="003E0C66">
        <w:t> </w:t>
      </w:r>
      <w:r w:rsidR="00645995" w:rsidRPr="003E0C66">
        <w:t>Ponadto</w:t>
      </w:r>
      <w:r w:rsidR="00D8456D">
        <w:t xml:space="preserve"> uwagi strony trzeciej zostały złożone przez</w:t>
      </w:r>
      <w:r w:rsidR="00645995" w:rsidRPr="003E0C66">
        <w:t xml:space="preserve"> </w:t>
      </w:r>
      <w:r w:rsidR="00D8456D">
        <w:t>r</w:t>
      </w:r>
      <w:r w:rsidR="00645995" w:rsidRPr="003E0C66">
        <w:t xml:space="preserve">ząd </w:t>
      </w:r>
      <w:r w:rsidR="00D8456D">
        <w:t>c</w:t>
      </w:r>
      <w:r w:rsidR="00645995" w:rsidRPr="003E0C66">
        <w:t xml:space="preserve">zeski, </w:t>
      </w:r>
      <w:r w:rsidR="0019577D" w:rsidRPr="003E0C66">
        <w:t>któr</w:t>
      </w:r>
      <w:r w:rsidR="00D8456D">
        <w:t>y</w:t>
      </w:r>
      <w:r w:rsidR="0019577D" w:rsidRPr="003E0C66">
        <w:t xml:space="preserve"> został</w:t>
      </w:r>
      <w:r w:rsidR="00D8456D">
        <w:t xml:space="preserve"> dopuszczony do udziału w sprawie </w:t>
      </w:r>
      <w:r w:rsidR="0019577D" w:rsidRPr="003E0C66">
        <w:t>przez Przewodniczącego</w:t>
      </w:r>
      <w:r w:rsidR="00645995" w:rsidRPr="003E0C66">
        <w:t xml:space="preserve"> </w:t>
      </w:r>
      <w:r w:rsidR="00D8456D">
        <w:t xml:space="preserve">w dniu </w:t>
      </w:r>
      <w:r w:rsidR="00650508" w:rsidRPr="003E0C66">
        <w:t>3 listopada 2014 roku</w:t>
      </w:r>
      <w:r w:rsidR="00D8456D">
        <w:t>, w procedurze pisemnej</w:t>
      </w:r>
      <w:r w:rsidR="00650508" w:rsidRPr="003E0C66">
        <w:t xml:space="preserve"> (Artykuł</w:t>
      </w:r>
      <w:r w:rsidR="00E05B22" w:rsidRPr="003E0C66">
        <w:t xml:space="preserve"> 36 § 2 </w:t>
      </w:r>
      <w:r w:rsidR="00650508" w:rsidRPr="003E0C66">
        <w:t>Konwencji oraz Reguła 44 § 3).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</w:t>
      </w:r>
      <w:r w:rsidRPr="003E0C66">
        <w:fldChar w:fldCharType="end"/>
      </w:r>
      <w:r w:rsidR="00E05B22" w:rsidRPr="003E0C66">
        <w:t>. </w:t>
      </w:r>
      <w:r w:rsidR="00650508" w:rsidRPr="003E0C66">
        <w:t>Rząd Gruzji</w:t>
      </w:r>
      <w:r w:rsidR="0072143B">
        <w:t>,</w:t>
      </w:r>
      <w:r w:rsidR="00650508" w:rsidRPr="003E0C66">
        <w:t xml:space="preserve"> </w:t>
      </w:r>
      <w:r w:rsidR="009A7B99">
        <w:t xml:space="preserve">który </w:t>
      </w:r>
      <w:r w:rsidR="00650508" w:rsidRPr="003E0C66">
        <w:t xml:space="preserve">został poinformowany o prawie do </w:t>
      </w:r>
      <w:r w:rsidR="00D12830" w:rsidRPr="003E0C66">
        <w:t>wystąpienia w charakterze interwenienta w postępowaniu (Artykuł 36 § 1 Konwencji i Reguła 44 §§</w:t>
      </w:r>
      <w:r w:rsidR="00D8456D">
        <w:t xml:space="preserve"> </w:t>
      </w:r>
      <w:r w:rsidR="00D12830" w:rsidRPr="003E0C66">
        <w:t xml:space="preserve">1 i 4), </w:t>
      </w:r>
      <w:r w:rsidR="00AA5330" w:rsidRPr="003E0C66">
        <w:t>nie oświadczył, ż</w:t>
      </w:r>
      <w:r w:rsidR="009A7B99">
        <w:t>e</w:t>
      </w:r>
      <w:r w:rsidR="00AA5330" w:rsidRPr="003E0C66">
        <w:t xml:space="preserve"> chciałby skorzystać z tego prawa.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10</w:t>
      </w:r>
      <w:r w:rsidRPr="003E0C66">
        <w:fldChar w:fldCharType="end"/>
      </w:r>
      <w:r w:rsidR="00E05B22" w:rsidRPr="003E0C66">
        <w:t>. </w:t>
      </w:r>
      <w:r w:rsidR="00480CEF" w:rsidRPr="003E0C66">
        <w:t xml:space="preserve">Rozprawa odbyła się </w:t>
      </w:r>
      <w:r w:rsidR="00D53F12" w:rsidRPr="003E0C66">
        <w:t xml:space="preserve">publicznie w Budynku Praw Człowieka w Strasburgu </w:t>
      </w:r>
      <w:r w:rsidR="009A7B99">
        <w:t xml:space="preserve">w dniu </w:t>
      </w:r>
      <w:r w:rsidR="00D53F12" w:rsidRPr="003E0C66">
        <w:t xml:space="preserve">4 marca 2015 roku (Reguła 59 § 3). </w:t>
      </w:r>
      <w:r w:rsidR="00E05B22" w:rsidRPr="003E0C66">
        <w:t> </w:t>
      </w:r>
    </w:p>
    <w:p w:rsidR="00E05B22" w:rsidRPr="003E0C66" w:rsidRDefault="00D53F12" w:rsidP="00BC0CE7">
      <w:pPr>
        <w:pStyle w:val="ECHRPara"/>
      </w:pPr>
      <w:r w:rsidRPr="003E0C66">
        <w:t xml:space="preserve">Przed Trybunałem stawili się: </w:t>
      </w:r>
    </w:p>
    <w:p w:rsidR="00E05B22" w:rsidRPr="003E0C66" w:rsidRDefault="00E05B22" w:rsidP="0032276C">
      <w:pPr>
        <w:pStyle w:val="JuCourt"/>
        <w:keepLines/>
      </w:pPr>
      <w:r w:rsidRPr="003E0C66">
        <w:lastRenderedPageBreak/>
        <w:t>(a)  </w:t>
      </w:r>
      <w:r w:rsidR="00C4766F" w:rsidRPr="003E0C66">
        <w:rPr>
          <w:i/>
        </w:rPr>
        <w:t xml:space="preserve">po stronie </w:t>
      </w:r>
      <w:r w:rsidR="009A7B99">
        <w:rPr>
          <w:i/>
        </w:rPr>
        <w:t>p</w:t>
      </w:r>
      <w:r w:rsidR="00C4766F" w:rsidRPr="003E0C66">
        <w:rPr>
          <w:i/>
        </w:rPr>
        <w:t xml:space="preserve">ozwanego </w:t>
      </w:r>
      <w:r w:rsidR="0072143B">
        <w:rPr>
          <w:i/>
        </w:rPr>
        <w:t>R</w:t>
      </w:r>
      <w:r w:rsidR="00C4766F" w:rsidRPr="003E0C66">
        <w:rPr>
          <w:i/>
        </w:rPr>
        <w:t>ządu</w:t>
      </w:r>
      <w:r w:rsidR="00C4766F" w:rsidRPr="003E0C66">
        <w:br/>
        <w:t xml:space="preserve">Pan </w:t>
      </w:r>
      <w:r w:rsidRPr="003E0C66">
        <w:tab/>
      </w:r>
      <w:r w:rsidRPr="003E0C66">
        <w:rPr>
          <w:rStyle w:val="JuNames0"/>
        </w:rPr>
        <w:t xml:space="preserve">H.-J. </w:t>
      </w:r>
      <w:proofErr w:type="spellStart"/>
      <w:r w:rsidRPr="003E0C66">
        <w:rPr>
          <w:rStyle w:val="JuNames0"/>
        </w:rPr>
        <w:t>Behrens</w:t>
      </w:r>
      <w:proofErr w:type="spellEnd"/>
      <w:r w:rsidR="00920A3E" w:rsidRPr="003E0C66">
        <w:t>,</w:t>
      </w:r>
      <w:r w:rsidR="00C4766F" w:rsidRPr="003E0C66">
        <w:t xml:space="preserve"> Federalne Ministerstwo Sprawiedliwości i Ochrony Konsumenta,</w:t>
      </w:r>
      <w:r w:rsidRPr="003E0C66">
        <w:tab/>
      </w:r>
      <w:r w:rsidR="0032276C">
        <w:rPr>
          <w:i/>
        </w:rPr>
        <w:t>p</w:t>
      </w:r>
      <w:r w:rsidR="00C4766F" w:rsidRPr="00FA3031">
        <w:rPr>
          <w:i/>
        </w:rPr>
        <w:t>ełnomocnik,</w:t>
      </w:r>
      <w:r w:rsidR="00C4766F" w:rsidRPr="003E0C66">
        <w:br/>
        <w:t>Pan</w:t>
      </w:r>
      <w:r w:rsidRPr="003E0C66">
        <w:tab/>
      </w:r>
      <w:r w:rsidRPr="003E0C66">
        <w:rPr>
          <w:rStyle w:val="JuNames0"/>
        </w:rPr>
        <w:t xml:space="preserve">H. </w:t>
      </w:r>
      <w:proofErr w:type="spellStart"/>
      <w:r w:rsidRPr="003E0C66">
        <w:rPr>
          <w:rStyle w:val="JuNames0"/>
        </w:rPr>
        <w:t>Satzger</w:t>
      </w:r>
      <w:proofErr w:type="spellEnd"/>
      <w:r w:rsidRPr="003E0C66">
        <w:t>,</w:t>
      </w:r>
      <w:r w:rsidR="00C4766F" w:rsidRPr="003E0C66">
        <w:t xml:space="preserve"> Profesor Prawa Karnego na Uniwersytecie w </w:t>
      </w:r>
      <w:r w:rsidR="0032276C">
        <w:t>Monachium</w:t>
      </w:r>
      <w:r w:rsidR="00C4766F" w:rsidRPr="003E0C66">
        <w:t>,</w:t>
      </w:r>
      <w:r w:rsidR="00C4766F" w:rsidRPr="003E0C66">
        <w:br/>
        <w:t>Pan</w:t>
      </w:r>
      <w:r w:rsidRPr="003E0C66">
        <w:tab/>
      </w:r>
      <w:r w:rsidRPr="003E0C66">
        <w:rPr>
          <w:rStyle w:val="JuNames0"/>
        </w:rPr>
        <w:t>F. Zimmermann</w:t>
      </w:r>
      <w:r w:rsidRPr="003E0C66">
        <w:t xml:space="preserve">, </w:t>
      </w:r>
      <w:r w:rsidR="00334BA7" w:rsidRPr="003E0C66">
        <w:t xml:space="preserve">Asystent Prawny na Uniwersytecie w </w:t>
      </w:r>
      <w:r w:rsidR="0032276C">
        <w:t>Monachium</w:t>
      </w:r>
      <w:r w:rsidR="00334BA7" w:rsidRPr="003E0C66">
        <w:t xml:space="preserve">, </w:t>
      </w:r>
      <w:r w:rsidR="00C4766F" w:rsidRPr="003E0C66">
        <w:br/>
        <w:t>Pan</w:t>
      </w:r>
      <w:r w:rsidRPr="003E0C66">
        <w:tab/>
      </w:r>
      <w:r w:rsidRPr="003E0C66">
        <w:rPr>
          <w:rStyle w:val="JuNames0"/>
        </w:rPr>
        <w:t xml:space="preserve">H. </w:t>
      </w:r>
      <w:proofErr w:type="spellStart"/>
      <w:r w:rsidRPr="003E0C66">
        <w:rPr>
          <w:rStyle w:val="JuNames0"/>
        </w:rPr>
        <w:t>Paetzold</w:t>
      </w:r>
      <w:proofErr w:type="spellEnd"/>
      <w:r w:rsidRPr="003E0C66">
        <w:t xml:space="preserve">, </w:t>
      </w:r>
      <w:r w:rsidR="00334BA7" w:rsidRPr="003E0C66">
        <w:t xml:space="preserve">Federalne Ministerstwo Sprawiedliwości i Ochrony Konsumenta, </w:t>
      </w:r>
      <w:r w:rsidR="00C4766F" w:rsidRPr="003E0C66">
        <w:br/>
        <w:t>Pan</w:t>
      </w:r>
      <w:r w:rsidRPr="003E0C66">
        <w:tab/>
      </w:r>
      <w:r w:rsidRPr="003E0C66">
        <w:rPr>
          <w:rStyle w:val="JuNames0"/>
        </w:rPr>
        <w:t xml:space="preserve">C. </w:t>
      </w:r>
      <w:proofErr w:type="spellStart"/>
      <w:r w:rsidRPr="003E0C66">
        <w:rPr>
          <w:rStyle w:val="JuNames0"/>
        </w:rPr>
        <w:t>Tegethoff</w:t>
      </w:r>
      <w:proofErr w:type="spellEnd"/>
      <w:r w:rsidRPr="003E0C66">
        <w:t xml:space="preserve">, </w:t>
      </w:r>
      <w:r w:rsidR="0032276C">
        <w:t>s</w:t>
      </w:r>
      <w:r w:rsidR="00334BA7" w:rsidRPr="003E0C66">
        <w:t>ędzia, Ministerstwo Sprawiedliwości Dolnej Saksonii,</w:t>
      </w:r>
      <w:r w:rsidR="00334BA7" w:rsidRPr="003E0C66">
        <w:tab/>
      </w:r>
      <w:r w:rsidRPr="003E0C66">
        <w:tab/>
      </w:r>
      <w:r w:rsidR="0032276C">
        <w:rPr>
          <w:i/>
        </w:rPr>
        <w:t>d</w:t>
      </w:r>
      <w:r w:rsidR="00334BA7" w:rsidRPr="003E0C66">
        <w:rPr>
          <w:i/>
        </w:rPr>
        <w:t>oradcy</w:t>
      </w:r>
      <w:r w:rsidRPr="003E0C66">
        <w:t>;</w:t>
      </w:r>
    </w:p>
    <w:p w:rsidR="00E05B22" w:rsidRPr="003E0C66" w:rsidRDefault="00E05B22" w:rsidP="0032276C">
      <w:pPr>
        <w:pStyle w:val="JuCourt"/>
        <w:keepLines/>
      </w:pPr>
      <w:r w:rsidRPr="003E0C66">
        <w:t>(b)  </w:t>
      </w:r>
      <w:r w:rsidR="00334BA7" w:rsidRPr="003E0C66">
        <w:t xml:space="preserve"> </w:t>
      </w:r>
      <w:r w:rsidR="00334BA7" w:rsidRPr="0032276C">
        <w:t xml:space="preserve">po stronie </w:t>
      </w:r>
      <w:r w:rsidR="0032276C">
        <w:t>s</w:t>
      </w:r>
      <w:r w:rsidR="00334BA7" w:rsidRPr="0032276C">
        <w:t>karżącego</w:t>
      </w:r>
      <w:r w:rsidR="00334BA7" w:rsidRPr="003E0C66">
        <w:t xml:space="preserve"> </w:t>
      </w:r>
      <w:r w:rsidR="00334BA7" w:rsidRPr="003E0C66">
        <w:br/>
        <w:t>Pan</w:t>
      </w:r>
      <w:r w:rsidRPr="003E0C66">
        <w:tab/>
      </w:r>
      <w:r w:rsidRPr="003E0C66">
        <w:rPr>
          <w:rStyle w:val="JuNames0"/>
        </w:rPr>
        <w:t>H. Meyer-</w:t>
      </w:r>
      <w:proofErr w:type="spellStart"/>
      <w:r w:rsidRPr="003E0C66">
        <w:rPr>
          <w:rStyle w:val="JuNames0"/>
        </w:rPr>
        <w:t>Mews</w:t>
      </w:r>
      <w:proofErr w:type="spellEnd"/>
      <w:r w:rsidRPr="003E0C66">
        <w:t xml:space="preserve">, </w:t>
      </w:r>
      <w:r w:rsidR="0032276C">
        <w:t>prawnik</w:t>
      </w:r>
      <w:r w:rsidRPr="003E0C66">
        <w:t>,</w:t>
      </w:r>
      <w:r w:rsidRPr="003E0C66">
        <w:tab/>
      </w:r>
      <w:r w:rsidR="0032276C">
        <w:rPr>
          <w:i/>
        </w:rPr>
        <w:t>o</w:t>
      </w:r>
      <w:r w:rsidR="00920A3E" w:rsidRPr="003E0C66">
        <w:rPr>
          <w:i/>
        </w:rPr>
        <w:t>brońca</w:t>
      </w:r>
      <w:r w:rsidR="00334BA7" w:rsidRPr="003E0C66">
        <w:t>,</w:t>
      </w:r>
      <w:r w:rsidR="00334BA7" w:rsidRPr="003E0C66">
        <w:br/>
        <w:t>Pan</w:t>
      </w:r>
      <w:r w:rsidRPr="003E0C66">
        <w:tab/>
      </w:r>
      <w:r w:rsidRPr="003E0C66">
        <w:rPr>
          <w:rStyle w:val="JuNames0"/>
        </w:rPr>
        <w:t>A. Rotter</w:t>
      </w:r>
      <w:r w:rsidR="00334BA7" w:rsidRPr="003E0C66">
        <w:t xml:space="preserve">, </w:t>
      </w:r>
      <w:r w:rsidR="0032276C">
        <w:t>prawnik</w:t>
      </w:r>
      <w:r w:rsidR="00334BA7" w:rsidRPr="003E0C66">
        <w:t>,</w:t>
      </w:r>
      <w:r w:rsidR="00334BA7" w:rsidRPr="003E0C66">
        <w:br/>
        <w:t>Pan</w:t>
      </w:r>
      <w:r w:rsidRPr="003E0C66">
        <w:tab/>
      </w:r>
      <w:r w:rsidRPr="003E0C66">
        <w:rPr>
          <w:rStyle w:val="JuNames0"/>
        </w:rPr>
        <w:t>J. Lam</w:t>
      </w:r>
      <w:r w:rsidRPr="003E0C66">
        <w:t xml:space="preserve">, </w:t>
      </w:r>
      <w:r w:rsidR="0032276C">
        <w:t>prawnik</w:t>
      </w:r>
      <w:r w:rsidRPr="003E0C66">
        <w:t>,</w:t>
      </w:r>
      <w:r w:rsidRPr="003E0C66">
        <w:tab/>
      </w:r>
      <w:r w:rsidR="0072143B">
        <w:rPr>
          <w:i/>
        </w:rPr>
        <w:t>d</w:t>
      </w:r>
      <w:r w:rsidR="0072143B" w:rsidRPr="003E0C66">
        <w:rPr>
          <w:i/>
        </w:rPr>
        <w:t>oradcy</w:t>
      </w:r>
      <w:r w:rsidRPr="003E0C66">
        <w:t>.</w:t>
      </w:r>
    </w:p>
    <w:p w:rsidR="00E05B22" w:rsidRPr="003E0C66" w:rsidRDefault="00C4766F" w:rsidP="00C4766F">
      <w:pPr>
        <w:pStyle w:val="ECHRPara"/>
        <w:tabs>
          <w:tab w:val="left" w:pos="2494"/>
        </w:tabs>
      </w:pPr>
      <w:r w:rsidRPr="003E0C66">
        <w:tab/>
      </w:r>
    </w:p>
    <w:p w:rsidR="00E05B22" w:rsidRPr="003E0C66" w:rsidRDefault="00920A3E" w:rsidP="00BC0CE7">
      <w:pPr>
        <w:pStyle w:val="ECHRPara"/>
      </w:pPr>
      <w:r w:rsidRPr="003E0C66">
        <w:t xml:space="preserve"> Trybunał wysłuchał przemówień Pana Meyer-</w:t>
      </w:r>
      <w:proofErr w:type="spellStart"/>
      <w:r w:rsidRPr="003E0C66">
        <w:t>Mews</w:t>
      </w:r>
      <w:proofErr w:type="spellEnd"/>
      <w:r w:rsidRPr="003E0C66">
        <w:t xml:space="preserve"> i Pana </w:t>
      </w:r>
      <w:proofErr w:type="spellStart"/>
      <w:r w:rsidRPr="003E0C66">
        <w:t>Behrens</w:t>
      </w:r>
      <w:proofErr w:type="spellEnd"/>
      <w:r w:rsidRPr="003E0C66">
        <w:t xml:space="preserve"> oraz ich odpowiedzi na pytania zadane przez </w:t>
      </w:r>
      <w:r w:rsidR="0032276C">
        <w:t>s</w:t>
      </w:r>
      <w:r w:rsidRPr="003E0C66">
        <w:t xml:space="preserve">ędziów. </w:t>
      </w:r>
    </w:p>
    <w:p w:rsidR="00E05B22" w:rsidRPr="003E0C66" w:rsidRDefault="00920A3E" w:rsidP="00BC0CE7">
      <w:pPr>
        <w:pStyle w:val="ECHRTitle1"/>
      </w:pPr>
      <w:r w:rsidRPr="003E0C66">
        <w:t>STAN FAKTYCZNY</w:t>
      </w:r>
    </w:p>
    <w:p w:rsidR="00E05B22" w:rsidRPr="003E0C66" w:rsidRDefault="00E05B22" w:rsidP="00BC0CE7">
      <w:pPr>
        <w:pStyle w:val="ECHRHeading1"/>
      </w:pPr>
      <w:r w:rsidRPr="003E0C66">
        <w:t>I</w:t>
      </w:r>
      <w:r w:rsidR="00920A3E" w:rsidRPr="003E0C66">
        <w:t>.  OKOLICZNOŚCI SPRAWY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</w:t>
      </w:r>
      <w:r w:rsidRPr="003E0C66">
        <w:fldChar w:fldCharType="end"/>
      </w:r>
      <w:r w:rsidR="00E05B22" w:rsidRPr="003E0C66">
        <w:t>. </w:t>
      </w:r>
      <w:r w:rsidR="00920A3E" w:rsidRPr="003E0C66">
        <w:t xml:space="preserve">Skarżący urodził się w 1978 roku. </w:t>
      </w:r>
      <w:r w:rsidR="0032276C">
        <w:t>W momencie składania skargi</w:t>
      </w:r>
      <w:r w:rsidR="00782EF8" w:rsidRPr="003E0C66">
        <w:t xml:space="preserve"> </w:t>
      </w:r>
      <w:r w:rsidR="00920A3E" w:rsidRPr="003E0C66">
        <w:t xml:space="preserve">przebywał w </w:t>
      </w:r>
      <w:r w:rsidR="0032276C">
        <w:t>Zakładzie Karnym</w:t>
      </w:r>
      <w:r w:rsidR="0032276C" w:rsidRPr="003E0C66">
        <w:t xml:space="preserve"> </w:t>
      </w:r>
      <w:r w:rsidR="003B3B9A" w:rsidRPr="003E0C66">
        <w:t xml:space="preserve">w </w:t>
      </w:r>
      <w:proofErr w:type="spellStart"/>
      <w:r w:rsidR="003B3B9A" w:rsidRPr="003E0C66">
        <w:t>Rosdorf</w:t>
      </w:r>
      <w:proofErr w:type="spellEnd"/>
      <w:r w:rsidR="0032276C">
        <w:t xml:space="preserve"> w Niemczech</w:t>
      </w:r>
      <w:r w:rsidR="003B3B9A" w:rsidRPr="003E0C66">
        <w:t xml:space="preserve">. Obecnie mieszka w </w:t>
      </w:r>
      <w:proofErr w:type="spellStart"/>
      <w:r w:rsidR="003B3B9A" w:rsidRPr="003E0C66">
        <w:t>Khasuhuri</w:t>
      </w:r>
      <w:proofErr w:type="spellEnd"/>
      <w:r w:rsidR="003B3B9A" w:rsidRPr="003E0C66">
        <w:t xml:space="preserve">/Surami </w:t>
      </w:r>
      <w:r w:rsidR="0032276C">
        <w:t>w Gruzji</w:t>
      </w:r>
      <w:r w:rsidR="003B3B9A" w:rsidRPr="003E0C66">
        <w:t xml:space="preserve">. </w:t>
      </w:r>
      <w:r w:rsidR="00E05B22" w:rsidRPr="003E0C66">
        <w:t> </w:t>
      </w:r>
    </w:p>
    <w:p w:rsidR="00E05B22" w:rsidRPr="003E0C66" w:rsidRDefault="00E05B22" w:rsidP="00BC0CE7">
      <w:pPr>
        <w:pStyle w:val="ECHRHeading2"/>
      </w:pPr>
      <w:r w:rsidRPr="003E0C66">
        <w:t>A.  </w:t>
      </w:r>
      <w:r w:rsidR="00F0622E" w:rsidRPr="003E0C66">
        <w:t xml:space="preserve">Wydarzenia w Kassel i </w:t>
      </w:r>
      <w:r w:rsidRPr="003E0C66">
        <w:t>Göttingen</w:t>
      </w:r>
      <w:r w:rsidR="00F0622E" w:rsidRPr="003E0C66">
        <w:t xml:space="preserve"> </w:t>
      </w:r>
      <w:r w:rsidR="0032276C">
        <w:t>według ustaleń sądów krajowych</w:t>
      </w:r>
    </w:p>
    <w:p w:rsidR="00E05B22" w:rsidRPr="003E0C66" w:rsidRDefault="00E05B22" w:rsidP="00BC0CE7">
      <w:pPr>
        <w:pStyle w:val="ECHRHeading3"/>
      </w:pPr>
      <w:r w:rsidRPr="003E0C66">
        <w:t>1.  </w:t>
      </w:r>
      <w:r w:rsidR="00995A7B" w:rsidRPr="003E0C66">
        <w:t xml:space="preserve">Przestępstwo popełnione w </w:t>
      </w:r>
      <w:r w:rsidRPr="003E0C66">
        <w:t>Kassel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12</w:t>
      </w:r>
      <w:r w:rsidRPr="003E0C66">
        <w:fldChar w:fldCharType="end"/>
      </w:r>
      <w:r w:rsidR="00E05B22" w:rsidRPr="003E0C66">
        <w:t>. </w:t>
      </w:r>
      <w:r w:rsidR="00AE7BD0" w:rsidRPr="003E0C66">
        <w:t>Wieczorem</w:t>
      </w:r>
      <w:r w:rsidR="007B1AF8">
        <w:t xml:space="preserve"> </w:t>
      </w:r>
      <w:r w:rsidR="00AE7BD0" w:rsidRPr="003E0C66">
        <w:t>14</w:t>
      </w:r>
      <w:r w:rsidR="0072143B">
        <w:t xml:space="preserve"> </w:t>
      </w:r>
      <w:r w:rsidR="00AE7BD0" w:rsidRPr="003E0C66">
        <w:t>października</w:t>
      </w:r>
      <w:r w:rsidR="0072143B">
        <w:t xml:space="preserve"> </w:t>
      </w:r>
      <w:r w:rsidR="00AE7BD0" w:rsidRPr="003E0C66">
        <w:t>2006</w:t>
      </w:r>
      <w:r w:rsidR="0072143B">
        <w:t xml:space="preserve"> </w:t>
      </w:r>
      <w:r w:rsidR="00AE7BD0" w:rsidRPr="003E0C66">
        <w:t>roku</w:t>
      </w:r>
      <w:r w:rsidR="0072143B">
        <w:t xml:space="preserve"> </w:t>
      </w:r>
      <w:r w:rsidR="00AE7BD0" w:rsidRPr="003E0C66">
        <w:t>skarżący</w:t>
      </w:r>
      <w:r w:rsidR="0072143B">
        <w:t xml:space="preserve"> </w:t>
      </w:r>
      <w:r w:rsidR="00AE7BD0" w:rsidRPr="003E0C66">
        <w:t>i</w:t>
      </w:r>
      <w:r w:rsidR="0072143B">
        <w:t xml:space="preserve"> </w:t>
      </w:r>
      <w:r w:rsidR="00AE7BD0" w:rsidRPr="003E0C66">
        <w:t xml:space="preserve">niezidentyfikowany wspólnik obrabowali L. oraz I., </w:t>
      </w:r>
      <w:r w:rsidR="00B6229E" w:rsidRPr="003E0C66">
        <w:t>dwie obywatelki Litwy</w:t>
      </w:r>
      <w:r w:rsidR="00316FC6" w:rsidRPr="003E0C66">
        <w:t>,</w:t>
      </w:r>
      <w:r w:rsidR="00AE7BD0" w:rsidRPr="003E0C66">
        <w:t xml:space="preserve"> w apartamencie </w:t>
      </w:r>
      <w:r w:rsidR="0032276C">
        <w:t>damskim</w:t>
      </w:r>
      <w:r w:rsidR="0032276C" w:rsidRPr="003E0C66">
        <w:t xml:space="preserve"> </w:t>
      </w:r>
      <w:r w:rsidR="00AE7BD0" w:rsidRPr="003E0C66">
        <w:t xml:space="preserve">w Kassel.  </w:t>
      </w:r>
      <w:r w:rsidR="00E05B22" w:rsidRPr="003E0C66">
        <w:t> 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13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Sprawcy </w:t>
      </w:r>
      <w:r w:rsidR="0032276C">
        <w:rPr>
          <w:rFonts w:ascii="Times New Roman" w:eastAsia="Times New Roman" w:hAnsi="Times New Roman" w:cs="Times New Roman"/>
          <w:szCs w:val="20"/>
          <w:lang w:eastAsia="fr-FR"/>
        </w:rPr>
        <w:t>wiedzieli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>, ż</w:t>
      </w:r>
      <w:r w:rsidR="0032276C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apartament jest wykorzystywany w celach prostytucji i spodziewali się, ż</w:t>
      </w:r>
      <w:r w:rsidR="0032276C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kobiety </w:t>
      </w:r>
      <w:r w:rsidR="00C5087C">
        <w:rPr>
          <w:rFonts w:ascii="Times New Roman" w:eastAsia="Times New Roman" w:hAnsi="Times New Roman" w:cs="Times New Roman"/>
          <w:szCs w:val="20"/>
          <w:lang w:eastAsia="fr-FR"/>
        </w:rPr>
        <w:t>w nim</w:t>
      </w:r>
      <w:r w:rsidR="00C5087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zamieszkujące </w:t>
      </w:r>
      <w:r w:rsidR="00A8273D">
        <w:rPr>
          <w:rFonts w:ascii="Times New Roman" w:eastAsia="Times New Roman" w:hAnsi="Times New Roman" w:cs="Times New Roman"/>
          <w:szCs w:val="20"/>
          <w:lang w:eastAsia="fr-FR"/>
        </w:rPr>
        <w:t>mają tam</w:t>
      </w:r>
      <w:r w:rsidR="00A8273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gotówkę i cenne przedmioty. Wczesnym wieczorem przeszli obok </w:t>
      </w:r>
      <w:r w:rsidR="00AE61D9">
        <w:rPr>
          <w:rFonts w:ascii="Times New Roman" w:eastAsia="Times New Roman" w:hAnsi="Times New Roman" w:cs="Times New Roman"/>
          <w:szCs w:val="20"/>
          <w:lang w:eastAsia="fr-FR"/>
        </w:rPr>
        <w:t>apartamentu</w:t>
      </w:r>
      <w:r w:rsidR="00B6229E" w:rsidRPr="003E0C6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aby upewnić się, że nie ma tam żadnych klientów, czy </w:t>
      </w:r>
      <w:r w:rsidR="009624F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zleceniodawcy. 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624F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Krótko po tym wrócili na miejsce i </w:t>
      </w:r>
      <w:r w:rsidR="003043D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obezwładnili L., która otworzyła drzwi. Skarżący </w:t>
      </w:r>
      <w:r w:rsidR="00AE61D9">
        <w:rPr>
          <w:rFonts w:ascii="Times New Roman" w:eastAsia="Times New Roman" w:hAnsi="Times New Roman" w:cs="Times New Roman"/>
          <w:szCs w:val="20"/>
          <w:lang w:eastAsia="fr-FR"/>
        </w:rPr>
        <w:t>wycelował</w:t>
      </w:r>
      <w:r w:rsidR="00AE61D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043D3" w:rsidRPr="003E0C66">
        <w:rPr>
          <w:rFonts w:ascii="Times New Roman" w:eastAsia="Times New Roman" w:hAnsi="Times New Roman" w:cs="Times New Roman"/>
          <w:szCs w:val="20"/>
          <w:lang w:eastAsia="fr-FR"/>
        </w:rPr>
        <w:t>pistolet gazowy, wyglądający jak prawdziwy</w:t>
      </w:r>
      <w:r w:rsidR="00AE61D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3043D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kobiety i </w:t>
      </w:r>
      <w:r w:rsidR="00AE61D9">
        <w:rPr>
          <w:rFonts w:ascii="Times New Roman" w:eastAsia="Times New Roman" w:hAnsi="Times New Roman" w:cs="Times New Roman"/>
          <w:szCs w:val="20"/>
          <w:lang w:eastAsia="fr-FR"/>
        </w:rPr>
        <w:t>za</w:t>
      </w:r>
      <w:r w:rsidR="003043D3" w:rsidRPr="003E0C66">
        <w:rPr>
          <w:rFonts w:ascii="Times New Roman" w:eastAsia="Times New Roman" w:hAnsi="Times New Roman" w:cs="Times New Roman"/>
          <w:szCs w:val="20"/>
          <w:lang w:eastAsia="fr-FR"/>
        </w:rPr>
        <w:t>groził, że zastrzeli je jeśli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043D3" w:rsidRPr="003E0C66">
        <w:rPr>
          <w:rFonts w:ascii="Times New Roman" w:eastAsia="Times New Roman" w:hAnsi="Times New Roman" w:cs="Times New Roman"/>
          <w:szCs w:val="20"/>
          <w:lang w:eastAsia="fr-FR"/>
        </w:rPr>
        <w:t>nie powiedzą</w:t>
      </w:r>
      <w:r w:rsidR="00AE61D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3043D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gdzie </w:t>
      </w:r>
      <w:r w:rsidR="003043D3" w:rsidRPr="003E0C66">
        <w:rPr>
          <w:rFonts w:ascii="Times New Roman" w:eastAsia="Times New Roman" w:hAnsi="Times New Roman" w:cs="Times New Roman"/>
          <w:szCs w:val="20"/>
          <w:lang w:eastAsia="fr-FR"/>
        </w:rPr>
        <w:lastRenderedPageBreak/>
        <w:t>przechowują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043D3" w:rsidRPr="003E0C66">
        <w:rPr>
          <w:rFonts w:ascii="Times New Roman" w:eastAsia="Times New Roman" w:hAnsi="Times New Roman" w:cs="Times New Roman"/>
          <w:szCs w:val="20"/>
          <w:lang w:eastAsia="fr-FR"/>
        </w:rPr>
        <w:t>pieniądze. Kiedy jego wspólnik pilnował kobiet, skarżący</w:t>
      </w:r>
      <w:r w:rsidR="00316FC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E61D9">
        <w:rPr>
          <w:rFonts w:ascii="Times New Roman" w:eastAsia="Times New Roman" w:hAnsi="Times New Roman" w:cs="Times New Roman"/>
          <w:szCs w:val="20"/>
          <w:lang w:eastAsia="fr-FR"/>
        </w:rPr>
        <w:t>częściowo zabrał, a częściowo</w:t>
      </w:r>
      <w:r w:rsidR="006C7AE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zmusił kobiety do przekazani</w:t>
      </w:r>
      <w:r w:rsidR="00C5087C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6C7AE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mu około 1100 euro (EUR) i sześciu telefonów komórkowych</w:t>
      </w:r>
    </w:p>
    <w:p w:rsidR="00E05B22" w:rsidRPr="003E0C66" w:rsidRDefault="00E05B22" w:rsidP="00BC0CE7">
      <w:pPr>
        <w:pStyle w:val="ECHRHeading3"/>
      </w:pPr>
      <w:r w:rsidRPr="003E0C66">
        <w:t>2. </w:t>
      </w:r>
      <w:r w:rsidR="006C7AE9" w:rsidRPr="003E0C66">
        <w:t>Przestępstwo popełnione w</w:t>
      </w:r>
      <w:r w:rsidRPr="003E0C66">
        <w:t xml:space="preserve"> Göttingen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14</w:t>
      </w:r>
      <w:r w:rsidRPr="003E0C66">
        <w:fldChar w:fldCharType="end"/>
      </w:r>
      <w:r w:rsidR="00E05B22" w:rsidRPr="003E0C66">
        <w:t>. </w:t>
      </w:r>
      <w:r w:rsidR="00AE61D9">
        <w:t xml:space="preserve">W dniu </w:t>
      </w:r>
      <w:r w:rsidR="006C7AE9" w:rsidRPr="003E0C66">
        <w:t>3 lutego 2007</w:t>
      </w:r>
      <w:r w:rsidR="00AE61D9">
        <w:t xml:space="preserve"> roku</w:t>
      </w:r>
      <w:r w:rsidR="006C7AE9" w:rsidRPr="003E0C66">
        <w:t xml:space="preserve"> skarżący, działając wspólnie z kilkoma osobami, obrabował O. i P., dwie obywatelki </w:t>
      </w:r>
      <w:r w:rsidR="00AE61D9">
        <w:t>ł</w:t>
      </w:r>
      <w:r w:rsidR="006C7AE9" w:rsidRPr="003E0C66">
        <w:t xml:space="preserve">otewskie, które tymczasowo przebywały w Niemczech i pracowały jako prostytutki, w </w:t>
      </w:r>
      <w:r w:rsidR="00AE61D9">
        <w:t>ich</w:t>
      </w:r>
      <w:r w:rsidR="00AE61D9" w:rsidRPr="003E0C66">
        <w:t xml:space="preserve"> </w:t>
      </w:r>
      <w:r w:rsidR="006C7AE9" w:rsidRPr="003E0C66">
        <w:t xml:space="preserve">mieszkaniu 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Göttingen.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15</w:t>
      </w:r>
      <w:r w:rsidRPr="003E0C66">
        <w:fldChar w:fldCharType="end"/>
      </w:r>
      <w:r w:rsidR="00E05B22" w:rsidRPr="003E0C66">
        <w:t>. </w:t>
      </w:r>
      <w:r w:rsidR="00C52F90" w:rsidRPr="003E0C66">
        <w:t xml:space="preserve">Wieczorem 2 lutego 2007 roku, dzień przed </w:t>
      </w:r>
      <w:r w:rsidR="00AE61D9">
        <w:t>popełnieniem</w:t>
      </w:r>
      <w:r w:rsidR="00AE61D9" w:rsidRPr="003E0C66">
        <w:t xml:space="preserve"> przestępstw</w:t>
      </w:r>
      <w:r w:rsidR="00AE61D9">
        <w:t>a</w:t>
      </w:r>
      <w:r w:rsidR="00C52F90" w:rsidRPr="003E0C66">
        <w:t>, jeden z</w:t>
      </w:r>
      <w:r w:rsidR="00AE61D9">
        <w:t>e</w:t>
      </w:r>
      <w:r w:rsidR="00C52F90" w:rsidRPr="003E0C66">
        <w:t xml:space="preserve"> wspólników skarżącego przeszedł obok mieszkania O. i P. w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Göttingen</w:t>
      </w:r>
      <w:r w:rsidR="0042038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E61D9">
        <w:rPr>
          <w:rFonts w:ascii="Times New Roman" w:eastAsia="Times New Roman" w:hAnsi="Times New Roman" w:cs="Times New Roman"/>
          <w:szCs w:val="20"/>
          <w:lang w:eastAsia="fr-FR"/>
        </w:rPr>
        <w:t>razem</w:t>
      </w:r>
      <w:r w:rsidR="00AE61D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20385" w:rsidRPr="003E0C66">
        <w:rPr>
          <w:rFonts w:ascii="Times New Roman" w:eastAsia="Times New Roman" w:hAnsi="Times New Roman" w:cs="Times New Roman"/>
          <w:szCs w:val="20"/>
          <w:lang w:eastAsia="fr-FR"/>
        </w:rPr>
        <w:t>z</w:t>
      </w:r>
      <w:r w:rsidR="00AE61D9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42038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współsprawcą, R., znajomym O. i P. Mieli </w:t>
      </w:r>
      <w:r w:rsidR="00687AAD">
        <w:rPr>
          <w:rFonts w:ascii="Times New Roman" w:eastAsia="Times New Roman" w:hAnsi="Times New Roman" w:cs="Times New Roman"/>
          <w:szCs w:val="20"/>
          <w:lang w:eastAsia="fr-FR"/>
        </w:rPr>
        <w:t>zamiar</w:t>
      </w:r>
      <w:r w:rsidR="0042038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sprawdzić, czy dwie kobiety są jedynymi osobami mieszkającymi w tym mieszkaniu oraz czy trzymają tam jakiekolwiek kosztowności</w:t>
      </w:r>
      <w:r w:rsidR="00687AAD">
        <w:rPr>
          <w:rFonts w:ascii="Times New Roman" w:eastAsia="Times New Roman" w:hAnsi="Times New Roman" w:cs="Times New Roman"/>
          <w:szCs w:val="20"/>
          <w:lang w:eastAsia="fr-FR"/>
        </w:rPr>
        <w:t xml:space="preserve"> i</w:t>
      </w:r>
      <w:r w:rsidR="0042038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odkryli sejf znajdujący się w kuchni.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16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687AAD">
        <w:rPr>
          <w:rFonts w:ascii="Times New Roman" w:eastAsia="Times New Roman" w:hAnsi="Times New Roman" w:cs="Times New Roman"/>
          <w:szCs w:val="20"/>
          <w:lang w:eastAsia="fr-FR"/>
        </w:rPr>
        <w:t xml:space="preserve">W dniu </w:t>
      </w:r>
      <w:r w:rsidR="00E96A74" w:rsidRPr="003E0C66">
        <w:rPr>
          <w:rFonts w:ascii="Times New Roman" w:eastAsia="Times New Roman" w:hAnsi="Times New Roman" w:cs="Times New Roman"/>
          <w:szCs w:val="20"/>
          <w:lang w:eastAsia="fr-FR"/>
        </w:rPr>
        <w:t>3 lutego 2007 roku</w:t>
      </w:r>
      <w:r w:rsidR="00C5087C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E96A7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około 8 wieczorem, skarżący i jego kolejny wspólnik, B., dostali się do mieszkania O. i P. udając, że są potencjalnymi klientami, </w:t>
      </w:r>
      <w:r w:rsidR="00687AAD">
        <w:rPr>
          <w:rFonts w:ascii="Times New Roman" w:eastAsia="Times New Roman" w:hAnsi="Times New Roman" w:cs="Times New Roman"/>
          <w:szCs w:val="20"/>
          <w:lang w:eastAsia="fr-FR"/>
        </w:rPr>
        <w:t>podczas gdy</w:t>
      </w:r>
      <w:r w:rsidR="00687AA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96A7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inny ze wspólników czekał w samochodzie zaparkowanym blisko budynku, w którym znajdowało się mieszkanie, a </w:t>
      </w:r>
      <w:r w:rsidR="00C5087C">
        <w:rPr>
          <w:rFonts w:ascii="Times New Roman" w:eastAsia="Times New Roman" w:hAnsi="Times New Roman" w:cs="Times New Roman"/>
          <w:szCs w:val="20"/>
          <w:lang w:eastAsia="fr-FR"/>
        </w:rPr>
        <w:t xml:space="preserve">jeszcze </w:t>
      </w:r>
      <w:r w:rsidR="00E96A7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inny przed budynkiem. 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>Wewnątrz</w:t>
      </w:r>
      <w:r w:rsidR="00E96A7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mieszkani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E96A7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B. wyjął nóż, który chował w kurtce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EE4C7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P.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EE4C7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aby uciec przed sprawcami, wyskoczyła z balkonu znajdującego się, w przybliżeniu, dwa metry nad ziemią i uciekła. Skarżący wyskoczył za nią, ale po kilku minutach 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>za</w:t>
      </w:r>
      <w:r w:rsidR="00EE4C7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przestał 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>pościgu</w:t>
      </w:r>
      <w:r w:rsidR="00EE4C7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gdy na ulicy pojawili się przechodnie. Następnie zadzwonił 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 xml:space="preserve">ze swojego telefonu komórkowego </w:t>
      </w:r>
      <w:r w:rsidR="00EE4C75" w:rsidRPr="003E0C66">
        <w:rPr>
          <w:rFonts w:ascii="Times New Roman" w:eastAsia="Times New Roman" w:hAnsi="Times New Roman" w:cs="Times New Roman"/>
          <w:szCs w:val="20"/>
          <w:lang w:eastAsia="fr-FR"/>
        </w:rPr>
        <w:t>do wspólnika</w:t>
      </w:r>
      <w:r w:rsidR="00C5087C">
        <w:rPr>
          <w:rFonts w:ascii="Times New Roman" w:eastAsia="Times New Roman" w:hAnsi="Times New Roman" w:cs="Times New Roman"/>
          <w:szCs w:val="20"/>
          <w:lang w:eastAsia="fr-FR"/>
        </w:rPr>
        <w:t xml:space="preserve"> czekającego</w:t>
      </w:r>
      <w:r w:rsidR="00EE4C7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przed budynkiem, w którym mieszkały kobiety i powiedział mu, że jedna z kobiet wyskoczyła przez balkon i nie udało mu się jej złapać. Skarżący uzgodnił ze </w:t>
      </w:r>
      <w:r w:rsidR="001B02A6" w:rsidRPr="003E0C66">
        <w:rPr>
          <w:rFonts w:ascii="Times New Roman" w:eastAsia="Times New Roman" w:hAnsi="Times New Roman" w:cs="Times New Roman"/>
          <w:szCs w:val="20"/>
          <w:lang w:eastAsia="fr-FR"/>
        </w:rPr>
        <w:t>wspólnik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>ami</w:t>
      </w:r>
      <w:r w:rsidR="001B02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E4C7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miejsce spotkania, </w:t>
      </w:r>
      <w:r w:rsidR="001B02A6">
        <w:rPr>
          <w:rFonts w:ascii="Times New Roman" w:eastAsia="Times New Roman" w:hAnsi="Times New Roman" w:cs="Times New Roman"/>
          <w:szCs w:val="20"/>
          <w:lang w:eastAsia="fr-FR"/>
        </w:rPr>
        <w:t>do którego</w:t>
      </w:r>
      <w:r w:rsidR="00EE4C7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mieli po niego przyjechać samochodem, jak tylko B. wyjdzie z mieszkania i do nich dołączy.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17</w:t>
      </w:r>
      <w:r w:rsidRPr="003E0C66">
        <w:fldChar w:fldCharType="end"/>
      </w:r>
      <w:r w:rsidR="00E05B22" w:rsidRPr="003E0C66">
        <w:t>.  </w:t>
      </w:r>
      <w:r w:rsidR="00B43BB8" w:rsidRPr="003E0C66">
        <w:t xml:space="preserve">W </w:t>
      </w:r>
      <w:r w:rsidR="001B02A6">
        <w:t>międzyczasie,</w:t>
      </w:r>
      <w:r w:rsidR="00B43BB8" w:rsidRPr="003E0C66">
        <w:t xml:space="preserve"> w</w:t>
      </w:r>
      <w:r w:rsidR="001B02A6">
        <w:t>ewnątrz</w:t>
      </w:r>
      <w:r w:rsidR="00B43BB8" w:rsidRPr="003E0C66">
        <w:t xml:space="preserve"> mieszkani</w:t>
      </w:r>
      <w:r w:rsidR="001B02A6">
        <w:t>a</w:t>
      </w:r>
      <w:r w:rsidR="00B43BB8" w:rsidRPr="003E0C66">
        <w:t xml:space="preserve">, B. </w:t>
      </w:r>
      <w:r w:rsidR="00C5087C">
        <w:t xml:space="preserve">- </w:t>
      </w:r>
      <w:r w:rsidR="00B43BB8" w:rsidRPr="003E0C66">
        <w:t>po tym jak</w:t>
      </w:r>
      <w:r w:rsidR="00AA044B" w:rsidRPr="003E0C66">
        <w:t xml:space="preserve"> obezwład</w:t>
      </w:r>
      <w:r w:rsidR="00B43BB8" w:rsidRPr="003E0C66">
        <w:t xml:space="preserve">nił </w:t>
      </w:r>
      <w:r w:rsidR="00AA044B" w:rsidRPr="003E0C66">
        <w:t xml:space="preserve">O. </w:t>
      </w:r>
      <w:r w:rsidR="00C5087C">
        <w:t xml:space="preserve">- </w:t>
      </w:r>
      <w:r w:rsidR="00AA044B" w:rsidRPr="003E0C66">
        <w:t xml:space="preserve">groził, że zabije ją nożem jeśli ta nie powie, gdzie trzymają pieniądze </w:t>
      </w:r>
      <w:r w:rsidR="006F768A" w:rsidRPr="003E0C66">
        <w:t>lub jeśli odmówi otwarcia</w:t>
      </w:r>
      <w:r w:rsidR="00AA044B" w:rsidRPr="003E0C66">
        <w:t xml:space="preserve"> sejf</w:t>
      </w:r>
      <w:r w:rsidR="006F768A" w:rsidRPr="003E0C66">
        <w:t>u</w:t>
      </w:r>
      <w:r w:rsidR="00AA044B" w:rsidRPr="003E0C66">
        <w:t xml:space="preserve">. </w:t>
      </w:r>
      <w:r w:rsidR="001B02A6">
        <w:t>Obawiając się</w:t>
      </w:r>
      <w:r w:rsidR="00AA044B" w:rsidRPr="003E0C66">
        <w:t xml:space="preserve"> o własne życie O. otworzyła sejf, z k</w:t>
      </w:r>
      <w:r w:rsidR="000E0EA3" w:rsidRPr="003E0C66">
        <w:t>tórego B. zabrał 300 euro (EUR), zabrał</w:t>
      </w:r>
      <w:r w:rsidR="006F768A" w:rsidRPr="003E0C66">
        <w:t xml:space="preserve"> również zawartość jej portfela</w:t>
      </w:r>
      <w:r w:rsidR="00C5087C">
        <w:t xml:space="preserve"> -</w:t>
      </w:r>
      <w:r w:rsidR="006F768A" w:rsidRPr="003E0C66">
        <w:t xml:space="preserve"> 250 EUR. B. opuścił mieszkanie około 8.30 wieczorem, zabierając pieniądze, telefon komórkowy P. oraz telefon stacjonarny</w:t>
      </w:r>
      <w:r w:rsidR="00AC5F1E">
        <w:t xml:space="preserve"> i</w:t>
      </w:r>
      <w:r w:rsidR="006F768A" w:rsidRPr="003E0C66">
        <w:t xml:space="preserve"> dołączył do wspólników. Następnie odebrali oni </w:t>
      </w:r>
      <w:r w:rsidR="00AC5F1E" w:rsidRPr="003E0C66">
        <w:t xml:space="preserve">samochodem </w:t>
      </w:r>
      <w:r w:rsidR="006F768A" w:rsidRPr="003E0C66">
        <w:t>skarżącego z umówionego miejsca. Około godziny 9.30 wieczorem P. wróciła do mieszkania, gdzie znajdowała się O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18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6F768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O. oraz P. następnego dnia rano opowiedziały o zdarzeniu sąsiadowi - E. Następnie w strachu opuściły mieszkanie 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Göttingen </w:t>
      </w:r>
      <w:r w:rsidR="006F768A" w:rsidRPr="003E0C66">
        <w:rPr>
          <w:rFonts w:ascii="Times New Roman" w:eastAsia="Times New Roman" w:hAnsi="Times New Roman" w:cs="Times New Roman"/>
          <w:szCs w:val="20"/>
          <w:lang w:eastAsia="fr-FR"/>
        </w:rPr>
        <w:t>i na parę dni zatrzymały się u swojej przyjaciółki – L., jednej z ofiar przestępstwa w Kassel, której również, ze szczegółami</w:t>
      </w:r>
      <w:r w:rsidR="000E27E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6F768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opisały zdarzenie dzień po tym</w:t>
      </w:r>
      <w:r w:rsidR="000E27E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6F768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kiedy miało ono miejsce. </w:t>
      </w:r>
    </w:p>
    <w:p w:rsidR="00E05B22" w:rsidRPr="003E0C66" w:rsidRDefault="00E05B22" w:rsidP="00BC0CE7">
      <w:pPr>
        <w:pStyle w:val="ECHRHeading2"/>
        <w:rPr>
          <w:rFonts w:eastAsia="Times New Roman"/>
          <w:lang w:eastAsia="fr-FR"/>
        </w:rPr>
      </w:pPr>
      <w:r w:rsidRPr="003E0C66">
        <w:rPr>
          <w:rFonts w:eastAsia="Times New Roman"/>
          <w:lang w:eastAsia="fr-FR"/>
        </w:rPr>
        <w:lastRenderedPageBreak/>
        <w:t>B</w:t>
      </w:r>
      <w:r w:rsidR="00F311A8" w:rsidRPr="003E0C66">
        <w:rPr>
          <w:rFonts w:eastAsia="Times New Roman"/>
          <w:lang w:eastAsia="fr-FR"/>
        </w:rPr>
        <w:t>. Dochodzenie </w:t>
      </w:r>
      <w:r w:rsidR="00F03BF3" w:rsidRPr="003E0C66">
        <w:rPr>
          <w:rFonts w:eastAsia="Times New Roman"/>
          <w:lang w:eastAsia="fr-FR"/>
        </w:rPr>
        <w:t xml:space="preserve"> dotyczące zdarzeń w </w:t>
      </w:r>
      <w:r w:rsidRPr="003E0C66">
        <w:rPr>
          <w:rFonts w:eastAsia="Times New Roman"/>
          <w:lang w:eastAsia="fr-FR"/>
        </w:rPr>
        <w:t>Göttingen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19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 xml:space="preserve">W dniu </w:t>
      </w:r>
      <w:r w:rsidR="00F03BF3" w:rsidRPr="003E0C66">
        <w:rPr>
          <w:rFonts w:ascii="Times New Roman" w:eastAsia="Times New Roman" w:hAnsi="Times New Roman" w:cs="Times New Roman"/>
          <w:szCs w:val="20"/>
          <w:lang w:eastAsia="fr-FR"/>
        </w:rPr>
        <w:t>12 lutego 2007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 xml:space="preserve"> roku</w:t>
      </w:r>
      <w:r w:rsidR="00F03B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L. poinformowała policję o przestępstwie popełnionym wobec O. i P. 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Göttingen. </w:t>
      </w:r>
      <w:r w:rsidR="00F03BF3" w:rsidRPr="003E0C66">
        <w:rPr>
          <w:rFonts w:ascii="Times New Roman" w:eastAsia="Times New Roman" w:hAnsi="Times New Roman" w:cs="Times New Roman"/>
          <w:szCs w:val="20"/>
          <w:lang w:eastAsia="fr-FR"/>
        </w:rPr>
        <w:t>Między 15 a 18  lutego 2007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 xml:space="preserve"> roku</w:t>
      </w:r>
      <w:r w:rsidR="00F03B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O. oraz P. były </w:t>
      </w:r>
      <w:r w:rsidR="00D52ED4" w:rsidRPr="003E0C66">
        <w:rPr>
          <w:rFonts w:ascii="Times New Roman" w:eastAsia="Times New Roman" w:hAnsi="Times New Roman" w:cs="Times New Roman"/>
          <w:szCs w:val="20"/>
          <w:lang w:eastAsia="fr-FR"/>
        </w:rPr>
        <w:t>przesłu</w:t>
      </w:r>
      <w:r w:rsidR="00217FA2" w:rsidRPr="003E0C66">
        <w:rPr>
          <w:rFonts w:ascii="Times New Roman" w:eastAsia="Times New Roman" w:hAnsi="Times New Roman" w:cs="Times New Roman"/>
          <w:szCs w:val="20"/>
          <w:lang w:eastAsia="fr-FR"/>
        </w:rPr>
        <w:t>chiwane przez policję</w:t>
      </w:r>
      <w:r w:rsidR="00BB5F74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odnośnie do</w:t>
      </w:r>
      <w:r w:rsidR="00217FA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wydarzeń</w:t>
      </w:r>
      <w:r w:rsidR="00D52ED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 2 i 3 lutego 2007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 xml:space="preserve"> roku</w:t>
      </w:r>
      <w:r w:rsidR="00D52ED4" w:rsidRPr="003E0C66">
        <w:rPr>
          <w:rFonts w:ascii="Times New Roman" w:eastAsia="Times New Roman" w:hAnsi="Times New Roman" w:cs="Times New Roman"/>
          <w:szCs w:val="20"/>
          <w:lang w:eastAsia="fr-FR"/>
        </w:rPr>
        <w:t>. Podczas tych przesłuchań opisały</w:t>
      </w:r>
      <w:r w:rsidR="00022F6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przebieg wydarzeń</w:t>
      </w:r>
      <w:r w:rsidR="00D52ED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tak jak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przedstawiono</w:t>
      </w:r>
      <w:r w:rsidR="00B526D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po</w:t>
      </w:r>
      <w:r w:rsidR="00D52ED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wyżej. Policja sprawdzając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dokumenty</w:t>
      </w:r>
      <w:r w:rsidR="00B526D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52ED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O. i P. </w:t>
      </w:r>
      <w:r w:rsidR="008A611F" w:rsidRPr="003E0C66">
        <w:rPr>
          <w:rFonts w:ascii="Times New Roman" w:eastAsia="Times New Roman" w:hAnsi="Times New Roman" w:cs="Times New Roman"/>
          <w:szCs w:val="20"/>
          <w:lang w:eastAsia="fr-FR"/>
        </w:rPr>
        <w:t>stwierdził</w:t>
      </w:r>
      <w:r w:rsidR="00022F6A" w:rsidRPr="003E0C66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8A611F" w:rsidRPr="003E0C66">
        <w:rPr>
          <w:rFonts w:ascii="Times New Roman" w:eastAsia="Times New Roman" w:hAnsi="Times New Roman" w:cs="Times New Roman"/>
          <w:szCs w:val="20"/>
          <w:lang w:eastAsia="fr-FR"/>
        </w:rPr>
        <w:t>, ż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8A611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ich pobyt w Niemczech był </w:t>
      </w:r>
      <w:r w:rsidR="005D671A" w:rsidRPr="003E0C66">
        <w:rPr>
          <w:rFonts w:ascii="Times New Roman" w:eastAsia="Times New Roman" w:hAnsi="Times New Roman" w:cs="Times New Roman"/>
          <w:szCs w:val="20"/>
          <w:lang w:eastAsia="fr-FR"/>
        </w:rPr>
        <w:t>zgodny z</w:t>
      </w:r>
      <w:r w:rsidR="00507A4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n</w:t>
      </w:r>
      <w:r w:rsidR="00507A4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iemieckim prawem imigracyjnym i </w:t>
      </w:r>
      <w:r w:rsidR="005D671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handlowym.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20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Ponieważ pokrzywdzone wyjaśniły</w:t>
      </w:r>
      <w:r w:rsidR="00B526D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87107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podczas </w:t>
      </w:r>
      <w:r w:rsidR="007771B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policyjnych </w:t>
      </w:r>
      <w:r w:rsidR="00871072" w:rsidRPr="003E0C66">
        <w:rPr>
          <w:rFonts w:ascii="Times New Roman" w:eastAsia="Times New Roman" w:hAnsi="Times New Roman" w:cs="Times New Roman"/>
          <w:szCs w:val="20"/>
          <w:lang w:eastAsia="fr-FR"/>
        </w:rPr>
        <w:t>przesłuchań</w:t>
      </w:r>
      <w:r w:rsidR="00AD639E" w:rsidRPr="003E0C66">
        <w:rPr>
          <w:rFonts w:ascii="Times New Roman" w:eastAsia="Times New Roman" w:hAnsi="Times New Roman" w:cs="Times New Roman"/>
          <w:szCs w:val="20"/>
          <w:lang w:eastAsia="fr-FR"/>
        </w:rPr>
        <w:t>, ż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AD63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mają zamiar wrócić na Łotwę w najbliższ</w:t>
      </w:r>
      <w:r w:rsidR="00EE2F1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ych dniach,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 xml:space="preserve">w dniu </w:t>
      </w:r>
      <w:r w:rsidR="00EE2F1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19 lutego 2007 roku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prokurator zwrócił się</w:t>
      </w:r>
      <w:r w:rsidR="00B526D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E2F1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do sędziego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B526D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E2F1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 xml:space="preserve">ich </w:t>
      </w:r>
      <w:r w:rsidR="00EE2F1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przesłuchanie w celu </w:t>
      </w:r>
      <w:r w:rsidR="003E231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uzyskania wiarygodnych zeznań, które będą mogły zostać użyte </w:t>
      </w:r>
      <w:r w:rsidR="00FE3444" w:rsidRPr="003E0C66">
        <w:rPr>
          <w:rFonts w:ascii="Times New Roman" w:eastAsia="Times New Roman" w:hAnsi="Times New Roman" w:cs="Times New Roman"/>
          <w:szCs w:val="20"/>
          <w:lang w:eastAsia="fr-FR"/>
        </w:rPr>
        <w:t>w dalszym</w:t>
      </w:r>
      <w:r w:rsidR="007B1AF8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E3444" w:rsidRPr="003E0C66">
        <w:rPr>
          <w:rFonts w:ascii="Times New Roman" w:eastAsia="Times New Roman" w:hAnsi="Times New Roman" w:cs="Times New Roman"/>
          <w:szCs w:val="20"/>
          <w:lang w:eastAsia="fr-FR"/>
        </w:rPr>
        <w:t>postępowaniu</w:t>
      </w:r>
      <w:r w:rsidR="007B1AF8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(“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eine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[r] im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späteren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Hauptverfahren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verwertbare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[n]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wahrheitsgemäße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[n]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Aussage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”).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21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Bezzwłocznie</w:t>
      </w:r>
      <w:r w:rsidR="008A501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 xml:space="preserve">w dniu </w:t>
      </w:r>
      <w:r w:rsidR="008A5014" w:rsidRPr="003E0C66">
        <w:rPr>
          <w:rFonts w:ascii="Times New Roman" w:eastAsia="Times New Roman" w:hAnsi="Times New Roman" w:cs="Times New Roman"/>
          <w:szCs w:val="20"/>
          <w:lang w:eastAsia="fr-FR"/>
        </w:rPr>
        <w:t>19 lutego</w:t>
      </w:r>
      <w:r w:rsidR="00213C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2007 roku, O.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i</w:t>
      </w:r>
      <w:r w:rsidR="00213C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P. zostały przesłuchane przez sędziego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śledczego i</w:t>
      </w:r>
      <w:r w:rsidR="00213C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ponownie opisały przebieg wydarzeń tak jak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przedstawiono</w:t>
      </w:r>
      <w:r w:rsidR="00B526D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526D9">
        <w:rPr>
          <w:rFonts w:ascii="Times New Roman" w:eastAsia="Times New Roman" w:hAnsi="Times New Roman" w:cs="Times New Roman"/>
          <w:szCs w:val="20"/>
          <w:lang w:eastAsia="fr-FR"/>
        </w:rPr>
        <w:t>po</w:t>
      </w:r>
      <w:r w:rsidR="00213C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wyżej. W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tym</w:t>
      </w:r>
      <w:r w:rsidR="00A509E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13C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czasie skarżący nie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był</w:t>
      </w:r>
      <w:r w:rsidR="00A509E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13C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jeszcze poinformowany o wszczętym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przeciwko niemu</w:t>
      </w:r>
      <w:r w:rsidR="00213C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postępowaniu, aby nie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narażać</w:t>
      </w:r>
      <w:r w:rsidR="00A509E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E461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dochodzenia na ryzyko. </w:t>
      </w:r>
      <w:r w:rsidR="00A1039F" w:rsidRPr="003E0C66">
        <w:rPr>
          <w:rFonts w:ascii="Times New Roman" w:eastAsia="Times New Roman" w:hAnsi="Times New Roman" w:cs="Times New Roman"/>
          <w:szCs w:val="20"/>
          <w:lang w:eastAsia="fr-FR"/>
        </w:rPr>
        <w:t>Nie został jeszcze wydany nakaz aresztowania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 xml:space="preserve"> i</w:t>
      </w:r>
      <w:r w:rsidR="00A1039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5087C">
        <w:rPr>
          <w:rFonts w:ascii="Times New Roman" w:eastAsia="Times New Roman" w:hAnsi="Times New Roman" w:cs="Times New Roman"/>
          <w:szCs w:val="20"/>
          <w:lang w:eastAsia="fr-FR"/>
        </w:rPr>
        <w:t xml:space="preserve">skarżący </w:t>
      </w:r>
      <w:r w:rsidR="00A1039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 był jeszcze reprezentowany przez obrońcę. Sędzia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 xml:space="preserve">śledczy </w:t>
      </w:r>
      <w:r w:rsidR="00A1039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wyłączył skarżącego z </w:t>
      </w:r>
      <w:r w:rsidR="001D556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przesłuchania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przed nim świadków</w:t>
      </w:r>
      <w:r w:rsidR="001D556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na podstawie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006170" w:rsidRPr="003E0C66">
        <w:rPr>
          <w:rFonts w:ascii="Times New Roman" w:eastAsia="Times New Roman" w:hAnsi="Times New Roman" w:cs="Times New Roman"/>
          <w:szCs w:val="20"/>
          <w:lang w:eastAsia="fr-FR"/>
        </w:rPr>
        <w:t>rtykułu</w:t>
      </w:r>
      <w:r w:rsidR="001D556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168c Kodeksu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1D556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ostępowania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1D556F" w:rsidRPr="003E0C66">
        <w:rPr>
          <w:rFonts w:ascii="Times New Roman" w:eastAsia="Times New Roman" w:hAnsi="Times New Roman" w:cs="Times New Roman"/>
          <w:szCs w:val="20"/>
          <w:lang w:eastAsia="fr-FR"/>
        </w:rPr>
        <w:t>arnego (zobacz paragraf 56 poniżej),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gdyż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niepokoił</w:t>
      </w:r>
      <w:r w:rsidR="00A8731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>się, ż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pokrzywdzone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>, które były</w:t>
      </w:r>
      <w:r w:rsidR="00C5087C">
        <w:rPr>
          <w:rFonts w:ascii="Times New Roman" w:eastAsia="Times New Roman" w:hAnsi="Times New Roman" w:cs="Times New Roman"/>
          <w:szCs w:val="20"/>
          <w:lang w:eastAsia="fr-FR"/>
        </w:rPr>
        <w:t xml:space="preserve"> -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jak zauważył </w:t>
      </w:r>
      <w:r w:rsidR="00C5087C">
        <w:rPr>
          <w:rFonts w:ascii="Times New Roman" w:eastAsia="Times New Roman" w:hAnsi="Times New Roman" w:cs="Times New Roman"/>
          <w:szCs w:val="20"/>
          <w:lang w:eastAsia="fr-FR"/>
        </w:rPr>
        <w:t xml:space="preserve">- 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mocno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zszokowane</w:t>
      </w:r>
      <w:r w:rsidR="00A509E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i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zestresowane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przestępstwem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obawiałyby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się powiedzieć prawdę w obecności skarżącego.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Pokrzywdzone</w:t>
      </w:r>
      <w:r w:rsidR="00A509E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>potwierdziły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 xml:space="preserve"> podczas tego przesłuchania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>, ż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6167E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zamierzają wrócić na Łotwę tak szybko jak będzie to możliwe. </w:t>
      </w:r>
      <w:r w:rsidR="00A1039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13C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 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22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Pokrzywdzone</w:t>
      </w:r>
      <w:r w:rsidR="00A509E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461E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O.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i</w:t>
      </w:r>
      <w:r w:rsidR="00A509E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2235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P. wróciły </w:t>
      </w:r>
      <w:r w:rsidR="00FA37F0" w:rsidRPr="003E0C66">
        <w:rPr>
          <w:rFonts w:ascii="Times New Roman" w:eastAsia="Times New Roman" w:hAnsi="Times New Roman" w:cs="Times New Roman"/>
          <w:szCs w:val="20"/>
          <w:lang w:eastAsia="fr-FR"/>
        </w:rPr>
        <w:t>na Łotwę krótko po tym przesłuchaniu</w:t>
      </w:r>
      <w:r w:rsidR="00C2235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Skarżący został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zatrzymany</w:t>
      </w:r>
      <w:r w:rsidR="00A509E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2235B" w:rsidRPr="003E0C66">
        <w:rPr>
          <w:rFonts w:ascii="Times New Roman" w:eastAsia="Times New Roman" w:hAnsi="Times New Roman" w:cs="Times New Roman"/>
          <w:szCs w:val="20"/>
          <w:lang w:eastAsia="fr-FR"/>
        </w:rPr>
        <w:t>6 marca 2007 roku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E05B22" w:rsidP="00BC0CE7">
      <w:pPr>
        <w:pStyle w:val="ECHRHeading2"/>
        <w:outlineLvl w:val="0"/>
      </w:pPr>
      <w:r w:rsidRPr="003E0C66">
        <w:t>C. </w:t>
      </w:r>
      <w:r w:rsidR="004A27B1" w:rsidRPr="003E0C66">
        <w:t>Po</w:t>
      </w:r>
      <w:r w:rsidR="00B85668" w:rsidRPr="003E0C66">
        <w:t>stępowanie przed Sądem Okręgowym</w:t>
      </w:r>
      <w:r w:rsidR="004A27B1" w:rsidRPr="003E0C66">
        <w:t xml:space="preserve"> </w:t>
      </w:r>
      <w:r w:rsidR="00A509EF">
        <w:t xml:space="preserve">w </w:t>
      </w:r>
      <w:r w:rsidRPr="003E0C66">
        <w:t xml:space="preserve">Göttingen </w:t>
      </w:r>
    </w:p>
    <w:p w:rsidR="00E05B22" w:rsidRPr="003E0C66" w:rsidRDefault="00E05B22" w:rsidP="00FA3031">
      <w:pPr>
        <w:pStyle w:val="ECHRHeading3"/>
        <w:spacing w:before="120"/>
        <w:rPr>
          <w:rFonts w:eastAsia="Times New Roman"/>
          <w:lang w:eastAsia="fr-FR"/>
        </w:rPr>
      </w:pPr>
      <w:r w:rsidRPr="003E0C66">
        <w:rPr>
          <w:rFonts w:eastAsia="Times New Roman"/>
          <w:lang w:eastAsia="fr-FR"/>
        </w:rPr>
        <w:t>1.</w:t>
      </w:r>
      <w:r w:rsidR="004C40F0" w:rsidRPr="003E0C66">
        <w:rPr>
          <w:rFonts w:eastAsia="Times New Roman"/>
          <w:lang w:eastAsia="fr-FR"/>
        </w:rPr>
        <w:t xml:space="preserve"> Próby przesłuchania O. i P. przez </w:t>
      </w:r>
      <w:r w:rsidR="00A509EF">
        <w:rPr>
          <w:rFonts w:eastAsia="Times New Roman"/>
          <w:lang w:eastAsia="fr-FR"/>
        </w:rPr>
        <w:t>s</w:t>
      </w:r>
      <w:r w:rsidR="004C40F0" w:rsidRPr="003E0C66">
        <w:rPr>
          <w:rFonts w:eastAsia="Times New Roman"/>
          <w:lang w:eastAsia="fr-FR"/>
        </w:rPr>
        <w:t xml:space="preserve">ąd oraz </w:t>
      </w:r>
      <w:r w:rsidR="00FA37F0" w:rsidRPr="003E0C66">
        <w:rPr>
          <w:rFonts w:eastAsia="Times New Roman"/>
          <w:lang w:eastAsia="fr-FR"/>
        </w:rPr>
        <w:t xml:space="preserve">dopuszczenie </w:t>
      </w:r>
      <w:r w:rsidR="00500449" w:rsidRPr="003E0C66">
        <w:rPr>
          <w:rFonts w:eastAsia="Times New Roman"/>
          <w:lang w:eastAsia="fr-FR"/>
        </w:rPr>
        <w:t>przedprocesowych zeznań O. i P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23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083C9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Sąd Okręgowy </w:t>
      </w:r>
      <w:r w:rsidR="004A27B1" w:rsidRPr="003E0C66">
        <w:rPr>
          <w:rFonts w:ascii="Times New Roman" w:eastAsia="Times New Roman" w:hAnsi="Times New Roman" w:cs="Times New Roman"/>
          <w:szCs w:val="20"/>
          <w:lang w:eastAsia="fr-FR"/>
        </w:rPr>
        <w:t>w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509EF" w:rsidRPr="00A509EF">
        <w:t>Göttingen</w:t>
      </w:r>
      <w:r w:rsidR="004A27B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509EF">
        <w:rPr>
          <w:rFonts w:ascii="Times New Roman" w:eastAsia="Times New Roman" w:hAnsi="Times New Roman" w:cs="Times New Roman"/>
          <w:szCs w:val="20"/>
          <w:lang w:eastAsia="fr-FR"/>
        </w:rPr>
        <w:t>wezwał O. i P.</w:t>
      </w:r>
      <w:r w:rsidR="004A27B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listem</w:t>
      </w:r>
      <w:r w:rsidR="00083C9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poleconym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do stawienia</w:t>
      </w:r>
      <w:r w:rsidR="004A27B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się na rozprawie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 xml:space="preserve">w dniu </w:t>
      </w:r>
      <w:r w:rsidR="004A27B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24 sierpnia 2007 roku. Jednakże obie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pokrzywdzone</w:t>
      </w:r>
      <w:r w:rsidR="00EB5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A27B1" w:rsidRPr="003E0C66">
        <w:rPr>
          <w:rFonts w:ascii="Times New Roman" w:eastAsia="Times New Roman" w:hAnsi="Times New Roman" w:cs="Times New Roman"/>
          <w:szCs w:val="20"/>
          <w:lang w:eastAsia="fr-FR"/>
        </w:rPr>
        <w:t>odmówiły uczestnict</w:t>
      </w:r>
      <w:r w:rsidR="00083C9F" w:rsidRPr="003E0C66">
        <w:rPr>
          <w:rFonts w:ascii="Times New Roman" w:eastAsia="Times New Roman" w:hAnsi="Times New Roman" w:cs="Times New Roman"/>
          <w:szCs w:val="20"/>
          <w:lang w:eastAsia="fr-FR"/>
        </w:rPr>
        <w:t>wa w rozprawie przed Sądem Okręgowym</w:t>
      </w:r>
      <w:r w:rsidR="004A27B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powołując się na</w:t>
      </w:r>
      <w:r w:rsidR="00EB5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A27B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zaświadczenia lekarskie 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>da</w:t>
      </w:r>
      <w:r w:rsidR="006E6B0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towane na 9 sierpnia 2007 roku,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z których wynika, że znajdowały się one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</w:t>
      </w:r>
      <w:r w:rsidR="006E6B0C" w:rsidRPr="003E0C66">
        <w:rPr>
          <w:rFonts w:ascii="Times New Roman" w:eastAsia="Times New Roman" w:hAnsi="Times New Roman" w:cs="Times New Roman"/>
          <w:szCs w:val="20"/>
          <w:lang w:eastAsia="fr-FR"/>
        </w:rPr>
        <w:t>niestabilnym, po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st</w:t>
      </w:r>
      <w:r w:rsidR="006E6B0C" w:rsidRPr="003E0C66">
        <w:rPr>
          <w:rFonts w:ascii="Times New Roman" w:eastAsia="Times New Roman" w:hAnsi="Times New Roman" w:cs="Times New Roman"/>
          <w:szCs w:val="20"/>
          <w:lang w:eastAsia="fr-FR"/>
        </w:rPr>
        <w:t>traumatycznym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stanie </w:t>
      </w:r>
      <w:r w:rsidR="006E6B0C" w:rsidRPr="003E0C66">
        <w:rPr>
          <w:rFonts w:ascii="Times New Roman" w:eastAsia="Times New Roman" w:hAnsi="Times New Roman" w:cs="Times New Roman"/>
          <w:szCs w:val="20"/>
          <w:lang w:eastAsia="fr-FR"/>
        </w:rPr>
        <w:t>emocjonalnym i psychicznym.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24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 xml:space="preserve">W dniu 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>29</w:t>
      </w:r>
      <w:r w:rsidR="006E6B0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sierpnia 2007 roku Sąd Okręgowy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wysłał do obu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EB5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listy </w:t>
      </w:r>
      <w:r w:rsidR="006E6B0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polecone </w:t>
      </w:r>
      <w:r w:rsidR="00914A3F" w:rsidRPr="003E0C66">
        <w:rPr>
          <w:rFonts w:ascii="Times New Roman" w:eastAsia="Times New Roman" w:hAnsi="Times New Roman" w:cs="Times New Roman"/>
          <w:szCs w:val="20"/>
          <w:lang w:eastAsia="fr-FR"/>
        </w:rPr>
        <w:t>informują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t>ce je, iż mimo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że nie może zmusić ich do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stawienia się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na rozprawie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 xml:space="preserve"> w sądzie w Niemczech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chciałby 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lastRenderedPageBreak/>
        <w:t xml:space="preserve">je przesłuchać jako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pokrzywdzone</w:t>
      </w:r>
      <w:r w:rsidR="00EB5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postępowaniu. </w:t>
      </w:r>
      <w:r w:rsidR="00DD6134" w:rsidRPr="003E0C66">
        <w:rPr>
          <w:rFonts w:ascii="Times New Roman" w:eastAsia="Times New Roman" w:hAnsi="Times New Roman" w:cs="Times New Roman"/>
          <w:szCs w:val="20"/>
          <w:lang w:eastAsia="fr-FR"/>
        </w:rPr>
        <w:t>Sąd podkreślił, iż otrzymają one ochronę w Niemczech</w:t>
      </w:r>
      <w:r w:rsidR="00AB658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 xml:space="preserve"> że</w:t>
      </w:r>
      <w:r w:rsidR="00AB658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wszelkie koszty dotarcia na rozprawę zostaną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zwrócone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proponując</w:t>
      </w:r>
      <w:r w:rsidR="00EB5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kilka opcji,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zapytał</w:t>
      </w:r>
      <w:r w:rsidR="00EB5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72F8C" w:rsidRPr="003E0C66">
        <w:rPr>
          <w:rFonts w:ascii="Times New Roman" w:eastAsia="Times New Roman" w:hAnsi="Times New Roman" w:cs="Times New Roman"/>
          <w:szCs w:val="20"/>
          <w:lang w:eastAsia="fr-FR"/>
        </w:rPr>
        <w:t>w jakich okolicznościach chciałyby zostać przesłuchane podczas rozprawy. Mimo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iż uzyskano informację o tym, że listy zostały dostarczone, nie uzyskano odpowiedzi od P.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 xml:space="preserve">Pokrzywdzona 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>O.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B562F">
        <w:rPr>
          <w:rFonts w:ascii="Times New Roman" w:eastAsia="Times New Roman" w:hAnsi="Times New Roman" w:cs="Times New Roman"/>
          <w:szCs w:val="20"/>
          <w:lang w:eastAsia="fr-FR"/>
        </w:rPr>
        <w:t xml:space="preserve">w swojej części, 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pisemnie poinformowała Sąd Okręgowy,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A8731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wciąż jest w traumie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spowodowanej przestępstwem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i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 xml:space="preserve">z tego powodu 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 zgadza się na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osobiste stawiennictwo w sądzie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ani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 xml:space="preserve">na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zeznawanie</w:t>
      </w:r>
      <w:r w:rsidR="00A8731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5692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poprzez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łącze audio-video</w:t>
      </w:r>
      <w:r w:rsidR="00323468" w:rsidRPr="003E0C66">
        <w:rPr>
          <w:rFonts w:ascii="Times New Roman" w:eastAsia="Times New Roman" w:hAnsi="Times New Roman" w:cs="Times New Roman"/>
          <w:szCs w:val="20"/>
          <w:lang w:eastAsia="fr-FR"/>
        </w:rPr>
        <w:t>. O. następnie zaznaczyła, ż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32346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nie ma nic więcej do dodania do zeznań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32346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które już złożyła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 xml:space="preserve">na </w:t>
      </w:r>
      <w:r w:rsidR="0032346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policji i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 xml:space="preserve">przed </w:t>
      </w:r>
      <w:r w:rsidR="00323468" w:rsidRPr="003E0C66">
        <w:rPr>
          <w:rFonts w:ascii="Times New Roman" w:eastAsia="Times New Roman" w:hAnsi="Times New Roman" w:cs="Times New Roman"/>
          <w:szCs w:val="20"/>
          <w:lang w:eastAsia="fr-FR"/>
        </w:rPr>
        <w:t>sędzi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ą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śledczym</w:t>
      </w:r>
      <w:r w:rsidR="00A8731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2346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lutym 2007 roku.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color w:val="FF0000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25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 xml:space="preserve">Niemniej jednak </w:t>
      </w:r>
      <w:r w:rsidR="00323468" w:rsidRPr="003E0C66">
        <w:rPr>
          <w:rFonts w:ascii="Times New Roman" w:eastAsia="Times New Roman" w:hAnsi="Times New Roman" w:cs="Times New Roman"/>
          <w:szCs w:val="20"/>
          <w:lang w:eastAsia="fr-FR"/>
        </w:rPr>
        <w:t>Sąd Okręgowy zdecydował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32346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aby wnioskować o </w:t>
      </w:r>
      <w:r w:rsidR="006257C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pomoc prawną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 xml:space="preserve">do </w:t>
      </w:r>
      <w:r w:rsidR="006257C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władz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ł</w:t>
      </w:r>
      <w:r w:rsidR="006257CD" w:rsidRPr="003E0C66">
        <w:rPr>
          <w:rFonts w:ascii="Times New Roman" w:eastAsia="Times New Roman" w:hAnsi="Times New Roman" w:cs="Times New Roman"/>
          <w:szCs w:val="20"/>
          <w:lang w:eastAsia="fr-FR"/>
        </w:rPr>
        <w:t>otewskich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6257C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na podstawie Europejskiej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6257C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onwencji o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ED485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omocy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ED485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rawnej w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ED485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prawach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ED4854" w:rsidRPr="003E0C66">
        <w:rPr>
          <w:rFonts w:ascii="Times New Roman" w:eastAsia="Times New Roman" w:hAnsi="Times New Roman" w:cs="Times New Roman"/>
          <w:szCs w:val="20"/>
          <w:lang w:eastAsia="fr-FR"/>
        </w:rPr>
        <w:t>arnych z 20 kwietnia 1959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 xml:space="preserve"> roku</w:t>
      </w:r>
      <w:r w:rsidR="00ED485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uzupełnionej Europejską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onwencją o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omocy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rawnej w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prawach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arnych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po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między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państwami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c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>złonkowskimi Unii Europejskiej z 2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9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maja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2000 roku (zobacz paragrafy 64-66 poniżej), mając na uwadze, ż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O. i P. były zobligowane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na mocy</w:t>
      </w:r>
      <w:r w:rsidR="007D0E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>praw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łotewskie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go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do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stawienia</w:t>
      </w:r>
      <w:r w:rsidR="007D0E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się przed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ądem na Łotwie 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 xml:space="preserve">w </w:t>
      </w:r>
      <w:r w:rsidR="00BB5F74">
        <w:rPr>
          <w:rFonts w:ascii="Times New Roman" w:eastAsia="Times New Roman" w:hAnsi="Times New Roman" w:cs="Times New Roman"/>
          <w:szCs w:val="20"/>
          <w:lang w:eastAsia="fr-FR"/>
        </w:rPr>
        <w:t>następstwie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7D0E4D" w:rsidRPr="003E0C66">
        <w:rPr>
          <w:rFonts w:ascii="Times New Roman" w:eastAsia="Times New Roman" w:hAnsi="Times New Roman" w:cs="Times New Roman"/>
          <w:szCs w:val="20"/>
          <w:lang w:eastAsia="fr-FR"/>
        </w:rPr>
        <w:t>wniosk</w:t>
      </w:r>
      <w:r w:rsidR="007D0E4D">
        <w:rPr>
          <w:rFonts w:ascii="Times New Roman" w:eastAsia="Times New Roman" w:hAnsi="Times New Roman" w:cs="Times New Roman"/>
          <w:szCs w:val="20"/>
          <w:lang w:eastAsia="fr-FR"/>
        </w:rPr>
        <w:t>u</w:t>
      </w:r>
      <w:r w:rsidR="007D0E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76783" w:rsidRPr="003E0C66">
        <w:rPr>
          <w:rFonts w:ascii="Times New Roman" w:eastAsia="Times New Roman" w:hAnsi="Times New Roman" w:cs="Times New Roman"/>
          <w:szCs w:val="20"/>
          <w:lang w:eastAsia="fr-FR"/>
        </w:rPr>
        <w:t>o pomoc prawną.</w:t>
      </w:r>
      <w:r w:rsidR="000D584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Wnioskowano o wezwanie 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pokrzywdzonych do sądu</w:t>
      </w:r>
      <w:r w:rsidR="00DC0EE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D584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łotewski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ego</w:t>
      </w:r>
      <w:r w:rsidR="000D584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 o </w:t>
      </w:r>
      <w:r w:rsidR="00B6229E" w:rsidRPr="003E0C66">
        <w:rPr>
          <w:rFonts w:ascii="Times New Roman" w:eastAsia="Times New Roman" w:hAnsi="Times New Roman" w:cs="Times New Roman"/>
          <w:szCs w:val="20"/>
          <w:lang w:eastAsia="fr-FR"/>
        </w:rPr>
        <w:t>nawiązanie wideokonferencji w celu przesłuchania świadków przez sędziego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 xml:space="preserve"> przewodniczącego z</w:t>
      </w:r>
      <w:r w:rsidR="00B622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Sądu </w:t>
      </w:r>
      <w:r w:rsidR="00B6229E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Okręgowego </w:t>
      </w:r>
      <w:r w:rsidR="00E05B22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(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color w:val="191919" w:themeColor="background2" w:themeShade="1A"/>
          <w:szCs w:val="20"/>
          <w:lang w:eastAsia="fr-FR"/>
        </w:rPr>
        <w:t>audiovisuelle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color w:val="191919" w:themeColor="background2" w:themeShade="1A"/>
          <w:szCs w:val="20"/>
          <w:lang w:eastAsia="fr-FR"/>
        </w:rPr>
        <w:t xml:space="preserve">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color w:val="191919" w:themeColor="background2" w:themeShade="1A"/>
          <w:szCs w:val="20"/>
          <w:lang w:eastAsia="fr-FR"/>
        </w:rPr>
        <w:t>Vernehmung</w:t>
      </w:r>
      <w:proofErr w:type="spellEnd"/>
      <w:r w:rsidR="00E05B22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).</w:t>
      </w:r>
      <w:r w:rsidR="00B6229E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 </w:t>
      </w:r>
      <w:r w:rsidR="00DC0EED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Sąd uznał, że u</w:t>
      </w:r>
      <w:r w:rsidR="00B6229E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względniając Artykuł 6 § 3 (d) Konwencji, obrońca i oskarżony, tak samo jak sędzi</w:t>
      </w:r>
      <w:r w:rsidR="00DC0EED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owie</w:t>
      </w:r>
      <w:r w:rsidR="00B6229E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 oraz prokurator, </w:t>
      </w:r>
      <w:r w:rsidR="00DC0EED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powinni mieć</w:t>
      </w:r>
      <w:r w:rsidR="00DC0EED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 </w:t>
      </w:r>
      <w:r w:rsidR="00B6229E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prawo </w:t>
      </w:r>
      <w:r w:rsidR="00DC0EED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do zadania pytań</w:t>
      </w:r>
      <w:r w:rsidR="00DC0EED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 świadk</w:t>
      </w:r>
      <w:r w:rsidR="00DC0EED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om</w:t>
      </w:r>
      <w:r w:rsidR="00DC0EED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 </w:t>
      </w:r>
      <w:r w:rsidR="00B6229E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po raz pierwszy.  </w:t>
      </w:r>
      <w:r w:rsidR="00E05B22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26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0D584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Jednakże przesłuchanie 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DC0EE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D584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O. i P., które sąd 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ł</w:t>
      </w:r>
      <w:r w:rsidR="000D5844" w:rsidRPr="003E0C66">
        <w:rPr>
          <w:rFonts w:ascii="Times New Roman" w:eastAsia="Times New Roman" w:hAnsi="Times New Roman" w:cs="Times New Roman"/>
          <w:szCs w:val="20"/>
          <w:lang w:eastAsia="fr-FR"/>
        </w:rPr>
        <w:t>otewski wyznaczył na 13 lutego 2008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 xml:space="preserve"> roku</w:t>
      </w:r>
      <w:r w:rsidR="000D584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zostało </w:t>
      </w:r>
      <w:r w:rsidR="00DC0EE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odwołane </w:t>
      </w:r>
      <w:r w:rsidR="000D5844" w:rsidRPr="003E0C66">
        <w:rPr>
          <w:rFonts w:ascii="Times New Roman" w:eastAsia="Times New Roman" w:hAnsi="Times New Roman" w:cs="Times New Roman"/>
          <w:szCs w:val="20"/>
          <w:lang w:eastAsia="fr-FR"/>
        </w:rPr>
        <w:t>krótko przed tą datą przez łotewskiego sędziego przewodniczącego.</w:t>
      </w:r>
      <w:r w:rsidR="00B622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Stwierdził on, </w:t>
      </w:r>
      <w:r w:rsidR="00A87316">
        <w:rPr>
          <w:rFonts w:ascii="Times New Roman" w:eastAsia="Times New Roman" w:hAnsi="Times New Roman" w:cs="Times New Roman"/>
          <w:szCs w:val="20"/>
          <w:lang w:eastAsia="fr-FR"/>
        </w:rPr>
        <w:t xml:space="preserve">że </w:t>
      </w:r>
      <w:r w:rsidR="00B622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świadkowie ponownie 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powołując się na</w:t>
      </w:r>
      <w:r w:rsidR="00DC0EE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622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zaświadczenia lekarskie 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dowiedli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B622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ż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B622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wciąż 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cierpią</w:t>
      </w:r>
      <w:r w:rsidR="00DC0EE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na posttraumatyczne zaburzenia spowodowane 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przestępstwem</w:t>
      </w:r>
      <w:r w:rsidR="00DC0EE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>oraz że kolejn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C0EED">
        <w:rPr>
          <w:rFonts w:ascii="Times New Roman" w:eastAsia="Times New Roman" w:hAnsi="Times New Roman" w:cs="Times New Roman"/>
          <w:szCs w:val="20"/>
          <w:lang w:eastAsia="fr-FR"/>
        </w:rPr>
        <w:t>konfrontacja</w:t>
      </w:r>
      <w:r w:rsidR="00DC0EE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ze zdarzeniami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Göttingen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niesie</w:t>
      </w:r>
      <w:r w:rsidR="00814F4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za sobą ryzyko pogorszenia się stanu kobiet. O. stwierdziła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także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>, ż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 xml:space="preserve">wskutek gróźb oskarżonego obawiała 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się możliwych aktów zemsty.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27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2608D2" w:rsidRPr="003E0C66">
        <w:rPr>
          <w:rFonts w:ascii="Times New Roman" w:eastAsia="Times New Roman" w:hAnsi="Times New Roman" w:cs="Times New Roman"/>
          <w:szCs w:val="20"/>
          <w:lang w:eastAsia="fr-FR"/>
        </w:rPr>
        <w:t>Listem datowanym na 21 lutego 2</w:t>
      </w:r>
      <w:r w:rsidR="004D5596" w:rsidRPr="003E0C66">
        <w:rPr>
          <w:rFonts w:ascii="Times New Roman" w:eastAsia="Times New Roman" w:hAnsi="Times New Roman" w:cs="Times New Roman"/>
          <w:szCs w:val="20"/>
          <w:lang w:eastAsia="fr-FR"/>
        </w:rPr>
        <w:t>008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 xml:space="preserve"> roku</w:t>
      </w:r>
      <w:r w:rsidR="004D559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Sąd Okręgowy, który otrzymał</w:t>
      </w:r>
      <w:r w:rsidR="002608D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kopie zaświadczeń lekarskich, dostarczonych przez ofiary</w:t>
      </w:r>
      <w:r w:rsidR="002837A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do łotewskiego sądu</w:t>
      </w:r>
      <w:r w:rsidR="000121F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na prośbę Sądu Okręgowego</w:t>
      </w:r>
      <w:r w:rsidR="002837A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DE025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poinformował stronę łotewską, iż zgodnie z zasadami niemieckiego postępowania karnego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pokrzywdzone</w:t>
      </w:r>
      <w:r w:rsidR="00814F4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E025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niedostatecznie </w:t>
      </w:r>
      <w:r w:rsidR="002471D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uzasadniły odmowę składania zeznań. Sąd zasugerował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właściwemu sędziemu</w:t>
      </w:r>
      <w:r w:rsidR="00814F4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łotewskiemu</w:t>
      </w:r>
      <w:r w:rsidR="002471D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aby zostały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 xml:space="preserve">one </w:t>
      </w:r>
      <w:r w:rsidR="002471D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przebadane przez </w:t>
      </w:r>
      <w:r w:rsidR="001476C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lekarza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(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Amtsarzt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) </w:t>
      </w:r>
      <w:r w:rsidR="00EA7E37" w:rsidRPr="003E0C66">
        <w:rPr>
          <w:rFonts w:ascii="Times New Roman" w:eastAsia="Times New Roman" w:hAnsi="Times New Roman" w:cs="Times New Roman"/>
          <w:szCs w:val="20"/>
          <w:lang w:eastAsia="fr-FR"/>
        </w:rPr>
        <w:t>lub</w:t>
      </w:r>
      <w:r w:rsidR="001476C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alternatywnie, aby </w:t>
      </w:r>
      <w:r w:rsidR="00EA7E3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zostały zmuszone do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stawienia</w:t>
      </w:r>
      <w:r w:rsidR="00814F4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A7E3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się na </w:t>
      </w:r>
      <w:r w:rsidR="00814F43">
        <w:rPr>
          <w:rFonts w:ascii="Times New Roman" w:eastAsia="Times New Roman" w:hAnsi="Times New Roman" w:cs="Times New Roman"/>
          <w:szCs w:val="20"/>
          <w:lang w:eastAsia="fr-FR"/>
        </w:rPr>
        <w:t>przesłuchaniu</w:t>
      </w:r>
      <w:r w:rsidR="00EA7E3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Na list nie uzyskano odpowiedzi. 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28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EA7E3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Decyzją z 21 lutego 2008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 xml:space="preserve"> roku</w:t>
      </w:r>
      <w:r w:rsidR="00EA7E3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Sąd Okręgowy, </w:t>
      </w:r>
      <w:r w:rsidR="00A7587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odrzucając </w:t>
      </w:r>
      <w:r w:rsidR="004E44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sprzeciw 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dotyczący </w:t>
      </w:r>
      <w:r w:rsidR="004E44A6" w:rsidRPr="003E0C66">
        <w:rPr>
          <w:rFonts w:ascii="Times New Roman" w:eastAsia="Times New Roman" w:hAnsi="Times New Roman" w:cs="Times New Roman"/>
          <w:szCs w:val="20"/>
          <w:lang w:eastAsia="fr-FR"/>
        </w:rPr>
        <w:t>dopuszczenia przed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procesowych zeznań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41459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4F397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lastRenderedPageBreak/>
        <w:t>wniesiony przez obrońcę j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ednego ze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współoskarżonych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zarządził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aby protokoły przesłuchań O. i P.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dokonanych przez policję i sędziego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śledczego,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zostały odczytane na rozprawie zgodnie z</w:t>
      </w:r>
      <w:r w:rsidR="0012756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rtykułem 251 §§ 1 (2) oraz 2 (1) Kodeksu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ostępowania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>arnego (zobacz paragraf 61 poniżej</w:t>
      </w:r>
      <w:r w:rsidR="00E71DAB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).</w:t>
      </w:r>
      <w:r w:rsidR="00127564" w:rsidRPr="003E0C66">
        <w:rPr>
          <w:rFonts w:ascii="Times New Roman" w:eastAsia="Times New Roman" w:hAnsi="Times New Roman" w:cs="Times New Roman"/>
          <w:color w:val="FF0000"/>
          <w:szCs w:val="20"/>
          <w:lang w:eastAsia="fr-FR"/>
        </w:rPr>
        <w:t xml:space="preserve"> </w:t>
      </w:r>
      <w:r w:rsidR="004F3977" w:rsidRPr="00BB5F74">
        <w:rPr>
          <w:rFonts w:ascii="Times New Roman" w:eastAsia="Times New Roman" w:hAnsi="Times New Roman" w:cs="Times New Roman"/>
          <w:szCs w:val="20"/>
          <w:lang w:eastAsia="fr-FR"/>
        </w:rPr>
        <w:t>Sąd stwierdził, że</w:t>
      </w:r>
      <w:r w:rsidR="004F3977">
        <w:rPr>
          <w:rFonts w:ascii="Times New Roman" w:eastAsia="Times New Roman" w:hAnsi="Times New Roman" w:cs="Times New Roman"/>
          <w:color w:val="FF0000"/>
          <w:szCs w:val="20"/>
          <w:lang w:eastAsia="fr-FR"/>
        </w:rPr>
        <w:t xml:space="preserve"> </w:t>
      </w:r>
      <w:r w:rsidR="004F3977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z</w:t>
      </w:r>
      <w:r w:rsidR="00127564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godnie z wymogami </w:t>
      </w:r>
      <w:r w:rsidR="004F3977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wskazanych przepisów</w:t>
      </w:r>
      <w:r w:rsidR="00127564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, istniały niemożliwe do pokonania przeszkody, które uniemożliwiały przesłuchanie świadków w </w:t>
      </w:r>
      <w:r w:rsidR="004F3977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dającej się przewidzieć</w:t>
      </w:r>
      <w:r w:rsidR="004F3977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 </w:t>
      </w:r>
      <w:r w:rsidR="00127564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>przyszłości, ponieważ kobiety były nieosiągalne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Nie było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 xml:space="preserve">możliwe przesłuchanie świadków 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>O</w:t>
      </w:r>
      <w:r w:rsidR="0041459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i P. w toku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rozprawy</w:t>
      </w:r>
      <w:r w:rsidR="004F397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od kiedy wróciły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 xml:space="preserve">one 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do swojego ojczystego kraju, Łotwy, krótko po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 xml:space="preserve">ich 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>przesłuchaniach</w:t>
      </w:r>
      <w:r w:rsidR="00E33E2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fazie postępowania przygotowawczego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 xml:space="preserve"> i wszystkie próby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F3977">
        <w:rPr>
          <w:rFonts w:ascii="Times New Roman" w:eastAsia="Times New Roman" w:hAnsi="Times New Roman" w:cs="Times New Roman"/>
          <w:szCs w:val="20"/>
          <w:lang w:eastAsia="fr-FR"/>
        </w:rPr>
        <w:t>ich</w:t>
      </w:r>
      <w:r w:rsidR="00590D5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przesłuchania podczas </w:t>
      </w:r>
      <w:r w:rsidR="00476DA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głównej rozprawy, 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 xml:space="preserve">które sąd podejmował, były daremne. </w:t>
      </w:r>
      <w:r w:rsidR="00A74E7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Zwracając uwagę na fakt, </w:t>
      </w:r>
      <w:r w:rsidR="00414596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41459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74E7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sądy były zobowiązane do </w:t>
      </w:r>
      <w:r w:rsidR="00537B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niezwłocznego </w:t>
      </w:r>
      <w:r w:rsidR="00A74E7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przeprowadzenia postępowania 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wiążącego się z</w:t>
      </w:r>
      <w:r w:rsidR="00537B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74E76" w:rsidRPr="003E0C66">
        <w:rPr>
          <w:rFonts w:ascii="Times New Roman" w:eastAsia="Times New Roman" w:hAnsi="Times New Roman" w:cs="Times New Roman"/>
          <w:szCs w:val="20"/>
          <w:lang w:eastAsia="fr-FR"/>
        </w:rPr>
        <w:t>pozbawieni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em</w:t>
      </w:r>
      <w:r w:rsidR="00A74E7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wolności</w:t>
      </w:r>
      <w:r w:rsidR="0011200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 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mając na uwadze</w:t>
      </w:r>
      <w:r w:rsidR="0011200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fakt, ż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11200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skarżący</w:t>
      </w:r>
      <w:r w:rsidR="00537B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1200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był już w areszcie przez dłuższy czas, sąd uznał, iż nie może dalej opóźniać postępowania.  </w:t>
      </w:r>
      <w:r w:rsidR="00476DA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71DA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29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476DA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Sąd Okręgowy </w:t>
      </w:r>
      <w:r w:rsidR="00B74F6F" w:rsidRPr="003E0C66">
        <w:rPr>
          <w:rFonts w:ascii="Times New Roman" w:eastAsia="Times New Roman" w:hAnsi="Times New Roman" w:cs="Times New Roman"/>
          <w:szCs w:val="20"/>
          <w:lang w:eastAsia="fr-FR"/>
        </w:rPr>
        <w:t>stwierdził, ż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B74F6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fazie postępowania przygotowawczego nie było </w:t>
      </w:r>
      <w:r w:rsidR="00DB2E6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żadnych oznak tego, iż O. i P., które były przesłuchiwane wielokrotnie przez policję i sędziego 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DB2E6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odmówiłyby powtórzenia na </w:t>
      </w:r>
      <w:r w:rsidR="005E45B9" w:rsidRPr="003E0C66">
        <w:rPr>
          <w:rFonts w:ascii="Times New Roman" w:eastAsia="Times New Roman" w:hAnsi="Times New Roman" w:cs="Times New Roman"/>
          <w:szCs w:val="20"/>
          <w:lang w:eastAsia="fr-FR"/>
        </w:rPr>
        <w:t>rozpraw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ie</w:t>
      </w:r>
      <w:r w:rsidR="00DB2E6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tego</w:t>
      </w:r>
      <w:r w:rsidR="005E45B9" w:rsidRPr="003E0C6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DB2E6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co zeznały</w:t>
      </w:r>
      <w:r w:rsidR="005E45B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E0625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Uznano, </w:t>
      </w:r>
      <w:r w:rsidR="00414596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41459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A71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niezależnie od ograniczeń 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 xml:space="preserve">dla </w:t>
      </w:r>
      <w:r w:rsidR="00AA71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obrony 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w związku z dopuszczeniem</w:t>
      </w:r>
      <w:r w:rsidR="00AA71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przedprocesowych zeznań O. i P.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jako dowod</w:t>
      </w:r>
      <w:r w:rsidR="00537BA6">
        <w:rPr>
          <w:rFonts w:ascii="Times New Roman" w:eastAsia="Times New Roman" w:hAnsi="Times New Roman" w:cs="Times New Roman"/>
          <w:szCs w:val="20"/>
          <w:lang w:eastAsia="fr-FR"/>
        </w:rPr>
        <w:t>u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sprawie, post</w:t>
      </w:r>
      <w:r w:rsidR="00414596">
        <w:rPr>
          <w:rFonts w:ascii="Times New Roman" w:eastAsia="Times New Roman" w:hAnsi="Times New Roman" w:cs="Times New Roman"/>
          <w:szCs w:val="20"/>
          <w:lang w:eastAsia="fr-FR"/>
        </w:rPr>
        <w:t>ę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powanie jako całość może zostać przeprowadzone w sposób </w:t>
      </w:r>
      <w:r w:rsidR="00414596">
        <w:rPr>
          <w:rFonts w:ascii="Times New Roman" w:eastAsia="Times New Roman" w:hAnsi="Times New Roman" w:cs="Times New Roman"/>
          <w:szCs w:val="20"/>
          <w:lang w:eastAsia="fr-FR"/>
        </w:rPr>
        <w:t>rzetelny</w:t>
      </w:r>
      <w:r w:rsidR="0041459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 zgodny z wymogami Artykułu 6 § 3 (d) Konwencji.   </w:t>
      </w:r>
      <w:r w:rsidR="00AA71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1200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E05B22" w:rsidP="00BC0CE7">
      <w:pPr>
        <w:pStyle w:val="ECHRHeading3"/>
      </w:pPr>
      <w:r w:rsidRPr="003E0C66">
        <w:t>2.  </w:t>
      </w:r>
      <w:r w:rsidR="00907489" w:rsidRPr="003E0C66">
        <w:t xml:space="preserve">Wyrok Sądu Okręgowego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30</w:t>
      </w:r>
      <w:r w:rsidRPr="003E0C66">
        <w:fldChar w:fldCharType="end"/>
      </w:r>
      <w:r w:rsidR="00E05B22" w:rsidRPr="003E0C66">
        <w:t>. </w:t>
      </w:r>
      <w:r w:rsidR="00907489" w:rsidRPr="003E0C66">
        <w:t xml:space="preserve">Wyrokiem z </w:t>
      </w:r>
      <w:r w:rsidR="00EA4E02">
        <w:t xml:space="preserve">dnia </w:t>
      </w:r>
      <w:r w:rsidR="00907489" w:rsidRPr="003E0C66">
        <w:t xml:space="preserve">25 kwietnia 2008 roku Sąd Okręgowy 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Göttingen,</w:t>
      </w:r>
      <w:r w:rsidR="0090748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F2004" w:rsidRPr="003E0C66">
        <w:rPr>
          <w:rFonts w:ascii="Times New Roman" w:eastAsia="Times New Roman" w:hAnsi="Times New Roman" w:cs="Times New Roman"/>
          <w:szCs w:val="20"/>
          <w:lang w:eastAsia="fr-FR"/>
        </w:rPr>
        <w:t>po rozważeniu faktów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 xml:space="preserve"> ustalonych</w:t>
      </w:r>
      <w:r w:rsidR="004F200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jak opisano powyżej, </w:t>
      </w:r>
      <w:r w:rsidR="00DA433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uznał skarżącego za winnego dwóch 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>poważnych</w:t>
      </w:r>
      <w:r w:rsidR="00EA4E0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759ED" w:rsidRPr="003E0C66">
        <w:rPr>
          <w:rFonts w:ascii="Times New Roman" w:eastAsia="Times New Roman" w:hAnsi="Times New Roman" w:cs="Times New Roman"/>
          <w:szCs w:val="20"/>
          <w:lang w:eastAsia="fr-FR"/>
        </w:rPr>
        <w:t>rabunków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 xml:space="preserve"> połączonych</w:t>
      </w:r>
      <w:r w:rsidR="009759E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 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 xml:space="preserve">poważnym </w:t>
      </w:r>
      <w:r w:rsidR="001D15E4" w:rsidRPr="003E0C66">
        <w:rPr>
          <w:rFonts w:ascii="Times New Roman" w:eastAsia="Times New Roman" w:hAnsi="Times New Roman" w:cs="Times New Roman"/>
          <w:szCs w:val="20"/>
          <w:lang w:eastAsia="fr-FR"/>
        </w:rPr>
        <w:t>wymuszeniem</w:t>
      </w:r>
      <w:r w:rsidR="00781D0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popełnionych wspólnie z </w:t>
      </w:r>
      <w:r w:rsidR="008E4E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innymi </w:t>
      </w:r>
      <w:r w:rsidR="0048496B" w:rsidRPr="003E0C66">
        <w:rPr>
          <w:rFonts w:ascii="Times New Roman" w:eastAsia="Times New Roman" w:hAnsi="Times New Roman" w:cs="Times New Roman"/>
          <w:szCs w:val="20"/>
          <w:lang w:eastAsia="fr-FR"/>
        </w:rPr>
        <w:t>sprawcami</w:t>
      </w:r>
      <w:r w:rsidR="0041459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 xml:space="preserve">odpowiednio </w:t>
      </w:r>
      <w:r w:rsidR="004849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Kassel 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 xml:space="preserve">w dniu </w:t>
      </w:r>
      <w:r w:rsidR="0048496B" w:rsidRPr="003E0C66">
        <w:rPr>
          <w:rFonts w:ascii="Times New Roman" w:eastAsia="Times New Roman" w:hAnsi="Times New Roman" w:cs="Times New Roman"/>
          <w:szCs w:val="20"/>
          <w:lang w:eastAsia="fr-FR"/>
        </w:rPr>
        <w:t>14 październi</w:t>
      </w:r>
      <w:r w:rsidR="00A6676E" w:rsidRPr="003E0C66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48496B" w:rsidRPr="003E0C66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A6676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2006 roku oraz 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Göttingen 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>w dniu</w:t>
      </w:r>
      <w:r w:rsidR="00EA4E0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3 </w:t>
      </w:r>
      <w:r w:rsidR="00B343F3" w:rsidRPr="003E0C66">
        <w:rPr>
          <w:rFonts w:ascii="Times New Roman" w:eastAsia="Times New Roman" w:hAnsi="Times New Roman" w:cs="Times New Roman"/>
          <w:color w:val="191919" w:themeColor="background2" w:themeShade="1A"/>
          <w:szCs w:val="20"/>
          <w:lang w:eastAsia="fr-FR"/>
        </w:rPr>
        <w:t xml:space="preserve">lutego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2007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 xml:space="preserve"> roku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8A092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Skarżącego, którego w czasie postępowania reprezentował </w:t>
      </w:r>
      <w:r w:rsidR="00EA4E02">
        <w:rPr>
          <w:rFonts w:ascii="Times New Roman" w:eastAsia="Times New Roman" w:hAnsi="Times New Roman" w:cs="Times New Roman"/>
          <w:szCs w:val="20"/>
          <w:lang w:eastAsia="fr-FR"/>
        </w:rPr>
        <w:t>obrońca</w:t>
      </w:r>
      <w:r w:rsidR="008A092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skazano na 9 lat i 6 miesięcy pozbawienia wolności.  </w:t>
      </w:r>
    </w:p>
    <w:p w:rsidR="00E05B22" w:rsidRPr="003E0C66" w:rsidRDefault="00E05B22" w:rsidP="00BC0CE7">
      <w:pPr>
        <w:pStyle w:val="ECHRHeading4"/>
        <w:rPr>
          <w:rFonts w:eastAsia="Times New Roman"/>
          <w:lang w:eastAsia="fr-FR"/>
        </w:rPr>
      </w:pPr>
      <w:r w:rsidRPr="003E0C66">
        <w:rPr>
          <w:rFonts w:eastAsia="Times New Roman"/>
          <w:lang w:eastAsia="fr-FR"/>
        </w:rPr>
        <w:t>(a)  </w:t>
      </w:r>
      <w:r w:rsidR="00B64ED9" w:rsidRPr="003E0C66">
        <w:rPr>
          <w:rFonts w:eastAsia="Times New Roman"/>
          <w:lang w:eastAsia="fr-FR"/>
        </w:rPr>
        <w:t xml:space="preserve">Ocena dostępnych dowodów dotyczących przestępstwa w Kassel 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31</w:t>
      </w:r>
      <w:r w:rsidRPr="003E0C66">
        <w:fldChar w:fldCharType="end"/>
      </w:r>
      <w:r w:rsidR="00E05B22" w:rsidRPr="003E0C66">
        <w:t>. </w:t>
      </w:r>
      <w:r w:rsidR="007E2AFD" w:rsidRPr="003E0C66">
        <w:t xml:space="preserve">Sąd Okręgowy oparł </w:t>
      </w:r>
      <w:r w:rsidR="009B3B8E">
        <w:t xml:space="preserve">swoje </w:t>
      </w:r>
      <w:r w:rsidR="007E2AFD" w:rsidRPr="003E0C66">
        <w:t>ustalenia faktyczne</w:t>
      </w:r>
      <w:r w:rsidR="00414596">
        <w:t>,</w:t>
      </w:r>
      <w:r w:rsidR="007E2AFD" w:rsidRPr="003E0C66">
        <w:t xml:space="preserve"> dotyczące przestępstwa popełnionego przez skarżącego w Kassel</w:t>
      </w:r>
      <w:r w:rsidR="00414596">
        <w:t>,</w:t>
      </w:r>
      <w:r w:rsidR="007E2AFD" w:rsidRPr="003E0C66">
        <w:t xml:space="preserve"> na zeznaniach złożonych </w:t>
      </w:r>
      <w:r w:rsidR="009B3B8E">
        <w:t xml:space="preserve">podczas procesu </w:t>
      </w:r>
      <w:r w:rsidR="007E2AFD" w:rsidRPr="003E0C66">
        <w:t>przez</w:t>
      </w:r>
      <w:r w:rsidR="009B3B8E">
        <w:t xml:space="preserve"> pokrzywdzone</w:t>
      </w:r>
      <w:r w:rsidR="007E2AFD" w:rsidRPr="003E0C66">
        <w:t xml:space="preserve"> L. oraz I., które zidentyfikowały skarżącego bez żadnego </w:t>
      </w:r>
      <w:r w:rsidR="005248B9" w:rsidRPr="003E0C66">
        <w:t xml:space="preserve">wahania. </w:t>
      </w:r>
      <w:r w:rsidR="009B3B8E">
        <w:t>Zauważył</w:t>
      </w:r>
      <w:r w:rsidR="005248B9" w:rsidRPr="003E0C66">
        <w:t>, ż</w:t>
      </w:r>
      <w:r w:rsidR="009B3B8E">
        <w:t>e</w:t>
      </w:r>
      <w:r w:rsidR="005248B9" w:rsidRPr="003E0C66">
        <w:t xml:space="preserve"> zeznania zostały poparte </w:t>
      </w:r>
      <w:r w:rsidR="005C2E73">
        <w:t>zeznaniami</w:t>
      </w:r>
      <w:r w:rsidR="005248B9" w:rsidRPr="003E0C66">
        <w:t xml:space="preserve"> złożon</w:t>
      </w:r>
      <w:r w:rsidR="005C2E73">
        <w:t>ymi w trakcie procesu</w:t>
      </w:r>
      <w:r w:rsidR="005248B9" w:rsidRPr="003E0C66">
        <w:t xml:space="preserve"> przez policjantów, którzy </w:t>
      </w:r>
      <w:r w:rsidR="00DD69B2" w:rsidRPr="003E0C66">
        <w:t>uczestniczyli</w:t>
      </w:r>
      <w:r w:rsidR="00B343F3" w:rsidRPr="003E0C66">
        <w:t xml:space="preserve"> w akcji</w:t>
      </w:r>
      <w:r w:rsidR="00DD69B2" w:rsidRPr="003E0C66">
        <w:t xml:space="preserve"> oraz</w:t>
      </w:r>
      <w:r w:rsidR="00B343F3" w:rsidRPr="003E0C66">
        <w:t xml:space="preserve"> przesłuchiwali L. i </w:t>
      </w:r>
      <w:proofErr w:type="spellStart"/>
      <w:r w:rsidR="00B343F3" w:rsidRPr="003E0C66">
        <w:t>I</w:t>
      </w:r>
      <w:proofErr w:type="spellEnd"/>
      <w:r w:rsidR="00B343F3" w:rsidRPr="003E0C66">
        <w:t xml:space="preserve">. </w:t>
      </w:r>
      <w:r w:rsidR="005C2E73">
        <w:t>p</w:t>
      </w:r>
      <w:r w:rsidR="00B343F3" w:rsidRPr="003E0C66">
        <w:t>odczas wstępnego dochodzenia. W świetle tych elementów Sąd Okręgowy uznał, ż</w:t>
      </w:r>
      <w:r w:rsidR="005C2E73">
        <w:t>e</w:t>
      </w:r>
      <w:r w:rsidR="00B343F3" w:rsidRPr="003E0C66">
        <w:t xml:space="preserve"> </w:t>
      </w:r>
      <w:r w:rsidR="005C2E73">
        <w:t>wyjaśnienia</w:t>
      </w:r>
      <w:r w:rsidR="005C2E73" w:rsidRPr="003E0C66">
        <w:t xml:space="preserve"> </w:t>
      </w:r>
      <w:r w:rsidR="00B343F3" w:rsidRPr="003E0C66">
        <w:t>złożone przez skarżącego, który początkowo domagał się uniewinnienia,</w:t>
      </w:r>
      <w:r w:rsidR="005C2E73">
        <w:t xml:space="preserve"> a następnie</w:t>
      </w:r>
      <w:r w:rsidR="00B343F3" w:rsidRPr="003E0C66">
        <w:t xml:space="preserve"> przyznał się, ż</w:t>
      </w:r>
      <w:r w:rsidR="005C2E73">
        <w:t>e</w:t>
      </w:r>
      <w:r w:rsidR="00B343F3" w:rsidRPr="003E0C66">
        <w:t xml:space="preserve"> był w mieszkaniu L. i </w:t>
      </w:r>
      <w:proofErr w:type="spellStart"/>
      <w:r w:rsidR="00B343F3" w:rsidRPr="003E0C66">
        <w:t>I</w:t>
      </w:r>
      <w:proofErr w:type="spellEnd"/>
      <w:r w:rsidR="005C2E73">
        <w:t>.,</w:t>
      </w:r>
      <w:r w:rsidR="00B343F3" w:rsidRPr="003E0C66">
        <w:t xml:space="preserve"> ale </w:t>
      </w:r>
      <w:r w:rsidR="00B343F3" w:rsidRPr="003E0C66">
        <w:lastRenderedPageBreak/>
        <w:t xml:space="preserve">jedynie </w:t>
      </w:r>
      <w:r w:rsidR="005C2E73" w:rsidRPr="003E0C66">
        <w:t xml:space="preserve">po kłótni z kobietami </w:t>
      </w:r>
      <w:r w:rsidR="005C2E73">
        <w:t xml:space="preserve">sam </w:t>
      </w:r>
      <w:r w:rsidR="00B343F3" w:rsidRPr="003E0C66">
        <w:t xml:space="preserve">skrycie </w:t>
      </w:r>
      <w:r w:rsidR="005C2E73">
        <w:t>u</w:t>
      </w:r>
      <w:r w:rsidR="00B343F3" w:rsidRPr="003E0C66">
        <w:t>kradł 750 euro, zosta</w:t>
      </w:r>
      <w:r w:rsidR="005C2E73">
        <w:t>ły</w:t>
      </w:r>
      <w:r w:rsidR="00B343F3" w:rsidRPr="003E0C66">
        <w:t xml:space="preserve"> obalone.  </w:t>
      </w:r>
      <w:r w:rsidR="005248B9" w:rsidRPr="003E0C66">
        <w:t xml:space="preserve">  </w:t>
      </w:r>
      <w:r w:rsidR="00B64ED9" w:rsidRPr="003E0C66">
        <w:t xml:space="preserve"> </w:t>
      </w:r>
      <w:r w:rsidR="00E05B22" w:rsidRPr="003E0C66">
        <w:t> </w:t>
      </w:r>
    </w:p>
    <w:p w:rsidR="00E05B22" w:rsidRPr="003E0C66" w:rsidRDefault="00E05B22" w:rsidP="00BC0CE7">
      <w:pPr>
        <w:pStyle w:val="ECHRHeading4"/>
      </w:pPr>
      <w:r w:rsidRPr="003E0C66">
        <w:t>(b) </w:t>
      </w:r>
      <w:r w:rsidR="00C90457" w:rsidRPr="003E0C66">
        <w:t xml:space="preserve">Ocena dostępnych dowodów dotyczących przestępstwa w </w:t>
      </w:r>
      <w:r w:rsidRPr="003E0C66">
        <w:t>Göttingen</w:t>
      </w:r>
    </w:p>
    <w:p w:rsidR="00E05B22" w:rsidRPr="003E0C66" w:rsidRDefault="00E05B22" w:rsidP="00BC0CE7">
      <w:pPr>
        <w:pStyle w:val="ECHRHeading5"/>
        <w:rPr>
          <w:rFonts w:eastAsia="Times New Roman"/>
          <w:lang w:eastAsia="fr-FR"/>
        </w:rPr>
      </w:pPr>
      <w:r w:rsidRPr="003E0C66">
        <w:rPr>
          <w:rFonts w:eastAsia="Times New Roman"/>
          <w:lang w:eastAsia="fr-FR"/>
        </w:rPr>
        <w:t>(</w:t>
      </w:r>
      <w:r w:rsidRPr="003E0C66">
        <w:rPr>
          <w:rFonts w:eastAsia="Times New Roman" w:cstheme="majorHAnsi"/>
          <w:lang w:eastAsia="fr-FR"/>
        </w:rPr>
        <w:t>i</w:t>
      </w:r>
      <w:r w:rsidRPr="003E0C66">
        <w:rPr>
          <w:rFonts w:eastAsia="Times New Roman"/>
          <w:lang w:eastAsia="fr-FR"/>
        </w:rPr>
        <w:t>)  </w:t>
      </w:r>
      <w:r w:rsidR="00C90457" w:rsidRPr="003E0C66">
        <w:rPr>
          <w:rFonts w:eastAsia="Times New Roman"/>
          <w:lang w:eastAsia="fr-FR"/>
        </w:rPr>
        <w:t xml:space="preserve">Zeznania O. i P. 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32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>Przy ustalaniu faktów dotyczących przestępstwa popełnionego w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Göttingen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Sąd Okręgowy powołał się w szczególności na przedprocesowe </w:t>
      </w:r>
      <w:r w:rsidR="005C2E73">
        <w:rPr>
          <w:rFonts w:ascii="Times New Roman" w:eastAsia="Times New Roman" w:hAnsi="Times New Roman" w:cs="Times New Roman"/>
          <w:szCs w:val="20"/>
          <w:lang w:eastAsia="fr-FR"/>
        </w:rPr>
        <w:t>zeznania</w:t>
      </w:r>
      <w:r w:rsidR="005C2E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złożone przez </w:t>
      </w:r>
      <w:r w:rsidR="005C2E73">
        <w:rPr>
          <w:rFonts w:ascii="Times New Roman" w:eastAsia="Times New Roman" w:hAnsi="Times New Roman" w:cs="Times New Roman"/>
          <w:szCs w:val="20"/>
          <w:lang w:eastAsia="fr-FR"/>
        </w:rPr>
        <w:t>pokrzywdzone</w:t>
      </w:r>
      <w:r w:rsidR="005C2E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>O. i P.</w:t>
      </w:r>
      <w:r w:rsidR="005C2E73" w:rsidRPr="005C2E73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C2E73" w:rsidRPr="003E0C66">
        <w:rPr>
          <w:rFonts w:ascii="Times New Roman" w:eastAsia="Times New Roman" w:hAnsi="Times New Roman" w:cs="Times New Roman"/>
          <w:szCs w:val="20"/>
          <w:lang w:eastAsia="fr-FR"/>
        </w:rPr>
        <w:t>podczas przesłuchań przez policję oraz sędziego śledczego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które uznał za najważniejszych świadków </w:t>
      </w:r>
      <w:r w:rsidR="005C2E73">
        <w:rPr>
          <w:rFonts w:ascii="Times New Roman" w:eastAsia="Times New Roman" w:hAnsi="Times New Roman" w:cs="Times New Roman"/>
          <w:szCs w:val="20"/>
          <w:lang w:eastAsia="fr-FR"/>
        </w:rPr>
        <w:t>oskarżenia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(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maßgebliche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[n]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Belastungszeuginnen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)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33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>W swoim 152</w:t>
      </w:r>
      <w:r w:rsidR="00414596">
        <w:rPr>
          <w:rFonts w:ascii="Times New Roman" w:eastAsia="Times New Roman" w:hAnsi="Times New Roman" w:cs="Times New Roman"/>
          <w:szCs w:val="20"/>
          <w:lang w:eastAsia="fr-FR"/>
        </w:rPr>
        <w:t>-</w:t>
      </w:r>
      <w:r w:rsidR="00C90457" w:rsidRPr="003E0C66">
        <w:rPr>
          <w:rFonts w:ascii="Times New Roman" w:eastAsia="Times New Roman" w:hAnsi="Times New Roman" w:cs="Times New Roman"/>
          <w:szCs w:val="20"/>
          <w:lang w:eastAsia="fr-FR"/>
        </w:rPr>
        <w:t>stronicowym wyroku Sąd Okręgowy</w:t>
      </w:r>
      <w:r w:rsidR="00964E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podkreślił, iż zdawał sobie sprawę z mniejszej wartości dowodowej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D38E1" w:rsidRPr="003E0C66">
        <w:rPr>
          <w:rFonts w:ascii="Times New Roman" w:eastAsia="Times New Roman" w:hAnsi="Times New Roman" w:cs="Times New Roman"/>
          <w:szCs w:val="20"/>
          <w:lang w:eastAsia="fr-FR"/>
        </w:rPr>
        <w:t>protokoł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ów</w:t>
      </w:r>
      <w:r w:rsidR="005D38E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64E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przedprocesowych przesłuchań O. oraz P. Ponadto </w:t>
      </w:r>
      <w:r w:rsidR="005C2E73">
        <w:rPr>
          <w:rFonts w:ascii="Times New Roman" w:eastAsia="Times New Roman" w:hAnsi="Times New Roman" w:cs="Times New Roman"/>
          <w:szCs w:val="20"/>
          <w:lang w:eastAsia="fr-FR"/>
        </w:rPr>
        <w:t>wziął pod</w:t>
      </w:r>
      <w:r w:rsidR="00964E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uwagę </w:t>
      </w:r>
      <w:r w:rsidR="005C2E73">
        <w:rPr>
          <w:rFonts w:ascii="Times New Roman" w:eastAsia="Times New Roman" w:hAnsi="Times New Roman" w:cs="Times New Roman"/>
          <w:szCs w:val="20"/>
          <w:lang w:eastAsia="fr-FR"/>
        </w:rPr>
        <w:t>także</w:t>
      </w:r>
      <w:r w:rsidR="005C2E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64E9E" w:rsidRPr="003E0C66">
        <w:rPr>
          <w:rFonts w:ascii="Times New Roman" w:eastAsia="Times New Roman" w:hAnsi="Times New Roman" w:cs="Times New Roman"/>
          <w:szCs w:val="20"/>
          <w:lang w:eastAsia="fr-FR"/>
        </w:rPr>
        <w:t>fakt, ż</w:t>
      </w:r>
      <w:r w:rsidR="005C2E73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964E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ani skarżący, ani jego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obrońca</w:t>
      </w:r>
      <w:r w:rsidR="00964E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na żadnym z etapów postępowania nie mieli możliwości przesłuchania jedynych bezpośrednich świadków przestępstwa popełnionego 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Göttingen</w:t>
      </w:r>
      <w:r w:rsidR="00964E9E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34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964E9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Sąd Okręgowy </w:t>
      </w:r>
      <w:r w:rsidR="00D01CFD" w:rsidRPr="003E0C66">
        <w:rPr>
          <w:rFonts w:ascii="Times New Roman" w:eastAsia="Times New Roman" w:hAnsi="Times New Roman" w:cs="Times New Roman"/>
          <w:szCs w:val="20"/>
          <w:lang w:eastAsia="fr-FR"/>
        </w:rPr>
        <w:t>odnotował, ż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D01CF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protokoły przesłuchań O. i P.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D01CF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przeprowadzonych na etapie dochodzenia w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D01CF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kazały, iż </w:t>
      </w:r>
      <w:r w:rsidR="003975C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opisały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one</w:t>
      </w:r>
      <w:r w:rsidR="003975C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01CFD" w:rsidRPr="003E0C66">
        <w:rPr>
          <w:rFonts w:ascii="Times New Roman" w:eastAsia="Times New Roman" w:hAnsi="Times New Roman" w:cs="Times New Roman"/>
          <w:szCs w:val="20"/>
          <w:lang w:eastAsia="fr-FR"/>
        </w:rPr>
        <w:t>szczegółowo i spójnie okoliczności przestępstwa. Małe sprzeczności</w:t>
      </w:r>
      <w:r w:rsidR="00C3356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 xml:space="preserve"> ich</w:t>
      </w:r>
      <w:r w:rsidR="00C3356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zeznaniach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mogą zostać wyjaśnione</w:t>
      </w:r>
      <w:r w:rsidR="00C3356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 xml:space="preserve">ich </w:t>
      </w:r>
      <w:r w:rsidR="00C3356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obawą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przed ujawnieniem</w:t>
      </w:r>
      <w:r w:rsidR="003975C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3356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władzom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 xml:space="preserve">miejsca </w:t>
      </w:r>
      <w:r w:rsidR="00C3356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ich pobytu oraz tego, czym się zajmowały oraz </w:t>
      </w:r>
      <w:r w:rsidR="0072340E" w:rsidRPr="003E0C66">
        <w:rPr>
          <w:rFonts w:ascii="Times New Roman" w:eastAsia="Times New Roman" w:hAnsi="Times New Roman" w:cs="Times New Roman"/>
          <w:szCs w:val="20"/>
          <w:lang w:eastAsia="fr-FR"/>
        </w:rPr>
        <w:t>psychiczn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ym</w:t>
      </w:r>
      <w:r w:rsidR="0072340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napięci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em</w:t>
      </w:r>
      <w:r w:rsidR="0072340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na które zostały narażone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w trakcie</w:t>
      </w:r>
      <w:r w:rsidR="003975C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72340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 po incydencie. 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>Świadkowie obawia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ły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się problemów z policją oraz aktów zemsty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 xml:space="preserve">ze strony 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sprawców. Tłumaczy to dlaczego nie zgłosiły popełnienia przestępstwa od razu po tym, gdy do niego doszło i dlaczego policja została poinformowana o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zdarzeniu</w:t>
      </w:r>
      <w:r w:rsidR="003975C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dopiero 12 lutego 2007 roku przez przyjaciółkę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3975C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>L.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35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>Sąd Okręgowy zwrócił ponadto uwagę na fakt, ż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O. i P. nie zidentyfikowały skarżącego, gdy podczas policyjnych przesłucha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ń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przedstawiono im zdjęcia potencjalnych podejrzanych.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Zauważył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5D38E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>i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>ch uwaga podczas wydarzenia była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skupiona na innym </w:t>
      </w:r>
      <w:r w:rsidR="003975C8">
        <w:rPr>
          <w:rFonts w:ascii="Times New Roman" w:eastAsia="Times New Roman" w:hAnsi="Times New Roman" w:cs="Times New Roman"/>
          <w:szCs w:val="20"/>
          <w:lang w:eastAsia="fr-FR"/>
        </w:rPr>
        <w:t>sprawcy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>, który trzymał nóż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 że skarżący przebywał w mieszkaniu 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przez krótki czas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Ich niemożność zidentyfikowania skarżącego 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 xml:space="preserve">także 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>w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>kazała, ż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przeciwnie do tego, co twierdziła obrona, nie 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składały</w:t>
      </w:r>
      <w:r w:rsidR="009753D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one 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zeznań jedynie w celu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obciążenia skarżącego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Sąd uznał ponadto,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5D38E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fakt, że świadkowie nie 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stawiły</w:t>
      </w:r>
      <w:r w:rsidR="009753D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>się na rozprawie można wytłumaczyć ich niepokojem związanym z koniecznością przypomnienia</w:t>
      </w:r>
      <w:r w:rsidR="004058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sobie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 bycia wypytywanym co do przestępstwa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dlatego</w:t>
      </w:r>
      <w:r w:rsidR="009753D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 </w:t>
      </w:r>
      <w:r w:rsidR="009753D6" w:rsidRPr="003E0C66">
        <w:rPr>
          <w:rFonts w:ascii="Times New Roman" w:eastAsia="Times New Roman" w:hAnsi="Times New Roman" w:cs="Times New Roman"/>
          <w:szCs w:val="20"/>
          <w:lang w:eastAsia="fr-FR"/>
        </w:rPr>
        <w:t>wpłyn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ął</w:t>
      </w:r>
      <w:r w:rsidR="009753D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>na ich wiarygodność.</w:t>
      </w:r>
      <w:r w:rsidR="0057486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   </w:t>
      </w:r>
      <w:r w:rsidR="00C317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 </w:t>
      </w:r>
      <w:r w:rsidR="00B343F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E05B22" w:rsidP="00BC0CE7">
      <w:pPr>
        <w:pStyle w:val="ECHRHeading5"/>
        <w:rPr>
          <w:rFonts w:eastAsia="Times New Roman"/>
          <w:lang w:eastAsia="fr-FR"/>
        </w:rPr>
      </w:pPr>
      <w:r w:rsidRPr="003E0C66">
        <w:rPr>
          <w:rFonts w:eastAsia="Times New Roman"/>
          <w:lang w:eastAsia="fr-FR"/>
        </w:rPr>
        <w:t>(ii) </w:t>
      </w:r>
      <w:r w:rsidR="005F2BCD" w:rsidRPr="003E0C66">
        <w:rPr>
          <w:rFonts w:eastAsia="Times New Roman"/>
          <w:lang w:eastAsia="fr-FR"/>
        </w:rPr>
        <w:t xml:space="preserve">Kolejne dostępne dowody </w:t>
      </w:r>
      <w:r w:rsidRPr="003E0C66">
        <w:rPr>
          <w:rFonts w:eastAsia="Times New Roman"/>
          <w:lang w:eastAsia="fr-FR"/>
        </w:rPr>
        <w:t> 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36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F47A2A" w:rsidRPr="003E0C66">
        <w:rPr>
          <w:rFonts w:ascii="Times New Roman" w:eastAsia="Times New Roman" w:hAnsi="Times New Roman" w:cs="Times New Roman"/>
          <w:szCs w:val="20"/>
          <w:lang w:eastAsia="fr-FR"/>
        </w:rPr>
        <w:t>Przy ustalaniu faktów</w:t>
      </w:r>
      <w:r w:rsidR="009535C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Sąd Okręgowy</w:t>
      </w:r>
      <w:r w:rsidR="00F47A2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miał na uwadze </w:t>
      </w:r>
      <w:r w:rsidR="007D4A08" w:rsidRPr="003E0C66">
        <w:rPr>
          <w:rFonts w:ascii="Times New Roman" w:eastAsia="Times New Roman" w:hAnsi="Times New Roman" w:cs="Times New Roman"/>
          <w:szCs w:val="20"/>
          <w:lang w:eastAsia="fr-FR"/>
        </w:rPr>
        <w:t>również następujące dodatkowe dowody:</w:t>
      </w:r>
      <w:r w:rsidR="00F47A2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zeznania złożone podczas rozprawy przez kilku świadków, którym O. i P. opowiedziały o przestępstwie krótko po tym jak do niego doszło, mianowicie</w:t>
      </w:r>
      <w:r w:rsidR="006122B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sąsiad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6122B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9753D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122B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E., ich </w:t>
      </w:r>
      <w:r w:rsidR="006122B9" w:rsidRPr="003E0C66">
        <w:rPr>
          <w:rFonts w:ascii="Times New Roman" w:eastAsia="Times New Roman" w:hAnsi="Times New Roman" w:cs="Times New Roman"/>
          <w:szCs w:val="20"/>
          <w:lang w:eastAsia="fr-FR"/>
        </w:rPr>
        <w:lastRenderedPageBreak/>
        <w:t>przyjaciółk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ę</w:t>
      </w:r>
      <w:r w:rsidR="006122B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L., jak również policjan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tów</w:t>
      </w:r>
      <w:r w:rsidR="006122B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 sędzi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ego</w:t>
      </w:r>
      <w:r w:rsidR="009753D6">
        <w:rPr>
          <w:rFonts w:ascii="Times New Roman" w:eastAsia="Times New Roman" w:hAnsi="Times New Roman" w:cs="Times New Roman"/>
          <w:szCs w:val="20"/>
          <w:lang w:eastAsia="fr-FR"/>
        </w:rPr>
        <w:t xml:space="preserve"> śledcz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ego</w:t>
      </w:r>
      <w:r w:rsidR="00DD76E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którzy przesłuchiwali O. i P. </w:t>
      </w:r>
      <w:r w:rsidR="00010F60" w:rsidRPr="003E0C66">
        <w:rPr>
          <w:rFonts w:ascii="Times New Roman" w:eastAsia="Times New Roman" w:hAnsi="Times New Roman" w:cs="Times New Roman"/>
          <w:szCs w:val="20"/>
          <w:lang w:eastAsia="fr-FR"/>
        </w:rPr>
        <w:t>na etapie przedprocesowym; dane geografi</w:t>
      </w:r>
      <w:r w:rsidR="00695373" w:rsidRPr="003E0C66">
        <w:rPr>
          <w:rFonts w:ascii="Times New Roman" w:eastAsia="Times New Roman" w:hAnsi="Times New Roman" w:cs="Times New Roman"/>
          <w:szCs w:val="20"/>
          <w:lang w:eastAsia="fr-FR"/>
        </w:rPr>
        <w:t>c</w:t>
      </w:r>
      <w:r w:rsidR="00010F6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zne i informacje uzyskane </w:t>
      </w:r>
      <w:r w:rsidR="00511934" w:rsidRPr="003E0C66">
        <w:rPr>
          <w:rFonts w:ascii="Times New Roman" w:eastAsia="Times New Roman" w:hAnsi="Times New Roman" w:cs="Times New Roman"/>
          <w:szCs w:val="20"/>
          <w:lang w:eastAsia="fr-FR"/>
        </w:rPr>
        <w:t>z telefonów skarżącego i jego wspólników</w:t>
      </w:r>
      <w:r w:rsidR="00850F0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 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>przy pomocy</w:t>
      </w:r>
      <w:r w:rsidR="006122B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95373" w:rsidRPr="003E0C66">
        <w:rPr>
          <w:rFonts w:ascii="Times New Roman" w:eastAsia="Times New Roman" w:hAnsi="Times New Roman" w:cs="Times New Roman"/>
          <w:szCs w:val="20"/>
          <w:lang w:eastAsia="fr-FR"/>
        </w:rPr>
        <w:t>Globalnego Systemu Pozycjonowania</w:t>
      </w:r>
      <w:r w:rsidR="007D4A0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95373" w:rsidRPr="003E0C66">
        <w:rPr>
          <w:rFonts w:ascii="Times New Roman" w:eastAsia="Times New Roman" w:hAnsi="Times New Roman" w:cs="Times New Roman"/>
          <w:szCs w:val="20"/>
          <w:lang w:eastAsia="fr-FR"/>
        </w:rPr>
        <w:t>(‘’GPS’’) poprzez odbiornik, w któr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>y</w:t>
      </w:r>
      <w:r w:rsidR="006953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wyposażony był samochód jednego ze 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>współoskarżonych</w:t>
      </w:r>
      <w:r w:rsidR="00152E3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; przyznanie się skarżącego podczas 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>procesu</w:t>
      </w:r>
      <w:r w:rsidR="00152E38" w:rsidRPr="003E0C66">
        <w:rPr>
          <w:rFonts w:ascii="Times New Roman" w:eastAsia="Times New Roman" w:hAnsi="Times New Roman" w:cs="Times New Roman"/>
          <w:szCs w:val="20"/>
          <w:lang w:eastAsia="fr-FR"/>
        </w:rPr>
        <w:t>, ż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152E3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był w mieszkaniu 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41119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52E3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danym</w:t>
      </w:r>
      <w:r w:rsidR="005D38E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52E38" w:rsidRPr="003E0C66">
        <w:rPr>
          <w:rFonts w:ascii="Times New Roman" w:eastAsia="Times New Roman" w:hAnsi="Times New Roman" w:cs="Times New Roman"/>
          <w:szCs w:val="20"/>
          <w:lang w:eastAsia="fr-FR"/>
        </w:rPr>
        <w:t>czasie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 xml:space="preserve"> oraz</w:t>
      </w:r>
      <w:r w:rsidR="00152E3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podobieństwo</w:t>
      </w:r>
      <w:r w:rsidR="00076E4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sposobu popełnienia</w:t>
      </w:r>
      <w:r w:rsidR="00152E3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przestępstw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 xml:space="preserve"> w Kassel</w:t>
      </w:r>
      <w:r w:rsidR="00152E3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11195">
        <w:rPr>
          <w:rFonts w:ascii="Times New Roman" w:eastAsia="Times New Roman" w:hAnsi="Times New Roman" w:cs="Times New Roman"/>
          <w:szCs w:val="20"/>
          <w:lang w:eastAsia="fr-FR"/>
        </w:rPr>
        <w:t>i</w:t>
      </w:r>
      <w:r w:rsidR="00076E4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Göttingen.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37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076E4C" w:rsidRPr="003E0C66">
        <w:rPr>
          <w:rFonts w:ascii="Times New Roman" w:eastAsia="Times New Roman" w:hAnsi="Times New Roman" w:cs="Times New Roman"/>
          <w:szCs w:val="20"/>
          <w:lang w:eastAsia="fr-FR"/>
        </w:rPr>
        <w:t>Sąd Okręgowy</w:t>
      </w:r>
      <w:r w:rsidR="007B202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podkreślił, ż</w:t>
      </w:r>
      <w:r w:rsidR="00035EBD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7B202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gdy okazało się, że O. i P. nie będą uczestniczyły w procesie, </w:t>
      </w:r>
      <w:r w:rsidR="00035EBD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ąd podjął wszelkie kroki, aby możliwe było przesłuchanie podczas rozprawy jak największej ilości </w:t>
      </w:r>
      <w:r w:rsidR="00035EBD">
        <w:rPr>
          <w:rFonts w:ascii="Times New Roman" w:eastAsia="Times New Roman" w:hAnsi="Times New Roman" w:cs="Times New Roman"/>
          <w:szCs w:val="20"/>
          <w:lang w:eastAsia="fr-FR"/>
        </w:rPr>
        <w:t>świadków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>, któr</w:t>
      </w:r>
      <w:r w:rsidR="00035EBD">
        <w:rPr>
          <w:rFonts w:ascii="Times New Roman" w:eastAsia="Times New Roman" w:hAnsi="Times New Roman" w:cs="Times New Roman"/>
          <w:szCs w:val="20"/>
          <w:lang w:eastAsia="fr-FR"/>
        </w:rPr>
        <w:t>zy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mi</w:t>
      </w:r>
      <w:r w:rsidR="00035EBD">
        <w:rPr>
          <w:rFonts w:ascii="Times New Roman" w:eastAsia="Times New Roman" w:hAnsi="Times New Roman" w:cs="Times New Roman"/>
          <w:szCs w:val="20"/>
          <w:lang w:eastAsia="fr-FR"/>
        </w:rPr>
        <w:t>eli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kontakt z O. i P. w </w:t>
      </w:r>
      <w:r w:rsidR="00035EBD">
        <w:rPr>
          <w:rFonts w:ascii="Times New Roman" w:eastAsia="Times New Roman" w:hAnsi="Times New Roman" w:cs="Times New Roman"/>
          <w:szCs w:val="20"/>
          <w:lang w:eastAsia="fr-FR"/>
        </w:rPr>
        <w:t>związku z przedmiotowymi wydarzeniami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w celu </w:t>
      </w:r>
      <w:r w:rsidR="00035EBD">
        <w:rPr>
          <w:rFonts w:ascii="Times New Roman" w:eastAsia="Times New Roman" w:hAnsi="Times New Roman" w:cs="Times New Roman"/>
          <w:szCs w:val="20"/>
          <w:lang w:eastAsia="fr-FR"/>
        </w:rPr>
        <w:t>weryfikacji</w:t>
      </w:r>
      <w:r w:rsidR="00035EB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wiarygodności </w:t>
      </w:r>
      <w:r w:rsidR="00035EBD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 </w:t>
      </w:r>
      <w:r w:rsidR="00076E4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38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6D3AC5" w:rsidRPr="003E0C66">
        <w:rPr>
          <w:rFonts w:ascii="Times New Roman" w:eastAsia="Times New Roman" w:hAnsi="Times New Roman" w:cs="Times New Roman"/>
          <w:szCs w:val="20"/>
          <w:lang w:eastAsia="fr-FR"/>
        </w:rPr>
        <w:t>Zdaniem Sądu Okręgowego fakt, ż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E933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>szczegółowy opis zdarzeń przedstawiony przez O. i P. w ich przedprocesowych zeznaniach był zgodny z  relacją, jaką złożyły rankiem po przestępstwie swojej sąsiadce</w:t>
      </w:r>
      <w:r w:rsidR="00E933E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E.,</w:t>
      </w:r>
      <w:r w:rsidR="00B9148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był silnym przejawem 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 xml:space="preserve">ich </w:t>
      </w:r>
      <w:r w:rsidR="00AB2FD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wiarygodności i prawdziwości 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 xml:space="preserve">ich </w:t>
      </w:r>
      <w:r w:rsidR="00AB2FD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zeznań. E. zeznała później,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AB2FD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3 lutego 2007 roku około 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 xml:space="preserve">godziny </w:t>
      </w:r>
      <w:r w:rsidR="00AB2FDA" w:rsidRPr="003E0C66">
        <w:rPr>
          <w:rFonts w:ascii="Times New Roman" w:eastAsia="Times New Roman" w:hAnsi="Times New Roman" w:cs="Times New Roman"/>
          <w:szCs w:val="20"/>
          <w:lang w:eastAsia="fr-FR"/>
        </w:rPr>
        <w:t>9.30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 xml:space="preserve"> wieczorem</w:t>
      </w:r>
      <w:r w:rsidR="00AB2FD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inna sąsiadka, starsza kobieta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>, która</w:t>
      </w:r>
      <w:r w:rsidR="00AB2FD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wystraszyła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 xml:space="preserve"> się</w:t>
      </w:r>
      <w:r w:rsidR="00217B0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i 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>zdenerwowała</w:t>
      </w:r>
      <w:r w:rsidR="00AB2FD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gdy</w:t>
      </w:r>
      <w:r w:rsidR="00E42E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zobaczyła</w:t>
      </w:r>
      <w:r w:rsidR="00217B0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P. biegającą pod jej oknami, zawołała ją (E.) i zapytała czy ta pójdzie razem z nią do mieszkania 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>kobiet</w:t>
      </w:r>
      <w:r w:rsidR="00217B0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aby sprawdzić co się 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>stało</w:t>
      </w:r>
      <w:r w:rsidR="00217B0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O. i P. jednak nie </w:t>
      </w:r>
      <w:r w:rsidR="00AE0832">
        <w:rPr>
          <w:rFonts w:ascii="Times New Roman" w:eastAsia="Times New Roman" w:hAnsi="Times New Roman" w:cs="Times New Roman"/>
          <w:szCs w:val="20"/>
          <w:lang w:eastAsia="fr-FR"/>
        </w:rPr>
        <w:t>otworzyły</w:t>
      </w:r>
      <w:r w:rsidR="00AE083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17B07" w:rsidRPr="003E0C66">
        <w:rPr>
          <w:rFonts w:ascii="Times New Roman" w:eastAsia="Times New Roman" w:hAnsi="Times New Roman" w:cs="Times New Roman"/>
          <w:szCs w:val="20"/>
          <w:lang w:eastAsia="fr-FR"/>
        </w:rPr>
        <w:t>drzwi, gdy sąsiadki do nich dzwoniły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39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Sąd Okręgowy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nadto</w:t>
      </w:r>
      <w:r w:rsidR="00F52B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zauważył, iż opis wydarzeń O. i P. był także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zgodny</w:t>
      </w:r>
      <w:r w:rsidR="00F52B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 tym, co pamiętała ich przyjaciółka L. z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 xml:space="preserve">jej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 xml:space="preserve">rozmowy z O. i P po 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>tym jak doszło do przestępstwa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40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Dodatkowo</w:t>
      </w:r>
      <w:r w:rsidR="00F52B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>Sąd Okręgowy zwrócił uwagę, ż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52B4D" w:rsidRPr="003E0C66">
        <w:rPr>
          <w:rFonts w:ascii="Times New Roman" w:eastAsia="Times New Roman" w:hAnsi="Times New Roman" w:cs="Times New Roman"/>
          <w:szCs w:val="20"/>
          <w:lang w:eastAsia="fr-FR"/>
        </w:rPr>
        <w:t>trze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j</w:t>
      </w:r>
      <w:r w:rsidR="00F52B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>policjan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ci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oraz sędzia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śledczy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>, którzy przesłuchiwali O. i P. na etapie przedprocesowym zgodnie stwierdzili w trakcie procesu, ż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e uznali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O. i P.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za</w:t>
      </w:r>
      <w:r w:rsidR="00F52B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B2B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wiarygodne. 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 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41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1A3410" w:rsidRPr="003E0C66">
        <w:rPr>
          <w:rFonts w:ascii="Times New Roman" w:eastAsia="Times New Roman" w:hAnsi="Times New Roman" w:cs="Times New Roman"/>
          <w:szCs w:val="20"/>
          <w:lang w:eastAsia="fr-FR"/>
        </w:rPr>
        <w:t>Sąd Okręgowy podkreślił, ż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1A341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 xml:space="preserve">ponieważ </w:t>
      </w:r>
      <w:r w:rsidR="00CF20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ani obrona, ani sam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CF202F" w:rsidRPr="003E0C66">
        <w:rPr>
          <w:rFonts w:ascii="Times New Roman" w:eastAsia="Times New Roman" w:hAnsi="Times New Roman" w:cs="Times New Roman"/>
          <w:szCs w:val="20"/>
          <w:lang w:eastAsia="fr-FR"/>
        </w:rPr>
        <w:t>ąd nie mieli możliwości</w:t>
      </w:r>
      <w:r w:rsidR="00B65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obserwowa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nia</w:t>
      </w:r>
      <w:r w:rsidR="00B65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zachowania głównych świadków podczas rozprawy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ani</w:t>
      </w:r>
      <w:r w:rsidR="00B65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trakcie przesłucha</w:t>
      </w:r>
      <w:r w:rsidR="002F066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nia poprzez łącze </w:t>
      </w:r>
      <w:r w:rsidR="00006170" w:rsidRPr="003E0C66">
        <w:rPr>
          <w:rFonts w:ascii="Times New Roman" w:eastAsia="Times New Roman" w:hAnsi="Times New Roman" w:cs="Times New Roman"/>
          <w:szCs w:val="20"/>
          <w:lang w:eastAsia="fr-FR"/>
        </w:rPr>
        <w:t>audiowizualne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B65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B65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ąd musiał z należytą starannością </w:t>
      </w:r>
      <w:r w:rsidR="004605E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ocenić wiarygodność świadków na podstawie twierdzeń policjantów i sędziego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4605E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Sąd podkreślił ponadto, iż </w:t>
      </w:r>
      <w:r w:rsidR="00552E05">
        <w:rPr>
          <w:rFonts w:ascii="Times New Roman" w:eastAsia="Times New Roman" w:hAnsi="Times New Roman" w:cs="Times New Roman"/>
          <w:szCs w:val="20"/>
          <w:lang w:eastAsia="fr-FR"/>
        </w:rPr>
        <w:t>uwzględniając</w:t>
      </w:r>
      <w:r w:rsidR="004605E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zeznania sąsiadki E. oraz przyjaciółki </w:t>
      </w:r>
      <w:r w:rsidR="00F52B4D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F52B4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605E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L., zwrócił szczególną uwagę na fakt, iż ich zeznania stanowiły </w:t>
      </w:r>
      <w:r w:rsidR="002F066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‘’dowód ze słyszenia’’ i </w:t>
      </w:r>
      <w:r w:rsidR="00552E05">
        <w:rPr>
          <w:rFonts w:ascii="Times New Roman" w:eastAsia="Times New Roman" w:hAnsi="Times New Roman" w:cs="Times New Roman"/>
          <w:szCs w:val="20"/>
          <w:lang w:eastAsia="fr-FR"/>
        </w:rPr>
        <w:t>musiały zostać ocenione</w:t>
      </w:r>
      <w:r w:rsidR="00552E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F066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szczególnie </w:t>
      </w:r>
      <w:r w:rsidR="00552E05">
        <w:rPr>
          <w:rFonts w:ascii="Times New Roman" w:eastAsia="Times New Roman" w:hAnsi="Times New Roman" w:cs="Times New Roman"/>
          <w:szCs w:val="20"/>
          <w:lang w:eastAsia="fr-FR"/>
        </w:rPr>
        <w:t>ostrożnie</w:t>
      </w:r>
      <w:r w:rsidR="002F066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1A341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42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2F066E" w:rsidRPr="003E0C66">
        <w:rPr>
          <w:rFonts w:ascii="Times New Roman" w:eastAsia="Times New Roman" w:hAnsi="Times New Roman" w:cs="Times New Roman"/>
          <w:szCs w:val="20"/>
          <w:lang w:eastAsia="fr-FR"/>
        </w:rPr>
        <w:t>W tym kontekście istotne było, ż</w:t>
      </w:r>
      <w:r w:rsidR="00552E05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2F066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zeznania O. i P., jak również zeznania innych świadków </w:t>
      </w:r>
      <w:r w:rsidR="00552E05" w:rsidRPr="003E0C66">
        <w:rPr>
          <w:rFonts w:ascii="Times New Roman" w:eastAsia="Times New Roman" w:hAnsi="Times New Roman" w:cs="Times New Roman"/>
          <w:szCs w:val="20"/>
          <w:lang w:eastAsia="fr-FR"/>
        </w:rPr>
        <w:t>przesłuch</w:t>
      </w:r>
      <w:r w:rsidR="00552E05">
        <w:rPr>
          <w:rFonts w:ascii="Times New Roman" w:eastAsia="Times New Roman" w:hAnsi="Times New Roman" w:cs="Times New Roman"/>
          <w:szCs w:val="20"/>
          <w:lang w:eastAsia="fr-FR"/>
        </w:rPr>
        <w:t>anych</w:t>
      </w:r>
      <w:r w:rsidR="00552E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F066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podczas procesu, zostały poparte </w:t>
      </w:r>
      <w:r w:rsidR="00552E05">
        <w:rPr>
          <w:rFonts w:ascii="Times New Roman" w:eastAsia="Times New Roman" w:hAnsi="Times New Roman" w:cs="Times New Roman"/>
          <w:szCs w:val="20"/>
          <w:lang w:eastAsia="fr-FR"/>
        </w:rPr>
        <w:t>kolejnymi istotnymi i</w:t>
      </w:r>
      <w:r w:rsidR="00552E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F066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dopuszczalnymi dowodami, takimi jak dane i informacje uzyskane z telefonów komórkowych skarżącego i jego wspólników oraz za pomocą GPS. Informacje, o których mowa zostały zebrane w </w:t>
      </w:r>
      <w:r w:rsidR="00F21185">
        <w:rPr>
          <w:rFonts w:ascii="Times New Roman" w:eastAsia="Times New Roman" w:hAnsi="Times New Roman" w:cs="Times New Roman"/>
          <w:szCs w:val="20"/>
          <w:lang w:eastAsia="fr-FR"/>
        </w:rPr>
        <w:t>wyniku inwigilacji policyjnej prowadzonej w tamtym czasie</w:t>
      </w:r>
      <w:r w:rsidR="00D01D4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21185">
        <w:rPr>
          <w:rFonts w:ascii="Times New Roman" w:eastAsia="Times New Roman" w:hAnsi="Times New Roman" w:cs="Times New Roman"/>
          <w:szCs w:val="20"/>
          <w:lang w:eastAsia="fr-FR"/>
        </w:rPr>
        <w:t>w ramach</w:t>
      </w:r>
      <w:r w:rsidR="00D01D4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dochodzenia karnego, </w:t>
      </w:r>
      <w:r w:rsidR="00552E05">
        <w:rPr>
          <w:rFonts w:ascii="Times New Roman" w:eastAsia="Times New Roman" w:hAnsi="Times New Roman" w:cs="Times New Roman"/>
          <w:szCs w:val="20"/>
          <w:lang w:eastAsia="fr-FR"/>
        </w:rPr>
        <w:t>wszczętego przeciwko oskarżonemu, podejrzanemu o</w:t>
      </w:r>
      <w:r w:rsidR="00552E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52E05">
        <w:rPr>
          <w:rFonts w:ascii="Times New Roman" w:eastAsia="Times New Roman" w:hAnsi="Times New Roman" w:cs="Times New Roman"/>
          <w:szCs w:val="20"/>
          <w:lang w:eastAsia="fr-FR"/>
        </w:rPr>
        <w:t>wymuszenia</w:t>
      </w:r>
      <w:r w:rsidR="00552E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A049C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na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rynku</w:t>
      </w:r>
      <w:r w:rsidR="005D38E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narkotykowym</w:t>
      </w:r>
      <w:r w:rsidR="00A049C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Göttingen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lastRenderedPageBreak/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43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>. Z danych geograficznych i nagrań dwóch rozmów przez telefon komórkowy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pomiędzy jednym ze wspólników a skarżącym wieczorem 3 lutego 2007 roku o 20.29 i 20.31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wynika, że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ten ostatni był obecny w mieszkaniu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57215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>wraz z B.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 xml:space="preserve"> i że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wyskoczył z balkonu w celu złapania jednej z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uciekających pokrzywdzonych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 xml:space="preserve">której 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 udało mu się  złapać,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podczas gdy</w:t>
      </w:r>
      <w:r w:rsidR="0057215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B.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został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mieszkaniu. Co więcej, analiza danych GPS wykazała, iż samochód jednego ze wspólników skarżącego był zaparkowany niedaleko miejsca przestępstwa od 19.58 do 20.3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2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 xml:space="preserve">dnia 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3 lutego 2007 roku, czyli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w czasie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który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pokrywa</w:t>
      </w:r>
      <w:r w:rsidR="0057215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się z czasem, w którym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 xml:space="preserve">przedmiotowy rabunek 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>miał miejsce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E14F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44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49699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Ponadto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 xml:space="preserve">podczas </w:t>
      </w:r>
      <w:r w:rsidR="0049699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gdy skarżący oraz jego wspólnicy zaprzeczyli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jakiemukolwiek udziałowi</w:t>
      </w:r>
      <w:r w:rsidR="0057215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9699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rozboju oraz jakiejkolwiek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 xml:space="preserve">umyślnej </w:t>
      </w:r>
      <w:r w:rsidR="0049699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działalności przestępczej, ich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własne wyjaśnienia</w:t>
      </w:r>
      <w:r w:rsidR="0057215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96993" w:rsidRPr="003E0C66">
        <w:rPr>
          <w:rFonts w:ascii="Times New Roman" w:eastAsia="Times New Roman" w:hAnsi="Times New Roman" w:cs="Times New Roman"/>
          <w:szCs w:val="20"/>
          <w:lang w:eastAsia="fr-FR"/>
        </w:rPr>
        <w:t>na rozprawie potwierdził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y co najmniej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iż jeden ze wspólników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razem</w:t>
      </w:r>
      <w:r w:rsidR="00625C5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 R. był w mieszkaniu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57215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Göttingen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wieczorem przed przestępstwem oraz że wszyscy oni byli w samochodzie zaparkowanym niedaleko domu </w:t>
      </w:r>
      <w:r w:rsidR="0057215F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57215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czasie przestępstwa. Oskarżony początkowo stwierdził, 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5D38E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czasie incydentu w mieszkaniu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razem z R.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5D38E1" w:rsidRPr="003E0C66">
        <w:rPr>
          <w:rFonts w:ascii="Times New Roman" w:eastAsia="Times New Roman" w:hAnsi="Times New Roman" w:cs="Times New Roman"/>
          <w:szCs w:val="20"/>
          <w:lang w:eastAsia="fr-FR"/>
        </w:rPr>
        <w:t>znajdował się</w:t>
      </w:r>
      <w:r w:rsidR="005D38E1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inny z przestępców. Skarżący następnie zmienił swoje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wyjaśnienia</w:t>
      </w:r>
      <w:r w:rsidR="00625C5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twierdząc, iż to on i B.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byli w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mieszkani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u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3 lutego 2007 roku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 zamiarem skorzystania z usług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pokrzywdzonych jako prostytutek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>. Następnie przyznał się, ż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podążył za P. gdy ta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uciekła</w:t>
      </w:r>
      <w:r w:rsidR="00625C5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>przez balkon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Wytłumaczył,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1470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zrobił to aby kobieta nie powiadomiła sąsiadów, ani policji,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 xml:space="preserve">ponieważ 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>ze względu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 xml:space="preserve"> na to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>, ż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był karany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 xml:space="preserve"> i że miał już wcześniej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 xml:space="preserve">problemy kontaktując się z prostytutkami </w:t>
      </w:r>
      <w:r w:rsidR="00625C5B" w:rsidRPr="003E0C66">
        <w:rPr>
          <w:rFonts w:ascii="Times New Roman" w:eastAsia="Times New Roman" w:hAnsi="Times New Roman" w:cs="Times New Roman"/>
          <w:szCs w:val="20"/>
          <w:lang w:eastAsia="fr-FR"/>
        </w:rPr>
        <w:t>w podobnych okolicznościach w Kassel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 xml:space="preserve"> bał</w:t>
      </w:r>
      <w:r w:rsidR="00625C5B" w:rsidRPr="003E0C66" w:rsidDel="00625C5B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się kłopotów.  </w:t>
      </w:r>
      <w:r w:rsidR="000F509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45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Ostatecznie Sąd Okręgowy uznał,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1470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>bardzo podobny sposób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jaki </w:t>
      </w:r>
      <w:r w:rsidR="00625C5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zostały popełnione 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przestępstwa przeciwko dwóm kobietom 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obcych</w:t>
      </w:r>
      <w:r w:rsidR="00625C5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narodowości pracującym jako prostytutki w </w:t>
      </w:r>
      <w:r w:rsidR="00625C5B" w:rsidRPr="003E0C66">
        <w:rPr>
          <w:rFonts w:ascii="Times New Roman" w:eastAsia="Times New Roman" w:hAnsi="Times New Roman" w:cs="Times New Roman"/>
          <w:szCs w:val="20"/>
          <w:lang w:eastAsia="fr-FR"/>
        </w:rPr>
        <w:t>mieszkani</w:t>
      </w:r>
      <w:r w:rsidR="00625C5B">
        <w:rPr>
          <w:rFonts w:ascii="Times New Roman" w:eastAsia="Times New Roman" w:hAnsi="Times New Roman" w:cs="Times New Roman"/>
          <w:szCs w:val="20"/>
          <w:lang w:eastAsia="fr-FR"/>
        </w:rPr>
        <w:t>u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>, był dodatkowym elementem wskazującym, iż skarżący uczestniczył również w przestępstwie popełnionym w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Göttingen.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46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opinii Sądu Okręgowego wszystkie dowody zebrane razem dały </w:t>
      </w:r>
      <w:r w:rsidR="00114C54" w:rsidRPr="003E0C66">
        <w:rPr>
          <w:rFonts w:ascii="Times New Roman" w:eastAsia="Times New Roman" w:hAnsi="Times New Roman" w:cs="Times New Roman"/>
          <w:szCs w:val="20"/>
          <w:lang w:eastAsia="fr-FR"/>
        </w:rPr>
        <w:t>spójny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i kompletny obraz wydarzeń, </w:t>
      </w:r>
      <w:r w:rsidR="00EE41C5">
        <w:rPr>
          <w:rFonts w:ascii="Times New Roman" w:eastAsia="Times New Roman" w:hAnsi="Times New Roman" w:cs="Times New Roman"/>
          <w:szCs w:val="20"/>
          <w:lang w:eastAsia="fr-FR"/>
        </w:rPr>
        <w:t>który potwierdzał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wersję </w:t>
      </w:r>
      <w:r w:rsidR="00EE41C5">
        <w:rPr>
          <w:rFonts w:ascii="Times New Roman" w:eastAsia="Times New Roman" w:hAnsi="Times New Roman" w:cs="Times New Roman"/>
          <w:szCs w:val="20"/>
          <w:lang w:eastAsia="fr-FR"/>
        </w:rPr>
        <w:t>przedstawioną</w:t>
      </w:r>
      <w:r w:rsidR="00EE41C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FE38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przez O. i P. </w:t>
      </w:r>
      <w:r w:rsidR="00114C5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oraz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zaprzeczył</w:t>
      </w:r>
      <w:r w:rsidR="00EE41C5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14C54" w:rsidRPr="003E0C66">
        <w:rPr>
          <w:rFonts w:ascii="Times New Roman" w:eastAsia="Times New Roman" w:hAnsi="Times New Roman" w:cs="Times New Roman"/>
          <w:szCs w:val="20"/>
          <w:lang w:eastAsia="fr-FR"/>
        </w:rPr>
        <w:t>wersj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i</w:t>
      </w:r>
      <w:r w:rsidR="00114C5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wydarzeń</w:t>
      </w:r>
      <w:r w:rsidR="00EE41C5">
        <w:rPr>
          <w:rFonts w:ascii="Times New Roman" w:eastAsia="Times New Roman" w:hAnsi="Times New Roman" w:cs="Times New Roman"/>
          <w:szCs w:val="20"/>
          <w:lang w:eastAsia="fr-FR"/>
        </w:rPr>
        <w:t xml:space="preserve"> przedstawione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j</w:t>
      </w:r>
      <w:r w:rsidR="00114C5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przez skarżącego i jego wspólników w trakcie procesu. 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 </w:t>
      </w:r>
    </w:p>
    <w:p w:rsidR="00E05B22" w:rsidRPr="003E0C66" w:rsidRDefault="00E05B22" w:rsidP="00BC0CE7">
      <w:pPr>
        <w:pStyle w:val="ECHRHeading2"/>
        <w:outlineLvl w:val="0"/>
      </w:pPr>
      <w:r w:rsidRPr="003E0C66">
        <w:t>D.  </w:t>
      </w:r>
      <w:r w:rsidR="00114C54" w:rsidRPr="003E0C66">
        <w:t xml:space="preserve">Postępowanie przed Federalnym Trybunałem Sprawiedliwości 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47</w:t>
      </w:r>
      <w:r w:rsidRPr="003E0C66">
        <w:fldChar w:fldCharType="end"/>
      </w:r>
      <w:r w:rsidR="00E05B22" w:rsidRPr="003E0C66">
        <w:t>.  </w:t>
      </w:r>
      <w:r w:rsidR="00223704">
        <w:t xml:space="preserve">W dniu </w:t>
      </w:r>
      <w:r w:rsidR="00114C54" w:rsidRPr="003E0C66">
        <w:t>23 czerwca 2008 roku skarżący</w:t>
      </w:r>
      <w:r w:rsidR="00223704">
        <w:t>,</w:t>
      </w:r>
      <w:r w:rsidR="00114C54" w:rsidRPr="003E0C66">
        <w:t xml:space="preserve"> reprezentowany przez swojego </w:t>
      </w:r>
      <w:r w:rsidR="00223704">
        <w:t>obrońcę</w:t>
      </w:r>
      <w:r w:rsidR="00B25BD6" w:rsidRPr="003E0C66">
        <w:t xml:space="preserve">, wniósł apelację od wyroku </w:t>
      </w:r>
      <w:r w:rsidR="00B204D3" w:rsidRPr="003E0C66">
        <w:t xml:space="preserve">Sądu Okręgowego 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Göttingen</w:t>
      </w:r>
      <w:r w:rsidR="00B204D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>Zarzucił</w:t>
      </w:r>
      <w:r w:rsidR="00B204D3" w:rsidRPr="003E0C66">
        <w:rPr>
          <w:rFonts w:ascii="Times New Roman" w:eastAsia="Times New Roman" w:hAnsi="Times New Roman" w:cs="Times New Roman"/>
          <w:szCs w:val="20"/>
          <w:lang w:eastAsia="fr-FR"/>
        </w:rPr>
        <w:t>, ż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B204D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81088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na żadnym z etapów postępowania nie miał możliwości przesłuchania jedynych bezpośrednich i kluczowych świadków przestępstwa popełnionego w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Göttingen</w:t>
      </w:r>
      <w:r w:rsidR="0081088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 xml:space="preserve">z </w:t>
      </w:r>
      <w:r w:rsidR="00810880" w:rsidRPr="003E0C66">
        <w:rPr>
          <w:rFonts w:ascii="Times New Roman" w:eastAsia="Times New Roman" w:hAnsi="Times New Roman" w:cs="Times New Roman"/>
          <w:szCs w:val="20"/>
          <w:lang w:eastAsia="fr-FR"/>
        </w:rPr>
        <w:t>naruszenie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>m</w:t>
      </w:r>
      <w:r w:rsidR="00810880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810880" w:rsidRPr="003E0C66">
        <w:rPr>
          <w:rFonts w:ascii="Times New Roman" w:eastAsia="Times New Roman" w:hAnsi="Times New Roman" w:cs="Times New Roman"/>
          <w:szCs w:val="20"/>
          <w:lang w:eastAsia="fr-FR"/>
        </w:rPr>
        <w:t>rtykułu 6 §§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810880" w:rsidRPr="003E0C66">
        <w:rPr>
          <w:rFonts w:ascii="Times New Roman" w:eastAsia="Times New Roman" w:hAnsi="Times New Roman" w:cs="Times New Roman"/>
          <w:szCs w:val="20"/>
          <w:lang w:eastAsia="fr-FR"/>
        </w:rPr>
        <w:t>1 i 3 (d)</w:t>
      </w:r>
      <w:r w:rsidR="00955FA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Konwencji.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Ponieważ</w:t>
      </w:r>
      <w:r w:rsidR="00F228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>prokuratura</w:t>
      </w:r>
      <w:r w:rsidR="00F22886" w:rsidRPr="003E0C6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674CE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sprzecznie z </w:t>
      </w:r>
      <w:r w:rsidR="00E6281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orzecznictwem Federalnego Trybunału Sprawiedliwości (skarżący odniósł się </w:t>
      </w:r>
      <w:r w:rsidR="00DB367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do wyroku z </w:t>
      </w:r>
      <w:r w:rsidR="00DB3677" w:rsidRPr="003E0C66">
        <w:rPr>
          <w:rFonts w:ascii="Times New Roman" w:eastAsia="Times New Roman" w:hAnsi="Times New Roman" w:cs="Times New Roman"/>
          <w:szCs w:val="20"/>
          <w:lang w:eastAsia="fr-FR"/>
        </w:rPr>
        <w:lastRenderedPageBreak/>
        <w:t xml:space="preserve">dnia 25 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>lipca</w:t>
      </w:r>
      <w:r w:rsidR="0022370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B3677" w:rsidRPr="003E0C66">
        <w:rPr>
          <w:rFonts w:ascii="Times New Roman" w:eastAsia="Times New Roman" w:hAnsi="Times New Roman" w:cs="Times New Roman"/>
          <w:szCs w:val="20"/>
          <w:lang w:eastAsia="fr-FR"/>
        </w:rPr>
        <w:t>2000 roku, zobacz paragrafy 58-59 oraz 62 poniżej)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DB367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 </w:t>
      </w:r>
      <w:r w:rsidR="00A80C05">
        <w:rPr>
          <w:rFonts w:ascii="Times New Roman" w:eastAsia="Times New Roman" w:hAnsi="Times New Roman" w:cs="Times New Roman"/>
          <w:szCs w:val="20"/>
          <w:lang w:eastAsia="fr-FR"/>
        </w:rPr>
        <w:t>umożliwił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A80C0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mu </w:t>
      </w:r>
      <w:r w:rsidR="00A80C05">
        <w:rPr>
          <w:rFonts w:ascii="Times New Roman" w:eastAsia="Times New Roman" w:hAnsi="Times New Roman" w:cs="Times New Roman"/>
          <w:szCs w:val="20"/>
          <w:lang w:eastAsia="fr-FR"/>
        </w:rPr>
        <w:t>spotkania z obrońcą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przed przesłuchaniem świadków O. i P. przez sędziego </w:t>
      </w:r>
      <w:r w:rsidR="00223704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BB4497" w:rsidRPr="003E0C6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ich zeznania powinny zostać wykluczone z postępowania. 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48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8E4A3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pisemnych 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wnioskach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BF2B9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8E4A39" w:rsidRPr="003E0C66">
        <w:rPr>
          <w:rFonts w:ascii="Times New Roman" w:eastAsia="Times New Roman" w:hAnsi="Times New Roman" w:cs="Times New Roman"/>
          <w:szCs w:val="20"/>
          <w:lang w:eastAsia="fr-FR"/>
        </w:rPr>
        <w:t>datowanych na 9 września 2008 roku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8E4A3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E362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Federalny Prokurator Generalny 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wnosił</w:t>
      </w:r>
      <w:r w:rsidR="00BF2B9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620C6" w:rsidRPr="003E0C66">
        <w:rPr>
          <w:rFonts w:ascii="Times New Roman" w:eastAsia="Times New Roman" w:hAnsi="Times New Roman" w:cs="Times New Roman"/>
          <w:szCs w:val="20"/>
          <w:lang w:eastAsia="fr-FR"/>
        </w:rPr>
        <w:t>o odrzucenie apelacji przez</w:t>
      </w:r>
      <w:r w:rsidR="00F8175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Federalny Trybunał Sprawiedliwości jako 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oczywiście niezasadnej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20541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procedurze</w:t>
      </w:r>
      <w:r w:rsidR="00BF2B9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pisemn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ej,</w:t>
      </w:r>
      <w:r w:rsidR="00BF2B9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na podstawie Artykułu 349 § 2 </w:t>
      </w:r>
      <w:r w:rsidR="00147086" w:rsidRPr="003E0C66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 xml:space="preserve">pk 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>(zobacz paragraf 63 poniżej)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Federalny Prokurator Generalny podniósł, ż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chociaż prawdą było, że postępowanie 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charakteryzowało się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„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>całkowity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m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brak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iem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’’ 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realizacji prawa</w:t>
      </w:r>
      <w:r w:rsidR="00BF2B9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>skarżącego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 xml:space="preserve"> do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przesłuchania świadków O. i P. </w:t>
      </w:r>
      <w:r w:rsidR="0020541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05D45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(“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Totalausfall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 xml:space="preserve"> des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Fragerechts</w:t>
      </w:r>
      <w:proofErr w:type="spellEnd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”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),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było ono</w:t>
      </w:r>
      <w:r w:rsidR="00BF2B92">
        <w:rPr>
          <w:rFonts w:ascii="Times New Roman" w:eastAsia="Times New Roman" w:hAnsi="Times New Roman" w:cs="Times New Roman"/>
          <w:szCs w:val="20"/>
          <w:lang w:eastAsia="fr-FR"/>
        </w:rPr>
        <w:t>, jako całość,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rzetelne</w:t>
      </w:r>
      <w:r w:rsidR="001470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i nie było powodu aby wykluczyć zeznania świadków O. i P. jako dowody.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49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D83D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Federalny 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>Prokurator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 xml:space="preserve"> Generalny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uznał, ż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Sąd Okręgowy ocenił treść protokołów zeznań świadków 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 xml:space="preserve">odczytanych na rozprawie ze 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>szczególn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>ą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>starannością</w:t>
      </w:r>
      <w:r w:rsidR="00D83D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>i krytyczn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>ością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Ponadto zeznania 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>pokrzywdzonych</w:t>
      </w:r>
      <w:r w:rsidR="00D83D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 były ani jedyną ani 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>decydującą</w:t>
      </w:r>
      <w:r w:rsidR="00D83D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podstawą </w:t>
      </w:r>
      <w:r w:rsidR="00D83D6B">
        <w:rPr>
          <w:rFonts w:ascii="Times New Roman" w:eastAsia="Times New Roman" w:hAnsi="Times New Roman" w:cs="Times New Roman"/>
          <w:szCs w:val="20"/>
          <w:lang w:eastAsia="fr-FR"/>
        </w:rPr>
        <w:t>skazania skarżącego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przez Sąd Okręgowy, ponieważ ten ostatni oparł swoje ustalenia na innych istotnych dowodach. Ze względu na </w:t>
      </w:r>
      <w:r w:rsidR="00D659DC">
        <w:rPr>
          <w:rFonts w:ascii="Times New Roman" w:eastAsia="Times New Roman" w:hAnsi="Times New Roman" w:cs="Times New Roman"/>
          <w:szCs w:val="20"/>
          <w:lang w:eastAsia="fr-FR"/>
        </w:rPr>
        <w:t>różnorodność dowodów</w:t>
      </w:r>
      <w:r w:rsidR="00D659DC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D659DC">
        <w:rPr>
          <w:rFonts w:ascii="Times New Roman" w:eastAsia="Times New Roman" w:hAnsi="Times New Roman" w:cs="Times New Roman"/>
          <w:szCs w:val="20"/>
          <w:lang w:eastAsia="fr-FR"/>
        </w:rPr>
        <w:t xml:space="preserve">potwierdzających 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>skarżący miał wystarczającą możliwość zakwestionowania wiarygodności dwóch świadków oskarżenia i skutecznej obrony</w:t>
      </w:r>
      <w:r w:rsidR="00D659DC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50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98662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Popierając rozumowanie Sądu Okręgowego Federalny Prokurator Generalny zwrócił także uwagę na fakt, iż nic nie wskazuje na to, aby 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przypisać ograniczenie prawa obrony do przesłuchania świadków O. i P. władzom krajowym. Organy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prokuratury</w:t>
      </w:r>
      <w:r w:rsidR="0028767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 miały obowiązku wyznaczenia skarżącemu obrońcy w celu jego uczestnictwa w przesłuchaniu przez sędziego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>. Ze względu na konsekwentną współpracę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 xml:space="preserve"> świadków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władze nie miały powodu podejrzewać, iż pomimo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 xml:space="preserve">ich 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powrotu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do kraju ojczystego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nie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będą dostępni w celu przesłuchania na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rozprawie, zwłaszcza że prawo łotewskie zobowiązywało je co najmniej do wzięcia udziału w przesłuchaniu przy pomocy łącza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audio-v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>ideo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51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Decyzją</w:t>
      </w:r>
      <w:r w:rsidR="0028767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 dnia 30 października 2008 roku Federalny Trybunał Sprawiedliwości, powołując się na </w:t>
      </w:r>
      <w:r w:rsidR="00BB5F74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BB5F74" w:rsidRPr="003E0C66">
        <w:rPr>
          <w:rFonts w:ascii="Times New Roman" w:eastAsia="Times New Roman" w:hAnsi="Times New Roman" w:cs="Times New Roman"/>
          <w:szCs w:val="20"/>
          <w:lang w:eastAsia="fr-FR"/>
        </w:rPr>
        <w:t>rtykuł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349 § 2 K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pk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oddalił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odwołanie</w:t>
      </w:r>
      <w:r w:rsidR="0028767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skarżącego, uznając ją za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 xml:space="preserve">oczywiście 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>bezzasadn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52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decyzji z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 xml:space="preserve">dnia 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>9 grudnia 2008 roku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odrzucającej</w:t>
      </w:r>
      <w:r w:rsidR="0028767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zarzut</w:t>
      </w:r>
      <w:r w:rsidR="0028767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>skarżącego dotycząc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y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naruszenia jego prawa do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bycia wysłuchanym</w:t>
      </w:r>
      <w:r w:rsidR="006F78C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(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0"/>
          <w:lang w:eastAsia="fr-FR"/>
        </w:rPr>
        <w:t>Anhörungsrüge</w:t>
      </w:r>
      <w:proofErr w:type="spellEnd"/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)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B15DD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Federalny Trybunał Sprawiedliwości podkreślił,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1470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 xml:space="preserve">każda </w:t>
      </w:r>
      <w:r w:rsidR="00B15DD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decyzja o oddaleniu odwołania na podstawie 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B15DD4" w:rsidRPr="003E0C66">
        <w:rPr>
          <w:rFonts w:ascii="Times New Roman" w:eastAsia="Times New Roman" w:hAnsi="Times New Roman" w:cs="Times New Roman"/>
          <w:szCs w:val="20"/>
          <w:lang w:eastAsia="fr-FR"/>
        </w:rPr>
        <w:t>rtykułu 349 § 2 K</w:t>
      </w:r>
      <w:r w:rsidR="00287671">
        <w:rPr>
          <w:rFonts w:ascii="Times New Roman" w:eastAsia="Times New Roman" w:hAnsi="Times New Roman" w:cs="Times New Roman"/>
          <w:szCs w:val="20"/>
          <w:lang w:eastAsia="fr-FR"/>
        </w:rPr>
        <w:t>pk</w:t>
      </w:r>
      <w:r w:rsidR="00B15DD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musi zawierać odniesienie</w:t>
      </w:r>
      <w:r w:rsidR="00505EB9">
        <w:rPr>
          <w:rFonts w:ascii="Times New Roman" w:eastAsia="Times New Roman" w:hAnsi="Times New Roman" w:cs="Times New Roman"/>
          <w:szCs w:val="20"/>
          <w:lang w:eastAsia="fr-FR"/>
        </w:rPr>
        <w:t xml:space="preserve"> do uzasadnionego </w:t>
      </w:r>
      <w:r w:rsidR="00147086">
        <w:rPr>
          <w:rFonts w:ascii="Times New Roman" w:eastAsia="Times New Roman" w:hAnsi="Times New Roman" w:cs="Times New Roman"/>
          <w:szCs w:val="20"/>
          <w:lang w:eastAsia="fr-FR"/>
        </w:rPr>
        <w:t xml:space="preserve">wniosku </w:t>
      </w:r>
      <w:r w:rsidR="0014708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15DD4" w:rsidRPr="003E0C66">
        <w:rPr>
          <w:rFonts w:ascii="Times New Roman" w:eastAsia="Times New Roman" w:hAnsi="Times New Roman" w:cs="Times New Roman"/>
          <w:szCs w:val="20"/>
          <w:lang w:eastAsia="fr-FR"/>
        </w:rPr>
        <w:t>Federalnego Prokuratora Generalnego</w:t>
      </w:r>
      <w:r w:rsidR="008A35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B15DD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</w:p>
    <w:p w:rsidR="00E05B22" w:rsidRPr="003E0C66" w:rsidRDefault="00E05B22" w:rsidP="00BC0CE7">
      <w:pPr>
        <w:pStyle w:val="ECHRHeading2"/>
        <w:outlineLvl w:val="0"/>
      </w:pPr>
      <w:r w:rsidRPr="003E0C66">
        <w:lastRenderedPageBreak/>
        <w:t>E.  </w:t>
      </w:r>
      <w:r w:rsidR="0020541C" w:rsidRPr="003E0C66">
        <w:t xml:space="preserve">Postępowanie przed Federalnym Trybunałem Konstytucyjnym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53</w:t>
      </w:r>
      <w:r w:rsidRPr="003E0C66">
        <w:fldChar w:fldCharType="end"/>
      </w:r>
      <w:r w:rsidR="00E05B22" w:rsidRPr="003E0C66">
        <w:t>. </w:t>
      </w:r>
      <w:r w:rsidR="0020541C" w:rsidRPr="003E0C66">
        <w:t>W skardze konstytucyjnej datowa</w:t>
      </w:r>
      <w:r w:rsidR="009E4CC3" w:rsidRPr="003E0C66">
        <w:t>nej na 30 grudnia 2008</w:t>
      </w:r>
      <w:r w:rsidR="00505EB9">
        <w:t xml:space="preserve"> roku,</w:t>
      </w:r>
      <w:r w:rsidR="009E4CC3" w:rsidRPr="003E0C66">
        <w:t xml:space="preserve"> dotyczącej</w:t>
      </w:r>
      <w:r w:rsidR="008152E6" w:rsidRPr="003E0C66">
        <w:t xml:space="preserve"> decyzji Federalnego Trybunału Sprawiedliwości z 30 października i 9 grudnia 2008</w:t>
      </w:r>
      <w:r w:rsidR="00505EB9">
        <w:t xml:space="preserve"> roku</w:t>
      </w:r>
      <w:r w:rsidR="008152E6" w:rsidRPr="003E0C66">
        <w:t xml:space="preserve">, skarżący </w:t>
      </w:r>
      <w:r w:rsidR="00505EB9">
        <w:t>zarzucił</w:t>
      </w:r>
      <w:r w:rsidR="008152E6" w:rsidRPr="003E0C66">
        <w:t>, w szczególności, ż</w:t>
      </w:r>
      <w:r w:rsidR="00505EB9">
        <w:t>e</w:t>
      </w:r>
      <w:r w:rsidR="008152E6" w:rsidRPr="003E0C66">
        <w:t xml:space="preserve"> zostało naruszone </w:t>
      </w:r>
      <w:r w:rsidR="00505EB9">
        <w:t>j</w:t>
      </w:r>
      <w:r w:rsidR="008152E6" w:rsidRPr="003E0C66">
        <w:t xml:space="preserve">ego prawo do </w:t>
      </w:r>
      <w:r w:rsidR="00C1568F">
        <w:t>rzetelnego</w:t>
      </w:r>
      <w:r w:rsidR="00C1568F" w:rsidRPr="003E0C66">
        <w:t xml:space="preserve"> </w:t>
      </w:r>
      <w:r w:rsidR="008152E6" w:rsidRPr="003E0C66">
        <w:t xml:space="preserve">procesu oraz </w:t>
      </w:r>
      <w:r w:rsidR="00505EB9">
        <w:t>j</w:t>
      </w:r>
      <w:r w:rsidR="008152E6" w:rsidRPr="003E0C66">
        <w:t>ego praw</w:t>
      </w:r>
      <w:r w:rsidR="00505EB9">
        <w:t>o</w:t>
      </w:r>
      <w:r w:rsidR="008152E6" w:rsidRPr="003E0C66">
        <w:t xml:space="preserve"> do obrony</w:t>
      </w:r>
      <w:r w:rsidR="00505EB9">
        <w:t xml:space="preserve"> z</w:t>
      </w:r>
      <w:r w:rsidR="005C2335" w:rsidRPr="003E0C66">
        <w:t xml:space="preserve"> </w:t>
      </w:r>
      <w:r w:rsidR="00505EB9">
        <w:t>A</w:t>
      </w:r>
      <w:r w:rsidR="005C2335" w:rsidRPr="003E0C66">
        <w:t>rtykuł</w:t>
      </w:r>
      <w:r w:rsidR="00505EB9">
        <w:t>u</w:t>
      </w:r>
      <w:r w:rsidR="005C2335" w:rsidRPr="003E0C66">
        <w:t xml:space="preserve"> 6 § 3 (d) Konwencji. Zarzucił, ż</w:t>
      </w:r>
      <w:r w:rsidR="00505EB9">
        <w:t>e</w:t>
      </w:r>
      <w:r w:rsidR="005C2335" w:rsidRPr="003E0C66">
        <w:t xml:space="preserve"> ani </w:t>
      </w:r>
      <w:r w:rsidR="00505EB9">
        <w:t>o</w:t>
      </w:r>
      <w:r w:rsidR="005C2335" w:rsidRPr="003E0C66">
        <w:t xml:space="preserve">n, ani </w:t>
      </w:r>
      <w:r w:rsidR="00505EB9">
        <w:t>j</w:t>
      </w:r>
      <w:r w:rsidR="005C2335" w:rsidRPr="003E0C66">
        <w:t xml:space="preserve">ego </w:t>
      </w:r>
      <w:r w:rsidR="00505EB9">
        <w:t>obrońca</w:t>
      </w:r>
      <w:r w:rsidR="00505EB9" w:rsidRPr="003E0C66">
        <w:t xml:space="preserve"> </w:t>
      </w:r>
      <w:r w:rsidR="005C2335" w:rsidRPr="003E0C66">
        <w:t xml:space="preserve">nie mieli możliwości przesłuchania O. i P. na żadnym z etapów postępowania. </w:t>
      </w:r>
      <w:r w:rsidR="008152E6" w:rsidRPr="003E0C66">
        <w:t xml:space="preserve"> </w:t>
      </w:r>
      <w:r w:rsidR="0020541C" w:rsidRPr="003E0C66">
        <w:t xml:space="preserve">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54</w:t>
      </w:r>
      <w:r w:rsidRPr="003E0C66">
        <w:fldChar w:fldCharType="end"/>
      </w:r>
      <w:r w:rsidR="00E05B22" w:rsidRPr="003E0C66">
        <w:t>.</w:t>
      </w:r>
      <w:r w:rsidR="005C2335" w:rsidRPr="003E0C66">
        <w:t xml:space="preserve"> Decyzją z </w:t>
      </w:r>
      <w:r w:rsidR="00505EB9">
        <w:t xml:space="preserve">dnia </w:t>
      </w:r>
      <w:r w:rsidR="005C2335" w:rsidRPr="003E0C66">
        <w:t xml:space="preserve">8 października 2009 roku Federalny Trybunał Konstytucyjny, bez </w:t>
      </w:r>
      <w:r w:rsidR="00C0777F" w:rsidRPr="003E0C66">
        <w:t xml:space="preserve">podania </w:t>
      </w:r>
      <w:r w:rsidR="00505EB9">
        <w:t>powodów</w:t>
      </w:r>
      <w:r w:rsidR="00C0777F" w:rsidRPr="003E0C66">
        <w:t xml:space="preserve">, odmówił </w:t>
      </w:r>
      <w:r w:rsidR="00505EB9">
        <w:t>rozpoznania</w:t>
      </w:r>
      <w:r w:rsidR="00505EB9" w:rsidRPr="003E0C66">
        <w:t xml:space="preserve"> </w:t>
      </w:r>
      <w:r w:rsidR="00C0777F" w:rsidRPr="003E0C66">
        <w:t xml:space="preserve">skargi (sygnatura akt 2 </w:t>
      </w:r>
      <w:proofErr w:type="spellStart"/>
      <w:r w:rsidR="00C0777F" w:rsidRPr="003E0C66">
        <w:t>BvR</w:t>
      </w:r>
      <w:proofErr w:type="spellEnd"/>
      <w:r w:rsidR="00C0777F" w:rsidRPr="003E0C66">
        <w:t xml:space="preserve"> 78/09).</w:t>
      </w:r>
      <w:r w:rsidR="005C2335" w:rsidRPr="003E0C66">
        <w:t xml:space="preserve"> </w:t>
      </w:r>
      <w:r w:rsidR="00E05B22" w:rsidRPr="003E0C66">
        <w:t>  </w:t>
      </w:r>
    </w:p>
    <w:p w:rsidR="00E05B22" w:rsidRPr="003E0C66" w:rsidRDefault="00E05B22" w:rsidP="00BC0CE7">
      <w:pPr>
        <w:pStyle w:val="ECHRHeading1"/>
      </w:pPr>
      <w:r w:rsidRPr="003E0C66">
        <w:t>II.  </w:t>
      </w:r>
      <w:r w:rsidR="00C45AF1" w:rsidRPr="003E0C66">
        <w:t xml:space="preserve">WŁAŚCIWE PRAWO KRAJOWE I PRAKTYKA </w:t>
      </w:r>
    </w:p>
    <w:p w:rsidR="00E05B22" w:rsidRPr="003E0C66" w:rsidRDefault="00E05B22" w:rsidP="00BC0CE7">
      <w:pPr>
        <w:pStyle w:val="ECHRHeading2"/>
      </w:pPr>
      <w:r w:rsidRPr="003E0C66">
        <w:t>A.  </w:t>
      </w:r>
      <w:r w:rsidR="00C45AF1" w:rsidRPr="003E0C66">
        <w:t xml:space="preserve">Właściwe przepisy i praktyka dotyczące prowadzenia postępowania </w:t>
      </w:r>
      <w:r w:rsidR="009104BE">
        <w:t>przygotowawczego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55</w:t>
      </w:r>
      <w:r w:rsidRPr="003E0C66">
        <w:fldChar w:fldCharType="end"/>
      </w:r>
      <w:r w:rsidR="00E05B22" w:rsidRPr="003E0C66">
        <w:t>. </w:t>
      </w:r>
      <w:r w:rsidR="00A47D04" w:rsidRPr="003E0C66">
        <w:t xml:space="preserve">Artykuł 160 §§ 1 i 2 Kodeksu </w:t>
      </w:r>
      <w:r w:rsidR="009104BE">
        <w:t>p</w:t>
      </w:r>
      <w:r w:rsidR="00A47D04" w:rsidRPr="003E0C66">
        <w:t xml:space="preserve">ostępowania </w:t>
      </w:r>
      <w:r w:rsidR="009104BE">
        <w:t>k</w:t>
      </w:r>
      <w:r w:rsidR="00A47D04" w:rsidRPr="003E0C66">
        <w:t>arnego</w:t>
      </w:r>
      <w:r w:rsidR="0040412F" w:rsidRPr="003E0C66">
        <w:t xml:space="preserve"> stanowi, </w:t>
      </w:r>
      <w:r w:rsidR="00085119">
        <w:t>że</w:t>
      </w:r>
      <w:r w:rsidR="00085119" w:rsidRPr="003E0C66">
        <w:t xml:space="preserve"> </w:t>
      </w:r>
      <w:r w:rsidR="00B262D7" w:rsidRPr="003E0C66">
        <w:t xml:space="preserve">w toku </w:t>
      </w:r>
      <w:r w:rsidR="009104BE">
        <w:t>ustalania faktów dotyczących podejrzenia</w:t>
      </w:r>
      <w:r w:rsidR="009104BE" w:rsidRPr="003E0C66">
        <w:t xml:space="preserve"> </w:t>
      </w:r>
      <w:r w:rsidR="00B262D7" w:rsidRPr="003E0C66">
        <w:t>popełnienia przestępstwa,</w:t>
      </w:r>
      <w:r w:rsidR="006D3504" w:rsidRPr="003E0C66">
        <w:t xml:space="preserve"> </w:t>
      </w:r>
      <w:r w:rsidR="009104BE">
        <w:t>prokuratura</w:t>
      </w:r>
      <w:r w:rsidR="00B262D7" w:rsidRPr="003E0C66">
        <w:t xml:space="preserve"> mus</w:t>
      </w:r>
      <w:r w:rsidR="009104BE">
        <w:t>i</w:t>
      </w:r>
      <w:r w:rsidR="00B262D7" w:rsidRPr="003E0C66">
        <w:t xml:space="preserve"> zbadać nie tylko </w:t>
      </w:r>
      <w:r w:rsidR="009104BE" w:rsidRPr="003E0C66">
        <w:t xml:space="preserve">okoliczności </w:t>
      </w:r>
      <w:r w:rsidR="00B262D7" w:rsidRPr="003E0C66">
        <w:t>obciążające</w:t>
      </w:r>
      <w:r w:rsidR="00984473" w:rsidRPr="003E0C66">
        <w:t>,</w:t>
      </w:r>
      <w:r w:rsidR="00B262D7" w:rsidRPr="003E0C66">
        <w:t xml:space="preserve"> ale także oczyszczające z zarzutów oraz upewnić się</w:t>
      </w:r>
      <w:r w:rsidR="009104BE">
        <w:t>,</w:t>
      </w:r>
      <w:r w:rsidR="00B262D7" w:rsidRPr="003E0C66">
        <w:t xml:space="preserve"> ż</w:t>
      </w:r>
      <w:r w:rsidR="009104BE">
        <w:t>e</w:t>
      </w:r>
      <w:r w:rsidR="00B262D7" w:rsidRPr="003E0C66">
        <w:t xml:space="preserve"> zostały </w:t>
      </w:r>
      <w:r w:rsidR="009104BE">
        <w:t>zebrane</w:t>
      </w:r>
      <w:r w:rsidR="00B262D7" w:rsidRPr="003E0C66">
        <w:t xml:space="preserve"> dowody, które mogły</w:t>
      </w:r>
      <w:r w:rsidR="009104BE">
        <w:t>by</w:t>
      </w:r>
      <w:r w:rsidR="00B262D7" w:rsidRPr="003E0C66">
        <w:t xml:space="preserve"> zostać utracone.  </w:t>
      </w:r>
      <w:r w:rsidR="00A47D04" w:rsidRPr="003E0C66">
        <w:t xml:space="preserve"> </w:t>
      </w:r>
      <w:r w:rsidR="00C45AF1" w:rsidRPr="003E0C66">
        <w:t xml:space="preserve"> </w:t>
      </w:r>
      <w:r w:rsidR="00E05B22" w:rsidRPr="003E0C66">
        <w:t> 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56</w:t>
      </w:r>
      <w:r w:rsidRPr="003E0C66">
        <w:fldChar w:fldCharType="end"/>
      </w:r>
      <w:r w:rsidR="00E05B22" w:rsidRPr="003E0C66">
        <w:t>.  </w:t>
      </w:r>
      <w:r w:rsidR="00B262D7" w:rsidRPr="003E0C66">
        <w:t xml:space="preserve">Zgodnie z </w:t>
      </w:r>
      <w:r w:rsidR="009104BE">
        <w:t>a</w:t>
      </w:r>
      <w:r w:rsidR="00B262D7" w:rsidRPr="003E0C66">
        <w:t xml:space="preserve">rtykułem 168c § 2 Kodeksu </w:t>
      </w:r>
      <w:r w:rsidR="009104BE">
        <w:t>p</w:t>
      </w:r>
      <w:r w:rsidR="00B262D7" w:rsidRPr="003E0C66">
        <w:t xml:space="preserve">ostępowania </w:t>
      </w:r>
      <w:r w:rsidR="009104BE">
        <w:t>k</w:t>
      </w:r>
      <w:r w:rsidR="00B262D7" w:rsidRPr="003E0C66">
        <w:t xml:space="preserve">arnego prokurator, oskarżony i obrońca mają prawo być obecni podczas </w:t>
      </w:r>
      <w:r w:rsidR="009104BE">
        <w:t>sędziowskiego</w:t>
      </w:r>
      <w:r w:rsidR="009104BE" w:rsidRPr="003E0C66">
        <w:t xml:space="preserve"> </w:t>
      </w:r>
      <w:r w:rsidR="000A0AEA" w:rsidRPr="003E0C66">
        <w:t xml:space="preserve">przesłuchania świadków przed wszczęciem właściwego </w:t>
      </w:r>
      <w:r w:rsidR="003E0C66" w:rsidRPr="003E0C66">
        <w:t>postępowania</w:t>
      </w:r>
      <w:r w:rsidR="000A0AEA" w:rsidRPr="003E0C66">
        <w:t xml:space="preserve">. Sędzia może wykluczyć oskarżonego z przesłuchania, jeśli </w:t>
      </w:r>
      <w:r w:rsidR="009104BE">
        <w:t>j</w:t>
      </w:r>
      <w:r w:rsidR="000A0AEA" w:rsidRPr="003E0C66">
        <w:t>ego obecność</w:t>
      </w:r>
      <w:r w:rsidR="00EF3C99" w:rsidRPr="003E0C66">
        <w:t xml:space="preserve"> mogłaby stanowić zagrożenie dla celów dochodzenia, </w:t>
      </w:r>
      <w:r w:rsidR="009104BE">
        <w:t>w szczególności</w:t>
      </w:r>
      <w:r w:rsidR="00EF3C99" w:rsidRPr="003E0C66">
        <w:t xml:space="preserve"> jeśli istnieje ryzyko, że świadek </w:t>
      </w:r>
      <w:r w:rsidR="009104BE">
        <w:t>w</w:t>
      </w:r>
      <w:r w:rsidR="009104BE" w:rsidRPr="003E0C66">
        <w:t xml:space="preserve"> </w:t>
      </w:r>
      <w:r w:rsidR="00EF3C99" w:rsidRPr="003E0C66">
        <w:t>obecności skarżącego nie będzie mówił prawdy (</w:t>
      </w:r>
      <w:r w:rsidR="009104BE">
        <w:t>a</w:t>
      </w:r>
      <w:r w:rsidR="00EF3C99" w:rsidRPr="003E0C66">
        <w:t xml:space="preserve">rtykuł 168c § 3 Kodeksu </w:t>
      </w:r>
      <w:r w:rsidR="009104BE">
        <w:t>p</w:t>
      </w:r>
      <w:r w:rsidR="00EF3C99" w:rsidRPr="003E0C66">
        <w:t xml:space="preserve">ostępowania </w:t>
      </w:r>
      <w:r w:rsidR="009104BE">
        <w:t>k</w:t>
      </w:r>
      <w:r w:rsidR="00EF3C99" w:rsidRPr="003E0C66">
        <w:t xml:space="preserve">arnego). Osoby uprawnione do </w:t>
      </w:r>
      <w:r w:rsidR="009104BE">
        <w:t xml:space="preserve">bycia obecnymi </w:t>
      </w:r>
      <w:r w:rsidR="00EF3C99" w:rsidRPr="003E0C66">
        <w:t>muszą zostać wcześniej poinformowane o ustalonych terminach przesłuchania. Powiadomienie</w:t>
      </w:r>
      <w:r w:rsidR="00984473" w:rsidRPr="003E0C66">
        <w:t xml:space="preserve"> może zostać ograniczone, jeśli zagroziłoby powodzeniu dochodzenia (</w:t>
      </w:r>
      <w:r w:rsidR="00C44B14">
        <w:t>a</w:t>
      </w:r>
      <w:r w:rsidR="00984473" w:rsidRPr="003E0C66">
        <w:t xml:space="preserve">rtykuł 168c § 5 Kodeksu </w:t>
      </w:r>
      <w:r w:rsidR="00C44B14">
        <w:t>p</w:t>
      </w:r>
      <w:r w:rsidR="00984473" w:rsidRPr="003E0C66">
        <w:t xml:space="preserve">ostępowania </w:t>
      </w:r>
      <w:r w:rsidR="00C44B14">
        <w:t>k</w:t>
      </w:r>
      <w:r w:rsidR="00984473" w:rsidRPr="003E0C66">
        <w:t xml:space="preserve">arnego).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57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Zgodnie z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rtykułem 141 § 3 Kodeksu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3E0C66" w:rsidRPr="003E0C66">
        <w:rPr>
          <w:rFonts w:ascii="Times New Roman" w:eastAsia="Times New Roman" w:hAnsi="Times New Roman" w:cs="Times New Roman"/>
          <w:szCs w:val="20"/>
          <w:lang w:eastAsia="fr-FR"/>
        </w:rPr>
        <w:t>ostępowania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arnego obrońca może zostać wyznaczony podczas postępowania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przygotowawczego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Prokuratura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 xml:space="preserve">wnosi o 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 xml:space="preserve">takie 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>wyznaczeni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e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jeśli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jej zdaniem, pomoc obrońcy podczas właściwego procesu będzie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obligatoryjna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>. Pomoc obrońcy jest obowiązkowa jeśli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między innymi, rozprawa w pierwszej instancji odbywa się przed Sądem Okręgowym lub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oskarżonemu zarzucane jest</w:t>
      </w:r>
      <w:r w:rsidR="00C44B14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>poważne przestępstwo (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rtykuł 140 § 1 (1) i (2) Kodeksu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ostępowania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>arnego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).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58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8A35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 xml:space="preserve">wiodącym </w:t>
      </w:r>
      <w:r w:rsidR="008A35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wyroku z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 xml:space="preserve">dnia 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25 </w:t>
      </w:r>
      <w:r w:rsidR="008A35A6" w:rsidRPr="003E0C66">
        <w:rPr>
          <w:rFonts w:ascii="Times New Roman" w:eastAsia="Times New Roman" w:hAnsi="Times New Roman" w:cs="Times New Roman"/>
          <w:szCs w:val="20"/>
          <w:lang w:eastAsia="fr-FR"/>
        </w:rPr>
        <w:t>lipca</w:t>
      </w:r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2000 roku (opublikowanym w oficjalnych sprawozdaniach, </w:t>
      </w:r>
      <w:proofErr w:type="spellStart"/>
      <w:r w:rsidR="00984473" w:rsidRPr="00FA3031">
        <w:rPr>
          <w:rFonts w:ascii="Times New Roman" w:eastAsia="Times New Roman" w:hAnsi="Times New Roman" w:cs="Times New Roman"/>
          <w:i/>
          <w:szCs w:val="20"/>
          <w:lang w:eastAsia="fr-FR"/>
        </w:rPr>
        <w:t>BGHSt</w:t>
      </w:r>
      <w:proofErr w:type="spellEnd"/>
      <w:r w:rsidR="00984473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02557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tom 46, str. 96 i nast.) Federalny </w:t>
      </w:r>
      <w:r w:rsidR="00025577" w:rsidRPr="003E0C66">
        <w:rPr>
          <w:rFonts w:ascii="Times New Roman" w:eastAsia="Times New Roman" w:hAnsi="Times New Roman" w:cs="Times New Roman"/>
          <w:szCs w:val="20"/>
          <w:lang w:eastAsia="fr-FR"/>
        </w:rPr>
        <w:lastRenderedPageBreak/>
        <w:t xml:space="preserve">Trybunał Sprawiedliwości orzekł, iż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025577" w:rsidRPr="003E0C66">
        <w:rPr>
          <w:rFonts w:ascii="Times New Roman" w:eastAsia="Times New Roman" w:hAnsi="Times New Roman" w:cs="Times New Roman"/>
          <w:szCs w:val="20"/>
          <w:lang w:eastAsia="fr-FR"/>
        </w:rPr>
        <w:t>rtykuł 141 §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2557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3 Kodeksu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025577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ostępowania 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025577" w:rsidRPr="003E0C66">
        <w:rPr>
          <w:rFonts w:ascii="Times New Roman" w:eastAsia="Times New Roman" w:hAnsi="Times New Roman" w:cs="Times New Roman"/>
          <w:szCs w:val="20"/>
          <w:lang w:eastAsia="fr-FR"/>
        </w:rPr>
        <w:t>arnego, interpretowany w kontekście Artykułu 6 §</w:t>
      </w:r>
      <w:r w:rsidR="00C44B14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25577" w:rsidRPr="003E0C66">
        <w:rPr>
          <w:rFonts w:ascii="Times New Roman" w:eastAsia="Times New Roman" w:hAnsi="Times New Roman" w:cs="Times New Roman"/>
          <w:szCs w:val="20"/>
          <w:lang w:eastAsia="fr-FR"/>
        </w:rPr>
        <w:t>3 (d) Konwencji, zobowiązuje organy prowadzące dochodzenie do rozstrzygnięcia</w:t>
      </w:r>
      <w:r w:rsidR="008A35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 wyznaczeniu obrońcy</w:t>
      </w:r>
      <w:r w:rsidR="00647371">
        <w:rPr>
          <w:rFonts w:ascii="Times New Roman" w:eastAsia="Times New Roman" w:hAnsi="Times New Roman" w:cs="Times New Roman"/>
          <w:szCs w:val="20"/>
          <w:lang w:eastAsia="fr-FR"/>
        </w:rPr>
        <w:t xml:space="preserve"> dla oskarżonego niereprezentowanego</w:t>
      </w:r>
      <w:r w:rsidR="0035229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jeśli kluczowi świadkowie oskarżenia zostali przesłuchani przez sędziego </w:t>
      </w:r>
      <w:r w:rsidR="00647371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35229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celu zabezpieczenia dowodów</w:t>
      </w:r>
      <w:r w:rsidR="00647371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35229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a oskarżony </w:t>
      </w:r>
      <w:r w:rsidR="00647371">
        <w:rPr>
          <w:rFonts w:ascii="Times New Roman" w:eastAsia="Times New Roman" w:hAnsi="Times New Roman" w:cs="Times New Roman"/>
          <w:szCs w:val="20"/>
          <w:lang w:eastAsia="fr-FR"/>
        </w:rPr>
        <w:t>był</w:t>
      </w:r>
      <w:r w:rsidR="0064737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35229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 tego przesłuchania wykluczony. 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59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 </w:t>
      </w:r>
      <w:r w:rsidR="00B9233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Federalny Trybunał Sprawiedliwości podkreślił, 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BD7E0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poszanowanie prawa do </w:t>
      </w:r>
      <w:r w:rsidR="00647371">
        <w:rPr>
          <w:rFonts w:ascii="Times New Roman" w:eastAsia="Times New Roman" w:hAnsi="Times New Roman" w:cs="Times New Roman"/>
          <w:szCs w:val="20"/>
          <w:lang w:eastAsia="fr-FR"/>
        </w:rPr>
        <w:t xml:space="preserve">krzyżowego </w:t>
      </w:r>
      <w:r w:rsidR="006A53B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przesłuchania wymaga, aby wyznaczony obrońca oskarżonego miał możliwość przedyskutowania </w:t>
      </w:r>
      <w:r w:rsidR="00647371">
        <w:rPr>
          <w:rFonts w:ascii="Times New Roman" w:eastAsia="Times New Roman" w:hAnsi="Times New Roman" w:cs="Times New Roman"/>
          <w:szCs w:val="20"/>
          <w:lang w:eastAsia="fr-FR"/>
        </w:rPr>
        <w:t>sprawy</w:t>
      </w:r>
      <w:r w:rsidR="0064737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A53BE" w:rsidRPr="003E0C66">
        <w:rPr>
          <w:rFonts w:ascii="Times New Roman" w:eastAsia="Times New Roman" w:hAnsi="Times New Roman" w:cs="Times New Roman"/>
          <w:szCs w:val="20"/>
          <w:lang w:eastAsia="fr-FR"/>
        </w:rPr>
        <w:t>z oskarżonym przed przesłuchaniem świadków przez sędziego śledczego, w celu umożliwienia mu zadawania odpowiednich pytań. Trybunał zauważył również, iż może nie być koniecznym wyznaczenie adwokata dla oskarżonego, jeśli zaistnieją słuszne powody, aby nie informować obrońcy o przesłucha</w:t>
      </w:r>
      <w:r w:rsidR="009D7F3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niu przez sędziego </w:t>
      </w:r>
      <w:r w:rsidR="00647371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6A53B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lub jeśli opóźnienie spowodowane wyznaczeniem i udziałem obrońcy naraziłoby postępowanie na niepowodzenie. </w:t>
      </w:r>
      <w:r w:rsidR="009D7F3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>przedmiotow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ej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sprawie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D7F3B" w:rsidRPr="003E0C66">
        <w:rPr>
          <w:rFonts w:ascii="Times New Roman" w:eastAsia="Times New Roman" w:hAnsi="Times New Roman" w:cs="Times New Roman"/>
          <w:szCs w:val="20"/>
          <w:lang w:eastAsia="fr-FR"/>
        </w:rPr>
        <w:t>Federalny Trybunał Sprawiedliwości nie musiał ustal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9D7F3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ć, czy koniecznym jest wyznaczenie obrońcy dla oskarżonego, jeśli powodzenie śledztwa może zostać zagrożone w rezultacie przedyskutowania sprawy przez oskarżonego i adwokata przed </w:t>
      </w:r>
      <w:r w:rsidR="00647371">
        <w:rPr>
          <w:rFonts w:ascii="Times New Roman" w:eastAsia="Times New Roman" w:hAnsi="Times New Roman" w:cs="Times New Roman"/>
          <w:szCs w:val="20"/>
          <w:lang w:eastAsia="fr-FR"/>
        </w:rPr>
        <w:t>przesłuchaniem</w:t>
      </w:r>
      <w:r w:rsidR="009D7F3B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E05B22" w:rsidP="00BC0CE7">
      <w:pPr>
        <w:pStyle w:val="ECHRHeading2"/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t>B.  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Właściwe</w:t>
      </w:r>
      <w:r w:rsidR="000226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9D7F3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przepisy i praktyka dotycząca przebiegu procesu   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60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21695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Artykuł 250 Kodeksu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21695D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ostępowania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21695D" w:rsidRPr="003E0C66">
        <w:rPr>
          <w:rFonts w:ascii="Times New Roman" w:eastAsia="Times New Roman" w:hAnsi="Times New Roman" w:cs="Times New Roman"/>
          <w:szCs w:val="20"/>
          <w:lang w:eastAsia="fr-FR"/>
        </w:rPr>
        <w:t>arnego</w:t>
      </w:r>
      <w:r w:rsidR="001055EA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określa zasady, zgodnie z którymi w przypadku, gdy dowód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 xml:space="preserve">faktu </w:t>
      </w:r>
      <w:r w:rsidR="001055EA" w:rsidRPr="003E0C66">
        <w:rPr>
          <w:rFonts w:ascii="Times New Roman" w:eastAsia="Times New Roman" w:hAnsi="Times New Roman" w:cs="Times New Roman"/>
          <w:szCs w:val="20"/>
          <w:lang w:eastAsia="fr-FR"/>
        </w:rPr>
        <w:t>opiera się na obserwacji danej osoby, osoba ta musi zostać przesłuchana podczas rozprawy. Przesłuchanie nie może zostać zastąpione odczytaniem protokołu z wcześniejszych przesłuchań lub pisemnych oświadczeń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6B25B0" w:rsidP="00BC0CE7">
      <w:pPr>
        <w:ind w:firstLine="284"/>
        <w:rPr>
          <w:rFonts w:ascii="Times New Roman" w:eastAsia="Times New Roman" w:hAnsi="Times New Roman" w:cs="Times New Roman"/>
          <w:bCs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61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Artykuł 251 Kodeksu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ostępowania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arnego zawiera liczne wyjątki od tej zasady. Zgodnie z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>rtykułem 251 §1 (2) przesłuchanie świadk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może zostać zastąpione odczytaniem protokołu z innego przesłuchania, jeśli świadek zmarł lub nie mógł zostać przesłuchany przez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s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>ąd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przewidywalnym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terminie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z innego powodu. Artykuł 251 § 2 (1) Kodeksu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ostępowania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arnego stanowi, iż w sytuacji wcześniejszego przesłuchania świadka przez sędziego przesłuchanie może zostać zastąpione odczytaniem protokołu z wcześniejszego przesłuchania; stosuje </w:t>
      </w:r>
      <w:r w:rsidR="007A03C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się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 xml:space="preserve">tą zasadę </w:t>
      </w:r>
      <w:r w:rsidR="007A03C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także w przypadkach choroby, niedomagania lub innych niemożliwych do pokonania przeszkód, które uniemożliwiają świadkowi 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stawienie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7A03C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się na rozprawie przez długi lub nieokreślony czas.  </w:t>
      </w:r>
      <w:r w:rsidR="006701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 </w:t>
      </w:r>
    </w:p>
    <w:p w:rsidR="00E05B22" w:rsidRPr="003E0C66" w:rsidRDefault="006B25B0" w:rsidP="00624ECF">
      <w:pPr>
        <w:ind w:firstLine="284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fr-FR"/>
        </w:rPr>
        <w:t>62</w:t>
      </w:r>
      <w:r w:rsidRPr="003E0C66">
        <w:rPr>
          <w:rFonts w:ascii="Times New Roman" w:eastAsia="Times New Roman" w:hAnsi="Times New Roman" w:cs="Times New Roman"/>
          <w:szCs w:val="20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. </w:t>
      </w:r>
      <w:r w:rsidR="0087441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W wyżej wspomnianym wyroku z 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 xml:space="preserve">dnia </w:t>
      </w:r>
      <w:r w:rsidR="00874412" w:rsidRPr="003E0C66">
        <w:rPr>
          <w:rFonts w:ascii="Times New Roman" w:eastAsia="Times New Roman" w:hAnsi="Times New Roman" w:cs="Times New Roman"/>
          <w:szCs w:val="20"/>
          <w:lang w:eastAsia="fr-FR"/>
        </w:rPr>
        <w:t>25 czerwca 2000 roku (zobacz paragrafy 58-59 powyżej) Fed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eralny Trybunał Sprawiedliwości stwierdził, 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>niepowołanie obrońcy dla oskarżonego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jak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tego wymaga</w:t>
      </w:r>
      <w:r w:rsidR="000226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a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rtykuł 141 § 3 Kodeksu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p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ostępowania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k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>arnego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,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nie skutkuje wykluczeniem 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lastRenderedPageBreak/>
        <w:t>dowod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u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uzyskan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ego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podczas </w:t>
      </w:r>
      <w:r w:rsidR="000226A6" w:rsidRPr="003E0C66">
        <w:rPr>
          <w:rFonts w:ascii="Times New Roman" w:eastAsia="Times New Roman" w:hAnsi="Times New Roman" w:cs="Times New Roman"/>
          <w:szCs w:val="20"/>
          <w:lang w:eastAsia="fr-FR"/>
        </w:rPr>
        <w:t>przesłucha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nia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przez sędziego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ale pomniejsza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jego</w:t>
      </w:r>
      <w:r w:rsidR="000226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CE39C1" w:rsidRPr="003E0C66">
        <w:rPr>
          <w:rFonts w:ascii="Times New Roman" w:eastAsia="Times New Roman" w:hAnsi="Times New Roman" w:cs="Times New Roman"/>
          <w:szCs w:val="20"/>
          <w:lang w:eastAsia="fr-FR"/>
        </w:rPr>
        <w:t>wartość dowodową. Należy mieć</w:t>
      </w:r>
      <w:r w:rsidR="003F494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to na względzie podczas całego </w:t>
      </w:r>
      <w:r w:rsidR="003E0C66" w:rsidRPr="003E0C66">
        <w:rPr>
          <w:rFonts w:ascii="Times New Roman" w:eastAsia="Times New Roman" w:hAnsi="Times New Roman" w:cs="Times New Roman"/>
          <w:szCs w:val="20"/>
          <w:lang w:eastAsia="fr-FR"/>
        </w:rPr>
        <w:t>postępowania</w:t>
      </w:r>
      <w:r w:rsidR="003F494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.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Co do</w:t>
      </w:r>
      <w:r w:rsidR="00624EC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zasady wyrok może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być oparty</w:t>
      </w:r>
      <w:r w:rsidR="000226A6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24EC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na zeznaniach świadka, </w:t>
      </w:r>
      <w:r w:rsidR="000226A6">
        <w:rPr>
          <w:rFonts w:ascii="Times New Roman" w:eastAsia="Times New Roman" w:hAnsi="Times New Roman" w:cs="Times New Roman"/>
          <w:szCs w:val="20"/>
          <w:lang w:eastAsia="fr-FR"/>
        </w:rPr>
        <w:t>którego obrona nie mogła przesłuchać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 xml:space="preserve"> w ramach przesłuchania krzyżowego</w:t>
      </w:r>
      <w:r w:rsidR="00624EC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tylko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 xml:space="preserve"> wtedy, gdy</w:t>
      </w:r>
      <w:r w:rsidR="00624EC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zeznania zostaną potwierdzone przez inne istotne czynniki od 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>niego</w:t>
      </w:r>
      <w:r w:rsidR="000D087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624ECF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niezależne. </w:t>
      </w:r>
      <w:r w:rsidR="00E653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Sąd 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>rozpoznający sprawę</w:t>
      </w:r>
      <w:r w:rsidR="00E653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był zobowiązany 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także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653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do oceny dowodów ze szczególną 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>ostrożnością, mając nadto na uwadze</w:t>
      </w:r>
      <w:r w:rsidR="00E653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, </w:t>
      </w:r>
      <w:r w:rsidR="00085119">
        <w:rPr>
          <w:rFonts w:ascii="Times New Roman" w:eastAsia="Times New Roman" w:hAnsi="Times New Roman" w:cs="Times New Roman"/>
          <w:szCs w:val="20"/>
          <w:lang w:eastAsia="fr-FR"/>
        </w:rPr>
        <w:t>że</w:t>
      </w:r>
      <w:r w:rsidR="0008511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>zeznania</w:t>
      </w:r>
      <w:r w:rsidR="000D0879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6536B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sędziego 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>śledczego</w:t>
      </w:r>
      <w:r w:rsidR="001E2B3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 xml:space="preserve">w trakcie procesu </w:t>
      </w:r>
      <w:r w:rsidR="001E2B38" w:rsidRPr="003E0C66">
        <w:rPr>
          <w:rFonts w:ascii="Times New Roman" w:eastAsia="Times New Roman" w:hAnsi="Times New Roman" w:cs="Times New Roman"/>
          <w:szCs w:val="20"/>
          <w:lang w:eastAsia="fr-FR"/>
        </w:rPr>
        <w:t>stanowi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>ą</w:t>
      </w:r>
      <w:r w:rsidR="001E2B38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dowód</w:t>
      </w:r>
      <w:r w:rsidR="000D0879">
        <w:rPr>
          <w:rFonts w:ascii="Times New Roman" w:eastAsia="Times New Roman" w:hAnsi="Times New Roman" w:cs="Times New Roman"/>
          <w:szCs w:val="20"/>
          <w:lang w:eastAsia="fr-FR"/>
        </w:rPr>
        <w:t xml:space="preserve"> „ze słyszenia”</w:t>
      </w:r>
      <w:r w:rsidR="00016C66" w:rsidRPr="003E0C66">
        <w:rPr>
          <w:rFonts w:ascii="Times New Roman" w:eastAsia="Times New Roman" w:hAnsi="Times New Roman" w:cs="Times New Roman"/>
          <w:szCs w:val="20"/>
          <w:lang w:eastAsia="fr-FR"/>
        </w:rPr>
        <w:t>.</w:t>
      </w:r>
    </w:p>
    <w:p w:rsidR="00E05B22" w:rsidRPr="003E0C66" w:rsidRDefault="00E05B22" w:rsidP="00BC0CE7">
      <w:pPr>
        <w:pStyle w:val="ECHRHeading2"/>
      </w:pPr>
      <w:r w:rsidRPr="003E0C66">
        <w:t>C.  </w:t>
      </w:r>
      <w:r w:rsidR="0008676D" w:rsidRPr="003E0C66">
        <w:t xml:space="preserve">Przepisy dotyczące </w:t>
      </w:r>
      <w:r w:rsidR="00BB5F74">
        <w:t>apelacji w zakresie</w:t>
      </w:r>
      <w:r w:rsidR="00BB5F74" w:rsidRPr="003E0C66">
        <w:t xml:space="preserve"> </w:t>
      </w:r>
      <w:r w:rsidR="0008676D" w:rsidRPr="003E0C66">
        <w:t xml:space="preserve">kwestii prawnych  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63</w:t>
      </w:r>
      <w:r w:rsidRPr="003E0C66">
        <w:fldChar w:fldCharType="end"/>
      </w:r>
      <w:r w:rsidR="00E05B22" w:rsidRPr="003E0C66">
        <w:t>.</w:t>
      </w:r>
      <w:r w:rsidR="0008676D" w:rsidRPr="003E0C66">
        <w:t xml:space="preserve"> Zgodnie z </w:t>
      </w:r>
      <w:r w:rsidR="000D0879">
        <w:t>a</w:t>
      </w:r>
      <w:r w:rsidR="0008676D" w:rsidRPr="003E0C66">
        <w:t xml:space="preserve">rtykułem 349 § 2 Kodeksu </w:t>
      </w:r>
      <w:r w:rsidR="000D0879">
        <w:t>p</w:t>
      </w:r>
      <w:r w:rsidR="003E0C66" w:rsidRPr="003E0C66">
        <w:t>ost</w:t>
      </w:r>
      <w:r w:rsidR="000D0879">
        <w:t>ęp</w:t>
      </w:r>
      <w:r w:rsidR="003E0C66" w:rsidRPr="003E0C66">
        <w:t>owania</w:t>
      </w:r>
      <w:r w:rsidR="0008676D" w:rsidRPr="003E0C66">
        <w:t xml:space="preserve"> </w:t>
      </w:r>
      <w:r w:rsidR="000D0879">
        <w:t>k</w:t>
      </w:r>
      <w:r w:rsidR="0008676D" w:rsidRPr="003E0C66">
        <w:t xml:space="preserve">arnego sąd </w:t>
      </w:r>
      <w:r w:rsidR="000D0879">
        <w:t xml:space="preserve">decydujący o apelacji dotyczącej kwestii prawnych </w:t>
      </w:r>
      <w:r w:rsidR="000D0879" w:rsidRPr="003E0C66">
        <w:t xml:space="preserve"> </w:t>
      </w:r>
      <w:r w:rsidR="0008676D" w:rsidRPr="003E0C66">
        <w:t>może, na uzasadniony wnio</w:t>
      </w:r>
      <w:r w:rsidR="000B39C8" w:rsidRPr="003E0C66">
        <w:t xml:space="preserve">sek prokuratora, odrzucić apelację oskarżonego bez przeprowadzenia postępowania, jeśli uzna apelację za </w:t>
      </w:r>
      <w:r w:rsidR="000D0879">
        <w:t xml:space="preserve">oczywiście </w:t>
      </w:r>
      <w:r w:rsidR="000B39C8" w:rsidRPr="003E0C66">
        <w:t xml:space="preserve">bezzasadną. Decyzja musi być jednomyślna.  </w:t>
      </w:r>
      <w:r w:rsidR="0008676D" w:rsidRPr="003E0C66">
        <w:t xml:space="preserve"> </w:t>
      </w:r>
      <w:r w:rsidR="00E05B22" w:rsidRPr="003E0C66">
        <w:t>  </w:t>
      </w:r>
    </w:p>
    <w:p w:rsidR="00E05B22" w:rsidRPr="003E0C66" w:rsidRDefault="00E05B22" w:rsidP="00BC0CE7">
      <w:pPr>
        <w:pStyle w:val="ECHRHeading1"/>
      </w:pPr>
      <w:r w:rsidRPr="003E0C66">
        <w:t>III.  </w:t>
      </w:r>
      <w:r w:rsidR="000B39C8" w:rsidRPr="003E0C66">
        <w:t xml:space="preserve">STOSOWNE PRAWO MIĘDZYNARODOWE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64</w:t>
      </w:r>
      <w:r w:rsidRPr="003E0C66">
        <w:fldChar w:fldCharType="end"/>
      </w:r>
      <w:r w:rsidR="00E05B22" w:rsidRPr="003E0C66">
        <w:t>. </w:t>
      </w:r>
      <w:r w:rsidR="000B39C8" w:rsidRPr="003E0C66">
        <w:t xml:space="preserve"> Wzajemna pomoc w sprawach karnych między Niemcami a Łotwą regulowana jest, w szczególności, przez Europejską </w:t>
      </w:r>
      <w:r w:rsidR="00FB5646">
        <w:t>k</w:t>
      </w:r>
      <w:r w:rsidR="000B39C8" w:rsidRPr="003E0C66">
        <w:t xml:space="preserve">onwencję o </w:t>
      </w:r>
      <w:r w:rsidR="00FB5646">
        <w:t>p</w:t>
      </w:r>
      <w:r w:rsidR="000B39C8" w:rsidRPr="003E0C66">
        <w:t xml:space="preserve">omocy </w:t>
      </w:r>
      <w:r w:rsidR="00FB5646">
        <w:t>p</w:t>
      </w:r>
      <w:r w:rsidR="000B39C8" w:rsidRPr="003E0C66">
        <w:t xml:space="preserve">rawnej w </w:t>
      </w:r>
      <w:r w:rsidR="00FB5646">
        <w:t>s</w:t>
      </w:r>
      <w:r w:rsidR="000B39C8" w:rsidRPr="003E0C66">
        <w:t xml:space="preserve">prawach </w:t>
      </w:r>
      <w:r w:rsidR="00FB5646">
        <w:t>k</w:t>
      </w:r>
      <w:r w:rsidR="000B39C8" w:rsidRPr="003E0C66">
        <w:t xml:space="preserve">arnych z 20 kwietnia 1959 roku, uzupełnioną </w:t>
      </w:r>
      <w:r w:rsidR="00422488" w:rsidRPr="003E0C66">
        <w:t xml:space="preserve">Konwencją o </w:t>
      </w:r>
      <w:r w:rsidR="00FB5646">
        <w:t>p</w:t>
      </w:r>
      <w:r w:rsidR="00422488" w:rsidRPr="003E0C66">
        <w:t xml:space="preserve">omocy </w:t>
      </w:r>
      <w:r w:rsidR="00FB5646">
        <w:t>p</w:t>
      </w:r>
      <w:r w:rsidR="00422488" w:rsidRPr="003E0C66">
        <w:t xml:space="preserve">rawnej w </w:t>
      </w:r>
      <w:r w:rsidR="00FB5646">
        <w:t>s</w:t>
      </w:r>
      <w:r w:rsidR="00422488" w:rsidRPr="003E0C66">
        <w:t xml:space="preserve">prawach </w:t>
      </w:r>
      <w:r w:rsidR="00FB5646">
        <w:t>k</w:t>
      </w:r>
      <w:r w:rsidR="00422488" w:rsidRPr="003E0C66">
        <w:t xml:space="preserve">arnych pomiędzy </w:t>
      </w:r>
      <w:r w:rsidR="00FB5646">
        <w:t>państwami</w:t>
      </w:r>
      <w:r w:rsidR="00FB5646" w:rsidRPr="003E0C66">
        <w:t xml:space="preserve"> </w:t>
      </w:r>
      <w:r w:rsidR="00FB5646">
        <w:t>c</w:t>
      </w:r>
      <w:r w:rsidR="00422488" w:rsidRPr="003E0C66">
        <w:t xml:space="preserve">złonkowskimi Unii Europejskiej z 29 maja 2000 roku. </w:t>
      </w:r>
      <w:r w:rsidR="00E05B22" w:rsidRPr="003E0C66">
        <w:t>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65</w:t>
      </w:r>
      <w:r w:rsidRPr="003E0C66">
        <w:fldChar w:fldCharType="end"/>
      </w:r>
      <w:r w:rsidR="00E05B22" w:rsidRPr="003E0C66">
        <w:t>. </w:t>
      </w:r>
      <w:r w:rsidR="00422488" w:rsidRPr="003E0C66">
        <w:t xml:space="preserve">Artykuł 10 Konwencji o </w:t>
      </w:r>
      <w:r w:rsidR="00FB5646">
        <w:t>p</w:t>
      </w:r>
      <w:r w:rsidR="00422488" w:rsidRPr="003E0C66">
        <w:t xml:space="preserve">omocy </w:t>
      </w:r>
      <w:r w:rsidR="00FB5646">
        <w:t>prawnej w s</w:t>
      </w:r>
      <w:r w:rsidR="00422488" w:rsidRPr="003E0C66">
        <w:t xml:space="preserve">prawach </w:t>
      </w:r>
      <w:r w:rsidR="00FB5646">
        <w:t>k</w:t>
      </w:r>
      <w:r w:rsidR="00422488" w:rsidRPr="003E0C66">
        <w:t xml:space="preserve">arnych pomiędzy </w:t>
      </w:r>
      <w:r w:rsidR="00FB5646">
        <w:t>państwami</w:t>
      </w:r>
      <w:r w:rsidR="00FB5646" w:rsidRPr="003E0C66">
        <w:t xml:space="preserve"> </w:t>
      </w:r>
      <w:r w:rsidR="00FB5646">
        <w:t>c</w:t>
      </w:r>
      <w:r w:rsidR="00422488" w:rsidRPr="003E0C66">
        <w:t xml:space="preserve">złonkowskimi Unii Europejskiej z 29 maja 2000 roku </w:t>
      </w:r>
      <w:r w:rsidR="00FB5646">
        <w:t>przewiduje</w:t>
      </w:r>
      <w:r w:rsidR="00B26C74" w:rsidRPr="003E0C66">
        <w:t xml:space="preserve"> możliwość przesłuchani</w:t>
      </w:r>
      <w:r w:rsidR="00FB5646">
        <w:t>a</w:t>
      </w:r>
      <w:r w:rsidR="00B26C74" w:rsidRPr="003E0C66">
        <w:t xml:space="preserve"> świadka w formie wideokonferencji. Takie przesłuchania muszą odbywać się </w:t>
      </w:r>
      <w:r w:rsidR="00E46716" w:rsidRPr="003E0C66">
        <w:t xml:space="preserve">w obecności organu sądowego </w:t>
      </w:r>
      <w:r w:rsidR="00FB5646">
        <w:t>p</w:t>
      </w:r>
      <w:r w:rsidR="00993ED6" w:rsidRPr="003E0C66">
        <w:t xml:space="preserve">aństwa </w:t>
      </w:r>
      <w:r w:rsidR="00FB5646">
        <w:t>c</w:t>
      </w:r>
      <w:r w:rsidR="00993ED6" w:rsidRPr="003E0C66">
        <w:t xml:space="preserve">złonkowskiego wezwanego oraz być prowadzone przez organ sądowy </w:t>
      </w:r>
      <w:r w:rsidR="00FB5646">
        <w:t>p</w:t>
      </w:r>
      <w:r w:rsidR="00993ED6" w:rsidRPr="003E0C66">
        <w:t xml:space="preserve">aństwa </w:t>
      </w:r>
      <w:r w:rsidR="00FB5646">
        <w:t>c</w:t>
      </w:r>
      <w:r w:rsidR="00993ED6" w:rsidRPr="003E0C66">
        <w:t xml:space="preserve">złonkowskiego wzywającego. Świadek może powołać się na prawo do odmowy składania zeznań, które przysługuje mu na podstawie prawa </w:t>
      </w:r>
      <w:r w:rsidR="00FB5646">
        <w:t>p</w:t>
      </w:r>
      <w:r w:rsidR="00993ED6" w:rsidRPr="003E0C66">
        <w:t xml:space="preserve">aństwa </w:t>
      </w:r>
      <w:r w:rsidR="00FB5646">
        <w:t>c</w:t>
      </w:r>
      <w:r w:rsidR="00993ED6" w:rsidRPr="003E0C66">
        <w:t>złonkowskiego wzywającego lub wezwanego (</w:t>
      </w:r>
      <w:r w:rsidR="00FB5646">
        <w:t>a</w:t>
      </w:r>
      <w:r w:rsidR="00993ED6" w:rsidRPr="003E0C66">
        <w:t xml:space="preserve">rtykuł 10 § 5 wspomnianej </w:t>
      </w:r>
      <w:r w:rsidR="00FB5646">
        <w:t>k</w:t>
      </w:r>
      <w:r w:rsidR="00993ED6" w:rsidRPr="003E0C66">
        <w:t xml:space="preserve">onwencji). Każde z </w:t>
      </w:r>
      <w:r w:rsidR="00FB5646">
        <w:t>p</w:t>
      </w:r>
      <w:r w:rsidR="00993ED6" w:rsidRPr="003E0C66">
        <w:t xml:space="preserve">aństw </w:t>
      </w:r>
      <w:r w:rsidR="00FB5646">
        <w:t>c</w:t>
      </w:r>
      <w:r w:rsidR="00993ED6" w:rsidRPr="003E0C66">
        <w:t xml:space="preserve">złonkowskich musi podjąć odpowiednie </w:t>
      </w:r>
      <w:r w:rsidR="00FB5646">
        <w:t>środki</w:t>
      </w:r>
      <w:r w:rsidR="00FB5646" w:rsidRPr="003E0C66">
        <w:t xml:space="preserve"> </w:t>
      </w:r>
      <w:r w:rsidR="005C494B" w:rsidRPr="003E0C66">
        <w:t>dla zapewnienia</w:t>
      </w:r>
      <w:r w:rsidR="00FB5646">
        <w:t xml:space="preserve"> tego</w:t>
      </w:r>
      <w:r w:rsidR="005C494B" w:rsidRPr="003E0C66">
        <w:t xml:space="preserve">, </w:t>
      </w:r>
      <w:r w:rsidR="00FB5646">
        <w:t>że</w:t>
      </w:r>
      <w:r w:rsidR="005C494B" w:rsidRPr="003E0C66">
        <w:t xml:space="preserve"> </w:t>
      </w:r>
      <w:r w:rsidR="00FB5646">
        <w:t xml:space="preserve">gdy </w:t>
      </w:r>
      <w:r w:rsidR="005C494B" w:rsidRPr="003E0C66">
        <w:t xml:space="preserve">świadkowie są przesłuchiwani na terytorium </w:t>
      </w:r>
      <w:r w:rsidR="00FB5646">
        <w:t>p</w:t>
      </w:r>
      <w:r w:rsidR="005C494B" w:rsidRPr="003E0C66">
        <w:t xml:space="preserve">aństwa </w:t>
      </w:r>
      <w:r w:rsidR="00FB5646">
        <w:t>c</w:t>
      </w:r>
      <w:r w:rsidR="005C494B" w:rsidRPr="003E0C66">
        <w:t>złonkowskiego i odmawiają składania zeznań będąc zobligowan</w:t>
      </w:r>
      <w:r w:rsidR="00FB5646">
        <w:t>ymi</w:t>
      </w:r>
      <w:r w:rsidR="005C494B" w:rsidRPr="003E0C66">
        <w:t xml:space="preserve"> do ich złożenia, </w:t>
      </w:r>
      <w:r w:rsidR="00FD2A43">
        <w:t xml:space="preserve">ich </w:t>
      </w:r>
      <w:r w:rsidR="005C494B" w:rsidRPr="003E0C66">
        <w:t xml:space="preserve">prawo wewnętrzne </w:t>
      </w:r>
      <w:r w:rsidR="00FD2A43">
        <w:t>będzie</w:t>
      </w:r>
      <w:r w:rsidR="00FD2A43" w:rsidRPr="003E0C66">
        <w:t xml:space="preserve"> </w:t>
      </w:r>
      <w:r w:rsidR="005C494B" w:rsidRPr="003E0C66">
        <w:t>stosowane tak, jakby przesłuchanie odbywało</w:t>
      </w:r>
      <w:r w:rsidR="00A01650" w:rsidRPr="003E0C66">
        <w:t xml:space="preserve"> się według procedury krajowej (</w:t>
      </w:r>
      <w:r w:rsidR="00FD2A43">
        <w:t>a</w:t>
      </w:r>
      <w:r w:rsidR="00A01650" w:rsidRPr="003E0C66">
        <w:t xml:space="preserve">rtykuł 10 § 8 wspomnianej </w:t>
      </w:r>
      <w:r w:rsidR="00FD2A43">
        <w:t>k</w:t>
      </w:r>
      <w:r w:rsidR="00A01650" w:rsidRPr="003E0C66">
        <w:t>onwencji).</w:t>
      </w:r>
      <w:r w:rsidR="00993ED6" w:rsidRPr="003E0C66">
        <w:t xml:space="preserve">  </w:t>
      </w:r>
      <w:r w:rsidR="00E05B22" w:rsidRPr="003E0C66">
        <w:t>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66</w:t>
      </w:r>
      <w:r w:rsidRPr="003E0C66">
        <w:fldChar w:fldCharType="end"/>
      </w:r>
      <w:r w:rsidR="00E05B22" w:rsidRPr="003E0C66">
        <w:t>. </w:t>
      </w:r>
      <w:r w:rsidR="00A01650" w:rsidRPr="003E0C66">
        <w:t xml:space="preserve">Artykuł 8 Europejskiej </w:t>
      </w:r>
      <w:r w:rsidR="00FD2A43">
        <w:t>k</w:t>
      </w:r>
      <w:r w:rsidR="00A01650" w:rsidRPr="003E0C66">
        <w:t xml:space="preserve">onwencji o </w:t>
      </w:r>
      <w:r w:rsidR="00FD2A43">
        <w:t>p</w:t>
      </w:r>
      <w:r w:rsidR="00A01650" w:rsidRPr="003E0C66">
        <w:t>omocy</w:t>
      </w:r>
      <w:r w:rsidR="00FD2A43">
        <w:t xml:space="preserve"> prawnej</w:t>
      </w:r>
      <w:r w:rsidR="00A01650" w:rsidRPr="003E0C66">
        <w:t xml:space="preserve"> w </w:t>
      </w:r>
      <w:r w:rsidR="00FD2A43">
        <w:t>s</w:t>
      </w:r>
      <w:r w:rsidR="00A01650" w:rsidRPr="003E0C66">
        <w:t xml:space="preserve">prawach </w:t>
      </w:r>
      <w:r w:rsidR="00FD2A43">
        <w:t>k</w:t>
      </w:r>
      <w:r w:rsidR="00A01650" w:rsidRPr="003E0C66">
        <w:t>arnych z 20 kwietnia 1959 stanowi, ż</w:t>
      </w:r>
      <w:r w:rsidR="00FD2A43">
        <w:t>e</w:t>
      </w:r>
      <w:r w:rsidR="00A01650" w:rsidRPr="003E0C66">
        <w:t xml:space="preserve"> świadek, który nie stawi się na wezwanie, o które</w:t>
      </w:r>
      <w:r w:rsidR="00FD2A43">
        <w:t>go doręczenie</w:t>
      </w:r>
      <w:r w:rsidR="00A01650" w:rsidRPr="003E0C66">
        <w:t xml:space="preserve"> wnoszono, nie może być poddany żadnej karze chyba że uda się on </w:t>
      </w:r>
      <w:r w:rsidR="00FD2A43">
        <w:t xml:space="preserve">następnie </w:t>
      </w:r>
      <w:r w:rsidR="00A01650" w:rsidRPr="003E0C66">
        <w:t xml:space="preserve">dobrowolnie na terytorium </w:t>
      </w:r>
      <w:r w:rsidR="00FD2A43">
        <w:t>s</w:t>
      </w:r>
      <w:r w:rsidR="00A01650" w:rsidRPr="003E0C66">
        <w:t xml:space="preserve">trony </w:t>
      </w:r>
      <w:r w:rsidR="00A01650" w:rsidRPr="003E0C66">
        <w:lastRenderedPageBreak/>
        <w:t xml:space="preserve">wzywającej i zostanie tam ponownie prawidłowo wezwany do stawiennictwa.  </w:t>
      </w:r>
      <w:r w:rsidR="00E05B22" w:rsidRPr="003E0C66">
        <w:t> </w:t>
      </w:r>
    </w:p>
    <w:p w:rsidR="00E05B22" w:rsidRPr="003E0C66" w:rsidRDefault="00A01650" w:rsidP="00BC0CE7">
      <w:pPr>
        <w:pStyle w:val="ECHRTitle1"/>
      </w:pPr>
      <w:r w:rsidRPr="003E0C66">
        <w:t xml:space="preserve">PRAWO </w:t>
      </w:r>
    </w:p>
    <w:p w:rsidR="00E05B22" w:rsidRPr="003E0C66" w:rsidRDefault="00E05B22" w:rsidP="00BC0CE7">
      <w:pPr>
        <w:pStyle w:val="ECHRHeading1"/>
      </w:pPr>
      <w:r w:rsidRPr="003E0C66">
        <w:t>I. </w:t>
      </w:r>
      <w:r w:rsidR="00A01650" w:rsidRPr="003E0C66">
        <w:t>ZARZUT NARUSZENIA ARTYKUŁU 6</w:t>
      </w:r>
      <w:r w:rsidRPr="003E0C66">
        <w:t xml:space="preserve"> §§ 1</w:t>
      </w:r>
      <w:r w:rsidR="00BF69A0">
        <w:t xml:space="preserve"> i</w:t>
      </w:r>
      <w:r w:rsidRPr="003E0C66">
        <w:t xml:space="preserve"> </w:t>
      </w:r>
      <w:r w:rsidR="00A01650" w:rsidRPr="003E0C66">
        <w:t xml:space="preserve">3 (d) KONWENCJI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67</w:t>
      </w:r>
      <w:r w:rsidRPr="003E0C66">
        <w:fldChar w:fldCharType="end"/>
      </w:r>
      <w:r w:rsidR="00E05B22" w:rsidRPr="003E0C66">
        <w:t>. </w:t>
      </w:r>
      <w:r w:rsidR="00A01650" w:rsidRPr="003E0C66">
        <w:t xml:space="preserve">Skarżący </w:t>
      </w:r>
      <w:r w:rsidR="00FD2A43">
        <w:t>zarzucił</w:t>
      </w:r>
      <w:r w:rsidR="00A01650" w:rsidRPr="003E0C66">
        <w:t>, ż</w:t>
      </w:r>
      <w:r w:rsidR="00FD2A43">
        <w:t>e</w:t>
      </w:r>
      <w:r w:rsidR="00A01650" w:rsidRPr="003E0C66">
        <w:t xml:space="preserve"> </w:t>
      </w:r>
      <w:r w:rsidR="00FD2A43">
        <w:t>j</w:t>
      </w:r>
      <w:r w:rsidR="00A01650" w:rsidRPr="003E0C66">
        <w:t xml:space="preserve">ego proces był </w:t>
      </w:r>
      <w:r w:rsidR="00BF69A0">
        <w:t>nierzetelny</w:t>
      </w:r>
      <w:r w:rsidR="00BF69A0" w:rsidRPr="003E0C66">
        <w:t xml:space="preserve"> </w:t>
      </w:r>
      <w:r w:rsidR="00A01650" w:rsidRPr="003E0C66">
        <w:t xml:space="preserve">oraz że zasada równości </w:t>
      </w:r>
      <w:r w:rsidR="00FD2A43">
        <w:t>broni</w:t>
      </w:r>
      <w:r w:rsidR="00FD2A43" w:rsidRPr="003E0C66">
        <w:t xml:space="preserve"> </w:t>
      </w:r>
      <w:r w:rsidR="00A01650" w:rsidRPr="003E0C66">
        <w:t>została naruszona, ponieważ ani on, ani jego obrońca na żadnym z etapów postępowania</w:t>
      </w:r>
      <w:r w:rsidR="00D40E3E" w:rsidRPr="003E0C66">
        <w:t xml:space="preserve"> karnego</w:t>
      </w:r>
      <w:r w:rsidR="00A01650" w:rsidRPr="003E0C66">
        <w:t xml:space="preserve"> nie mieli m</w:t>
      </w:r>
      <w:r w:rsidR="00D40E3E" w:rsidRPr="003E0C66">
        <w:t xml:space="preserve">ożliwości przesłuchania O. i P., jedynych bezpośrednich świadków i </w:t>
      </w:r>
      <w:r w:rsidR="00FD2A43">
        <w:t>pokrzywdzonych</w:t>
      </w:r>
      <w:r w:rsidR="00FD2A43" w:rsidRPr="003E0C66">
        <w:t xml:space="preserve"> </w:t>
      </w:r>
      <w:r w:rsidR="00D40E3E" w:rsidRPr="003E0C66">
        <w:t>przestępstw</w:t>
      </w:r>
      <w:r w:rsidR="00FD2A43">
        <w:t>em</w:t>
      </w:r>
      <w:r w:rsidR="00D40E3E" w:rsidRPr="003E0C66">
        <w:t xml:space="preserve"> rzekomo </w:t>
      </w:r>
      <w:r w:rsidR="00FD2A43" w:rsidRPr="003E0C66">
        <w:t>popełnion</w:t>
      </w:r>
      <w:r w:rsidR="00FD2A43">
        <w:t>ym przez niego</w:t>
      </w:r>
      <w:r w:rsidR="00FD2A43" w:rsidRPr="003E0C66">
        <w:t xml:space="preserve"> </w:t>
      </w:r>
      <w:r w:rsidR="00D40E3E" w:rsidRPr="003E0C66">
        <w:t>w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Göttingen</w:t>
      </w:r>
      <w:r w:rsidR="00D40E3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w lutym 2007 roku. Powołał się </w:t>
      </w:r>
      <w:r w:rsidR="00FD2A43">
        <w:rPr>
          <w:rFonts w:ascii="Times New Roman" w:eastAsia="Times New Roman" w:hAnsi="Times New Roman" w:cs="Times New Roman"/>
          <w:szCs w:val="20"/>
          <w:lang w:eastAsia="fr-FR"/>
        </w:rPr>
        <w:t>o</w:t>
      </w:r>
      <w:r w:rsidR="00D40E3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n na Artykuł 6 Konwencji, który w </w:t>
      </w:r>
      <w:r w:rsidR="00FD2A43">
        <w:rPr>
          <w:rFonts w:ascii="Times New Roman" w:eastAsia="Times New Roman" w:hAnsi="Times New Roman" w:cs="Times New Roman"/>
          <w:szCs w:val="20"/>
          <w:lang w:eastAsia="fr-FR"/>
        </w:rPr>
        <w:t>odpowiedniej części</w:t>
      </w:r>
      <w:r w:rsidR="00D40E3E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brzmi:  </w:t>
      </w:r>
    </w:p>
    <w:p w:rsidR="00E05B22" w:rsidRPr="003E0C66" w:rsidRDefault="00E05B22" w:rsidP="00BC0CE7">
      <w:pPr>
        <w:pStyle w:val="ECHRParaQuote"/>
      </w:pPr>
      <w:r w:rsidRPr="003E0C66">
        <w:t>“1. </w:t>
      </w:r>
      <w:r w:rsidR="00CC1F60" w:rsidRPr="003E0C66">
        <w:t>Każdy ma prawo do sprawiedliwego….rozpatrzenia jego sprawy przez…..sąd….</w:t>
      </w:r>
      <w:r w:rsidRPr="003E0C66">
        <w:t> </w:t>
      </w:r>
    </w:p>
    <w:p w:rsidR="00E05B22" w:rsidRPr="003E0C66" w:rsidRDefault="00E05B22" w:rsidP="00BC0CE7">
      <w:pPr>
        <w:pStyle w:val="ECHRParaQuote"/>
      </w:pPr>
      <w:r w:rsidRPr="003E0C66">
        <w:t>3.  </w:t>
      </w:r>
      <w:r w:rsidR="00CC1F60" w:rsidRPr="003E0C66">
        <w:t xml:space="preserve"> Każdy oskarżony o popełnienie czynu zagrożonego karą ma co najmniej prawo do</w:t>
      </w:r>
      <w:r w:rsidRPr="003E0C66">
        <w:t>:</w:t>
      </w:r>
    </w:p>
    <w:p w:rsidR="00E05B22" w:rsidRPr="003E0C66" w:rsidRDefault="00E05B22" w:rsidP="00BC0CE7">
      <w:pPr>
        <w:pStyle w:val="ECHRParaQuote"/>
      </w:pPr>
      <w:r w:rsidRPr="003E0C66">
        <w:t>...</w:t>
      </w:r>
    </w:p>
    <w:p w:rsidR="00E05B22" w:rsidRPr="003E0C66" w:rsidRDefault="00E05B22" w:rsidP="00BC0CE7">
      <w:pPr>
        <w:pStyle w:val="ECHRParaQuote"/>
      </w:pPr>
      <w:r w:rsidRPr="003E0C66">
        <w:t>(d) </w:t>
      </w:r>
      <w:r w:rsidR="00CC1F60" w:rsidRPr="003E0C66">
        <w:t xml:space="preserve">przesłuchania lub spowodowania przesłuchania świadków oskarżenia oraz żądania obecności i przesłuchania świadków obrony na takich samych warunkach jak świadków oskarżenia;….’’  </w:t>
      </w:r>
      <w:r w:rsidRPr="003E0C66">
        <w:t>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68</w:t>
      </w:r>
      <w:r w:rsidRPr="003E0C66">
        <w:fldChar w:fldCharType="end"/>
      </w:r>
      <w:r w:rsidR="00E05B22" w:rsidRPr="003E0C66">
        <w:t>.  </w:t>
      </w:r>
      <w:r w:rsidR="00CC1F60" w:rsidRPr="003E0C66">
        <w:t xml:space="preserve">Rząd zakwestionował ten argument </w:t>
      </w:r>
    </w:p>
    <w:p w:rsidR="00E05B22" w:rsidRPr="003E0C66" w:rsidRDefault="00E05B22" w:rsidP="00BC0CE7">
      <w:pPr>
        <w:pStyle w:val="ECHRHeading2"/>
        <w:outlineLvl w:val="0"/>
      </w:pPr>
      <w:r w:rsidRPr="003E0C66">
        <w:t>A.  </w:t>
      </w:r>
      <w:r w:rsidR="00CC1F60" w:rsidRPr="003E0C66">
        <w:t xml:space="preserve">Wyrok Izby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69</w:t>
      </w:r>
      <w:r w:rsidRPr="003E0C66">
        <w:fldChar w:fldCharType="end"/>
      </w:r>
      <w:r w:rsidR="00E05B22" w:rsidRPr="003E0C66">
        <w:t>. </w:t>
      </w:r>
      <w:r w:rsidR="00CC1F60" w:rsidRPr="003E0C66">
        <w:t xml:space="preserve">Izba uznała, iż nie nastąpiło naruszenie Artykułu 6 § 1 </w:t>
      </w:r>
      <w:r w:rsidR="00FE6219" w:rsidRPr="003E0C66">
        <w:t xml:space="preserve">w </w:t>
      </w:r>
      <w:r w:rsidR="00A75043">
        <w:t>związku</w:t>
      </w:r>
      <w:r w:rsidR="00A75043" w:rsidRPr="003E0C66">
        <w:t xml:space="preserve"> </w:t>
      </w:r>
      <w:r w:rsidR="00FE6219" w:rsidRPr="003E0C66">
        <w:t>z Artykułem 6 §</w:t>
      </w:r>
      <w:r w:rsidR="00A75043">
        <w:t xml:space="preserve"> </w:t>
      </w:r>
      <w:r w:rsidR="00FE6219" w:rsidRPr="003E0C66">
        <w:t xml:space="preserve">3 (d) Konwencji. </w:t>
      </w:r>
      <w:r w:rsidR="00CC1F60" w:rsidRPr="003E0C66">
        <w:t xml:space="preserve"> </w:t>
      </w:r>
      <w:r w:rsidR="00E05B22" w:rsidRPr="003E0C66">
        <w:t> </w:t>
      </w:r>
    </w:p>
    <w:p w:rsidR="00E05B22" w:rsidRPr="003E0C66" w:rsidRDefault="006B25B0" w:rsidP="00FE6219">
      <w:pPr>
        <w:pStyle w:val="ECHRPara"/>
        <w:rPr>
          <w:rFonts w:ascii="Times New Roman" w:eastAsia="Times New Roman" w:hAnsi="Times New Roman" w:cs="Times New Roman"/>
        </w:rPr>
      </w:pPr>
      <w:r w:rsidRPr="003E0C66">
        <w:rPr>
          <w:szCs w:val="24"/>
        </w:rPr>
        <w:fldChar w:fldCharType="begin"/>
      </w:r>
      <w:r w:rsidR="00E05B22" w:rsidRPr="003E0C66">
        <w:rPr>
          <w:szCs w:val="24"/>
        </w:rPr>
        <w:instrText xml:space="preserve"> SEQ level0 \*arabic </w:instrText>
      </w:r>
      <w:r w:rsidRPr="003E0C66">
        <w:rPr>
          <w:szCs w:val="24"/>
        </w:rPr>
        <w:fldChar w:fldCharType="separate"/>
      </w:r>
      <w:r w:rsidR="00CC1F60" w:rsidRPr="003E0C66">
        <w:rPr>
          <w:noProof/>
          <w:szCs w:val="24"/>
        </w:rPr>
        <w:t>70</w:t>
      </w:r>
      <w:r w:rsidRPr="003E0C66">
        <w:rPr>
          <w:szCs w:val="24"/>
        </w:rPr>
        <w:fldChar w:fldCharType="end"/>
      </w:r>
      <w:r w:rsidR="00E05B22" w:rsidRPr="003E0C66">
        <w:rPr>
          <w:szCs w:val="24"/>
        </w:rPr>
        <w:t>. </w:t>
      </w:r>
      <w:r w:rsidR="00FE6219" w:rsidRPr="003E0C66">
        <w:rPr>
          <w:szCs w:val="24"/>
        </w:rPr>
        <w:t xml:space="preserve">Stosując zasady ustanowione przez Trybunał w wyroku </w:t>
      </w:r>
      <w:r w:rsidR="00FE6219" w:rsidRPr="003E0C66">
        <w:rPr>
          <w:rFonts w:ascii="Times New Roman" w:eastAsia="Times New Roman" w:hAnsi="Times New Roman" w:cs="Times New Roman"/>
          <w:i/>
        </w:rPr>
        <w:t>Al-Khawaja i Tahery przeciw</w:t>
      </w:r>
      <w:r w:rsidR="00A75043">
        <w:rPr>
          <w:rFonts w:ascii="Times New Roman" w:eastAsia="Times New Roman" w:hAnsi="Times New Roman" w:cs="Times New Roman"/>
          <w:i/>
        </w:rPr>
        <w:t>ko</w:t>
      </w:r>
      <w:r w:rsidR="00E05B22" w:rsidRPr="003E0C66">
        <w:rPr>
          <w:rFonts w:ascii="Times New Roman" w:eastAsia="Times New Roman" w:hAnsi="Times New Roman" w:cs="Times New Roman"/>
          <w:i/>
        </w:rPr>
        <w:t xml:space="preserve"> </w:t>
      </w:r>
      <w:r w:rsidR="00FE6219" w:rsidRPr="003E0C66">
        <w:rPr>
          <w:rFonts w:ascii="Times New Roman" w:eastAsia="Times New Roman" w:hAnsi="Times New Roman" w:cs="Times New Roman"/>
          <w:i/>
        </w:rPr>
        <w:t xml:space="preserve">Wielkiej Brytanii </w:t>
      </w:r>
      <w:r w:rsidR="005A6284" w:rsidRPr="003E0C66">
        <w:rPr>
          <w:rFonts w:ascii="Times New Roman" w:eastAsia="Times New Roman" w:hAnsi="Times New Roman" w:cs="Times New Roman"/>
        </w:rPr>
        <w:t>([GC], nr</w:t>
      </w:r>
      <w:r w:rsidR="00FE6219" w:rsidRPr="003E0C66">
        <w:rPr>
          <w:rFonts w:ascii="Times New Roman" w:eastAsia="Times New Roman" w:hAnsi="Times New Roman" w:cs="Times New Roman"/>
        </w:rPr>
        <w:t> 26766/05 oraz</w:t>
      </w:r>
      <w:r w:rsidR="00E05B22" w:rsidRPr="003E0C66">
        <w:rPr>
          <w:rFonts w:ascii="Times New Roman" w:eastAsia="Times New Roman" w:hAnsi="Times New Roman" w:cs="Times New Roman"/>
        </w:rPr>
        <w:t xml:space="preserve"> 22228/06, </w:t>
      </w:r>
      <w:r w:rsidR="00F749AE" w:rsidRPr="003E0C66">
        <w:rPr>
          <w:rFonts w:ascii="Times New Roman" w:eastAsia="Times New Roman" w:hAnsi="Times New Roman" w:cs="Times New Roman"/>
        </w:rPr>
        <w:t>ETPCZ</w:t>
      </w:r>
      <w:r w:rsidR="00E05B22" w:rsidRPr="003E0C66">
        <w:rPr>
          <w:rFonts w:ascii="Times New Roman" w:eastAsia="Times New Roman" w:hAnsi="Times New Roman" w:cs="Times New Roman"/>
        </w:rPr>
        <w:t xml:space="preserve"> 2011) </w:t>
      </w:r>
      <w:r w:rsidR="00FE6219" w:rsidRPr="003E0C66">
        <w:rPr>
          <w:rFonts w:ascii="Times New Roman" w:eastAsia="Times New Roman" w:hAnsi="Times New Roman" w:cs="Times New Roman"/>
        </w:rPr>
        <w:t>Izba stwierdziła, ż</w:t>
      </w:r>
      <w:r w:rsidR="00A75043">
        <w:rPr>
          <w:rFonts w:ascii="Times New Roman" w:eastAsia="Times New Roman" w:hAnsi="Times New Roman" w:cs="Times New Roman"/>
        </w:rPr>
        <w:t>e</w:t>
      </w:r>
      <w:r w:rsidR="00FE6219" w:rsidRPr="003E0C66">
        <w:rPr>
          <w:rFonts w:ascii="Times New Roman" w:eastAsia="Times New Roman" w:hAnsi="Times New Roman" w:cs="Times New Roman"/>
        </w:rPr>
        <w:t xml:space="preserve"> istniał</w:t>
      </w:r>
      <w:r w:rsidR="00A75043">
        <w:rPr>
          <w:rFonts w:ascii="Times New Roman" w:eastAsia="Times New Roman" w:hAnsi="Times New Roman" w:cs="Times New Roman"/>
        </w:rPr>
        <w:t>a ważna przyczyna</w:t>
      </w:r>
      <w:r w:rsidR="00FE6219" w:rsidRPr="003E0C66">
        <w:rPr>
          <w:rFonts w:ascii="Times New Roman" w:eastAsia="Times New Roman" w:hAnsi="Times New Roman" w:cs="Times New Roman"/>
        </w:rPr>
        <w:t xml:space="preserve">  nieobecności świadków na rozprawie. Sąd Okręgowy podjął stosowne działania mające na celu umożliwienie przesłuchania świadków. Fakt, </w:t>
      </w:r>
      <w:r w:rsidR="00BF69A0">
        <w:rPr>
          <w:rFonts w:ascii="Times New Roman" w:eastAsia="Times New Roman" w:hAnsi="Times New Roman" w:cs="Times New Roman"/>
        </w:rPr>
        <w:t>że</w:t>
      </w:r>
      <w:r w:rsidR="00BF69A0" w:rsidRPr="003E0C66">
        <w:rPr>
          <w:rFonts w:ascii="Times New Roman" w:eastAsia="Times New Roman" w:hAnsi="Times New Roman" w:cs="Times New Roman"/>
        </w:rPr>
        <w:t xml:space="preserve"> </w:t>
      </w:r>
      <w:r w:rsidR="00FE6219" w:rsidRPr="003E0C66">
        <w:rPr>
          <w:rFonts w:ascii="Times New Roman" w:eastAsia="Times New Roman" w:hAnsi="Times New Roman" w:cs="Times New Roman"/>
        </w:rPr>
        <w:t xml:space="preserve">wszelkie próby okazały się bezskuteczne nie był winą sądu. Izba następnie </w:t>
      </w:r>
      <w:r w:rsidR="008170A8" w:rsidRPr="003E0C66">
        <w:rPr>
          <w:rFonts w:ascii="Times New Roman" w:eastAsia="Times New Roman" w:hAnsi="Times New Roman" w:cs="Times New Roman"/>
        </w:rPr>
        <w:t xml:space="preserve">uznała, </w:t>
      </w:r>
      <w:r w:rsidR="00BF69A0">
        <w:rPr>
          <w:rFonts w:ascii="Times New Roman" w:eastAsia="Times New Roman" w:hAnsi="Times New Roman" w:cs="Times New Roman"/>
        </w:rPr>
        <w:t xml:space="preserve">że </w:t>
      </w:r>
      <w:r w:rsidR="008170A8" w:rsidRPr="003E0C66">
        <w:rPr>
          <w:rFonts w:ascii="Times New Roman" w:eastAsia="Times New Roman" w:hAnsi="Times New Roman" w:cs="Times New Roman"/>
        </w:rPr>
        <w:t xml:space="preserve">chociaż </w:t>
      </w:r>
      <w:r w:rsidR="00A75043">
        <w:rPr>
          <w:rFonts w:ascii="Times New Roman" w:eastAsia="Times New Roman" w:hAnsi="Times New Roman" w:cs="Times New Roman"/>
        </w:rPr>
        <w:t>zeznania</w:t>
      </w:r>
      <w:r w:rsidR="00A75043" w:rsidRPr="003E0C66">
        <w:rPr>
          <w:rFonts w:ascii="Times New Roman" w:eastAsia="Times New Roman" w:hAnsi="Times New Roman" w:cs="Times New Roman"/>
        </w:rPr>
        <w:t xml:space="preserve"> </w:t>
      </w:r>
      <w:r w:rsidR="008170A8" w:rsidRPr="003E0C66">
        <w:rPr>
          <w:rFonts w:ascii="Times New Roman" w:eastAsia="Times New Roman" w:hAnsi="Times New Roman" w:cs="Times New Roman"/>
        </w:rPr>
        <w:t xml:space="preserve">świadków mogły nie stanowić jedynego i decydującego dowodu, na podstawie którego skazano skarżącego, to wyraźnie wywarły one znaczny wpływ na ustalenie jego winy.    </w:t>
      </w:r>
      <w:r w:rsidR="00FE6219" w:rsidRPr="003E0C66">
        <w:rPr>
          <w:rFonts w:ascii="Times New Roman" w:eastAsia="Times New Roman" w:hAnsi="Times New Roman" w:cs="Times New Roman"/>
        </w:rPr>
        <w:t xml:space="preserve">   </w:t>
      </w:r>
    </w:p>
    <w:p w:rsidR="00E05B22" w:rsidRPr="003E0C66" w:rsidRDefault="006B25B0" w:rsidP="00BC0CE7">
      <w:pPr>
        <w:pStyle w:val="ECHRPara"/>
        <w:rPr>
          <w:szCs w:val="24"/>
        </w:rPr>
      </w:pPr>
      <w:r w:rsidRPr="003E0C66">
        <w:rPr>
          <w:szCs w:val="24"/>
        </w:rPr>
        <w:fldChar w:fldCharType="begin"/>
      </w:r>
      <w:r w:rsidR="00E05B22" w:rsidRPr="003E0C66">
        <w:rPr>
          <w:szCs w:val="24"/>
        </w:rPr>
        <w:instrText xml:space="preserve"> SEQ level0 \*arabic </w:instrText>
      </w:r>
      <w:r w:rsidRPr="003E0C66">
        <w:rPr>
          <w:szCs w:val="24"/>
        </w:rPr>
        <w:fldChar w:fldCharType="separate"/>
      </w:r>
      <w:r w:rsidR="00CC1F60" w:rsidRPr="003E0C66">
        <w:rPr>
          <w:noProof/>
          <w:szCs w:val="24"/>
        </w:rPr>
        <w:t>71</w:t>
      </w:r>
      <w:r w:rsidRPr="003E0C66">
        <w:rPr>
          <w:szCs w:val="24"/>
        </w:rPr>
        <w:fldChar w:fldCharType="end"/>
      </w:r>
      <w:r w:rsidR="00E05B22" w:rsidRPr="003E0C66">
        <w:rPr>
          <w:szCs w:val="24"/>
        </w:rPr>
        <w:t>. </w:t>
      </w:r>
      <w:r w:rsidR="008170A8" w:rsidRPr="003E0C66">
        <w:rPr>
          <w:szCs w:val="24"/>
        </w:rPr>
        <w:t>Jednakże, zdaniem Izby</w:t>
      </w:r>
      <w:r w:rsidR="00BF69A0">
        <w:rPr>
          <w:szCs w:val="24"/>
        </w:rPr>
        <w:t>,</w:t>
      </w:r>
      <w:r w:rsidR="008170A8" w:rsidRPr="003E0C66">
        <w:rPr>
          <w:szCs w:val="24"/>
        </w:rPr>
        <w:t xml:space="preserve"> istniały</w:t>
      </w:r>
      <w:r w:rsidR="00352298" w:rsidRPr="003E0C66">
        <w:rPr>
          <w:szCs w:val="24"/>
        </w:rPr>
        <w:t xml:space="preserve"> wystarczające czynniki wyrównujące, które miały na celu zrekompensowanie trudności, z jakimi </w:t>
      </w:r>
      <w:r w:rsidR="00BF69A0">
        <w:rPr>
          <w:szCs w:val="24"/>
        </w:rPr>
        <w:t>m</w:t>
      </w:r>
      <w:r w:rsidR="00352298" w:rsidRPr="003E0C66">
        <w:rPr>
          <w:szCs w:val="24"/>
        </w:rPr>
        <w:t xml:space="preserve">usiała zmierzyć się obrona w wyniku </w:t>
      </w:r>
      <w:r w:rsidR="00BF69A0">
        <w:rPr>
          <w:szCs w:val="24"/>
        </w:rPr>
        <w:t>dopuszczenia</w:t>
      </w:r>
      <w:r w:rsidR="00BF69A0" w:rsidRPr="003E0C66">
        <w:rPr>
          <w:szCs w:val="24"/>
        </w:rPr>
        <w:t xml:space="preserve"> </w:t>
      </w:r>
      <w:r w:rsidR="00352298" w:rsidRPr="003E0C66">
        <w:rPr>
          <w:szCs w:val="24"/>
        </w:rPr>
        <w:t>zeznań świadków. Uznano, ż</w:t>
      </w:r>
      <w:r w:rsidR="00A75043">
        <w:rPr>
          <w:szCs w:val="24"/>
        </w:rPr>
        <w:t>e</w:t>
      </w:r>
      <w:r w:rsidR="00352298" w:rsidRPr="003E0C66">
        <w:rPr>
          <w:szCs w:val="24"/>
        </w:rPr>
        <w:t xml:space="preserve"> Sąd Okręgowy zastosował wszelkie gwarancje proceduralne </w:t>
      </w:r>
      <w:r w:rsidR="00352298" w:rsidRPr="003E0C66">
        <w:rPr>
          <w:szCs w:val="24"/>
        </w:rPr>
        <w:lastRenderedPageBreak/>
        <w:t xml:space="preserve">przewidziane przez prawo krajowe. Zgodnie z </w:t>
      </w:r>
      <w:r w:rsidR="00A75043">
        <w:rPr>
          <w:szCs w:val="24"/>
        </w:rPr>
        <w:t>a</w:t>
      </w:r>
      <w:r w:rsidR="00352298" w:rsidRPr="003E0C66">
        <w:rPr>
          <w:szCs w:val="24"/>
        </w:rPr>
        <w:t xml:space="preserve">rtykułem 168c Kodeksu </w:t>
      </w:r>
      <w:r w:rsidR="00A75043">
        <w:rPr>
          <w:szCs w:val="24"/>
        </w:rPr>
        <w:t>p</w:t>
      </w:r>
      <w:r w:rsidR="00352298" w:rsidRPr="003E0C66">
        <w:rPr>
          <w:szCs w:val="24"/>
        </w:rPr>
        <w:t xml:space="preserve">ostępowania </w:t>
      </w:r>
      <w:r w:rsidR="00A75043">
        <w:rPr>
          <w:szCs w:val="24"/>
        </w:rPr>
        <w:t>k</w:t>
      </w:r>
      <w:r w:rsidR="00352298" w:rsidRPr="003E0C66">
        <w:rPr>
          <w:szCs w:val="24"/>
        </w:rPr>
        <w:t>arnego (zobacz paragraf 56 powyżej)</w:t>
      </w:r>
      <w:r w:rsidR="00DD690D" w:rsidRPr="003E0C66">
        <w:rPr>
          <w:szCs w:val="24"/>
        </w:rPr>
        <w:t xml:space="preserve"> oskarżony i jego obrońca mieli, </w:t>
      </w:r>
      <w:r w:rsidR="00A75043">
        <w:rPr>
          <w:szCs w:val="24"/>
        </w:rPr>
        <w:t>co do zasady</w:t>
      </w:r>
      <w:r w:rsidR="00DD690D" w:rsidRPr="003E0C66">
        <w:rPr>
          <w:szCs w:val="24"/>
        </w:rPr>
        <w:t xml:space="preserve">, prawo  być obecnymi podczas przesłuchania świadków na etapie przedprocesowym. Jednakże uzasadnionym było </w:t>
      </w:r>
      <w:r w:rsidR="00A75043">
        <w:rPr>
          <w:szCs w:val="24"/>
        </w:rPr>
        <w:t>wyłączenie skarżącego</w:t>
      </w:r>
      <w:r w:rsidR="00DD690D" w:rsidRPr="003E0C66">
        <w:rPr>
          <w:szCs w:val="24"/>
        </w:rPr>
        <w:t xml:space="preserve">, który </w:t>
      </w:r>
      <w:r w:rsidR="00A75043">
        <w:rPr>
          <w:szCs w:val="24"/>
        </w:rPr>
        <w:t xml:space="preserve">w tym czasie </w:t>
      </w:r>
      <w:r w:rsidR="00DD690D" w:rsidRPr="003E0C66">
        <w:rPr>
          <w:szCs w:val="24"/>
        </w:rPr>
        <w:t>nie był jeszcze reprezentowany przez prawnika, z przesłuchani</w:t>
      </w:r>
      <w:r w:rsidR="004E63F3">
        <w:rPr>
          <w:szCs w:val="24"/>
        </w:rPr>
        <w:t>a</w:t>
      </w:r>
      <w:r w:rsidR="00DD690D" w:rsidRPr="003E0C66">
        <w:rPr>
          <w:szCs w:val="24"/>
        </w:rPr>
        <w:t xml:space="preserve"> świadków O. i P. przez sędziego </w:t>
      </w:r>
      <w:r w:rsidR="004E63F3">
        <w:rPr>
          <w:szCs w:val="24"/>
        </w:rPr>
        <w:t>śledczego</w:t>
      </w:r>
      <w:r w:rsidR="00DD690D" w:rsidRPr="003E0C66">
        <w:rPr>
          <w:szCs w:val="24"/>
        </w:rPr>
        <w:t xml:space="preserve"> zgodnie z </w:t>
      </w:r>
      <w:r w:rsidR="004E63F3">
        <w:rPr>
          <w:szCs w:val="24"/>
        </w:rPr>
        <w:t>a</w:t>
      </w:r>
      <w:r w:rsidR="00DD690D" w:rsidRPr="003E0C66">
        <w:rPr>
          <w:szCs w:val="24"/>
        </w:rPr>
        <w:t>rtykułem 168c § 3 K</w:t>
      </w:r>
      <w:r w:rsidR="004E63F3">
        <w:rPr>
          <w:szCs w:val="24"/>
        </w:rPr>
        <w:t>pk</w:t>
      </w:r>
      <w:r w:rsidR="00DD690D" w:rsidRPr="003E0C66">
        <w:rPr>
          <w:szCs w:val="24"/>
        </w:rPr>
        <w:t xml:space="preserve">. Sędzia </w:t>
      </w:r>
      <w:r w:rsidR="004E63F3">
        <w:rPr>
          <w:szCs w:val="24"/>
        </w:rPr>
        <w:t>śledczy</w:t>
      </w:r>
      <w:r w:rsidR="00DD690D" w:rsidRPr="003E0C66">
        <w:rPr>
          <w:szCs w:val="24"/>
        </w:rPr>
        <w:t xml:space="preserve"> ob</w:t>
      </w:r>
      <w:r w:rsidR="004E63F3">
        <w:rPr>
          <w:szCs w:val="24"/>
        </w:rPr>
        <w:t>a</w:t>
      </w:r>
      <w:r w:rsidR="00DD690D" w:rsidRPr="003E0C66">
        <w:rPr>
          <w:szCs w:val="24"/>
        </w:rPr>
        <w:t>wiał się, ż</w:t>
      </w:r>
      <w:r w:rsidR="004E63F3">
        <w:rPr>
          <w:szCs w:val="24"/>
        </w:rPr>
        <w:t>e</w:t>
      </w:r>
      <w:r w:rsidR="00DD690D" w:rsidRPr="003E0C66">
        <w:rPr>
          <w:szCs w:val="24"/>
        </w:rPr>
        <w:t xml:space="preserve"> </w:t>
      </w:r>
      <w:r w:rsidR="004E63F3">
        <w:rPr>
          <w:szCs w:val="24"/>
        </w:rPr>
        <w:t>podejrzani</w:t>
      </w:r>
      <w:r w:rsidR="004E63F3" w:rsidRPr="003E0C66">
        <w:rPr>
          <w:szCs w:val="24"/>
        </w:rPr>
        <w:t xml:space="preserve"> </w:t>
      </w:r>
      <w:r w:rsidR="004E63F3">
        <w:rPr>
          <w:szCs w:val="24"/>
        </w:rPr>
        <w:t>mogliby</w:t>
      </w:r>
      <w:r w:rsidR="004E63F3" w:rsidRPr="003E0C66">
        <w:rPr>
          <w:szCs w:val="24"/>
        </w:rPr>
        <w:t xml:space="preserve"> </w:t>
      </w:r>
      <w:r w:rsidR="00DD690D" w:rsidRPr="003E0C66">
        <w:rPr>
          <w:szCs w:val="24"/>
        </w:rPr>
        <w:t>wywierać nacisk na świadków</w:t>
      </w:r>
      <w:r w:rsidR="00BF62E8" w:rsidRPr="003E0C66">
        <w:rPr>
          <w:szCs w:val="24"/>
        </w:rPr>
        <w:t xml:space="preserve">, </w:t>
      </w:r>
      <w:r w:rsidR="004E63F3">
        <w:rPr>
          <w:szCs w:val="24"/>
        </w:rPr>
        <w:t xml:space="preserve">gdyby zostali oni i obrońca </w:t>
      </w:r>
      <w:r w:rsidR="00BF62E8" w:rsidRPr="003E0C66">
        <w:rPr>
          <w:szCs w:val="24"/>
        </w:rPr>
        <w:t>poinformowani o przesłuchaniu</w:t>
      </w:r>
      <w:r w:rsidR="004E63F3">
        <w:rPr>
          <w:szCs w:val="24"/>
        </w:rPr>
        <w:t>, zatem</w:t>
      </w:r>
      <w:r w:rsidR="00BF62E8" w:rsidRPr="003E0C66">
        <w:rPr>
          <w:szCs w:val="24"/>
        </w:rPr>
        <w:t xml:space="preserve"> zagrożenie dla </w:t>
      </w:r>
      <w:r w:rsidR="004E63F3">
        <w:rPr>
          <w:szCs w:val="24"/>
        </w:rPr>
        <w:t>toczącego się</w:t>
      </w:r>
      <w:r w:rsidR="004E63F3" w:rsidRPr="003E0C66">
        <w:rPr>
          <w:szCs w:val="24"/>
        </w:rPr>
        <w:t xml:space="preserve"> </w:t>
      </w:r>
      <w:r w:rsidR="00243156" w:rsidRPr="003E0C66">
        <w:rPr>
          <w:szCs w:val="24"/>
        </w:rPr>
        <w:t>d</w:t>
      </w:r>
      <w:r w:rsidR="008A0165" w:rsidRPr="003E0C66">
        <w:rPr>
          <w:szCs w:val="24"/>
        </w:rPr>
        <w:t xml:space="preserve">ochodzenia było uzasadnione. Izba przyjęła również do wiadomości oświadczenie Rządu, iż w czasie przesłuchania </w:t>
      </w:r>
      <w:r w:rsidR="005B1F19">
        <w:rPr>
          <w:szCs w:val="24"/>
        </w:rPr>
        <w:t>nie było do przewidzenia</w:t>
      </w:r>
      <w:r w:rsidR="008A0165" w:rsidRPr="003E0C66">
        <w:rPr>
          <w:szCs w:val="24"/>
        </w:rPr>
        <w:t>, że świadkowie, którzy już kilkakrotnie zeznawali, odmówią składania zeznań podczas rozprawy</w:t>
      </w:r>
    </w:p>
    <w:p w:rsidR="00E05B22" w:rsidRPr="003E0C66" w:rsidRDefault="006B25B0" w:rsidP="00BC0CE7">
      <w:pPr>
        <w:pStyle w:val="ECHRPara"/>
        <w:rPr>
          <w:szCs w:val="24"/>
        </w:rPr>
      </w:pPr>
      <w:r w:rsidRPr="003E0C66">
        <w:rPr>
          <w:szCs w:val="24"/>
        </w:rPr>
        <w:fldChar w:fldCharType="begin"/>
      </w:r>
      <w:r w:rsidR="00E05B22" w:rsidRPr="003E0C66">
        <w:rPr>
          <w:szCs w:val="24"/>
        </w:rPr>
        <w:instrText xml:space="preserve"> SEQ level0 \*arabic </w:instrText>
      </w:r>
      <w:r w:rsidRPr="003E0C66">
        <w:rPr>
          <w:szCs w:val="24"/>
        </w:rPr>
        <w:fldChar w:fldCharType="separate"/>
      </w:r>
      <w:r w:rsidR="00CC1F60" w:rsidRPr="003E0C66">
        <w:rPr>
          <w:noProof/>
          <w:szCs w:val="24"/>
        </w:rPr>
        <w:t>72</w:t>
      </w:r>
      <w:r w:rsidRPr="003E0C66">
        <w:rPr>
          <w:szCs w:val="24"/>
        </w:rPr>
        <w:fldChar w:fldCharType="end"/>
      </w:r>
      <w:r w:rsidR="00E05B22" w:rsidRPr="003E0C66">
        <w:rPr>
          <w:szCs w:val="24"/>
        </w:rPr>
        <w:t>. </w:t>
      </w:r>
      <w:r w:rsidR="00953A7D" w:rsidRPr="003E0C66">
        <w:rPr>
          <w:szCs w:val="24"/>
        </w:rPr>
        <w:t>Ponadto Izba zauważyła, ż</w:t>
      </w:r>
      <w:r w:rsidR="005B1F19">
        <w:rPr>
          <w:szCs w:val="24"/>
        </w:rPr>
        <w:t>e</w:t>
      </w:r>
      <w:r w:rsidR="00953A7D" w:rsidRPr="003E0C66">
        <w:rPr>
          <w:szCs w:val="24"/>
        </w:rPr>
        <w:t xml:space="preserve"> Sąd Okręgowy dokładnie przeanalizował zeznania O. i P. z uwagi na ich </w:t>
      </w:r>
      <w:r w:rsidR="005B1F19">
        <w:rPr>
          <w:szCs w:val="24"/>
        </w:rPr>
        <w:t xml:space="preserve">obniżoną </w:t>
      </w:r>
      <w:r w:rsidR="00953A7D" w:rsidRPr="003E0C66">
        <w:rPr>
          <w:szCs w:val="24"/>
        </w:rPr>
        <w:t xml:space="preserve">wartość dowodową. </w:t>
      </w:r>
      <w:r w:rsidR="002C6676" w:rsidRPr="003E0C66">
        <w:rPr>
          <w:szCs w:val="24"/>
        </w:rPr>
        <w:t>Wziął również pod uwagę</w:t>
      </w:r>
      <w:r w:rsidR="00806D07" w:rsidRPr="003E0C66">
        <w:rPr>
          <w:szCs w:val="24"/>
        </w:rPr>
        <w:t xml:space="preserve"> zeznania dwóch świadków, E. i L., </w:t>
      </w:r>
      <w:r w:rsidR="005B1F19">
        <w:rPr>
          <w:szCs w:val="24"/>
        </w:rPr>
        <w:t>którym pokrzywdzone zwierzyły się</w:t>
      </w:r>
      <w:r w:rsidR="00806D07" w:rsidRPr="003E0C66">
        <w:rPr>
          <w:szCs w:val="24"/>
        </w:rPr>
        <w:t xml:space="preserve"> </w:t>
      </w:r>
      <w:r w:rsidR="007F74FE" w:rsidRPr="003E0C66">
        <w:rPr>
          <w:szCs w:val="24"/>
        </w:rPr>
        <w:t xml:space="preserve">bezpośrednio po incydencie. Spójne zeznania świadków zostały poparte dowodami uzyskanymi z telefonów, poprzez system GPS oraz </w:t>
      </w:r>
      <w:r w:rsidR="00BF69A0">
        <w:rPr>
          <w:szCs w:val="24"/>
        </w:rPr>
        <w:t>od</w:t>
      </w:r>
      <w:r w:rsidR="007F74FE" w:rsidRPr="003E0C66">
        <w:rPr>
          <w:szCs w:val="24"/>
        </w:rPr>
        <w:t xml:space="preserve"> samego oskarżonego, który przyznał, iż w czasie zdarzenia przebywał w mieszkaniu </w:t>
      </w:r>
      <w:r w:rsidR="005B1F19">
        <w:rPr>
          <w:szCs w:val="24"/>
        </w:rPr>
        <w:t>pokrzywdzonych</w:t>
      </w:r>
      <w:r w:rsidR="007F74FE" w:rsidRPr="003E0C66">
        <w:rPr>
          <w:szCs w:val="24"/>
        </w:rPr>
        <w:t>. Ponadto podobieństwo sposobu popełnienia przestępstw w Kassel i</w:t>
      </w:r>
      <w:r w:rsidR="00E05B22" w:rsidRPr="003E0C66">
        <w:rPr>
          <w:szCs w:val="24"/>
        </w:rPr>
        <w:t xml:space="preserve"> Göttingen</w:t>
      </w:r>
      <w:r w:rsidR="007F74FE" w:rsidRPr="003E0C66">
        <w:rPr>
          <w:szCs w:val="24"/>
        </w:rPr>
        <w:t xml:space="preserve"> potwierdziło ustalenia sądu. Postępowanie</w:t>
      </w:r>
      <w:r w:rsidR="005B1F19">
        <w:rPr>
          <w:szCs w:val="24"/>
        </w:rPr>
        <w:t xml:space="preserve"> jako całość</w:t>
      </w:r>
      <w:r w:rsidR="007F74FE" w:rsidRPr="003E0C66">
        <w:rPr>
          <w:szCs w:val="24"/>
        </w:rPr>
        <w:t xml:space="preserve"> było zatem </w:t>
      </w:r>
      <w:r w:rsidR="00BF69A0">
        <w:rPr>
          <w:szCs w:val="24"/>
        </w:rPr>
        <w:t>rzetelne</w:t>
      </w:r>
      <w:r w:rsidR="007F74FE" w:rsidRPr="003E0C66">
        <w:rPr>
          <w:szCs w:val="24"/>
        </w:rPr>
        <w:t xml:space="preserve">. </w:t>
      </w:r>
      <w:r w:rsidR="00E05B22" w:rsidRPr="003E0C66">
        <w:rPr>
          <w:szCs w:val="24"/>
        </w:rPr>
        <w:t xml:space="preserve"> </w:t>
      </w:r>
    </w:p>
    <w:p w:rsidR="00E05B22" w:rsidRPr="003E0C66" w:rsidRDefault="00E05B22" w:rsidP="00BC0CE7">
      <w:pPr>
        <w:pStyle w:val="ECHRHeading2"/>
        <w:outlineLvl w:val="0"/>
      </w:pPr>
      <w:r w:rsidRPr="003E0C66">
        <w:t>B.  </w:t>
      </w:r>
      <w:r w:rsidR="004A4B97" w:rsidRPr="003E0C66">
        <w:t xml:space="preserve">Stanowiska stron </w:t>
      </w:r>
    </w:p>
    <w:p w:rsidR="00E05B22" w:rsidRPr="003E0C66" w:rsidRDefault="00E05B22" w:rsidP="00BC0CE7">
      <w:pPr>
        <w:pStyle w:val="ECHRHeading3"/>
        <w:outlineLvl w:val="0"/>
      </w:pPr>
      <w:r w:rsidRPr="003E0C66">
        <w:t>1. </w:t>
      </w:r>
      <w:r w:rsidR="004A4B97" w:rsidRPr="003E0C66">
        <w:t>Skarżący</w:t>
      </w:r>
      <w:r w:rsidRPr="003E0C66">
        <w:t>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73</w:t>
      </w:r>
      <w:r w:rsidRPr="003E0C66">
        <w:fldChar w:fldCharType="end"/>
      </w:r>
      <w:r w:rsidR="00E05B22" w:rsidRPr="003E0C66">
        <w:t>.</w:t>
      </w:r>
      <w:r w:rsidR="004A4B97" w:rsidRPr="003E0C66">
        <w:t xml:space="preserve"> </w:t>
      </w:r>
      <w:r w:rsidR="00E05B22" w:rsidRPr="003E0C66">
        <w:t> </w:t>
      </w:r>
      <w:r w:rsidR="004A4B97" w:rsidRPr="003E0C66">
        <w:t xml:space="preserve">Skarżący </w:t>
      </w:r>
      <w:r w:rsidR="00BF69A0">
        <w:t>s</w:t>
      </w:r>
      <w:r w:rsidR="004A4B97" w:rsidRPr="003E0C66">
        <w:t>twierdzi</w:t>
      </w:r>
      <w:r w:rsidR="00BF69A0">
        <w:t>ł</w:t>
      </w:r>
      <w:r w:rsidR="004A4B97" w:rsidRPr="003E0C66">
        <w:t xml:space="preserve">, </w:t>
      </w:r>
      <w:r w:rsidR="00BF69A0">
        <w:t>że</w:t>
      </w:r>
      <w:r w:rsidR="00BF69A0" w:rsidRPr="003E0C66">
        <w:t xml:space="preserve"> </w:t>
      </w:r>
      <w:r w:rsidR="004A4B97" w:rsidRPr="003E0C66">
        <w:t xml:space="preserve">zostało naruszone </w:t>
      </w:r>
      <w:r w:rsidR="005B1F19">
        <w:t>j</w:t>
      </w:r>
      <w:r w:rsidR="004A4B97" w:rsidRPr="003E0C66">
        <w:t xml:space="preserve">ego prawo do </w:t>
      </w:r>
      <w:r w:rsidR="00BF69A0">
        <w:t>rzetelnego</w:t>
      </w:r>
      <w:r w:rsidR="00BF69A0" w:rsidRPr="003E0C66">
        <w:t xml:space="preserve"> </w:t>
      </w:r>
      <w:r w:rsidR="004A4B97" w:rsidRPr="003E0C66">
        <w:t>procesu, w tym prawo do przesłuchania świadków zeznających przeciwko niemu</w:t>
      </w:r>
      <w:r w:rsidR="005B1F19">
        <w:t xml:space="preserve">, zgodnie z </w:t>
      </w:r>
      <w:r w:rsidR="004A4B97" w:rsidRPr="003E0C66">
        <w:t>Artykuł</w:t>
      </w:r>
      <w:r w:rsidR="005B1F19">
        <w:t>em</w:t>
      </w:r>
      <w:r w:rsidR="004A4B97" w:rsidRPr="003E0C66">
        <w:t xml:space="preserve"> 6 §§</w:t>
      </w:r>
      <w:r w:rsidR="00BF69A0">
        <w:t xml:space="preserve"> </w:t>
      </w:r>
      <w:r w:rsidR="004A4B97" w:rsidRPr="003E0C66">
        <w:t xml:space="preserve">1 i 3 (d) Konwencji. Skarżący podkreślił, iż ani on, ani jego obrońca na żadnym z etapów </w:t>
      </w:r>
      <w:r w:rsidR="005A6284" w:rsidRPr="003E0C66">
        <w:t>postępowania</w:t>
      </w:r>
      <w:r w:rsidR="004A4B97" w:rsidRPr="003E0C66">
        <w:t xml:space="preserve"> nie mieli możliwości przesłuchania kluczowych świadków O. i P.   </w:t>
      </w:r>
      <w:r w:rsidR="00E05B22" w:rsidRPr="003E0C66">
        <w:t> </w:t>
      </w:r>
    </w:p>
    <w:p w:rsidR="00E05B22" w:rsidRPr="003E0C66" w:rsidRDefault="00E05B22" w:rsidP="00BC0CE7">
      <w:pPr>
        <w:pStyle w:val="ECHRHeading4"/>
      </w:pPr>
      <w:r w:rsidRPr="003E0C66">
        <w:t>(a)  </w:t>
      </w:r>
      <w:r w:rsidR="004A4B97" w:rsidRPr="003E0C66">
        <w:t xml:space="preserve">Odpowiednie zasady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74</w:t>
      </w:r>
      <w:r w:rsidRPr="003E0C66">
        <w:fldChar w:fldCharType="end"/>
      </w:r>
      <w:r w:rsidR="00E05B22" w:rsidRPr="003E0C66">
        <w:t>.  </w:t>
      </w:r>
      <w:r w:rsidR="004A4B97" w:rsidRPr="003E0C66">
        <w:t>W swoim stanowisku przed Wielką Izbą skarżący zgodził się</w:t>
      </w:r>
      <w:r w:rsidR="005B1F19">
        <w:t xml:space="preserve">, że </w:t>
      </w:r>
      <w:r w:rsidR="004A4B97" w:rsidRPr="003E0C66">
        <w:t xml:space="preserve">zasady określone przez Trybunał w sprawie </w:t>
      </w:r>
      <w:r w:rsidR="004A4B97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4A4B97" w:rsidRPr="003E0C66">
        <w:t xml:space="preserve"> (wspomniana wyżej</w:t>
      </w:r>
      <w:r w:rsidR="00E05B22" w:rsidRPr="003E0C66">
        <w:t>)</w:t>
      </w:r>
      <w:r w:rsidR="005B1F19">
        <w:t xml:space="preserve"> mają zastosowanie do niniejszej sprawy</w:t>
      </w:r>
      <w:r w:rsidR="00B33457" w:rsidRPr="003E0C66">
        <w:t xml:space="preserve">. Podkreślił on, </w:t>
      </w:r>
      <w:r w:rsidR="00BF69A0">
        <w:t>że</w:t>
      </w:r>
      <w:r w:rsidR="00BF69A0" w:rsidRPr="003E0C66">
        <w:t xml:space="preserve"> </w:t>
      </w:r>
      <w:r w:rsidR="00B33457" w:rsidRPr="003E0C66">
        <w:t xml:space="preserve">zgodnie z tym </w:t>
      </w:r>
      <w:r w:rsidR="006E1AF8">
        <w:t>orzeczeniem</w:t>
      </w:r>
      <w:r w:rsidR="00B33457" w:rsidRPr="003E0C66">
        <w:t xml:space="preserve">, zaniechanie udzielenia obronie możliwości przesłuchania świadka </w:t>
      </w:r>
      <w:r w:rsidR="005B1F19">
        <w:t>oskarżenia</w:t>
      </w:r>
      <w:r w:rsidR="005B1F19" w:rsidRPr="003E0C66">
        <w:t xml:space="preserve"> </w:t>
      </w:r>
      <w:r w:rsidR="005B1F19">
        <w:t>skutkowałoby naruszeniem</w:t>
      </w:r>
      <w:r w:rsidR="00B33457" w:rsidRPr="003E0C66">
        <w:t xml:space="preserve"> Artykułu 6 §</w:t>
      </w:r>
      <w:r w:rsidR="009739D0">
        <w:t xml:space="preserve"> </w:t>
      </w:r>
      <w:r w:rsidR="00B33457" w:rsidRPr="003E0C66">
        <w:t xml:space="preserve">3 (d) Konwencji z zastrzeżeniem okoliczności wyjątkowych. </w:t>
      </w:r>
      <w:r w:rsidR="00E05B22" w:rsidRPr="003E0C66">
        <w:t xml:space="preserve"> </w:t>
      </w:r>
    </w:p>
    <w:p w:rsidR="00E05B22" w:rsidRPr="003E0C66" w:rsidRDefault="00E05B22" w:rsidP="00BC0CE7">
      <w:pPr>
        <w:pStyle w:val="ECHRHeading4"/>
      </w:pPr>
      <w:r w:rsidRPr="003E0C66">
        <w:t>(b) </w:t>
      </w:r>
      <w:r w:rsidR="00B33457" w:rsidRPr="003E0C66">
        <w:t xml:space="preserve">Czy zaistniał </w:t>
      </w:r>
      <w:r w:rsidR="009739D0">
        <w:t>ważny</w:t>
      </w:r>
      <w:r w:rsidR="009739D0" w:rsidRPr="003E0C66">
        <w:t xml:space="preserve"> </w:t>
      </w:r>
      <w:r w:rsidR="00B33457" w:rsidRPr="003E0C66">
        <w:t xml:space="preserve">powód nieobecności świadków O. i P. </w:t>
      </w:r>
      <w:r w:rsidR="006E1AF8">
        <w:t>na</w:t>
      </w:r>
      <w:r w:rsidR="006E1AF8" w:rsidRPr="003E0C66">
        <w:t xml:space="preserve"> </w:t>
      </w:r>
      <w:r w:rsidR="00B33457" w:rsidRPr="003E0C66">
        <w:t>rozpraw</w:t>
      </w:r>
      <w:r w:rsidR="006E1AF8">
        <w:t>ie</w:t>
      </w:r>
      <w:r w:rsidR="00B33457" w:rsidRPr="003E0C66">
        <w:t xml:space="preserve">  </w:t>
      </w:r>
      <w:r w:rsidRPr="003E0C66">
        <w:t> </w:t>
      </w:r>
    </w:p>
    <w:p w:rsidR="00E05B22" w:rsidRPr="003E0C66" w:rsidRDefault="006B25B0" w:rsidP="00BC0CE7">
      <w:pPr>
        <w:pStyle w:val="ECHRPara"/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75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B33457" w:rsidRPr="003E0C66">
        <w:rPr>
          <w:rFonts w:ascii="Times New Roman" w:hAnsi="Times New Roman"/>
        </w:rPr>
        <w:t xml:space="preserve">Zdaniem skarżącego nie było </w:t>
      </w:r>
      <w:r w:rsidR="009739D0">
        <w:rPr>
          <w:rFonts w:ascii="Times New Roman" w:hAnsi="Times New Roman"/>
        </w:rPr>
        <w:t>poważnego</w:t>
      </w:r>
      <w:r w:rsidR="009739D0" w:rsidRPr="003E0C66">
        <w:rPr>
          <w:rFonts w:ascii="Times New Roman" w:hAnsi="Times New Roman"/>
        </w:rPr>
        <w:t xml:space="preserve"> </w:t>
      </w:r>
      <w:r w:rsidR="00B33457" w:rsidRPr="003E0C66">
        <w:rPr>
          <w:rFonts w:ascii="Times New Roman" w:hAnsi="Times New Roman"/>
        </w:rPr>
        <w:t xml:space="preserve">powodu usprawiedliwiającego nieobecność świadków O. i P. podczas rozprawy. </w:t>
      </w:r>
      <w:r w:rsidR="00B33457" w:rsidRPr="003E0C66">
        <w:rPr>
          <w:rFonts w:ascii="Times New Roman" w:hAnsi="Times New Roman"/>
        </w:rPr>
        <w:lastRenderedPageBreak/>
        <w:t>Dolegliwości psychologiczne</w:t>
      </w:r>
      <w:r w:rsidR="009739D0">
        <w:rPr>
          <w:rFonts w:ascii="Times New Roman" w:hAnsi="Times New Roman"/>
        </w:rPr>
        <w:t>,</w:t>
      </w:r>
      <w:r w:rsidR="00B33457" w:rsidRPr="003E0C66">
        <w:rPr>
          <w:rFonts w:ascii="Times New Roman" w:hAnsi="Times New Roman"/>
        </w:rPr>
        <w:t xml:space="preserve"> rzekomo spowodowane przestępstwem w </w:t>
      </w:r>
      <w:r w:rsidR="00B33457" w:rsidRPr="003E0C66">
        <w:t xml:space="preserve">Göttingen, nie </w:t>
      </w:r>
      <w:r w:rsidR="009739D0">
        <w:t>stanęły na przeszkodzie</w:t>
      </w:r>
      <w:r w:rsidR="009739D0" w:rsidRPr="003E0C66">
        <w:t xml:space="preserve"> </w:t>
      </w:r>
      <w:r w:rsidR="009739D0">
        <w:t>złożeniu</w:t>
      </w:r>
      <w:r w:rsidR="009739D0" w:rsidRPr="003E0C66">
        <w:t xml:space="preserve"> zeznań </w:t>
      </w:r>
      <w:r w:rsidR="009739D0">
        <w:t xml:space="preserve">przez </w:t>
      </w:r>
      <w:r w:rsidR="00B33457" w:rsidRPr="003E0C66">
        <w:t>świadk</w:t>
      </w:r>
      <w:r w:rsidR="009739D0">
        <w:t>ów</w:t>
      </w:r>
      <w:r w:rsidR="00B33457" w:rsidRPr="003E0C66">
        <w:t xml:space="preserve"> na policji czy </w:t>
      </w:r>
      <w:r w:rsidR="009739D0">
        <w:t>przed sędzią śledczym</w:t>
      </w:r>
      <w:r w:rsidR="00B33457" w:rsidRPr="003E0C66">
        <w:t xml:space="preserve"> na etapie dochodzenia. Ponadto sam Sąd Okręgowy w </w:t>
      </w:r>
      <w:r w:rsidR="00E05B22" w:rsidRPr="003E0C66">
        <w:t>Göttingen</w:t>
      </w:r>
      <w:r w:rsidR="00B33457" w:rsidRPr="003E0C66">
        <w:t xml:space="preserve"> uznał, iż nie było wystarczających powodów</w:t>
      </w:r>
      <w:r w:rsidR="009739D0">
        <w:t xml:space="preserve"> niestawienia się świadków</w:t>
      </w:r>
      <w:r w:rsidR="00B33457" w:rsidRPr="003E0C66">
        <w:t xml:space="preserve"> </w:t>
      </w:r>
      <w:r w:rsidR="009739D0">
        <w:t>na</w:t>
      </w:r>
      <w:r w:rsidR="00B33457" w:rsidRPr="003E0C66">
        <w:t xml:space="preserve"> rozprawie</w:t>
      </w:r>
      <w:r w:rsidR="004D1489" w:rsidRPr="003E0C66">
        <w:t xml:space="preserve">. </w:t>
      </w:r>
      <w:r w:rsidR="009739D0">
        <w:t>Powinny były zostać podjęte przez władze krajowe d</w:t>
      </w:r>
      <w:r w:rsidR="004D1489" w:rsidRPr="003E0C66">
        <w:t xml:space="preserve">alsze próby w celu </w:t>
      </w:r>
      <w:r w:rsidR="009739D0">
        <w:t>zapewnienia przesłuchania</w:t>
      </w:r>
      <w:r w:rsidR="009739D0" w:rsidRPr="003E0C66">
        <w:t xml:space="preserve"> </w:t>
      </w:r>
      <w:r w:rsidR="009739D0">
        <w:t xml:space="preserve">tych </w:t>
      </w:r>
      <w:r w:rsidR="004D1489" w:rsidRPr="003E0C66">
        <w:t xml:space="preserve">świadków podczas rozprawy, w szczególności w drodze </w:t>
      </w:r>
      <w:r w:rsidR="009739D0">
        <w:t>dwustronnych</w:t>
      </w:r>
      <w:r w:rsidR="009739D0" w:rsidRPr="003E0C66">
        <w:t xml:space="preserve"> </w:t>
      </w:r>
      <w:r w:rsidR="004D1489" w:rsidRPr="003E0C66">
        <w:t>negocjacji z Łotwą na szczeblu politycznym</w:t>
      </w:r>
      <w:r w:rsidR="00E05B22" w:rsidRPr="003E0C66">
        <w:t>.</w:t>
      </w:r>
    </w:p>
    <w:p w:rsidR="00E05B22" w:rsidRPr="003E0C66" w:rsidRDefault="00E05B22" w:rsidP="00BC0CE7">
      <w:pPr>
        <w:pStyle w:val="ECHRHeading4"/>
      </w:pPr>
      <w:r w:rsidRPr="003E0C66">
        <w:t>(c)  </w:t>
      </w:r>
      <w:r w:rsidR="004B29B8" w:rsidRPr="003E0C66">
        <w:t xml:space="preserve"> Czy dowód </w:t>
      </w:r>
      <w:r w:rsidR="006214BA">
        <w:t xml:space="preserve">pochodzący od </w:t>
      </w:r>
      <w:r w:rsidR="004B29B8" w:rsidRPr="003E0C66">
        <w:t xml:space="preserve">nieobecnych świadków był jedyną lub decydującą podstawą skazania skarżącego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76</w:t>
      </w:r>
      <w:r w:rsidRPr="003E0C66">
        <w:fldChar w:fldCharType="end"/>
      </w:r>
      <w:r w:rsidR="00E05B22" w:rsidRPr="003E0C66">
        <w:t>. </w:t>
      </w:r>
      <w:r w:rsidR="004B29B8" w:rsidRPr="003E0C66">
        <w:t xml:space="preserve">Zdaniem skarżącego jego </w:t>
      </w:r>
      <w:r w:rsidR="006214BA">
        <w:t>skazanie zostało ostatecznie oparte</w:t>
      </w:r>
      <w:r w:rsidR="004B29B8" w:rsidRPr="003E0C66">
        <w:t xml:space="preserve"> </w:t>
      </w:r>
      <w:r w:rsidR="006214BA">
        <w:t xml:space="preserve">w decydującym stopniu </w:t>
      </w:r>
      <w:r w:rsidR="004B29B8" w:rsidRPr="003E0C66">
        <w:t xml:space="preserve">na dowodach </w:t>
      </w:r>
      <w:r w:rsidR="00C4735E" w:rsidRPr="003E0C66">
        <w:t xml:space="preserve">przedstawionych przez O. i P., które były jedynymi naocznymi świadkami wydarzeń w </w:t>
      </w:r>
      <w:r w:rsidR="00E05B22" w:rsidRPr="003E0C66">
        <w:t>Göttingen.</w:t>
      </w:r>
      <w:r w:rsidR="00C4735E" w:rsidRPr="003E0C66">
        <w:t xml:space="preserve"> Mógłby </w:t>
      </w:r>
      <w:r w:rsidR="006214BA">
        <w:t xml:space="preserve">nie </w:t>
      </w:r>
      <w:r w:rsidR="00C4735E" w:rsidRPr="003E0C66">
        <w:t xml:space="preserve">zostać </w:t>
      </w:r>
      <w:r w:rsidR="006214BA">
        <w:t>uznanym za winnego</w:t>
      </w:r>
      <w:r w:rsidR="006214BA" w:rsidRPr="003E0C66">
        <w:t xml:space="preserve"> </w:t>
      </w:r>
      <w:r w:rsidR="00C4735E" w:rsidRPr="003E0C66">
        <w:t xml:space="preserve">na podstawie innych dostępnych dowodów, </w:t>
      </w:r>
      <w:r w:rsidR="006214BA">
        <w:t>gdyby</w:t>
      </w:r>
      <w:r w:rsidR="006214BA" w:rsidRPr="003E0C66">
        <w:t xml:space="preserve"> </w:t>
      </w:r>
      <w:r w:rsidR="00C4735E" w:rsidRPr="003E0C66">
        <w:t xml:space="preserve">zeznania O. i P. nie zostały wzięte pod uwagę.  </w:t>
      </w:r>
      <w:r w:rsidR="00E05B22" w:rsidRPr="003E0C66">
        <w:t xml:space="preserve"> </w:t>
      </w:r>
    </w:p>
    <w:p w:rsidR="00E05B22" w:rsidRPr="003E0C66" w:rsidRDefault="00E05B22" w:rsidP="00BC0CE7">
      <w:pPr>
        <w:pStyle w:val="ECHRHeading4"/>
      </w:pPr>
      <w:r w:rsidRPr="003E0C66">
        <w:t>(d)  </w:t>
      </w:r>
      <w:r w:rsidR="00C4735E" w:rsidRPr="003E0C66">
        <w:t xml:space="preserve">Czy wystąpiły </w:t>
      </w:r>
      <w:r w:rsidR="006B2502" w:rsidRPr="003E0C66">
        <w:t>dostateczne wyrównujące</w:t>
      </w:r>
      <w:r w:rsidR="00C4735E" w:rsidRPr="003E0C66">
        <w:t xml:space="preserve"> czynniki mające zrekompensować utrudnienia</w:t>
      </w:r>
      <w:r w:rsidR="006214BA">
        <w:t>,</w:t>
      </w:r>
      <w:r w:rsidR="00C4735E" w:rsidRPr="003E0C66">
        <w:t xml:space="preserve"> </w:t>
      </w:r>
      <w:r w:rsidR="008A0165" w:rsidRPr="003E0C66">
        <w:t xml:space="preserve">z którymi musiała zmierzyć się obrona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77</w:t>
      </w:r>
      <w:r w:rsidRPr="003E0C66">
        <w:fldChar w:fldCharType="end"/>
      </w:r>
      <w:r w:rsidR="00E05B22" w:rsidRPr="003E0C66">
        <w:t>.  </w:t>
      </w:r>
      <w:r w:rsidR="00C4735E" w:rsidRPr="003E0C66">
        <w:t xml:space="preserve">Skarżący uznał, </w:t>
      </w:r>
      <w:r w:rsidR="006E1AF8">
        <w:t>że</w:t>
      </w:r>
      <w:r w:rsidR="006E1AF8" w:rsidRPr="003E0C66">
        <w:t xml:space="preserve"> </w:t>
      </w:r>
      <w:r w:rsidR="00C4735E" w:rsidRPr="003E0C66">
        <w:t xml:space="preserve">nie wystąpiły żadne </w:t>
      </w:r>
      <w:r w:rsidR="006B2502" w:rsidRPr="003E0C66">
        <w:t>wyrównujące</w:t>
      </w:r>
      <w:r w:rsidR="00C4735E" w:rsidRPr="003E0C66">
        <w:t xml:space="preserve"> czynniki, które miałyby zrekompensować </w:t>
      </w:r>
      <w:r w:rsidR="00CB0315">
        <w:t>u</w:t>
      </w:r>
      <w:r w:rsidR="00C4735E" w:rsidRPr="003E0C66">
        <w:t>trudn</w:t>
      </w:r>
      <w:r w:rsidR="00CB0315">
        <w:t>ienia</w:t>
      </w:r>
      <w:r w:rsidR="00C4735E" w:rsidRPr="003E0C66">
        <w:t xml:space="preserve"> dla obrony spowodowane nieobecnością świadków podczas rozprawy. 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78</w:t>
      </w:r>
      <w:r w:rsidRPr="003E0C66">
        <w:fldChar w:fldCharType="end"/>
      </w:r>
      <w:r w:rsidR="00E05B22" w:rsidRPr="003E0C66">
        <w:t>.  </w:t>
      </w:r>
      <w:r w:rsidR="00C4735E" w:rsidRPr="003E0C66">
        <w:t xml:space="preserve">Skarżący stwierdził, </w:t>
      </w:r>
      <w:r w:rsidR="006E1AF8">
        <w:t>że</w:t>
      </w:r>
      <w:r w:rsidR="006E1AF8" w:rsidRPr="003E0C66">
        <w:t xml:space="preserve"> </w:t>
      </w:r>
      <w:r w:rsidR="00C4735E" w:rsidRPr="003E0C66">
        <w:t xml:space="preserve">Sąd Okręgowy nie ocenił zeznań O. i P. ze szczególną </w:t>
      </w:r>
      <w:r w:rsidR="00CB0315">
        <w:t>ostrożnością</w:t>
      </w:r>
      <w:r w:rsidR="0018226E" w:rsidRPr="003E0C66">
        <w:t xml:space="preserve">. Nie wziął pod uwagę faktu, </w:t>
      </w:r>
      <w:r w:rsidR="00CB0315">
        <w:t xml:space="preserve">że </w:t>
      </w:r>
      <w:r w:rsidR="0018226E" w:rsidRPr="003E0C66">
        <w:t xml:space="preserve">niepojawienie się </w:t>
      </w:r>
      <w:r w:rsidR="00CB0315" w:rsidRPr="003E0C66">
        <w:t xml:space="preserve">świadków </w:t>
      </w:r>
      <w:r w:rsidR="0018226E" w:rsidRPr="003E0C66">
        <w:t>na rozprawie bez odpowiedniego uzasadnienia miało wpływ n</w:t>
      </w:r>
      <w:r w:rsidR="006B2502" w:rsidRPr="003E0C66">
        <w:t>a ich wiarygodność. Ponadto, mimo</w:t>
      </w:r>
      <w:r w:rsidR="0018226E" w:rsidRPr="003E0C66">
        <w:t xml:space="preserve"> ż</w:t>
      </w:r>
      <w:r w:rsidR="00CB0315">
        <w:t>e</w:t>
      </w:r>
      <w:r w:rsidR="0018226E" w:rsidRPr="003E0C66">
        <w:t xml:space="preserve"> istniały dodatkowe dowody</w:t>
      </w:r>
      <w:r w:rsidR="001F2C6C">
        <w:t xml:space="preserve"> „ze słyszenia”</w:t>
      </w:r>
      <w:r w:rsidR="0018226E" w:rsidRPr="003E0C66">
        <w:t xml:space="preserve"> oraz że </w:t>
      </w:r>
      <w:r w:rsidR="006B2502" w:rsidRPr="003E0C66">
        <w:t xml:space="preserve">skarżący miał możliwość zadania pytań sędziemu śledczemu, nie stanowiło to wystarczającego czynnika wyrównującego, </w:t>
      </w:r>
      <w:r w:rsidR="001F2C6C">
        <w:t>zapewniającego</w:t>
      </w:r>
      <w:r w:rsidR="006B2502" w:rsidRPr="003E0C66">
        <w:t xml:space="preserve"> równość stron podczas </w:t>
      </w:r>
      <w:r w:rsidR="001E38C4" w:rsidRPr="003E0C66">
        <w:t>postępowania</w:t>
      </w:r>
      <w:r w:rsidR="006B2502" w:rsidRPr="003E0C66">
        <w:t>. Fakt, ż</w:t>
      </w:r>
      <w:r w:rsidR="001F2C6C">
        <w:t>e</w:t>
      </w:r>
      <w:r w:rsidR="006B2502" w:rsidRPr="003E0C66">
        <w:t xml:space="preserve"> zgodnie z niemieckim prawem </w:t>
      </w:r>
      <w:r w:rsidR="001F2C6C">
        <w:t>dotyczący</w:t>
      </w:r>
      <w:r w:rsidR="006E1AF8">
        <w:t>m</w:t>
      </w:r>
      <w:r w:rsidR="001F2C6C">
        <w:t xml:space="preserve"> procedury karnej</w:t>
      </w:r>
      <w:r w:rsidR="006B2502" w:rsidRPr="003E0C66">
        <w:t xml:space="preserve">, prokurator był zobowiązany do </w:t>
      </w:r>
      <w:r w:rsidR="001F2C6C">
        <w:t>przeprowadzenia</w:t>
      </w:r>
      <w:r w:rsidR="001F2C6C" w:rsidRPr="003E0C66">
        <w:t xml:space="preserve"> dowodów </w:t>
      </w:r>
      <w:r w:rsidR="006B2502" w:rsidRPr="003E0C66">
        <w:t xml:space="preserve">zarówno obciążających jak i </w:t>
      </w:r>
      <w:r w:rsidR="001F2C6C">
        <w:t>oczyszczających</w:t>
      </w:r>
      <w:r w:rsidR="001F2C6C" w:rsidRPr="003E0C66">
        <w:t xml:space="preserve"> </w:t>
      </w:r>
      <w:r w:rsidR="006B2502" w:rsidRPr="003E0C66">
        <w:t>(zobacz paragraf 55 powyżej)</w:t>
      </w:r>
      <w:r w:rsidR="001F2C6C">
        <w:t>,</w:t>
      </w:r>
      <w:r w:rsidR="006B2502" w:rsidRPr="003E0C66">
        <w:t xml:space="preserve"> nie zrekompensował braku możliwości przesłuchania </w:t>
      </w:r>
      <w:r w:rsidR="001F2C6C">
        <w:t xml:space="preserve">przez </w:t>
      </w:r>
      <w:r w:rsidR="006E1AF8">
        <w:t>skarżącego</w:t>
      </w:r>
      <w:r w:rsidR="006E1AF8" w:rsidRPr="003E0C66">
        <w:t xml:space="preserve"> </w:t>
      </w:r>
      <w:r w:rsidR="006B2502" w:rsidRPr="003E0C66">
        <w:t>świadków</w:t>
      </w:r>
      <w:r w:rsidR="001F2C6C">
        <w:t xml:space="preserve"> oskarżenia</w:t>
      </w:r>
      <w:r w:rsidR="006B2502" w:rsidRPr="003E0C66">
        <w:t xml:space="preserve">, ponieważ organy ścigania w </w:t>
      </w:r>
      <w:r w:rsidR="001F2C6C">
        <w:t>j</w:t>
      </w:r>
      <w:r w:rsidR="006B2502" w:rsidRPr="003E0C66">
        <w:t xml:space="preserve">ego przypadku nie </w:t>
      </w:r>
      <w:r w:rsidR="001F2C6C">
        <w:t>przeprowadziły</w:t>
      </w:r>
      <w:r w:rsidR="001F2C6C" w:rsidRPr="003E0C66">
        <w:t xml:space="preserve"> </w:t>
      </w:r>
      <w:r w:rsidR="006B2502" w:rsidRPr="003E0C66">
        <w:t xml:space="preserve">dowodów </w:t>
      </w:r>
      <w:r w:rsidR="001F2C6C">
        <w:t>„na korzyść”</w:t>
      </w:r>
      <w:r w:rsidR="006B2502" w:rsidRPr="003E0C66">
        <w:t xml:space="preserve">.   </w:t>
      </w:r>
      <w:r w:rsidR="0018226E" w:rsidRPr="003E0C66">
        <w:t xml:space="preserve">   </w:t>
      </w:r>
      <w:r w:rsidR="00C4735E" w:rsidRPr="003E0C66">
        <w:t xml:space="preserve">  </w:t>
      </w:r>
    </w:p>
    <w:p w:rsidR="00E05B22" w:rsidRPr="003E0C66" w:rsidRDefault="006B25B0" w:rsidP="00BC0CE7">
      <w:pPr>
        <w:pStyle w:val="ECHRPara"/>
        <w:rPr>
          <w:i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79</w:t>
      </w:r>
      <w:r w:rsidRPr="003E0C66">
        <w:fldChar w:fldCharType="end"/>
      </w:r>
      <w:r w:rsidR="00E05B22" w:rsidRPr="003E0C66">
        <w:t>. </w:t>
      </w:r>
      <w:r w:rsidR="00C4697B" w:rsidRPr="003E0C66">
        <w:t xml:space="preserve">Skarżący podkreślił w szczególności, </w:t>
      </w:r>
      <w:r w:rsidR="006E1AF8">
        <w:t>że</w:t>
      </w:r>
      <w:r w:rsidR="006E1AF8" w:rsidRPr="003E0C66">
        <w:t xml:space="preserve"> </w:t>
      </w:r>
      <w:r w:rsidR="00C4697B" w:rsidRPr="003E0C66">
        <w:t>został pozbawiony gwar</w:t>
      </w:r>
      <w:r w:rsidR="00C306E9" w:rsidRPr="003E0C66">
        <w:t>ancji proceduralnych przewidzianych</w:t>
      </w:r>
      <w:r w:rsidR="00C4697B" w:rsidRPr="003E0C66">
        <w:t xml:space="preserve"> </w:t>
      </w:r>
      <w:r w:rsidR="00C306E9" w:rsidRPr="003E0C66">
        <w:t xml:space="preserve">prawem krajowym, mających na celu </w:t>
      </w:r>
      <w:r w:rsidR="001F2C6C">
        <w:t>ochronę</w:t>
      </w:r>
      <w:r w:rsidR="001F2C6C" w:rsidRPr="003E0C66">
        <w:t xml:space="preserve"> </w:t>
      </w:r>
      <w:r w:rsidR="00C306E9" w:rsidRPr="003E0C66">
        <w:t xml:space="preserve">jego prawa do obrony, </w:t>
      </w:r>
      <w:r w:rsidR="001F2C6C">
        <w:t xml:space="preserve">jako że </w:t>
      </w:r>
      <w:r w:rsidR="00C306E9" w:rsidRPr="003E0C66">
        <w:t xml:space="preserve">jego obrońca nie mógł być obecny na przesłuchaniu świadków O. i P. przez sędziego </w:t>
      </w:r>
      <w:r w:rsidR="001F2C6C">
        <w:t>śledczego</w:t>
      </w:r>
      <w:r w:rsidR="00C306E9" w:rsidRPr="003E0C66">
        <w:t xml:space="preserve">. </w:t>
      </w:r>
      <w:r w:rsidR="001F2C6C">
        <w:t>W myśl</w:t>
      </w:r>
      <w:r w:rsidR="00C306E9" w:rsidRPr="003E0C66">
        <w:t xml:space="preserve"> obowiązujący</w:t>
      </w:r>
      <w:r w:rsidR="001F2C6C">
        <w:t>ch</w:t>
      </w:r>
      <w:r w:rsidR="00C306E9" w:rsidRPr="003E0C66">
        <w:t xml:space="preserve"> przepis</w:t>
      </w:r>
      <w:r w:rsidR="001F2C6C">
        <w:t>ów</w:t>
      </w:r>
      <w:r w:rsidR="00C306E9" w:rsidRPr="003E0C66">
        <w:t xml:space="preserve"> Kodeksu </w:t>
      </w:r>
      <w:r w:rsidR="001F2C6C">
        <w:t>p</w:t>
      </w:r>
      <w:r w:rsidR="00C306E9" w:rsidRPr="003E0C66">
        <w:t>ostęp</w:t>
      </w:r>
      <w:r w:rsidR="00C7274B" w:rsidRPr="003E0C66">
        <w:t xml:space="preserve">owania </w:t>
      </w:r>
      <w:r w:rsidR="001F2C6C">
        <w:t>k</w:t>
      </w:r>
      <w:r w:rsidR="00C7274B" w:rsidRPr="003E0C66">
        <w:t>arnego (</w:t>
      </w:r>
      <w:r w:rsidR="001F2C6C">
        <w:t>a</w:t>
      </w:r>
      <w:r w:rsidR="00C7274B" w:rsidRPr="003E0C66">
        <w:t>rtykuł 141 §</w:t>
      </w:r>
      <w:r w:rsidR="001F2C6C">
        <w:t xml:space="preserve"> </w:t>
      </w:r>
      <w:r w:rsidR="00C7274B" w:rsidRPr="003E0C66">
        <w:t xml:space="preserve">3 </w:t>
      </w:r>
      <w:r w:rsidR="001F2C6C">
        <w:t>w związku z</w:t>
      </w:r>
      <w:r w:rsidR="001F2C6C" w:rsidRPr="003E0C66">
        <w:t xml:space="preserve"> </w:t>
      </w:r>
      <w:r w:rsidR="001F2C6C">
        <w:t>a</w:t>
      </w:r>
      <w:r w:rsidR="00C7274B" w:rsidRPr="003E0C66">
        <w:t>rtykuł</w:t>
      </w:r>
      <w:r w:rsidR="001F2C6C">
        <w:t>em</w:t>
      </w:r>
      <w:r w:rsidR="00C7274B" w:rsidRPr="003E0C66">
        <w:t xml:space="preserve"> 140, zobacz paragraf 57 powyżej), zgodnie z wykładnią Federalnego Trybunału Sprawiedliwości (skarżący odwołał się do wyroku </w:t>
      </w:r>
      <w:r w:rsidR="001F2C6C">
        <w:t xml:space="preserve">tego </w:t>
      </w:r>
      <w:r w:rsidR="00C7274B" w:rsidRPr="003E0C66">
        <w:t xml:space="preserve">Trybunału z </w:t>
      </w:r>
      <w:r w:rsidR="001F2C6C">
        <w:t xml:space="preserve">dnia </w:t>
      </w:r>
      <w:r w:rsidR="00C7274B" w:rsidRPr="003E0C66">
        <w:t>25 czerwca 2000 roku, zobacz paragrafy 58-59 i 62 powyżej)</w:t>
      </w:r>
      <w:r w:rsidR="003E444B">
        <w:t>,</w:t>
      </w:r>
      <w:r w:rsidR="00C7274B" w:rsidRPr="003E0C66">
        <w:t xml:space="preserve"> prokuratura miała obowiązek</w:t>
      </w:r>
      <w:r w:rsidR="00D60CFA" w:rsidRPr="003E0C66">
        <w:t xml:space="preserve"> ustanowić </w:t>
      </w:r>
      <w:r w:rsidR="003E444B">
        <w:t>obrońcę</w:t>
      </w:r>
      <w:r w:rsidR="00D60CFA" w:rsidRPr="003E0C66">
        <w:t xml:space="preserve">, </w:t>
      </w:r>
      <w:r w:rsidR="00D60CFA" w:rsidRPr="003E0C66">
        <w:lastRenderedPageBreak/>
        <w:t xml:space="preserve">który reprezentowałby skarżącego podczas </w:t>
      </w:r>
      <w:r w:rsidR="001E38C4" w:rsidRPr="003E0C66">
        <w:t>postępowania</w:t>
      </w:r>
      <w:r w:rsidR="00D60CFA" w:rsidRPr="003E0C66">
        <w:t xml:space="preserve"> </w:t>
      </w:r>
      <w:r w:rsidR="003E444B">
        <w:t>przygotowawczego</w:t>
      </w:r>
      <w:r w:rsidR="00D60CFA" w:rsidRPr="003E0C66">
        <w:t xml:space="preserve">. Powinno to nastąpić przed przesłuchaniem </w:t>
      </w:r>
      <w:r w:rsidR="003E444B" w:rsidRPr="003E0C66">
        <w:t xml:space="preserve">przez sędziego </w:t>
      </w:r>
      <w:r w:rsidR="003E444B">
        <w:t>śledczego</w:t>
      </w:r>
      <w:r w:rsidR="003E444B" w:rsidRPr="003E0C66">
        <w:t xml:space="preserve"> świadków </w:t>
      </w:r>
      <w:r w:rsidR="00D60CFA" w:rsidRPr="003E0C66">
        <w:t>kluczowych</w:t>
      </w:r>
      <w:r w:rsidR="003E444B">
        <w:t xml:space="preserve"> dla oskarżenia</w:t>
      </w:r>
      <w:r w:rsidR="00D60CFA" w:rsidRPr="003E0C66">
        <w:t xml:space="preserve">, z którego skarżący został wykluczony na mocy </w:t>
      </w:r>
      <w:r w:rsidR="003E444B">
        <w:t>a</w:t>
      </w:r>
      <w:r w:rsidR="00D60CFA" w:rsidRPr="003E0C66">
        <w:t>rtykułu 168c §</w:t>
      </w:r>
      <w:r w:rsidR="003E444B">
        <w:t xml:space="preserve"> </w:t>
      </w:r>
      <w:r w:rsidR="00D60CFA" w:rsidRPr="003E0C66">
        <w:t xml:space="preserve">3 Kodeksu </w:t>
      </w:r>
      <w:r w:rsidR="003E444B">
        <w:t>p</w:t>
      </w:r>
      <w:r w:rsidR="001E38C4" w:rsidRPr="003E0C66">
        <w:t>ostępowania</w:t>
      </w:r>
      <w:r w:rsidR="00D60CFA" w:rsidRPr="003E0C66">
        <w:t xml:space="preserve"> </w:t>
      </w:r>
      <w:r w:rsidR="003E444B">
        <w:t>k</w:t>
      </w:r>
      <w:r w:rsidR="00D60CFA" w:rsidRPr="003E0C66">
        <w:t xml:space="preserve">arnego. W takich okolicznościach obrońca miał prawo być obecny na przesłuchaniu świadków na podstawie </w:t>
      </w:r>
      <w:r w:rsidR="003E444B">
        <w:t>a</w:t>
      </w:r>
      <w:r w:rsidR="00D60CFA" w:rsidRPr="003E0C66">
        <w:t>rtykułu 168c §</w:t>
      </w:r>
      <w:r w:rsidR="003E444B">
        <w:t xml:space="preserve"> </w:t>
      </w:r>
      <w:r w:rsidR="00D60CFA" w:rsidRPr="003E0C66">
        <w:t xml:space="preserve">2 Kodeksu </w:t>
      </w:r>
      <w:r w:rsidR="003E444B">
        <w:t>p</w:t>
      </w:r>
      <w:r w:rsidR="001E38C4" w:rsidRPr="003E0C66">
        <w:t>ostępowania</w:t>
      </w:r>
      <w:r w:rsidR="00D60CFA" w:rsidRPr="003E0C66">
        <w:t xml:space="preserve"> </w:t>
      </w:r>
      <w:r w:rsidR="003E444B">
        <w:t>k</w:t>
      </w:r>
      <w:r w:rsidR="00D60CFA" w:rsidRPr="003E0C66">
        <w:t xml:space="preserve">arnego (z </w:t>
      </w:r>
      <w:r w:rsidR="003E444B">
        <w:t>wyłączeniem</w:t>
      </w:r>
      <w:r w:rsidR="003E444B" w:rsidRPr="003E0C66">
        <w:t xml:space="preserve"> </w:t>
      </w:r>
      <w:r w:rsidR="003E444B">
        <w:t>przypadków</w:t>
      </w:r>
      <w:r w:rsidR="003E444B" w:rsidRPr="003E0C66">
        <w:t xml:space="preserve"> </w:t>
      </w:r>
      <w:r w:rsidR="00D60CFA" w:rsidRPr="003E0C66">
        <w:t xml:space="preserve">wymienionych w </w:t>
      </w:r>
      <w:r w:rsidR="003E444B">
        <w:t>a</w:t>
      </w:r>
      <w:r w:rsidR="00D60CFA" w:rsidRPr="003E0C66">
        <w:t xml:space="preserve">rtykule 168c § 5 Kodeksu </w:t>
      </w:r>
      <w:r w:rsidR="003E444B">
        <w:t>p</w:t>
      </w:r>
      <w:r w:rsidR="001E38C4" w:rsidRPr="003E0C66">
        <w:t>ostępowania</w:t>
      </w:r>
      <w:r w:rsidR="00D60CFA" w:rsidRPr="003E0C66">
        <w:t xml:space="preserve"> </w:t>
      </w:r>
      <w:r w:rsidR="003E444B">
        <w:t>k</w:t>
      </w:r>
      <w:r w:rsidR="00D60CFA" w:rsidRPr="003E0C66">
        <w:t xml:space="preserve">arnego, które w </w:t>
      </w:r>
      <w:r w:rsidR="003E444B">
        <w:t>spraw</w:t>
      </w:r>
      <w:r w:rsidR="006E1AF8">
        <w:t>ie</w:t>
      </w:r>
      <w:r w:rsidR="003E444B">
        <w:t xml:space="preserve"> </w:t>
      </w:r>
      <w:r w:rsidR="00D60CFA" w:rsidRPr="003E0C66">
        <w:t xml:space="preserve">skarżącego nie wystąpiły). </w:t>
      </w:r>
      <w:r w:rsidR="006E1AF8">
        <w:t>A</w:t>
      </w:r>
      <w:r w:rsidR="006E1AF8" w:rsidRPr="003E0C66">
        <w:t xml:space="preserve">by poprzeć swoje stanowisko </w:t>
      </w:r>
      <w:r w:rsidR="006E1AF8">
        <w:t>skarżący odwołał</w:t>
      </w:r>
      <w:r w:rsidR="006E1AF8" w:rsidRPr="003E0C66">
        <w:t xml:space="preserve"> </w:t>
      </w:r>
      <w:r w:rsidR="00D60CFA" w:rsidRPr="003E0C66">
        <w:t xml:space="preserve">się do ustaleń </w:t>
      </w:r>
      <w:r w:rsidR="006E1AF8">
        <w:t>dokonanych w</w:t>
      </w:r>
      <w:r w:rsidR="006E1AF8" w:rsidRPr="003E0C66">
        <w:t xml:space="preserve"> </w:t>
      </w:r>
      <w:r w:rsidR="00D60CFA" w:rsidRPr="003E0C66">
        <w:t xml:space="preserve">wyroku </w:t>
      </w:r>
      <w:r w:rsidR="00EF55B2" w:rsidRPr="003E0C66">
        <w:t>Trybunału w sprawie</w:t>
      </w:r>
      <w:r w:rsidR="00E05B22" w:rsidRPr="003E0C66">
        <w:t xml:space="preserve"> </w:t>
      </w:r>
      <w:proofErr w:type="spellStart"/>
      <w:r w:rsidR="00E05B22" w:rsidRPr="003E0C66">
        <w:rPr>
          <w:i/>
        </w:rPr>
        <w:t>Hümmer</w:t>
      </w:r>
      <w:proofErr w:type="spellEnd"/>
      <w:r w:rsidR="00A63FCC" w:rsidRPr="003E0C66">
        <w:rPr>
          <w:i/>
        </w:rPr>
        <w:t> </w:t>
      </w:r>
      <w:r w:rsidR="00EF55B2" w:rsidRPr="003E0C66">
        <w:rPr>
          <w:i/>
        </w:rPr>
        <w:t>przeciw</w:t>
      </w:r>
      <w:r w:rsidR="003E444B">
        <w:rPr>
          <w:i/>
        </w:rPr>
        <w:t>ko</w:t>
      </w:r>
      <w:r w:rsidR="00EF55B2" w:rsidRPr="003E0C66">
        <w:rPr>
          <w:i/>
        </w:rPr>
        <w:t xml:space="preserve"> Niemcom</w:t>
      </w:r>
      <w:r w:rsidR="00EF55B2" w:rsidRPr="003E0C66">
        <w:t xml:space="preserve"> (nr</w:t>
      </w:r>
      <w:r w:rsidR="00E05B22" w:rsidRPr="003E0C66">
        <w:t xml:space="preserve"> 26171/07</w:t>
      </w:r>
      <w:r w:rsidR="00E05B22" w:rsidRPr="003E0C66">
        <w:rPr>
          <w:snapToGrid w:val="0"/>
        </w:rPr>
        <w:t xml:space="preserve">, §§ </w:t>
      </w:r>
      <w:r w:rsidR="00EF55B2" w:rsidRPr="003E0C66">
        <w:t xml:space="preserve">42 </w:t>
      </w:r>
      <w:r w:rsidR="003E444B">
        <w:t>i</w:t>
      </w:r>
      <w:r w:rsidR="00EF55B2" w:rsidRPr="003E0C66">
        <w:t xml:space="preserve"> nast.</w:t>
      </w:r>
      <w:r w:rsidR="00EF55B2" w:rsidRPr="003E0C66">
        <w:rPr>
          <w:snapToGrid w:val="0"/>
        </w:rPr>
        <w:t>, 19 lipca</w:t>
      </w:r>
      <w:r w:rsidR="00E05B22" w:rsidRPr="003E0C66">
        <w:rPr>
          <w:snapToGrid w:val="0"/>
        </w:rPr>
        <w:t xml:space="preserve"> 2012</w:t>
      </w:r>
      <w:r w:rsidR="003E444B">
        <w:rPr>
          <w:snapToGrid w:val="0"/>
        </w:rPr>
        <w:t xml:space="preserve"> roku</w:t>
      </w:r>
      <w:r w:rsidR="00E05B22" w:rsidRPr="003E0C66">
        <w:t>).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80</w:t>
      </w:r>
      <w:r w:rsidRPr="003E0C66">
        <w:fldChar w:fldCharType="end"/>
      </w:r>
      <w:r w:rsidR="00E05B22" w:rsidRPr="003E0C66">
        <w:t>. </w:t>
      </w:r>
      <w:r w:rsidR="00EF55B2" w:rsidRPr="003E0C66">
        <w:t xml:space="preserve">Skarżący podkreślił, iż w praktyce świadkowie zostali przesłuchani jedynie przez sędziego </w:t>
      </w:r>
      <w:r w:rsidR="003E444B">
        <w:t>śledczego</w:t>
      </w:r>
      <w:r w:rsidR="00EF55B2" w:rsidRPr="003E0C66">
        <w:t xml:space="preserve"> podczas postępowania </w:t>
      </w:r>
      <w:r w:rsidR="003E444B">
        <w:t>przygotowawczego</w:t>
      </w:r>
      <w:r w:rsidR="00EF55B2" w:rsidRPr="003E0C66">
        <w:t xml:space="preserve">, </w:t>
      </w:r>
      <w:r w:rsidR="003E444B">
        <w:t>dodatkowo do</w:t>
      </w:r>
      <w:r w:rsidR="00EF5D8B" w:rsidRPr="003E0C66">
        <w:t xml:space="preserve"> </w:t>
      </w:r>
      <w:r w:rsidR="003E444B" w:rsidRPr="003E0C66">
        <w:t>zezna</w:t>
      </w:r>
      <w:r w:rsidR="003E444B">
        <w:t>ń</w:t>
      </w:r>
      <w:r w:rsidR="003E444B" w:rsidRPr="003E0C66">
        <w:t xml:space="preserve"> </w:t>
      </w:r>
      <w:r w:rsidR="00EF5D8B" w:rsidRPr="003E0C66">
        <w:t>złożony</w:t>
      </w:r>
      <w:r w:rsidR="003E444B">
        <w:t>ch</w:t>
      </w:r>
      <w:r w:rsidR="00EF5D8B" w:rsidRPr="003E0C66">
        <w:t xml:space="preserve"> na policji, ze względu na </w:t>
      </w:r>
      <w:r w:rsidR="003E444B">
        <w:t>niebezpieczeństwo utraty</w:t>
      </w:r>
      <w:r w:rsidR="00EF5D8B" w:rsidRPr="003E0C66">
        <w:t xml:space="preserve"> dowodów. Protokoły z przesłuchań </w:t>
      </w:r>
      <w:r w:rsidR="003E444B">
        <w:t>prze</w:t>
      </w:r>
      <w:r w:rsidR="00EF5D8B" w:rsidRPr="003E0C66">
        <w:t>prowadzonych przez sędziego</w:t>
      </w:r>
      <w:r w:rsidR="003E444B">
        <w:t xml:space="preserve"> śledczego</w:t>
      </w:r>
      <w:r w:rsidR="00EF5D8B" w:rsidRPr="003E0C66">
        <w:t xml:space="preserve"> mogły zostać odczytane i użyte jako dowód na rozprawie ze względu na mniej restrykcyjne przepisy niż te umożliwiające odczytanie protokołów policyjnych (</w:t>
      </w:r>
      <w:r w:rsidR="003E444B">
        <w:t>a</w:t>
      </w:r>
      <w:r w:rsidR="00EF5D8B" w:rsidRPr="003E0C66">
        <w:t xml:space="preserve">rtykuł 251 </w:t>
      </w:r>
      <w:r w:rsidR="003E444B" w:rsidRPr="003E0C66">
        <w:rPr>
          <w:snapToGrid w:val="0"/>
        </w:rPr>
        <w:t>§§</w:t>
      </w:r>
      <w:r w:rsidR="00EF5D8B" w:rsidRPr="003E0C66">
        <w:t xml:space="preserve">1 </w:t>
      </w:r>
      <w:r w:rsidR="003E444B">
        <w:t>i</w:t>
      </w:r>
      <w:r w:rsidR="00EF5D8B" w:rsidRPr="003E0C66">
        <w:t xml:space="preserve"> 2 Kodeksu </w:t>
      </w:r>
      <w:r w:rsidR="003E444B">
        <w:t>p</w:t>
      </w:r>
      <w:r w:rsidR="00EF5D8B" w:rsidRPr="003E0C66">
        <w:t xml:space="preserve">ostępowania </w:t>
      </w:r>
      <w:r w:rsidR="003E444B">
        <w:t>k</w:t>
      </w:r>
      <w:r w:rsidR="00EF5D8B" w:rsidRPr="003E0C66">
        <w:t xml:space="preserve">arnego, zobacz paragraf 61 powyżej). Obecność oskarżonego i </w:t>
      </w:r>
      <w:r w:rsidR="003E444B">
        <w:t>j</w:t>
      </w:r>
      <w:r w:rsidR="00EF5D8B" w:rsidRPr="003E0C66">
        <w:t xml:space="preserve">ego obrońcy </w:t>
      </w:r>
      <w:r w:rsidR="003E444B">
        <w:t>podczas</w:t>
      </w:r>
      <w:r w:rsidR="003E444B" w:rsidRPr="003E0C66">
        <w:t xml:space="preserve"> </w:t>
      </w:r>
      <w:r w:rsidR="00EF5D8B" w:rsidRPr="003E0C66">
        <w:t>przesłucha</w:t>
      </w:r>
      <w:r w:rsidR="003E444B">
        <w:t>ń</w:t>
      </w:r>
      <w:r w:rsidR="00EF5D8B" w:rsidRPr="003E0C66">
        <w:t xml:space="preserve"> prowadzonych przez sędziego</w:t>
      </w:r>
      <w:r w:rsidR="003E444B">
        <w:t xml:space="preserve"> śledczego</w:t>
      </w:r>
      <w:r w:rsidR="00EF5D8B" w:rsidRPr="003E0C66">
        <w:t>, zgodnie z Artykułem 168</w:t>
      </w:r>
      <w:r w:rsidR="00114852">
        <w:t xml:space="preserve"> </w:t>
      </w:r>
      <w:r w:rsidR="00EF5D8B" w:rsidRPr="003E0C66">
        <w:t xml:space="preserve">c § 2 Kodeksu </w:t>
      </w:r>
      <w:r w:rsidR="003E444B">
        <w:t>p</w:t>
      </w:r>
      <w:r w:rsidR="00EF5D8B" w:rsidRPr="003E0C66">
        <w:t xml:space="preserve">ostępowania </w:t>
      </w:r>
      <w:r w:rsidR="003E444B">
        <w:t>k</w:t>
      </w:r>
      <w:r w:rsidR="00EF5D8B" w:rsidRPr="003E0C66">
        <w:t xml:space="preserve">arnego, miała </w:t>
      </w:r>
      <w:r w:rsidR="003E444B">
        <w:t xml:space="preserve">zatem </w:t>
      </w:r>
      <w:r w:rsidR="00EF5D8B" w:rsidRPr="003E0C66">
        <w:t xml:space="preserve">zasadnicze znaczenie dla zagwarantowania skarżącemu </w:t>
      </w:r>
      <w:r w:rsidR="003E444B">
        <w:t>j</w:t>
      </w:r>
      <w:r w:rsidR="00EF5D8B" w:rsidRPr="003E0C66">
        <w:t>ego prawa wynikającego z Artykułu 6 §</w:t>
      </w:r>
      <w:r w:rsidR="00566478">
        <w:t xml:space="preserve"> </w:t>
      </w:r>
      <w:r w:rsidR="00EF5D8B" w:rsidRPr="003E0C66">
        <w:t xml:space="preserve">3 (d) Konwencji.   </w:t>
      </w:r>
      <w:r w:rsidR="00EF55B2" w:rsidRPr="003E0C66">
        <w:t xml:space="preserve"> </w:t>
      </w:r>
      <w:r w:rsidR="00E05B22" w:rsidRPr="003E0C66">
        <w:t>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81</w:t>
      </w:r>
      <w:r w:rsidRPr="003E0C66">
        <w:fldChar w:fldCharType="end"/>
      </w:r>
      <w:r w:rsidR="00E05B22" w:rsidRPr="003E0C66">
        <w:t>.</w:t>
      </w:r>
      <w:r w:rsidR="0010154A" w:rsidRPr="003E0C66">
        <w:t xml:space="preserve"> Zdaniem skarżącego nie było uzasadnionym pozbawienie go tego prawa tylko dlatego, że sędzia </w:t>
      </w:r>
      <w:r w:rsidR="00106966">
        <w:t>śledczy</w:t>
      </w:r>
      <w:r w:rsidR="0010154A" w:rsidRPr="003E0C66">
        <w:t xml:space="preserve"> </w:t>
      </w:r>
      <w:r w:rsidR="00106966">
        <w:t>odniósł mylne wrażenie</w:t>
      </w:r>
      <w:r w:rsidR="0010154A" w:rsidRPr="003E0C66">
        <w:t>, ż</w:t>
      </w:r>
      <w:r w:rsidR="00106966">
        <w:t>e</w:t>
      </w:r>
      <w:r w:rsidR="0010154A" w:rsidRPr="003E0C66">
        <w:t xml:space="preserve"> świadkowie bali się zeznawać w obecności skarżącego</w:t>
      </w:r>
      <w:r w:rsidR="00106966">
        <w:t>,</w:t>
      </w:r>
      <w:r w:rsidR="0010154A" w:rsidRPr="003E0C66">
        <w:t xml:space="preserve"> a nawet jego obrońcy, </w:t>
      </w:r>
      <w:r w:rsidR="00106966">
        <w:t>bez dania przez skarżącego</w:t>
      </w:r>
      <w:r w:rsidR="0010154A" w:rsidRPr="003E0C66">
        <w:t xml:space="preserve"> powodów do takich obaw. W każdym razie, nie </w:t>
      </w:r>
      <w:r w:rsidR="00106966">
        <w:t>uzasadniało</w:t>
      </w:r>
      <w:r w:rsidR="00106966" w:rsidRPr="003E0C66">
        <w:t xml:space="preserve"> </w:t>
      </w:r>
      <w:r w:rsidR="0010154A" w:rsidRPr="003E0C66">
        <w:t>to wykluczenia skarżącego i jego obrońcy z przesłuchania, ponieważ istniało wiele sposobów</w:t>
      </w:r>
      <w:r w:rsidR="00106966" w:rsidRPr="003E0C66">
        <w:t xml:space="preserve"> </w:t>
      </w:r>
      <w:r w:rsidR="00106966">
        <w:t>rozwiania takich obaw</w:t>
      </w:r>
      <w:r w:rsidR="0010154A" w:rsidRPr="003E0C66">
        <w:t xml:space="preserve">. Ponieważ świadkowie O. i P. miały wyjechać z Niemiec krótko po przesłuchaniu przez sędziego, możliwym było wyznaczenie obrońcy dla skarżącego </w:t>
      </w:r>
      <w:r w:rsidR="00106966">
        <w:t xml:space="preserve">tuż </w:t>
      </w:r>
      <w:r w:rsidR="0010154A" w:rsidRPr="003E0C66">
        <w:t xml:space="preserve">przed przesłuchaniem oraz </w:t>
      </w:r>
      <w:r w:rsidR="00106966">
        <w:t>zatrzymanie</w:t>
      </w:r>
      <w:r w:rsidR="00106966" w:rsidRPr="003E0C66">
        <w:t xml:space="preserve"> </w:t>
      </w:r>
      <w:r w:rsidR="00BB5F74">
        <w:t>skarżącego</w:t>
      </w:r>
      <w:r w:rsidR="00106966" w:rsidRPr="003E0C66">
        <w:t xml:space="preserve"> </w:t>
      </w:r>
      <w:r w:rsidR="0010154A" w:rsidRPr="003E0C66">
        <w:t>bezpośrednio przed tym przesłuchaniem, co umożliwiłoby skarżącem</w:t>
      </w:r>
      <w:r w:rsidR="00CA6508" w:rsidRPr="003E0C66">
        <w:t xml:space="preserve">u lub przynajmniej jego obrońcy </w:t>
      </w:r>
      <w:r w:rsidR="0010154A" w:rsidRPr="003E0C66">
        <w:t>przesłuchanie</w:t>
      </w:r>
      <w:r w:rsidR="00CA6508" w:rsidRPr="003E0C66">
        <w:t xml:space="preserve"> świadków osobiście bez późniejszych obaw o jakiekolwiek zastraszanie.  </w:t>
      </w:r>
      <w:r w:rsidR="0010154A" w:rsidRPr="003E0C66">
        <w:t xml:space="preserve">  </w:t>
      </w:r>
      <w:r w:rsidR="00E05B22" w:rsidRPr="003E0C66">
        <w:t> 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82</w:t>
      </w:r>
      <w:r w:rsidRPr="003E0C66">
        <w:fldChar w:fldCharType="end"/>
      </w:r>
      <w:r w:rsidR="00E05B22" w:rsidRPr="003E0C66">
        <w:t>. </w:t>
      </w:r>
      <w:r w:rsidR="00CA6508" w:rsidRPr="003E0C66">
        <w:t xml:space="preserve">Zdaniem skarżącego prawdopodobieństwo, że świadkowie O. i P., które prawdopodobnie zostałyby ukarane, na podstawie prawa handlowego czy podatkowego, ze względu na pracę jako prostytutki, nie </w:t>
      </w:r>
      <w:r w:rsidR="00106966">
        <w:t>będą</w:t>
      </w:r>
      <w:r w:rsidR="00CA6508" w:rsidRPr="003E0C66">
        <w:t xml:space="preserve"> już</w:t>
      </w:r>
      <w:r w:rsidR="00611872" w:rsidRPr="003E0C66">
        <w:t xml:space="preserve"> </w:t>
      </w:r>
      <w:r w:rsidR="00106966">
        <w:t>dłużej dostępne w Niemczech w celu złożenia zeznań w post</w:t>
      </w:r>
      <w:r w:rsidR="006E1AF8">
        <w:t>ę</w:t>
      </w:r>
      <w:r w:rsidR="00106966">
        <w:t>powaniu przeciwko niemu</w:t>
      </w:r>
      <w:r w:rsidR="006E1AF8">
        <w:t>,</w:t>
      </w:r>
      <w:r w:rsidR="00106966">
        <w:t xml:space="preserve"> </w:t>
      </w:r>
      <w:r w:rsidR="00611872" w:rsidRPr="003E0C66">
        <w:t xml:space="preserve">było do przewidzenia przez organy ścigania. Niemniej jednak podkreślił on, iż nie miał </w:t>
      </w:r>
      <w:r w:rsidR="00DC3059">
        <w:t>podstaw</w:t>
      </w:r>
      <w:r w:rsidR="00DC3059" w:rsidRPr="003E0C66">
        <w:t xml:space="preserve"> </w:t>
      </w:r>
      <w:r w:rsidR="00DC3059">
        <w:t>by wnosić</w:t>
      </w:r>
      <w:r w:rsidR="00DC3059" w:rsidRPr="003E0C66">
        <w:t xml:space="preserve"> </w:t>
      </w:r>
      <w:r w:rsidR="00611872" w:rsidRPr="003E0C66">
        <w:t xml:space="preserve">o powtórzenie przesłuchania przez sędziego </w:t>
      </w:r>
      <w:r w:rsidR="00DC3059">
        <w:t>śledczego</w:t>
      </w:r>
      <w:r w:rsidR="00611872" w:rsidRPr="003E0C66">
        <w:t xml:space="preserve"> w jego obecności </w:t>
      </w:r>
      <w:r w:rsidR="00DC3059">
        <w:t xml:space="preserve">po jego zatrzymaniu </w:t>
      </w:r>
      <w:r w:rsidR="00611872" w:rsidRPr="003E0C66">
        <w:t xml:space="preserve">ponieważ </w:t>
      </w:r>
      <w:r w:rsidR="00611872" w:rsidRPr="003E0C66">
        <w:lastRenderedPageBreak/>
        <w:t xml:space="preserve">zakładał, że będzie mógł przesłuchać świadków podczas rozprawy; </w:t>
      </w:r>
      <w:r w:rsidR="00DC3059">
        <w:t>w każdym razie ś</w:t>
      </w:r>
      <w:r w:rsidR="00611872" w:rsidRPr="003E0C66">
        <w:t xml:space="preserve">wiadkowie </w:t>
      </w:r>
      <w:r w:rsidR="006E1AF8">
        <w:t>opuściły</w:t>
      </w:r>
      <w:r w:rsidR="006E1AF8" w:rsidRPr="003E0C66">
        <w:t xml:space="preserve"> </w:t>
      </w:r>
      <w:r w:rsidR="00611872" w:rsidRPr="003E0C66">
        <w:t xml:space="preserve">już Niemcy, kiedy on został </w:t>
      </w:r>
      <w:r w:rsidR="00DC3059">
        <w:t>zatrzymany</w:t>
      </w:r>
      <w:r w:rsidR="00611872" w:rsidRPr="003E0C66">
        <w:t xml:space="preserve">.  </w:t>
      </w:r>
    </w:p>
    <w:p w:rsidR="00E05B22" w:rsidRPr="003E0C66" w:rsidRDefault="00E05B22" w:rsidP="00BC0CE7">
      <w:pPr>
        <w:pStyle w:val="ECHRHeading3"/>
        <w:outlineLvl w:val="0"/>
      </w:pPr>
      <w:r w:rsidRPr="003E0C66">
        <w:t>2.  </w:t>
      </w:r>
      <w:r w:rsidR="00FD54DD" w:rsidRPr="003E0C66">
        <w:t xml:space="preserve">Pozwany Rząd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83</w:t>
      </w:r>
      <w:r w:rsidRPr="003E0C66">
        <w:fldChar w:fldCharType="end"/>
      </w:r>
      <w:r w:rsidR="00E05B22" w:rsidRPr="003E0C66">
        <w:t>.  </w:t>
      </w:r>
      <w:r w:rsidR="00FD54DD" w:rsidRPr="003E0C66">
        <w:t xml:space="preserve">Zdaniem Rządu </w:t>
      </w:r>
      <w:r w:rsidR="001E38C4" w:rsidRPr="003E0C66">
        <w:t>postępowanie</w:t>
      </w:r>
      <w:r w:rsidR="00FD54DD" w:rsidRPr="003E0C66">
        <w:t xml:space="preserve"> karne przeciwko skarżącemu było zgodne z Artykułem 6 §</w:t>
      </w:r>
      <w:r w:rsidR="001A4353">
        <w:t xml:space="preserve"> </w:t>
      </w:r>
      <w:r w:rsidR="00FD54DD" w:rsidRPr="003E0C66">
        <w:t xml:space="preserve">1 i 3 (d) Konwencji </w:t>
      </w:r>
      <w:r w:rsidR="001A4353">
        <w:t>mimo tego</w:t>
      </w:r>
      <w:r w:rsidR="00FD54DD" w:rsidRPr="003E0C66">
        <w:t>, ż</w:t>
      </w:r>
      <w:r w:rsidR="001A4353">
        <w:t>e</w:t>
      </w:r>
      <w:r w:rsidR="00FD54DD" w:rsidRPr="003E0C66">
        <w:t xml:space="preserve"> skarżący nie miał możliwości przesłuchania świadków O. i P. na żadnym z etapów postępowania.  </w:t>
      </w:r>
    </w:p>
    <w:p w:rsidR="00E05B22" w:rsidRPr="003E0C66" w:rsidRDefault="00E05B22" w:rsidP="00BC0CE7">
      <w:pPr>
        <w:pStyle w:val="ECHRHeading4"/>
      </w:pPr>
      <w:r w:rsidRPr="003E0C66">
        <w:t>(a)  </w:t>
      </w:r>
      <w:r w:rsidR="00FD54DD" w:rsidRPr="003E0C66">
        <w:t xml:space="preserve">Odpowiednie zasady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84</w:t>
      </w:r>
      <w:r w:rsidRPr="003E0C66">
        <w:fldChar w:fldCharType="end"/>
      </w:r>
      <w:r w:rsidR="00E05B22" w:rsidRPr="003E0C66">
        <w:t>.  </w:t>
      </w:r>
      <w:r w:rsidR="00FD54DD" w:rsidRPr="003E0C66">
        <w:t xml:space="preserve">Zdaniem Rządu nie było powodu, aby zaostrzyć lub zmienić zasady ustalone przez Trybunał w jego wyroku </w:t>
      </w:r>
      <w:r w:rsidR="00FD54DD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FD54DD" w:rsidRPr="003E0C66">
        <w:t xml:space="preserve"> (</w:t>
      </w:r>
      <w:r w:rsidR="00577DFE">
        <w:t>cytowany</w:t>
      </w:r>
      <w:r w:rsidR="00577DFE" w:rsidRPr="003E0C66">
        <w:t xml:space="preserve"> </w:t>
      </w:r>
      <w:r w:rsidR="00577DFE">
        <w:t>po</w:t>
      </w:r>
      <w:r w:rsidR="00FD54DD" w:rsidRPr="003E0C66">
        <w:t>wyżej</w:t>
      </w:r>
      <w:r w:rsidR="00E05B22" w:rsidRPr="003E0C66">
        <w:t>)</w:t>
      </w:r>
      <w:r w:rsidR="00FD54DD" w:rsidRPr="003E0C66">
        <w:t xml:space="preserve">, które miały zastosowanie w niniejszej sprawie </w:t>
      </w:r>
      <w:r w:rsidR="007B64F0">
        <w:t>i zgodnie z którymi w pewnych, określonych okolicznościach</w:t>
      </w:r>
      <w:r w:rsidR="00FD54DD" w:rsidRPr="003E0C66">
        <w:t xml:space="preserve"> </w:t>
      </w:r>
      <w:r w:rsidR="007B64F0">
        <w:t>można zrezygnować z krzyżowego</w:t>
      </w:r>
      <w:r w:rsidR="007B64F0" w:rsidRPr="003E0C66">
        <w:t xml:space="preserve"> </w:t>
      </w:r>
      <w:r w:rsidR="00E82D96" w:rsidRPr="003E0C66">
        <w:t>przesłuchani</w:t>
      </w:r>
      <w:r w:rsidR="007B64F0">
        <w:t>a</w:t>
      </w:r>
      <w:r w:rsidR="00E82D96" w:rsidRPr="003E0C66">
        <w:t xml:space="preserve"> świadków. Ustalenia Trybunału </w:t>
      </w:r>
      <w:r w:rsidR="00577DFE">
        <w:t>w tym orzeczeniu</w:t>
      </w:r>
      <w:r w:rsidR="00E82D96" w:rsidRPr="003E0C66">
        <w:t xml:space="preserve">, dokonane w kontekście systemu </w:t>
      </w:r>
      <w:proofErr w:type="spellStart"/>
      <w:r w:rsidR="00E82D96" w:rsidRPr="00E11235">
        <w:rPr>
          <w:i/>
        </w:rPr>
        <w:t>common</w:t>
      </w:r>
      <w:proofErr w:type="spellEnd"/>
      <w:r w:rsidR="00E82D96" w:rsidRPr="00E11235">
        <w:rPr>
          <w:i/>
        </w:rPr>
        <w:t>-law</w:t>
      </w:r>
      <w:r w:rsidR="00E82D96" w:rsidRPr="003E0C66">
        <w:t xml:space="preserve">, powinny </w:t>
      </w:r>
      <w:r w:rsidR="007B64F0">
        <w:t>być</w:t>
      </w:r>
      <w:r w:rsidR="007B64F0" w:rsidRPr="003E0C66">
        <w:t xml:space="preserve"> </w:t>
      </w:r>
      <w:r w:rsidR="00E82D96" w:rsidRPr="003E0C66">
        <w:t xml:space="preserve">transponowane do systemu kontynentalnego w sposób elastyczny. Nawet jeśli zasady te </w:t>
      </w:r>
      <w:r w:rsidR="007B64F0">
        <w:t>miały</w:t>
      </w:r>
      <w:r w:rsidR="007B64F0" w:rsidRPr="003E0C66">
        <w:t xml:space="preserve"> </w:t>
      </w:r>
      <w:r w:rsidR="00E82D96" w:rsidRPr="003E0C66">
        <w:t>zastosowan</w:t>
      </w:r>
      <w:r w:rsidR="007B64F0">
        <w:t>i</w:t>
      </w:r>
      <w:r w:rsidR="00E82D96" w:rsidRPr="003E0C66">
        <w:t>e zakres wyjątków od przesłuchania</w:t>
      </w:r>
      <w:r w:rsidR="007B64F0">
        <w:t xml:space="preserve"> krzyżowego</w:t>
      </w:r>
      <w:r w:rsidR="00E82D96" w:rsidRPr="003E0C66">
        <w:t xml:space="preserve"> powinien być szerszy w systemie kontynentalnym, takim jak niemiecki system prawny. Ten ostatni w większości opiera się na </w:t>
      </w:r>
      <w:r w:rsidR="00061F7A" w:rsidRPr="003E0C66">
        <w:t>zasadniczej roli profesjonalnych sędziów, doświadczonyc</w:t>
      </w:r>
      <w:r w:rsidR="006C1003" w:rsidRPr="003E0C66">
        <w:t xml:space="preserve">h w ocenie </w:t>
      </w:r>
      <w:r w:rsidR="00313D4F">
        <w:t xml:space="preserve">wiarygodności </w:t>
      </w:r>
      <w:r w:rsidR="006C1003" w:rsidRPr="003E0C66">
        <w:t>dowodów</w:t>
      </w:r>
      <w:r w:rsidR="00577DFE">
        <w:t>,</w:t>
      </w:r>
      <w:r w:rsidR="00313D4F">
        <w:t xml:space="preserve"> a ocena dowodów była dokonana znacznie bardziej przejrzyście w uzasadnieniach wyroków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85</w:t>
      </w:r>
      <w:r w:rsidRPr="003E0C66">
        <w:fldChar w:fldCharType="end"/>
      </w:r>
      <w:r w:rsidR="00E05B22" w:rsidRPr="003E0C66">
        <w:t>. </w:t>
      </w:r>
      <w:r w:rsidR="00D17C33" w:rsidRPr="003E0C66">
        <w:t xml:space="preserve">Rząd dodał, </w:t>
      </w:r>
      <w:r w:rsidR="00577DFE">
        <w:t>że</w:t>
      </w:r>
      <w:r w:rsidR="00577DFE" w:rsidRPr="003E0C66">
        <w:t xml:space="preserve"> </w:t>
      </w:r>
      <w:r w:rsidR="00D17C33" w:rsidRPr="003E0C66">
        <w:t>zlecon</w:t>
      </w:r>
      <w:r w:rsidR="00313D4F">
        <w:t>e</w:t>
      </w:r>
      <w:r w:rsidR="006C1003" w:rsidRPr="003E0C66">
        <w:t xml:space="preserve"> </w:t>
      </w:r>
      <w:r w:rsidR="00313D4F">
        <w:t>prawne studia porównawcze</w:t>
      </w:r>
      <w:r w:rsidR="00D17C33" w:rsidRPr="003E0C66">
        <w:t xml:space="preserve"> </w:t>
      </w:r>
      <w:r w:rsidR="00AB7102" w:rsidRPr="003E0C66">
        <w:t>wykazał</w:t>
      </w:r>
      <w:r w:rsidR="00313D4F">
        <w:t>y</w:t>
      </w:r>
      <w:r w:rsidR="00AB7102" w:rsidRPr="003E0C66">
        <w:t xml:space="preserve">, </w:t>
      </w:r>
      <w:r w:rsidR="00577DFE">
        <w:t xml:space="preserve">że </w:t>
      </w:r>
      <w:r w:rsidR="00BF576A">
        <w:t>w żadnym z państw-</w:t>
      </w:r>
      <w:r w:rsidR="00AB7102" w:rsidRPr="003E0C66">
        <w:t xml:space="preserve">stron Konwencji, </w:t>
      </w:r>
      <w:r w:rsidR="00BF576A" w:rsidRPr="003E0C66">
        <w:t>mając</w:t>
      </w:r>
      <w:r w:rsidR="00BF576A">
        <w:t>ych</w:t>
      </w:r>
      <w:r w:rsidR="00BF576A" w:rsidRPr="003E0C66">
        <w:t xml:space="preserve"> </w:t>
      </w:r>
      <w:r w:rsidR="00AB7102" w:rsidRPr="003E0C66">
        <w:t>system prawa karnego porównywalny do niemieckiego,</w:t>
      </w:r>
      <w:r w:rsidR="00DD207B" w:rsidRPr="003E0C66">
        <w:t xml:space="preserve"> nie </w:t>
      </w:r>
      <w:r w:rsidR="00BF576A">
        <w:t>było</w:t>
      </w:r>
      <w:r w:rsidR="00BF576A" w:rsidRPr="003E0C66">
        <w:t xml:space="preserve"> </w:t>
      </w:r>
      <w:r w:rsidR="00DD207B" w:rsidRPr="003E0C66">
        <w:t xml:space="preserve">nieograniczonego prawa </w:t>
      </w:r>
      <w:r w:rsidR="00BF576A">
        <w:t xml:space="preserve">oskarżonego do </w:t>
      </w:r>
      <w:r w:rsidR="00DD207B" w:rsidRPr="003E0C66">
        <w:t>przesłuchani</w:t>
      </w:r>
      <w:r w:rsidR="00BF576A">
        <w:t>a</w:t>
      </w:r>
      <w:r w:rsidR="00DD207B" w:rsidRPr="003E0C66">
        <w:t xml:space="preserve"> świadków oskarżenia </w:t>
      </w:r>
      <w:r w:rsidR="00BF576A">
        <w:t>w toku procesu</w:t>
      </w:r>
      <w:r w:rsidR="00DD207B" w:rsidRPr="003E0C66">
        <w:t xml:space="preserve">. </w:t>
      </w:r>
      <w:r w:rsidR="00BF576A">
        <w:t>Co więcej</w:t>
      </w:r>
      <w:r w:rsidR="00BF576A" w:rsidRPr="003E0C66">
        <w:t xml:space="preserve"> </w:t>
      </w:r>
      <w:r w:rsidR="00DD207B" w:rsidRPr="003E0C66">
        <w:t xml:space="preserve">w wielu innych systemach </w:t>
      </w:r>
      <w:r w:rsidR="00BF576A">
        <w:t xml:space="preserve">prawnych </w:t>
      </w:r>
      <w:r w:rsidR="00DD207B" w:rsidRPr="003E0C66">
        <w:t xml:space="preserve">nie </w:t>
      </w:r>
      <w:r w:rsidR="002779FB" w:rsidRPr="003E0C66">
        <w:t xml:space="preserve">było zakazane wykorzystywanie protokołów z </w:t>
      </w:r>
      <w:r w:rsidR="00BF576A">
        <w:t>wcześniejszych</w:t>
      </w:r>
      <w:r w:rsidR="00BF576A" w:rsidRPr="003E0C66">
        <w:t xml:space="preserve"> </w:t>
      </w:r>
      <w:r w:rsidR="002779FB" w:rsidRPr="003E0C66">
        <w:t>przesłuchań świadków</w:t>
      </w:r>
      <w:r w:rsidR="00577DFE">
        <w:t>,</w:t>
      </w:r>
      <w:r w:rsidR="002779FB" w:rsidRPr="003E0C66">
        <w:t xml:space="preserve"> nawet jeśli oskarżony nie miał możliwości przesłuchania świadka na </w:t>
      </w:r>
      <w:r w:rsidR="00BF576A">
        <w:t>tamtym</w:t>
      </w:r>
      <w:r w:rsidR="00BF576A" w:rsidRPr="003E0C66">
        <w:t xml:space="preserve"> </w:t>
      </w:r>
      <w:r w:rsidR="002779FB" w:rsidRPr="003E0C66">
        <w:t xml:space="preserve">etapie.  </w:t>
      </w:r>
    </w:p>
    <w:p w:rsidR="00E05B22" w:rsidRPr="003E0C66" w:rsidRDefault="00E05B22" w:rsidP="00BC0CE7">
      <w:pPr>
        <w:pStyle w:val="ECHRHeading4"/>
      </w:pPr>
      <w:r w:rsidRPr="003E0C66">
        <w:t>(b)  </w:t>
      </w:r>
      <w:r w:rsidR="00D65F8D" w:rsidRPr="003E0C66">
        <w:t xml:space="preserve">Czy istniał </w:t>
      </w:r>
      <w:r w:rsidR="006A61D7">
        <w:t>ważny powód niestawiennictwa</w:t>
      </w:r>
      <w:r w:rsidR="00D65F8D" w:rsidRPr="003E0C66">
        <w:t xml:space="preserve"> świadków O. i P. </w:t>
      </w:r>
      <w:r w:rsidR="006A61D7">
        <w:t>na rozprawie</w:t>
      </w:r>
      <w:r w:rsidR="00571262" w:rsidRPr="003E0C66">
        <w:t xml:space="preserve"> </w:t>
      </w:r>
    </w:p>
    <w:p w:rsidR="00E05B22" w:rsidRPr="003E0C66" w:rsidRDefault="006B25B0" w:rsidP="00BC0CE7">
      <w:pPr>
        <w:pStyle w:val="ECHRPara"/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86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</w:t>
      </w:r>
      <w:r w:rsidR="00D65F8D" w:rsidRPr="003E0C66">
        <w:rPr>
          <w:rFonts w:ascii="Times New Roman" w:hAnsi="Times New Roman"/>
        </w:rPr>
        <w:t xml:space="preserve"> Zdaniem Rządu zaistniał </w:t>
      </w:r>
      <w:r w:rsidR="006A61D7">
        <w:rPr>
          <w:rFonts w:ascii="Times New Roman" w:hAnsi="Times New Roman"/>
        </w:rPr>
        <w:t>ważny</w:t>
      </w:r>
      <w:r w:rsidR="006A61D7" w:rsidRPr="003E0C66">
        <w:rPr>
          <w:rFonts w:ascii="Times New Roman" w:hAnsi="Times New Roman"/>
        </w:rPr>
        <w:t xml:space="preserve"> </w:t>
      </w:r>
      <w:r w:rsidR="00D65F8D" w:rsidRPr="003E0C66">
        <w:rPr>
          <w:rFonts w:ascii="Times New Roman" w:hAnsi="Times New Roman"/>
        </w:rPr>
        <w:t xml:space="preserve">powód, opisany w wyroku </w:t>
      </w:r>
      <w:r w:rsidR="006A61D7">
        <w:rPr>
          <w:rFonts w:ascii="Times New Roman" w:hAnsi="Times New Roman"/>
        </w:rPr>
        <w:t>Trybunału</w:t>
      </w:r>
      <w:r w:rsidR="00D65F8D" w:rsidRPr="003E0C66">
        <w:rPr>
          <w:rFonts w:ascii="Times New Roman" w:hAnsi="Times New Roman"/>
        </w:rPr>
        <w:t xml:space="preserve">, usprawiedliwiający nieobecność świadków O. i P. </w:t>
      </w:r>
      <w:r w:rsidR="006A61D7">
        <w:rPr>
          <w:rFonts w:ascii="Times New Roman" w:hAnsi="Times New Roman"/>
        </w:rPr>
        <w:t>na</w:t>
      </w:r>
      <w:r w:rsidR="006A61D7" w:rsidRPr="003E0C66">
        <w:rPr>
          <w:rFonts w:ascii="Times New Roman" w:hAnsi="Times New Roman"/>
        </w:rPr>
        <w:t xml:space="preserve"> </w:t>
      </w:r>
      <w:r w:rsidR="00D65F8D" w:rsidRPr="003E0C66">
        <w:rPr>
          <w:rFonts w:ascii="Times New Roman" w:hAnsi="Times New Roman"/>
        </w:rPr>
        <w:t>rozpraw</w:t>
      </w:r>
      <w:r w:rsidR="006A61D7">
        <w:rPr>
          <w:rFonts w:ascii="Times New Roman" w:hAnsi="Times New Roman"/>
        </w:rPr>
        <w:t>ie</w:t>
      </w:r>
      <w:r w:rsidR="00D65F8D" w:rsidRPr="003E0C66">
        <w:rPr>
          <w:rFonts w:ascii="Times New Roman" w:hAnsi="Times New Roman"/>
        </w:rPr>
        <w:t>. Sąd Okręgowy podjął wszelkie możliwe starania</w:t>
      </w:r>
      <w:r w:rsidR="005C64B2" w:rsidRPr="003E0C66">
        <w:rPr>
          <w:rFonts w:ascii="Times New Roman" w:hAnsi="Times New Roman"/>
        </w:rPr>
        <w:t>, aby przesłuchać</w:t>
      </w:r>
      <w:r w:rsidR="00D65F8D" w:rsidRPr="003E0C66">
        <w:rPr>
          <w:rFonts w:ascii="Times New Roman" w:hAnsi="Times New Roman"/>
        </w:rPr>
        <w:t xml:space="preserve"> świadków,</w:t>
      </w:r>
      <w:r w:rsidR="005C64B2" w:rsidRPr="003E0C66">
        <w:rPr>
          <w:rFonts w:ascii="Times New Roman" w:hAnsi="Times New Roman"/>
        </w:rPr>
        <w:t xml:space="preserve"> </w:t>
      </w:r>
      <w:r w:rsidR="006A61D7">
        <w:rPr>
          <w:rFonts w:ascii="Times New Roman" w:hAnsi="Times New Roman"/>
        </w:rPr>
        <w:t>które</w:t>
      </w:r>
      <w:r w:rsidR="006A61D7" w:rsidRPr="003E0C66">
        <w:rPr>
          <w:rFonts w:ascii="Times New Roman" w:hAnsi="Times New Roman"/>
        </w:rPr>
        <w:t xml:space="preserve"> </w:t>
      </w:r>
      <w:r w:rsidR="005C64B2" w:rsidRPr="003E0C66">
        <w:rPr>
          <w:rFonts w:ascii="Times New Roman" w:hAnsi="Times New Roman"/>
        </w:rPr>
        <w:t xml:space="preserve">legalnie przebywały i pracowały w Niemczech, osobiście podczas rozprawy lub </w:t>
      </w:r>
      <w:r w:rsidR="006A61D7">
        <w:rPr>
          <w:rFonts w:ascii="Times New Roman" w:hAnsi="Times New Roman"/>
        </w:rPr>
        <w:t>w drodze</w:t>
      </w:r>
      <w:r w:rsidR="005C64B2" w:rsidRPr="003E0C66">
        <w:rPr>
          <w:rFonts w:ascii="Times New Roman" w:hAnsi="Times New Roman"/>
        </w:rPr>
        <w:t xml:space="preserve"> wideokonferencji z pomocą sądów łotewskich. Sąd wezwał świadków na przesłuchanie. Po tym</w:t>
      </w:r>
      <w:r w:rsidR="00577DFE">
        <w:rPr>
          <w:rFonts w:ascii="Times New Roman" w:hAnsi="Times New Roman"/>
        </w:rPr>
        <w:t>,</w:t>
      </w:r>
      <w:r w:rsidR="005C64B2" w:rsidRPr="003E0C66">
        <w:rPr>
          <w:rFonts w:ascii="Times New Roman" w:hAnsi="Times New Roman"/>
        </w:rPr>
        <w:t xml:space="preserve"> jak kobiety dostarczyły zaświadczenia lekarskie Sąd ponownie </w:t>
      </w:r>
      <w:r w:rsidR="006A61D7">
        <w:rPr>
          <w:rFonts w:ascii="Times New Roman" w:hAnsi="Times New Roman"/>
        </w:rPr>
        <w:t>podjął próbę zapewnienia ich stawiennictwa informując je, że</w:t>
      </w:r>
      <w:r w:rsidR="005C64B2" w:rsidRPr="003E0C66">
        <w:rPr>
          <w:rFonts w:ascii="Times New Roman" w:hAnsi="Times New Roman"/>
        </w:rPr>
        <w:t xml:space="preserve"> dostaną odpowiednią ochronę oraz </w:t>
      </w:r>
      <w:r w:rsidR="006A61D7">
        <w:rPr>
          <w:rFonts w:ascii="Times New Roman" w:hAnsi="Times New Roman"/>
        </w:rPr>
        <w:t>poprosił o określenie,</w:t>
      </w:r>
      <w:r w:rsidR="006A61D7" w:rsidRPr="003E0C66">
        <w:rPr>
          <w:rFonts w:ascii="Times New Roman" w:hAnsi="Times New Roman"/>
        </w:rPr>
        <w:t xml:space="preserve"> </w:t>
      </w:r>
      <w:r w:rsidR="005C64B2" w:rsidRPr="003E0C66">
        <w:rPr>
          <w:rFonts w:ascii="Times New Roman" w:hAnsi="Times New Roman"/>
        </w:rPr>
        <w:t xml:space="preserve">w jakich </w:t>
      </w:r>
      <w:r w:rsidR="006A61D7">
        <w:rPr>
          <w:rFonts w:ascii="Times New Roman" w:hAnsi="Times New Roman"/>
        </w:rPr>
        <w:t>warunkach</w:t>
      </w:r>
      <w:r w:rsidR="006A61D7" w:rsidRPr="003E0C66">
        <w:rPr>
          <w:rFonts w:ascii="Times New Roman" w:hAnsi="Times New Roman"/>
        </w:rPr>
        <w:t xml:space="preserve"> </w:t>
      </w:r>
      <w:r w:rsidR="006A61D7">
        <w:rPr>
          <w:rFonts w:ascii="Times New Roman" w:hAnsi="Times New Roman"/>
        </w:rPr>
        <w:t>byłyby gotowe</w:t>
      </w:r>
      <w:r w:rsidR="005C64B2" w:rsidRPr="003E0C66">
        <w:rPr>
          <w:rFonts w:ascii="Times New Roman" w:hAnsi="Times New Roman"/>
        </w:rPr>
        <w:t xml:space="preserve"> złożyć swoje zeznania. Sąd Okręgowy nie posiadał kompetencji </w:t>
      </w:r>
      <w:r w:rsidR="005C64B2" w:rsidRPr="003E0C66">
        <w:rPr>
          <w:rFonts w:ascii="Times New Roman" w:hAnsi="Times New Roman"/>
        </w:rPr>
        <w:lastRenderedPageBreak/>
        <w:t>umożliwiających zmuszenie świadków</w:t>
      </w:r>
      <w:r w:rsidR="00A21369" w:rsidRPr="003E0C66">
        <w:rPr>
          <w:rFonts w:ascii="Times New Roman" w:hAnsi="Times New Roman"/>
        </w:rPr>
        <w:t xml:space="preserve">, </w:t>
      </w:r>
      <w:r w:rsidR="006A61D7">
        <w:rPr>
          <w:rFonts w:ascii="Times New Roman" w:hAnsi="Times New Roman"/>
        </w:rPr>
        <w:t>będących obywatelkami</w:t>
      </w:r>
      <w:r w:rsidR="00A21369" w:rsidRPr="003E0C66">
        <w:rPr>
          <w:rFonts w:ascii="Times New Roman" w:hAnsi="Times New Roman"/>
        </w:rPr>
        <w:t xml:space="preserve"> łotewski</w:t>
      </w:r>
      <w:r w:rsidR="006A61D7">
        <w:rPr>
          <w:rFonts w:ascii="Times New Roman" w:hAnsi="Times New Roman"/>
        </w:rPr>
        <w:t>mi</w:t>
      </w:r>
      <w:r w:rsidR="00A21369" w:rsidRPr="003E0C66">
        <w:rPr>
          <w:rFonts w:ascii="Times New Roman" w:hAnsi="Times New Roman"/>
        </w:rPr>
        <w:t xml:space="preserve"> przebywający</w:t>
      </w:r>
      <w:r w:rsidR="006A61D7">
        <w:rPr>
          <w:rFonts w:ascii="Times New Roman" w:hAnsi="Times New Roman"/>
        </w:rPr>
        <w:t>mi</w:t>
      </w:r>
      <w:r w:rsidR="00A21369" w:rsidRPr="003E0C66">
        <w:rPr>
          <w:rFonts w:ascii="Times New Roman" w:hAnsi="Times New Roman"/>
        </w:rPr>
        <w:t xml:space="preserve"> na Łotwie,</w:t>
      </w:r>
      <w:r w:rsidR="005C64B2" w:rsidRPr="003E0C66">
        <w:rPr>
          <w:rFonts w:ascii="Times New Roman" w:hAnsi="Times New Roman"/>
        </w:rPr>
        <w:t xml:space="preserve"> do wzięcia udziału w rozprawie</w:t>
      </w:r>
      <w:r w:rsidR="00A21369" w:rsidRPr="003E0C66">
        <w:rPr>
          <w:rFonts w:ascii="Times New Roman" w:hAnsi="Times New Roman"/>
        </w:rPr>
        <w:t xml:space="preserve"> odbywającej się w Niemczech, ze względu na fakt, iż środki przymusu były zakazane na mocy Artykułu 8 Europejskiej </w:t>
      </w:r>
      <w:r w:rsidR="006A61D7">
        <w:rPr>
          <w:rFonts w:ascii="Times New Roman" w:hAnsi="Times New Roman"/>
        </w:rPr>
        <w:t>k</w:t>
      </w:r>
      <w:r w:rsidR="00A21369" w:rsidRPr="003E0C66">
        <w:rPr>
          <w:rFonts w:ascii="Times New Roman" w:hAnsi="Times New Roman"/>
        </w:rPr>
        <w:t xml:space="preserve">onwencji o </w:t>
      </w:r>
      <w:r w:rsidR="006A61D7">
        <w:rPr>
          <w:rFonts w:ascii="Times New Roman" w:hAnsi="Times New Roman"/>
        </w:rPr>
        <w:t>p</w:t>
      </w:r>
      <w:r w:rsidR="00A21369" w:rsidRPr="003E0C66">
        <w:rPr>
          <w:rFonts w:ascii="Times New Roman" w:hAnsi="Times New Roman"/>
        </w:rPr>
        <w:t xml:space="preserve">omocy </w:t>
      </w:r>
      <w:r w:rsidR="006A61D7">
        <w:rPr>
          <w:rFonts w:ascii="Times New Roman" w:hAnsi="Times New Roman"/>
        </w:rPr>
        <w:t xml:space="preserve">prawnej </w:t>
      </w:r>
      <w:r w:rsidR="00A21369" w:rsidRPr="003E0C66">
        <w:rPr>
          <w:rFonts w:ascii="Times New Roman" w:hAnsi="Times New Roman"/>
        </w:rPr>
        <w:t xml:space="preserve">w </w:t>
      </w:r>
      <w:r w:rsidR="006A61D7">
        <w:rPr>
          <w:rFonts w:ascii="Times New Roman" w:hAnsi="Times New Roman"/>
        </w:rPr>
        <w:t>s</w:t>
      </w:r>
      <w:r w:rsidR="00A21369" w:rsidRPr="003E0C66">
        <w:rPr>
          <w:rFonts w:ascii="Times New Roman" w:hAnsi="Times New Roman"/>
        </w:rPr>
        <w:t xml:space="preserve">prawach </w:t>
      </w:r>
      <w:r w:rsidR="006A61D7">
        <w:rPr>
          <w:rFonts w:ascii="Times New Roman" w:hAnsi="Times New Roman"/>
        </w:rPr>
        <w:t>k</w:t>
      </w:r>
      <w:r w:rsidR="00A21369" w:rsidRPr="003E0C66">
        <w:rPr>
          <w:rFonts w:ascii="Times New Roman" w:hAnsi="Times New Roman"/>
        </w:rPr>
        <w:t>arnych (zobacz paragraf 66 powyżej).</w:t>
      </w:r>
      <w:r w:rsidR="005C64B2" w:rsidRPr="003E0C66">
        <w:rPr>
          <w:rFonts w:ascii="Times New Roman" w:hAnsi="Times New Roman"/>
        </w:rPr>
        <w:t xml:space="preserve">  </w:t>
      </w:r>
      <w:r w:rsidR="00D65F8D" w:rsidRPr="003E0C66">
        <w:rPr>
          <w:rFonts w:ascii="Times New Roman" w:hAnsi="Times New Roman"/>
        </w:rPr>
        <w:t xml:space="preserve"> </w:t>
      </w:r>
      <w:r w:rsidR="00E05B22" w:rsidRPr="003E0C66">
        <w:rPr>
          <w:rFonts w:ascii="Times New Roman" w:hAnsi="Times New Roman"/>
        </w:rPr>
        <w:t> 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87</w:t>
      </w:r>
      <w:r w:rsidRPr="003E0C66">
        <w:fldChar w:fldCharType="end"/>
      </w:r>
      <w:r w:rsidR="00E05B22" w:rsidRPr="003E0C66">
        <w:t>. </w:t>
      </w:r>
      <w:r w:rsidR="0099357B" w:rsidRPr="003E0C66">
        <w:t xml:space="preserve">Rząd </w:t>
      </w:r>
      <w:r w:rsidR="006A61D7">
        <w:t>stwierdził</w:t>
      </w:r>
      <w:r w:rsidR="0099357B" w:rsidRPr="003E0C66">
        <w:t xml:space="preserve">, </w:t>
      </w:r>
      <w:r w:rsidR="00577DFE">
        <w:t>że</w:t>
      </w:r>
      <w:r w:rsidR="00577DFE" w:rsidRPr="003E0C66">
        <w:t xml:space="preserve"> </w:t>
      </w:r>
      <w:r w:rsidR="0099357B" w:rsidRPr="003E0C66">
        <w:t xml:space="preserve">Sąd Okręgowy zwrócił się do władz łotewskich </w:t>
      </w:r>
      <w:r w:rsidR="0068646F">
        <w:t>w drodze pomocy prawnej,</w:t>
      </w:r>
      <w:r w:rsidR="0099357B" w:rsidRPr="003E0C66">
        <w:t xml:space="preserve"> </w:t>
      </w:r>
      <w:r w:rsidR="0068646F">
        <w:t>zgodnie z</w:t>
      </w:r>
      <w:r w:rsidR="0099357B" w:rsidRPr="003E0C66">
        <w:t xml:space="preserve"> przepisami</w:t>
      </w:r>
      <w:r w:rsidR="0068646F">
        <w:t xml:space="preserve"> mającymi zastosowanie</w:t>
      </w:r>
      <w:r w:rsidR="0099357B" w:rsidRPr="003E0C66">
        <w:t xml:space="preserve">, </w:t>
      </w:r>
      <w:r w:rsidR="0068646F">
        <w:t xml:space="preserve">o wezwanie </w:t>
      </w:r>
      <w:r w:rsidR="0099357B" w:rsidRPr="003E0C66">
        <w:t xml:space="preserve">świadków poprzez </w:t>
      </w:r>
      <w:r w:rsidR="0068646F">
        <w:t>s</w:t>
      </w:r>
      <w:r w:rsidR="0099357B" w:rsidRPr="003E0C66">
        <w:t xml:space="preserve">ąd łotewski, tak </w:t>
      </w:r>
      <w:r w:rsidR="0068646F">
        <w:t>by mogły być przesłuchane</w:t>
      </w:r>
      <w:r w:rsidR="0099357B" w:rsidRPr="003E0C66">
        <w:t xml:space="preserve"> za pomocą wideokonferencji. Jednakże </w:t>
      </w:r>
      <w:r w:rsidR="0068646F">
        <w:t>s</w:t>
      </w:r>
      <w:r w:rsidR="0099357B" w:rsidRPr="003E0C66">
        <w:t xml:space="preserve">ąd łotewski odwołał przesłuchanie po wstępnej rozmowie ze świadkami, którzy </w:t>
      </w:r>
      <w:r w:rsidR="0068646F">
        <w:t xml:space="preserve">ponownie </w:t>
      </w:r>
      <w:r w:rsidR="0099357B" w:rsidRPr="003E0C66">
        <w:t xml:space="preserve">przedstawili zaświadczenia lekarskie. Sąd Okręgowy zwrócił się do </w:t>
      </w:r>
      <w:r w:rsidR="0068646F">
        <w:t>s</w:t>
      </w:r>
      <w:r w:rsidR="0099357B" w:rsidRPr="003E0C66">
        <w:t xml:space="preserve">ądu łotewskiego o zweryfikowanie </w:t>
      </w:r>
      <w:r w:rsidR="0068646F">
        <w:t xml:space="preserve">przedstawionych przez świadków </w:t>
      </w:r>
      <w:r w:rsidR="0099357B" w:rsidRPr="003E0C66">
        <w:t xml:space="preserve">przyczyn odmowy </w:t>
      </w:r>
      <w:r w:rsidR="0068646F">
        <w:t>składania zeznań</w:t>
      </w:r>
      <w:r w:rsidR="0099357B" w:rsidRPr="003E0C66">
        <w:t xml:space="preserve"> lub </w:t>
      </w:r>
      <w:r w:rsidR="0068646F">
        <w:t>zbadanie</w:t>
      </w:r>
      <w:r w:rsidR="0099357B" w:rsidRPr="003E0C66">
        <w:t xml:space="preserve"> kolejnych metod ich przesłuchania</w:t>
      </w:r>
      <w:r w:rsidR="0068646F">
        <w:t>.</w:t>
      </w:r>
      <w:r w:rsidR="0099357B" w:rsidRPr="003E0C66">
        <w:t xml:space="preserve"> Sąd łotewski nie odpowiedział. Nic nie wskazywało na to, </w:t>
      </w:r>
      <w:r w:rsidR="0068646F">
        <w:t>że możliwym było doprowadzenie do</w:t>
      </w:r>
      <w:r w:rsidR="0068646F" w:rsidRPr="003E0C66">
        <w:t xml:space="preserve"> </w:t>
      </w:r>
      <w:r w:rsidR="0099357B" w:rsidRPr="003E0C66">
        <w:t>przesłuchani</w:t>
      </w:r>
      <w:r w:rsidR="0068646F">
        <w:t>a</w:t>
      </w:r>
      <w:r w:rsidR="0099357B" w:rsidRPr="003E0C66">
        <w:t xml:space="preserve"> </w:t>
      </w:r>
      <w:r w:rsidR="0068646F">
        <w:t>przy</w:t>
      </w:r>
      <w:r w:rsidR="00F62A85" w:rsidRPr="003E0C66">
        <w:t xml:space="preserve"> pomoc</w:t>
      </w:r>
      <w:r w:rsidR="0068646F">
        <w:t>y</w:t>
      </w:r>
      <w:r w:rsidR="00F62A85" w:rsidRPr="003E0C66">
        <w:t xml:space="preserve"> innych środków, takich jak </w:t>
      </w:r>
      <w:r w:rsidR="0068646F">
        <w:t>dwustronne</w:t>
      </w:r>
      <w:r w:rsidR="0068646F" w:rsidRPr="003E0C66">
        <w:t xml:space="preserve"> </w:t>
      </w:r>
      <w:r w:rsidR="00367E37" w:rsidRPr="003E0C66">
        <w:t xml:space="preserve">negocjacje na szczeblu politycznym, o których </w:t>
      </w:r>
      <w:r w:rsidR="0068646F" w:rsidRPr="003E0C66">
        <w:t xml:space="preserve">skarżący wspomniał </w:t>
      </w:r>
      <w:r w:rsidR="00367E37" w:rsidRPr="003E0C66">
        <w:t xml:space="preserve">po raz pierwszy podczas </w:t>
      </w:r>
      <w:r w:rsidR="003E0C66" w:rsidRPr="003E0C66">
        <w:t>postępowania</w:t>
      </w:r>
      <w:r w:rsidR="00367E37" w:rsidRPr="003E0C66">
        <w:t xml:space="preserve"> przed </w:t>
      </w:r>
      <w:r w:rsidR="0068646F">
        <w:t>Trybunałem</w:t>
      </w:r>
      <w:r w:rsidR="00367E37" w:rsidRPr="003E0C66">
        <w:t xml:space="preserve">. </w:t>
      </w:r>
      <w:r w:rsidR="0099357B" w:rsidRPr="003E0C66">
        <w:t xml:space="preserve">  </w:t>
      </w:r>
      <w:r w:rsidR="00E05B22" w:rsidRPr="003E0C66">
        <w:t> </w:t>
      </w:r>
    </w:p>
    <w:p w:rsidR="00E05B22" w:rsidRPr="003E0C66" w:rsidRDefault="00E05B22" w:rsidP="00BC0CE7">
      <w:pPr>
        <w:pStyle w:val="ECHRHeading4"/>
      </w:pPr>
      <w:r w:rsidRPr="003E0C66">
        <w:t>(c) </w:t>
      </w:r>
      <w:r w:rsidR="003D28E6" w:rsidRPr="003E0C66">
        <w:t xml:space="preserve"> </w:t>
      </w:r>
      <w:r w:rsidR="00A421A5" w:rsidRPr="003E0C66">
        <w:t>Czy dowód</w:t>
      </w:r>
      <w:r w:rsidR="003D28E6" w:rsidRPr="003E0C66">
        <w:t xml:space="preserve"> </w:t>
      </w:r>
      <w:r w:rsidR="00A421A5" w:rsidRPr="003E0C66">
        <w:t xml:space="preserve">z zeznań nieobecnych świadków był jedyną lub decydującą podstawą skazania oskarżonego </w:t>
      </w:r>
      <w:r w:rsidRPr="003E0C66">
        <w:t>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88</w:t>
      </w:r>
      <w:r w:rsidRPr="003E0C66">
        <w:fldChar w:fldCharType="end"/>
      </w:r>
      <w:r w:rsidR="00E05B22" w:rsidRPr="003E0C66">
        <w:t>.  </w:t>
      </w:r>
      <w:r w:rsidR="00A421A5" w:rsidRPr="003E0C66">
        <w:t xml:space="preserve">Rząd </w:t>
      </w:r>
      <w:r w:rsidR="004F4687">
        <w:t>stwierdził</w:t>
      </w:r>
      <w:r w:rsidR="00A421A5" w:rsidRPr="003E0C66">
        <w:t xml:space="preserve">, iż zdaniem Sądu Okręgowego, który był organem decyzyjnym, zeznania świadków O. i P. były </w:t>
      </w:r>
      <w:r w:rsidR="00D02FAC">
        <w:t xml:space="preserve">„istotne” </w:t>
      </w:r>
      <w:r w:rsidR="00E05B22" w:rsidRPr="003E0C66">
        <w:t>(“</w:t>
      </w:r>
      <w:proofErr w:type="spellStart"/>
      <w:r w:rsidR="00E05B22" w:rsidRPr="003E0C66">
        <w:rPr>
          <w:i/>
        </w:rPr>
        <w:t>maßgeblich</w:t>
      </w:r>
      <w:proofErr w:type="spellEnd"/>
      <w:r w:rsidR="00E05B22" w:rsidRPr="003E0C66">
        <w:t>”)</w:t>
      </w:r>
      <w:r w:rsidR="00ED0752" w:rsidRPr="003E0C66">
        <w:t xml:space="preserve"> </w:t>
      </w:r>
      <w:r w:rsidR="004F4687">
        <w:t>dla uzasadnienia skazania skarżącego</w:t>
      </w:r>
      <w:r w:rsidR="00ED0752" w:rsidRPr="003E0C66">
        <w:t>. Jednakże był</w:t>
      </w:r>
      <w:r w:rsidR="004F4687">
        <w:t>a</w:t>
      </w:r>
      <w:r w:rsidR="00ED0752" w:rsidRPr="003E0C66">
        <w:t xml:space="preserve"> również </w:t>
      </w:r>
      <w:r w:rsidR="004F4687">
        <w:t>pewna liczba</w:t>
      </w:r>
      <w:r w:rsidR="00ED0752" w:rsidRPr="003E0C66">
        <w:t xml:space="preserve"> innych znaczących elementów dowodowych, włączając w to wyniki </w:t>
      </w:r>
      <w:r w:rsidR="004F4687">
        <w:t>środków policyjnej inwigilacji</w:t>
      </w:r>
      <w:r w:rsidR="00ED0752" w:rsidRPr="003E0C66">
        <w:t xml:space="preserve"> i </w:t>
      </w:r>
      <w:r w:rsidR="00D02FAC">
        <w:t>wyjaśnienia</w:t>
      </w:r>
      <w:r w:rsidR="00D02FAC" w:rsidRPr="003E0C66">
        <w:t xml:space="preserve"> </w:t>
      </w:r>
      <w:r w:rsidR="00ED0752" w:rsidRPr="003E0C66">
        <w:t>samego oskarżonego, które pozwoliły zweryfikować praw</w:t>
      </w:r>
      <w:r w:rsidR="00E63475" w:rsidRPr="003E0C66">
        <w:t>dziwość zeznań świadków. Kwestia</w:t>
      </w:r>
      <w:r w:rsidR="00ED0752" w:rsidRPr="003E0C66">
        <w:t>, czy dowody dostarczone przez świadków, w świetle ws</w:t>
      </w:r>
      <w:r w:rsidR="00E63475" w:rsidRPr="003E0C66">
        <w:t xml:space="preserve">pomnianych elementów dowodowych stanowiły </w:t>
      </w:r>
      <w:r w:rsidR="00D02FAC">
        <w:t>„dowód</w:t>
      </w:r>
      <w:r w:rsidR="004F4687">
        <w:t xml:space="preserve"> </w:t>
      </w:r>
      <w:r w:rsidR="00E63475" w:rsidRPr="003E0C66">
        <w:t>decydujący</w:t>
      </w:r>
      <w:r w:rsidR="004F4687">
        <w:t xml:space="preserve">” </w:t>
      </w:r>
      <w:r w:rsidR="000942F1" w:rsidRPr="003E0C66">
        <w:t>dla celó</w:t>
      </w:r>
      <w:r w:rsidR="0086185C" w:rsidRPr="003E0C66">
        <w:t>w orzecznict</w:t>
      </w:r>
      <w:r w:rsidR="00EC09F9" w:rsidRPr="003E0C66">
        <w:t>wa Trybunału</w:t>
      </w:r>
      <w:r w:rsidR="00D02FAC">
        <w:t>,</w:t>
      </w:r>
      <w:r w:rsidR="00EC09F9" w:rsidRPr="003E0C66">
        <w:t xml:space="preserve"> mogła</w:t>
      </w:r>
      <w:r w:rsidR="0086185C" w:rsidRPr="003E0C66">
        <w:t>by</w:t>
      </w:r>
      <w:r w:rsidR="00EC09F9" w:rsidRPr="003E0C66">
        <w:t xml:space="preserve"> pozostać otwarta</w:t>
      </w:r>
      <w:r w:rsidR="0086185C" w:rsidRPr="003E0C66">
        <w:t xml:space="preserve"> ponieważ, </w:t>
      </w:r>
      <w:r w:rsidR="004F4687">
        <w:t xml:space="preserve">w każdym przypadku, </w:t>
      </w:r>
      <w:r w:rsidR="0086185C" w:rsidRPr="003E0C66">
        <w:t>konieczne</w:t>
      </w:r>
      <w:r w:rsidR="00EC09F9" w:rsidRPr="003E0C66">
        <w:t xml:space="preserve"> i obecne</w:t>
      </w:r>
      <w:r w:rsidR="0086185C" w:rsidRPr="003E0C66">
        <w:t xml:space="preserve"> były </w:t>
      </w:r>
      <w:r w:rsidR="00EC09F9" w:rsidRPr="003E0C66">
        <w:t>odpowiednie środki wyrównawcze mające na celu rekompensatę braku możliwości przesłuchania świadków przez obronę.</w:t>
      </w:r>
    </w:p>
    <w:p w:rsidR="00E05B22" w:rsidRPr="003E0C66" w:rsidRDefault="00E05B22" w:rsidP="00BC0CE7">
      <w:pPr>
        <w:pStyle w:val="ECHRHeading4"/>
      </w:pPr>
      <w:r w:rsidRPr="003E0C66">
        <w:t>(d)  </w:t>
      </w:r>
      <w:r w:rsidR="00E40211" w:rsidRPr="003E0C66">
        <w:t xml:space="preserve">Czy istniały wystarczające środki wyrównujące, które miały na celu </w:t>
      </w:r>
      <w:r w:rsidR="004F4687">
        <w:t>kompensatę utrudnień</w:t>
      </w:r>
      <w:r w:rsidR="00E40211" w:rsidRPr="003E0C66">
        <w:t xml:space="preserve">, z którymi musiała zmierzyć się obrona  </w:t>
      </w:r>
    </w:p>
    <w:p w:rsidR="00E05B22" w:rsidRPr="003E0C66" w:rsidRDefault="006B25B0" w:rsidP="00BC0CE7">
      <w:pPr>
        <w:pStyle w:val="ECHRPara"/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89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</w:t>
      </w:r>
      <w:r w:rsidR="00E40211" w:rsidRPr="003E0C66">
        <w:rPr>
          <w:rFonts w:ascii="Times New Roman" w:hAnsi="Times New Roman"/>
        </w:rPr>
        <w:t xml:space="preserve"> Zdaniem Rządu niemożność przesłuchania świadków O. i P. przez skarżącego została odpowiednio zrekompensowana p</w:t>
      </w:r>
      <w:r w:rsidR="00BB3E3C" w:rsidRPr="003E0C66">
        <w:rPr>
          <w:rFonts w:ascii="Times New Roman" w:hAnsi="Times New Roman"/>
        </w:rPr>
        <w:t xml:space="preserve">rzez Sąd Okręgowy, który dokonał kompleksowej i krytycznej oceny wiarygodności zeznań świadków. Sąd Okręgowy dokonał oceny zeznań złożonych przez </w:t>
      </w:r>
      <w:r w:rsidR="00D810AC">
        <w:rPr>
          <w:rFonts w:ascii="Times New Roman" w:hAnsi="Times New Roman"/>
        </w:rPr>
        <w:t xml:space="preserve">tych dwóch </w:t>
      </w:r>
      <w:r w:rsidR="00BB3E3C" w:rsidRPr="003E0C66">
        <w:rPr>
          <w:rFonts w:ascii="Times New Roman" w:hAnsi="Times New Roman"/>
        </w:rPr>
        <w:t xml:space="preserve">świadków </w:t>
      </w:r>
      <w:r w:rsidR="00D810AC">
        <w:rPr>
          <w:rFonts w:ascii="Times New Roman" w:hAnsi="Times New Roman"/>
        </w:rPr>
        <w:t>w postępowaniu przygotowawczym z należytą ostrożnością</w:t>
      </w:r>
      <w:r w:rsidR="00BB3E3C" w:rsidRPr="003E0C66">
        <w:rPr>
          <w:rFonts w:ascii="Times New Roman" w:hAnsi="Times New Roman"/>
        </w:rPr>
        <w:t xml:space="preserve">, między innymi poprzez porównanie złożonych przez kobiety zeznań podczas różnych przesłuchań.   </w:t>
      </w:r>
      <w:r w:rsidR="00E40211" w:rsidRPr="003E0C66">
        <w:rPr>
          <w:rFonts w:ascii="Times New Roman" w:hAnsi="Times New Roman"/>
        </w:rPr>
        <w:t xml:space="preserve">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90</w:t>
      </w:r>
      <w:r w:rsidRPr="003E0C66">
        <w:fldChar w:fldCharType="end"/>
      </w:r>
      <w:r w:rsidR="00E05B22" w:rsidRPr="003E0C66">
        <w:t>.  </w:t>
      </w:r>
      <w:r w:rsidR="00BB3E3C" w:rsidRPr="003E0C66">
        <w:t>Rząd argu</w:t>
      </w:r>
      <w:r w:rsidR="001D1FA3" w:rsidRPr="003E0C66">
        <w:t xml:space="preserve">mentował, iż w niemieckich postępowaniach karnych, zarówno sąd jak i prokuratura </w:t>
      </w:r>
      <w:r w:rsidR="00D810AC">
        <w:t>były</w:t>
      </w:r>
      <w:r w:rsidR="00D810AC" w:rsidRPr="003E0C66">
        <w:t xml:space="preserve"> </w:t>
      </w:r>
      <w:r w:rsidR="001D1FA3" w:rsidRPr="003E0C66">
        <w:t>zobowiązane przez prawo</w:t>
      </w:r>
      <w:r w:rsidR="00D810AC">
        <w:t xml:space="preserve"> do badania</w:t>
      </w:r>
      <w:r w:rsidR="001D1FA3" w:rsidRPr="003E0C66">
        <w:t xml:space="preserve"> </w:t>
      </w:r>
      <w:r w:rsidR="00D810AC">
        <w:t xml:space="preserve">zarówno </w:t>
      </w:r>
      <w:r w:rsidR="001D1FA3" w:rsidRPr="003E0C66">
        <w:t>dowod</w:t>
      </w:r>
      <w:r w:rsidR="00D810AC">
        <w:t>ów</w:t>
      </w:r>
      <w:r w:rsidR="001D1FA3" w:rsidRPr="003E0C66">
        <w:t xml:space="preserve"> obciążając</w:t>
      </w:r>
      <w:r w:rsidR="00D810AC">
        <w:t>ych</w:t>
      </w:r>
      <w:r w:rsidR="001D1FA3" w:rsidRPr="003E0C66">
        <w:t xml:space="preserve"> oskarżonego jak i </w:t>
      </w:r>
      <w:r w:rsidR="00D810AC">
        <w:t>dowodów</w:t>
      </w:r>
      <w:r w:rsidR="00D810AC" w:rsidRPr="003E0C66">
        <w:t xml:space="preserve"> </w:t>
      </w:r>
      <w:r w:rsidR="00D810AC">
        <w:t xml:space="preserve">na jego </w:t>
      </w:r>
      <w:r w:rsidR="00D810AC">
        <w:lastRenderedPageBreak/>
        <w:t>korzyść</w:t>
      </w:r>
      <w:r w:rsidR="001D1FA3" w:rsidRPr="003E0C66">
        <w:t>. To częściowo zrekompensowało oskarżonemu brak możliwości przesłuchania świadków</w:t>
      </w:r>
      <w:r w:rsidR="00D810AC">
        <w:t xml:space="preserve"> oskarżenia</w:t>
      </w:r>
      <w:r w:rsidR="001D1FA3" w:rsidRPr="003E0C66">
        <w:t xml:space="preserve">.  </w:t>
      </w:r>
      <w:r w:rsidR="00BB3E3C" w:rsidRPr="003E0C66">
        <w:t xml:space="preserve">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91</w:t>
      </w:r>
      <w:r w:rsidRPr="003E0C66">
        <w:fldChar w:fldCharType="end"/>
      </w:r>
      <w:r w:rsidR="00E05B22" w:rsidRPr="003E0C66">
        <w:t>.</w:t>
      </w:r>
      <w:r w:rsidR="00E6574C" w:rsidRPr="003E0C66">
        <w:t xml:space="preserve"> Podczas sprawdzania prawdziwości zeznań świadków Sąd Okręgowy </w:t>
      </w:r>
      <w:r w:rsidR="00D810AC">
        <w:t>oparł się także na</w:t>
      </w:r>
      <w:r w:rsidR="00E6574C" w:rsidRPr="003E0C66">
        <w:t xml:space="preserve"> wielu potwierdzających </w:t>
      </w:r>
      <w:r w:rsidR="00D810AC">
        <w:t>elementach dowodowych</w:t>
      </w:r>
      <w:r w:rsidR="00E6574C" w:rsidRPr="003E0C66">
        <w:t xml:space="preserve">, w tym zarówno </w:t>
      </w:r>
      <w:r w:rsidR="00D810AC">
        <w:t xml:space="preserve">zeznaniach świadków </w:t>
      </w:r>
      <w:r w:rsidR="00D02FAC">
        <w:t>„</w:t>
      </w:r>
      <w:r w:rsidR="00D810AC">
        <w:t>ze słyszenia</w:t>
      </w:r>
      <w:r w:rsidR="00D02FAC">
        <w:t>”</w:t>
      </w:r>
      <w:r w:rsidR="00E6574C" w:rsidRPr="003E0C66">
        <w:t>, jak i wiarygodnych dowodów fizycznych uzyskanych za pomocą środków umożliwiających obserwację oskarżonego.</w:t>
      </w:r>
      <w:r w:rsidR="00DC7DFF" w:rsidRPr="003E0C66">
        <w:t xml:space="preserve"> Środki te obejmowały, </w:t>
      </w:r>
      <w:r w:rsidR="00675438">
        <w:t>w szczególności</w:t>
      </w:r>
      <w:r w:rsidR="00DC7DFF" w:rsidRPr="003E0C66">
        <w:t>, analizę danych geograficznych z telefonu komórkowego oskarżonego oraz nagranie jego rozmowy telefonicznej z jednym z jego wspólników w czasie, gdy popełniono przestępstwo,</w:t>
      </w:r>
      <w:r w:rsidR="00E05B22" w:rsidRPr="003E0C66">
        <w:t> </w:t>
      </w:r>
      <w:r w:rsidR="00DC7DFF" w:rsidRPr="003E0C66">
        <w:t xml:space="preserve">w </w:t>
      </w:r>
      <w:r w:rsidR="00D02FAC" w:rsidRPr="003E0C66">
        <w:t>któr</w:t>
      </w:r>
      <w:r w:rsidR="00D02FAC">
        <w:t>ej</w:t>
      </w:r>
      <w:r w:rsidR="00D02FAC" w:rsidRPr="003E0C66">
        <w:t xml:space="preserve"> </w:t>
      </w:r>
      <w:r w:rsidR="00DC7DFF" w:rsidRPr="003E0C66">
        <w:t>opisał to, jak jedna z kobiet wyskoczyła przez balkon</w:t>
      </w:r>
      <w:r w:rsidR="00675438">
        <w:t xml:space="preserve"> i</w:t>
      </w:r>
      <w:r w:rsidR="00DC7DFF" w:rsidRPr="003E0C66">
        <w:t xml:space="preserve"> uciekała przed </w:t>
      </w:r>
      <w:r w:rsidR="00675438">
        <w:t>skarżącym,</w:t>
      </w:r>
      <w:r w:rsidR="00675438" w:rsidRPr="003E0C66">
        <w:t xml:space="preserve"> </w:t>
      </w:r>
      <w:r w:rsidR="00675438">
        <w:t>który</w:t>
      </w:r>
      <w:r w:rsidR="00DC7DFF" w:rsidRPr="003E0C66">
        <w:t xml:space="preserve"> ją gonił.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92</w:t>
      </w:r>
      <w:r w:rsidRPr="003E0C66">
        <w:fldChar w:fldCharType="end"/>
      </w:r>
      <w:r w:rsidR="00E05B22" w:rsidRPr="003E0C66">
        <w:t>.  </w:t>
      </w:r>
      <w:r w:rsidR="00DC7DFF" w:rsidRPr="003E0C66">
        <w:t xml:space="preserve">Ponadto skarżący miał </w:t>
      </w:r>
      <w:r w:rsidR="00675438">
        <w:t>możliwość</w:t>
      </w:r>
      <w:r w:rsidR="00675438" w:rsidRPr="003E0C66">
        <w:t xml:space="preserve"> </w:t>
      </w:r>
      <w:r w:rsidR="00D02FAC" w:rsidRPr="003E0C66">
        <w:t>przesłucha</w:t>
      </w:r>
      <w:r w:rsidR="00D02FAC">
        <w:t>nia</w:t>
      </w:r>
      <w:r w:rsidR="00D02FAC" w:rsidRPr="003E0C66">
        <w:t xml:space="preserve"> </w:t>
      </w:r>
      <w:r w:rsidR="00DC7DFF" w:rsidRPr="003E0C66">
        <w:t xml:space="preserve">oraz </w:t>
      </w:r>
      <w:r w:rsidR="00D02FAC" w:rsidRPr="003E0C66">
        <w:t>podważ</w:t>
      </w:r>
      <w:r w:rsidR="00D02FAC">
        <w:t xml:space="preserve">enia </w:t>
      </w:r>
      <w:r w:rsidR="00DC7DFF" w:rsidRPr="003E0C66">
        <w:t>wiarygodnoś</w:t>
      </w:r>
      <w:r w:rsidR="00D02FAC">
        <w:t>ci</w:t>
      </w:r>
      <w:r w:rsidR="00DC7DFF" w:rsidRPr="003E0C66">
        <w:t xml:space="preserve"> prawie </w:t>
      </w:r>
      <w:r w:rsidR="00675438" w:rsidRPr="003E0C66">
        <w:t>każde</w:t>
      </w:r>
      <w:r w:rsidR="00675438">
        <w:t>j osoby</w:t>
      </w:r>
      <w:r w:rsidR="00DC7DFF" w:rsidRPr="003E0C66">
        <w:t>, kt</w:t>
      </w:r>
      <w:r w:rsidR="00675438">
        <w:t>óra</w:t>
      </w:r>
      <w:r w:rsidR="00DC7DFF" w:rsidRPr="003E0C66">
        <w:t xml:space="preserve"> przesłuchiwał</w:t>
      </w:r>
      <w:r w:rsidR="00675438">
        <w:t>a</w:t>
      </w:r>
      <w:r w:rsidR="00DC7DFF" w:rsidRPr="003E0C66">
        <w:t xml:space="preserve"> O. i P. na etapie dochodzenia; Sąd Okręgowy przesłuchał ró</w:t>
      </w:r>
      <w:r w:rsidR="0081435C" w:rsidRPr="003E0C66">
        <w:t xml:space="preserve">wnież te osoby </w:t>
      </w:r>
      <w:r w:rsidR="00675438">
        <w:t>na okoliczność</w:t>
      </w:r>
      <w:r w:rsidR="0081435C" w:rsidRPr="003E0C66">
        <w:t xml:space="preserve"> zachowania</w:t>
      </w:r>
      <w:r w:rsidR="00675438">
        <w:t xml:space="preserve"> świadków</w:t>
      </w:r>
      <w:r w:rsidR="0081435C" w:rsidRPr="003E0C66">
        <w:t xml:space="preserve"> i </w:t>
      </w:r>
      <w:r w:rsidR="00675438">
        <w:t xml:space="preserve">ich </w:t>
      </w:r>
      <w:r w:rsidR="0081435C" w:rsidRPr="003E0C66">
        <w:t xml:space="preserve">stanu emocjonalnego podczas przesłuchań. </w:t>
      </w:r>
      <w:r w:rsidR="00DC7DFF" w:rsidRPr="003E0C66">
        <w:t xml:space="preserve"> 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93</w:t>
      </w:r>
      <w:r w:rsidRPr="003E0C66">
        <w:fldChar w:fldCharType="end"/>
      </w:r>
      <w:r w:rsidR="00E05B22" w:rsidRPr="003E0C66">
        <w:t>. </w:t>
      </w:r>
      <w:r w:rsidR="0081435C" w:rsidRPr="003E0C66">
        <w:t xml:space="preserve"> </w:t>
      </w:r>
      <w:r w:rsidR="00D02FAC">
        <w:t>C</w:t>
      </w:r>
      <w:r w:rsidR="00675438">
        <w:t>o do faktu</w:t>
      </w:r>
      <w:r w:rsidR="0081435C" w:rsidRPr="003E0C66">
        <w:t>, ż</w:t>
      </w:r>
      <w:r w:rsidR="00675438">
        <w:t>e</w:t>
      </w:r>
      <w:r w:rsidR="0081435C" w:rsidRPr="003E0C66">
        <w:t xml:space="preserve"> ani skarżący, ani jego obrońca nie mieli możliwości przesłuchania świadków O. i P. na etapie dochodzenia, Rząd </w:t>
      </w:r>
      <w:r w:rsidR="00675438">
        <w:t>stwierdził</w:t>
      </w:r>
      <w:r w:rsidR="0081435C" w:rsidRPr="003E0C66">
        <w:t xml:space="preserve">, iż sędzia </w:t>
      </w:r>
      <w:r w:rsidR="00675438">
        <w:t>śledczy</w:t>
      </w:r>
      <w:r w:rsidR="0081435C" w:rsidRPr="003E0C66">
        <w:t xml:space="preserve"> wykluczył skarżącego z przesłuchania na mocy </w:t>
      </w:r>
      <w:r w:rsidR="00675438">
        <w:t>a</w:t>
      </w:r>
      <w:r w:rsidR="0081435C" w:rsidRPr="003E0C66">
        <w:t>rtykułu 168c §</w:t>
      </w:r>
      <w:r w:rsidR="00D02FAC">
        <w:t xml:space="preserve"> </w:t>
      </w:r>
      <w:r w:rsidR="0081435C" w:rsidRPr="003E0C66">
        <w:t xml:space="preserve">3 Kodeksu </w:t>
      </w:r>
      <w:r w:rsidR="00675438">
        <w:t>p</w:t>
      </w:r>
      <w:r w:rsidR="0081435C" w:rsidRPr="003E0C66">
        <w:t xml:space="preserve">ostępowania </w:t>
      </w:r>
      <w:r w:rsidR="00675438">
        <w:t>k</w:t>
      </w:r>
      <w:r w:rsidR="0081435C" w:rsidRPr="003E0C66">
        <w:t>arnego w celu zapewnienia świadkom bezpieczeństwa</w:t>
      </w:r>
      <w:r w:rsidR="0071479F" w:rsidRPr="003E0C66">
        <w:t xml:space="preserve"> i ustalenia stanu faktycznego. </w:t>
      </w:r>
      <w:r w:rsidR="00675438">
        <w:t xml:space="preserve">Pokrzywdzone, które </w:t>
      </w:r>
      <w:r w:rsidR="0071479F" w:rsidRPr="003E0C66">
        <w:t xml:space="preserve">bardzo </w:t>
      </w:r>
      <w:r w:rsidR="00675438">
        <w:t>obawiały się</w:t>
      </w:r>
      <w:r w:rsidR="00675438" w:rsidRPr="003E0C66">
        <w:t xml:space="preserve"> </w:t>
      </w:r>
      <w:r w:rsidR="00675438">
        <w:t>sprawców</w:t>
      </w:r>
      <w:r w:rsidR="0071479F" w:rsidRPr="003E0C66">
        <w:t>, mogły</w:t>
      </w:r>
      <w:r w:rsidR="00675438">
        <w:t>by</w:t>
      </w:r>
      <w:r w:rsidR="0071479F" w:rsidRPr="003E0C66">
        <w:t xml:space="preserve"> nie złożyć </w:t>
      </w:r>
      <w:r w:rsidR="00675438">
        <w:t xml:space="preserve">kompletnych i </w:t>
      </w:r>
      <w:r w:rsidR="0071479F" w:rsidRPr="003E0C66">
        <w:t xml:space="preserve">prawdziwych zeznań w ich obecności. </w:t>
      </w:r>
      <w:r w:rsidR="00675438">
        <w:t>M</w:t>
      </w:r>
      <w:r w:rsidR="0071479F" w:rsidRPr="003E0C66">
        <w:t xml:space="preserve">iały </w:t>
      </w:r>
      <w:r w:rsidR="00675438">
        <w:t xml:space="preserve">one </w:t>
      </w:r>
      <w:r w:rsidR="0071479F" w:rsidRPr="003E0C66">
        <w:t>uzasadnione powody</w:t>
      </w:r>
      <w:r w:rsidR="001875F8" w:rsidRPr="003E0C66">
        <w:t>,</w:t>
      </w:r>
      <w:r w:rsidR="0071479F" w:rsidRPr="003E0C66">
        <w:t xml:space="preserve"> </w:t>
      </w:r>
      <w:r w:rsidR="00DE38D3" w:rsidRPr="003E0C66">
        <w:t>aby obawiać się</w:t>
      </w:r>
      <w:r w:rsidR="001875F8" w:rsidRPr="003E0C66">
        <w:t xml:space="preserve"> zemsty,</w:t>
      </w:r>
      <w:r w:rsidR="0081435C" w:rsidRPr="003E0C66">
        <w:t xml:space="preserve"> </w:t>
      </w:r>
      <w:r w:rsidR="00DE38D3" w:rsidRPr="003E0C66">
        <w:t xml:space="preserve">biorąc pod uwagę fakt, iż skarżący </w:t>
      </w:r>
      <w:r w:rsidR="00675438">
        <w:t>był podejrzany o dopuszczenie</w:t>
      </w:r>
      <w:r w:rsidR="00675438" w:rsidRPr="003E0C66">
        <w:t xml:space="preserve"> </w:t>
      </w:r>
      <w:r w:rsidR="00DE38D3" w:rsidRPr="003E0C66">
        <w:t>się podobnego przestępstwa w</w:t>
      </w:r>
      <w:r w:rsidR="00E05B22" w:rsidRPr="003E0C66">
        <w:t xml:space="preserve"> Kassel.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94</w:t>
      </w:r>
      <w:r w:rsidRPr="003E0C66">
        <w:fldChar w:fldCharType="end"/>
      </w:r>
      <w:r w:rsidR="00E05B22" w:rsidRPr="003E0C66">
        <w:t>. </w:t>
      </w:r>
      <w:r w:rsidR="00932868">
        <w:t>Co więcej,</w:t>
      </w:r>
      <w:r w:rsidR="00932868" w:rsidRPr="003E0C66">
        <w:t xml:space="preserve"> </w:t>
      </w:r>
      <w:r w:rsidR="00932868">
        <w:t>ponieważ pokrzywdzone mogły</w:t>
      </w:r>
      <w:r w:rsidR="00932868" w:rsidRPr="003E0C66">
        <w:t xml:space="preserve"> </w:t>
      </w:r>
      <w:r w:rsidR="0013678E" w:rsidRPr="003E0C66">
        <w:t>mieć powód, aby obawiać się, że obrońca oskarżonego wyznaczony do jego reprezentowania poinformuje go o przesłuchaniu oraz przekaże mu to</w:t>
      </w:r>
      <w:r w:rsidR="00932868">
        <w:t>,</w:t>
      </w:r>
      <w:r w:rsidR="0013678E" w:rsidRPr="003E0C66">
        <w:t xml:space="preserve"> co zeznały kobiety, </w:t>
      </w:r>
      <w:r w:rsidR="00932868">
        <w:t>mogłyby nie złożyć</w:t>
      </w:r>
      <w:r w:rsidR="0013678E" w:rsidRPr="003E0C66">
        <w:t xml:space="preserve"> </w:t>
      </w:r>
      <w:r w:rsidR="00932868">
        <w:t>żadnych lub dokładnych</w:t>
      </w:r>
      <w:r w:rsidR="00932868" w:rsidRPr="003E0C66">
        <w:t xml:space="preserve"> </w:t>
      </w:r>
      <w:r w:rsidR="0013678E" w:rsidRPr="003E0C66">
        <w:t xml:space="preserve">zeznań w obecności obrońcy. Rząd wyjaśnił, iż zgodnie z </w:t>
      </w:r>
      <w:r w:rsidR="00932868">
        <w:t>a</w:t>
      </w:r>
      <w:r w:rsidR="0013678E" w:rsidRPr="003E0C66">
        <w:t>rtykułem 168c §</w:t>
      </w:r>
      <w:r w:rsidR="00932868">
        <w:t xml:space="preserve"> </w:t>
      </w:r>
      <w:r w:rsidR="0013678E" w:rsidRPr="003E0C66">
        <w:t xml:space="preserve">5 Kodeksu </w:t>
      </w:r>
      <w:r w:rsidR="00932868">
        <w:t>p</w:t>
      </w:r>
      <w:r w:rsidR="0013678E" w:rsidRPr="003E0C66">
        <w:t xml:space="preserve">ostępowania </w:t>
      </w:r>
      <w:r w:rsidR="00932868">
        <w:t>k</w:t>
      </w:r>
      <w:r w:rsidR="0013678E" w:rsidRPr="003E0C66">
        <w:t xml:space="preserve">arnego </w:t>
      </w:r>
      <w:r w:rsidR="00932868">
        <w:t>s</w:t>
      </w:r>
      <w:r w:rsidR="0013678E" w:rsidRPr="003E0C66">
        <w:t xml:space="preserve">ąd miał prawo nie informować </w:t>
      </w:r>
      <w:r w:rsidR="00932868">
        <w:t>obrońcy</w:t>
      </w:r>
      <w:r w:rsidR="00932868" w:rsidRPr="003E0C66">
        <w:t xml:space="preserve"> </w:t>
      </w:r>
      <w:r w:rsidR="0013678E" w:rsidRPr="003E0C66">
        <w:t>skarżącego o przesłuchaniu</w:t>
      </w:r>
      <w:r w:rsidR="00D02FAC">
        <w:t>,</w:t>
      </w:r>
      <w:r w:rsidR="0013678E" w:rsidRPr="003E0C66">
        <w:t xml:space="preserve"> </w:t>
      </w:r>
      <w:r w:rsidR="00B90952" w:rsidRPr="003E0C66">
        <w:t xml:space="preserve">jeśli mogłoby to zagrozić powodzeniu dochodzenia. Zgodnie z orzecznictwem Federalnego Trybunału Sprawiedliwości </w:t>
      </w:r>
      <w:r w:rsidR="00405E6C" w:rsidRPr="003E0C66">
        <w:t xml:space="preserve">(odwołano się także do wyroku tego Trybunału z 25 lipca 2000 roku, zobacz paragrafy 58-59 </w:t>
      </w:r>
      <w:r w:rsidR="00932868">
        <w:t xml:space="preserve">i 62 </w:t>
      </w:r>
      <w:r w:rsidR="00405E6C" w:rsidRPr="003E0C66">
        <w:t xml:space="preserve">powyżej) </w:t>
      </w:r>
      <w:r w:rsidR="00932868">
        <w:t>wyznaczenie</w:t>
      </w:r>
      <w:r w:rsidR="00932868" w:rsidRPr="003E0C66">
        <w:t xml:space="preserve"> </w:t>
      </w:r>
      <w:r w:rsidR="00405E6C" w:rsidRPr="003E0C66">
        <w:t xml:space="preserve">obrońcy i jego późniejsza obecność podczas przesłuchania nie były </w:t>
      </w:r>
      <w:r w:rsidR="00932868">
        <w:t>wymagane</w:t>
      </w:r>
      <w:r w:rsidR="00405E6C" w:rsidRPr="003E0C66">
        <w:t xml:space="preserve">.  </w:t>
      </w:r>
      <w:r w:rsidR="0013678E" w:rsidRPr="003E0C66">
        <w:t xml:space="preserve"> 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95</w:t>
      </w:r>
      <w:r w:rsidRPr="003E0C66">
        <w:fldChar w:fldCharType="end"/>
      </w:r>
      <w:r w:rsidR="00E05B22" w:rsidRPr="003E0C66">
        <w:t>.  </w:t>
      </w:r>
      <w:r w:rsidR="00405E6C" w:rsidRPr="003E0C66">
        <w:t xml:space="preserve">Rząd zauważył, iż po </w:t>
      </w:r>
      <w:r w:rsidR="009C587C">
        <w:t>zatrzymaniu skarżącego</w:t>
      </w:r>
      <w:r w:rsidR="009C587C" w:rsidRPr="003E0C66">
        <w:t xml:space="preserve"> </w:t>
      </w:r>
      <w:r w:rsidR="00405E6C" w:rsidRPr="003E0C66">
        <w:t xml:space="preserve">nie zażądał </w:t>
      </w:r>
      <w:r w:rsidR="009C587C">
        <w:t xml:space="preserve">on </w:t>
      </w:r>
      <w:r w:rsidR="00405E6C" w:rsidRPr="003E0C66">
        <w:t>ponownego przesłuchania świadków w jego obecności podczas dochodzenia. Rząd podkreślił również, że nie było możliwym do przewidzenia, iż O. i</w:t>
      </w:r>
      <w:r w:rsidR="00EC09F9" w:rsidRPr="003E0C66">
        <w:t xml:space="preserve"> P. nie stawią się na rozprawie, ponieważ skarżący i jego wspólnicy, którzy przebywali wtedy w areszcie, nie stanowiliby dla </w:t>
      </w:r>
      <w:r w:rsidR="00A51304">
        <w:t>pokrzywdzonych</w:t>
      </w:r>
      <w:r w:rsidR="00A51304" w:rsidRPr="003E0C66">
        <w:t xml:space="preserve"> </w:t>
      </w:r>
      <w:r w:rsidR="00EC09F9" w:rsidRPr="003E0C66">
        <w:t xml:space="preserve">zagrożenia. W każdym razie skarżący </w:t>
      </w:r>
      <w:r w:rsidR="009C587C">
        <w:t>nigdy nie złożył żadnych wniosków</w:t>
      </w:r>
      <w:r w:rsidR="006B4371" w:rsidRPr="003E0C66">
        <w:t xml:space="preserve"> wskazujących o co chciałby zapytać ofiary, których tożsamość i miejsce pobytu były mu znane lub z jakich powodów chciałby </w:t>
      </w:r>
      <w:r w:rsidR="00A51304">
        <w:t>mieć możliwość zakwestionowania</w:t>
      </w:r>
      <w:r w:rsidR="00A51304" w:rsidRPr="003E0C66">
        <w:t xml:space="preserve"> </w:t>
      </w:r>
      <w:r w:rsidR="006B4371" w:rsidRPr="003E0C66">
        <w:t>ich wiarygodnoś</w:t>
      </w:r>
      <w:r w:rsidR="00A51304">
        <w:t>ci</w:t>
      </w:r>
      <w:r w:rsidR="006B4371" w:rsidRPr="003E0C66">
        <w:t xml:space="preserve">. </w:t>
      </w:r>
      <w:r w:rsidR="00EC09F9" w:rsidRPr="003E0C66">
        <w:t xml:space="preserve">  </w:t>
      </w:r>
    </w:p>
    <w:p w:rsidR="00E05B22" w:rsidRPr="003E0C66" w:rsidRDefault="00E05B22" w:rsidP="00BC0CE7">
      <w:pPr>
        <w:pStyle w:val="ECHRHeading3"/>
      </w:pPr>
      <w:r w:rsidRPr="003E0C66">
        <w:lastRenderedPageBreak/>
        <w:t>3. </w:t>
      </w:r>
      <w:r w:rsidR="00D761D6" w:rsidRPr="003E0C66">
        <w:t xml:space="preserve">Rząd </w:t>
      </w:r>
      <w:r w:rsidR="00A51304" w:rsidRPr="003E0C66">
        <w:t>C</w:t>
      </w:r>
      <w:r w:rsidR="00A51304">
        <w:t>zech</w:t>
      </w:r>
      <w:r w:rsidR="00D761D6" w:rsidRPr="003E0C66">
        <w:t xml:space="preserve">, </w:t>
      </w:r>
      <w:r w:rsidR="00A51304">
        <w:t>strona trzecia</w:t>
      </w:r>
      <w:r w:rsidR="00315375" w:rsidRPr="003E0C66">
        <w:t xml:space="preserve"> </w:t>
      </w:r>
      <w:r w:rsidR="00D761D6" w:rsidRPr="003E0C66">
        <w:t xml:space="preserve"> </w:t>
      </w:r>
      <w:r w:rsidRPr="003E0C66">
        <w:t> </w:t>
      </w:r>
    </w:p>
    <w:p w:rsidR="00E05B22" w:rsidRPr="003E0C66" w:rsidRDefault="006B25B0" w:rsidP="00790C7C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96</w:t>
      </w:r>
      <w:r w:rsidRPr="003E0C66">
        <w:fldChar w:fldCharType="end"/>
      </w:r>
      <w:r w:rsidR="00E05B22" w:rsidRPr="003E0C66">
        <w:t>.  </w:t>
      </w:r>
      <w:r w:rsidR="00315375" w:rsidRPr="003E0C66">
        <w:t xml:space="preserve">Rząd Czech uznał, </w:t>
      </w:r>
      <w:r w:rsidR="00D02FAC">
        <w:t>że</w:t>
      </w:r>
      <w:r w:rsidR="00D02FAC" w:rsidRPr="003E0C66">
        <w:t xml:space="preserve"> </w:t>
      </w:r>
      <w:r w:rsidR="00315375" w:rsidRPr="003E0C66">
        <w:t xml:space="preserve">niniejsza sprawa </w:t>
      </w:r>
      <w:r w:rsidR="00FF0D1C" w:rsidRPr="003E0C66">
        <w:t xml:space="preserve">dała </w:t>
      </w:r>
      <w:r w:rsidR="0050486E" w:rsidRPr="003E0C66">
        <w:t xml:space="preserve">Trybunałowi okazję do wyjaśnienia i uściślenia zasad </w:t>
      </w:r>
      <w:r w:rsidR="004F5C7F">
        <w:t>ustalonych w</w:t>
      </w:r>
      <w:r w:rsidR="004F5C7F" w:rsidRPr="003E0C66">
        <w:t xml:space="preserve"> </w:t>
      </w:r>
      <w:r w:rsidR="0050486E" w:rsidRPr="003E0C66">
        <w:t>wyrok</w:t>
      </w:r>
      <w:r w:rsidR="004F5C7F">
        <w:t>u</w:t>
      </w:r>
      <w:r w:rsidR="0050486E" w:rsidRPr="003E0C66">
        <w:t xml:space="preserve"> </w:t>
      </w:r>
      <w:r w:rsidR="0050486E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50486E" w:rsidRPr="003E0C66">
        <w:t xml:space="preserve"> (</w:t>
      </w:r>
      <w:r w:rsidR="004F5C7F">
        <w:t>cytowany</w:t>
      </w:r>
      <w:r w:rsidR="004F5C7F" w:rsidRPr="003E0C66">
        <w:t xml:space="preserve"> </w:t>
      </w:r>
      <w:r w:rsidR="0050486E" w:rsidRPr="003E0C66">
        <w:t>powyżej</w:t>
      </w:r>
      <w:r w:rsidR="00E05B22" w:rsidRPr="003E0C66">
        <w:t>).</w:t>
      </w:r>
      <w:r w:rsidR="00790C7C" w:rsidRPr="003E0C66">
        <w:t xml:space="preserve"> Rząd stał na stanowisku, iż zasady dotyczące dopuszczania dowodów z zeznań nieobecnych świadków </w:t>
      </w:r>
      <w:r w:rsidR="004F5C7F">
        <w:t xml:space="preserve">zostały </w:t>
      </w:r>
      <w:r w:rsidR="00790C7C" w:rsidRPr="003E0C66">
        <w:t xml:space="preserve">w nim (w/w wyroku) </w:t>
      </w:r>
      <w:r w:rsidR="004F5C7F">
        <w:t>ustalone</w:t>
      </w:r>
      <w:r w:rsidR="004F5C7F" w:rsidRPr="003E0C66">
        <w:t xml:space="preserve"> </w:t>
      </w:r>
      <w:r w:rsidR="00790C7C" w:rsidRPr="003E0C66">
        <w:t xml:space="preserve">w </w:t>
      </w:r>
      <w:r w:rsidR="004F5C7F">
        <w:t>odniesieniu do</w:t>
      </w:r>
      <w:r w:rsidR="00790C7C" w:rsidRPr="003E0C66">
        <w:t xml:space="preserve"> systemu </w:t>
      </w:r>
      <w:proofErr w:type="spellStart"/>
      <w:r w:rsidR="00790C7C" w:rsidRPr="00E11235">
        <w:rPr>
          <w:i/>
        </w:rPr>
        <w:t>common</w:t>
      </w:r>
      <w:proofErr w:type="spellEnd"/>
      <w:r w:rsidR="00790C7C" w:rsidRPr="00E11235">
        <w:rPr>
          <w:i/>
        </w:rPr>
        <w:t>-law</w:t>
      </w:r>
      <w:r w:rsidR="00790C7C" w:rsidRPr="003E0C66">
        <w:t xml:space="preserve"> </w:t>
      </w:r>
      <w:r w:rsidR="004F5C7F">
        <w:t xml:space="preserve">i </w:t>
      </w:r>
      <w:r w:rsidR="00790C7C" w:rsidRPr="003E0C66">
        <w:t xml:space="preserve">nie </w:t>
      </w:r>
      <w:r w:rsidR="004F5C7F">
        <w:t>były</w:t>
      </w:r>
      <w:r w:rsidR="004F5C7F" w:rsidRPr="003E0C66">
        <w:t xml:space="preserve"> </w:t>
      </w:r>
      <w:r w:rsidR="00790C7C" w:rsidRPr="003E0C66">
        <w:t xml:space="preserve">w pełni </w:t>
      </w:r>
      <w:r w:rsidR="004F5C7F">
        <w:t>stosowalne</w:t>
      </w:r>
      <w:r w:rsidR="004F5C7F" w:rsidRPr="003E0C66">
        <w:t xml:space="preserve"> </w:t>
      </w:r>
      <w:r w:rsidR="00790C7C" w:rsidRPr="003E0C66">
        <w:t>w przypadku systemu prawa kontynentalnego. Rząd uważał, ż</w:t>
      </w:r>
      <w:r w:rsidR="004F5C7F">
        <w:t>e</w:t>
      </w:r>
      <w:r w:rsidR="00790C7C" w:rsidRPr="003E0C66">
        <w:t xml:space="preserve"> </w:t>
      </w:r>
      <w:r w:rsidR="004F5C7F">
        <w:t>Trybunał</w:t>
      </w:r>
      <w:r w:rsidR="004F5C7F" w:rsidRPr="003E0C66">
        <w:t xml:space="preserve"> </w:t>
      </w:r>
      <w:r w:rsidR="00790C7C" w:rsidRPr="003E0C66">
        <w:t xml:space="preserve">powinien wziąć pod uwagę </w:t>
      </w:r>
      <w:r w:rsidR="004F5C7F">
        <w:t>specyficzne</w:t>
      </w:r>
      <w:r w:rsidR="004F5C7F" w:rsidRPr="003E0C66">
        <w:t xml:space="preserve"> </w:t>
      </w:r>
      <w:r w:rsidR="00790C7C" w:rsidRPr="003E0C66">
        <w:t>cechy konkretnego systemu prawnego</w:t>
      </w:r>
      <w:r w:rsidR="00E05B22" w:rsidRPr="003E0C66">
        <w:t>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97</w:t>
      </w:r>
      <w:r w:rsidRPr="003E0C66">
        <w:fldChar w:fldCharType="end"/>
      </w:r>
      <w:r w:rsidR="00E05B22" w:rsidRPr="003E0C66">
        <w:t>.  </w:t>
      </w:r>
      <w:r w:rsidR="00790C7C" w:rsidRPr="003E0C66">
        <w:t>Rząd</w:t>
      </w:r>
      <w:r w:rsidR="004F5C7F">
        <w:t xml:space="preserve"> – </w:t>
      </w:r>
      <w:r w:rsidR="004474FE">
        <w:t>S</w:t>
      </w:r>
      <w:r w:rsidR="004F5C7F">
        <w:t>trona trzecia</w:t>
      </w:r>
      <w:r w:rsidR="00790C7C" w:rsidRPr="003E0C66">
        <w:t xml:space="preserve"> zasugerował, ż</w:t>
      </w:r>
      <w:r w:rsidR="004F5C7F">
        <w:t>e</w:t>
      </w:r>
      <w:r w:rsidR="00790C7C" w:rsidRPr="003E0C66">
        <w:t xml:space="preserve"> </w:t>
      </w:r>
      <w:r w:rsidR="004F5C7F">
        <w:t>Trybunał</w:t>
      </w:r>
      <w:r w:rsidR="00790C7C" w:rsidRPr="003E0C66">
        <w:t xml:space="preserve">, przed zbadaniem czy istnieją </w:t>
      </w:r>
      <w:r w:rsidR="004F5C7F">
        <w:t>ważne</w:t>
      </w:r>
      <w:r w:rsidR="004F5C7F" w:rsidRPr="003E0C66">
        <w:t xml:space="preserve"> </w:t>
      </w:r>
      <w:r w:rsidR="00790C7C" w:rsidRPr="003E0C66">
        <w:t xml:space="preserve">powody pozwalające na dopuszczenie dowodu z zeznań </w:t>
      </w:r>
      <w:r w:rsidR="004F5C7F" w:rsidRPr="003E0C66">
        <w:t>nieobecn</w:t>
      </w:r>
      <w:r w:rsidR="004F5C7F">
        <w:t>ego</w:t>
      </w:r>
      <w:r w:rsidR="004F5C7F" w:rsidRPr="003E0C66">
        <w:t xml:space="preserve"> </w:t>
      </w:r>
      <w:r w:rsidR="00790C7C" w:rsidRPr="003E0C66">
        <w:t>świadk</w:t>
      </w:r>
      <w:r w:rsidR="004F5C7F">
        <w:t>a</w:t>
      </w:r>
      <w:r w:rsidR="00790C7C" w:rsidRPr="003E0C66">
        <w:t xml:space="preserve"> (odwołano się do </w:t>
      </w:r>
      <w:r w:rsidR="00790C7C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4F5C7F">
        <w:t>cytowanego</w:t>
      </w:r>
      <w:r w:rsidR="004F5C7F" w:rsidRPr="003E0C66">
        <w:t xml:space="preserve"> </w:t>
      </w:r>
      <w:r w:rsidR="00790C7C" w:rsidRPr="003E0C66">
        <w:t>powyżej, §</w:t>
      </w:r>
      <w:r w:rsidR="00D02FAC">
        <w:t xml:space="preserve"> </w:t>
      </w:r>
      <w:r w:rsidR="00790C7C" w:rsidRPr="003E0C66">
        <w:t>120)</w:t>
      </w:r>
      <w:r w:rsidR="004F5C7F">
        <w:t>,</w:t>
      </w:r>
      <w:r w:rsidR="00790C7C" w:rsidRPr="003E0C66">
        <w:t xml:space="preserve"> powinien zweryfikować czy kwestionowany dowód</w:t>
      </w:r>
      <w:r w:rsidR="004A4969" w:rsidRPr="003E0C66">
        <w:t xml:space="preserve"> był jedynym i decydującym dowodem </w:t>
      </w:r>
      <w:r w:rsidR="004F5C7F">
        <w:t xml:space="preserve">stanowiącym podstawę </w:t>
      </w:r>
      <w:r w:rsidR="004F5C7F" w:rsidRPr="003E0C66">
        <w:t>skaz</w:t>
      </w:r>
      <w:r w:rsidR="004F5C7F">
        <w:t>ania</w:t>
      </w:r>
      <w:r w:rsidR="004F5C7F" w:rsidRPr="003E0C66">
        <w:t xml:space="preserve"> </w:t>
      </w:r>
      <w:r w:rsidR="004A4969" w:rsidRPr="003E0C66">
        <w:t xml:space="preserve">oskarżonego, jak zrobiono to, na przykład, w sprawie </w:t>
      </w:r>
      <w:proofErr w:type="spellStart"/>
      <w:r w:rsidR="004A4969" w:rsidRPr="003E0C66">
        <w:rPr>
          <w:i/>
        </w:rPr>
        <w:t>Sarkizov</w:t>
      </w:r>
      <w:proofErr w:type="spellEnd"/>
      <w:r w:rsidR="004A4969" w:rsidRPr="003E0C66">
        <w:rPr>
          <w:i/>
        </w:rPr>
        <w:t xml:space="preserve"> i Inni przeciwko Bułgarii </w:t>
      </w:r>
      <w:r w:rsidR="004A4969" w:rsidRPr="003E0C66">
        <w:t xml:space="preserve"> (</w:t>
      </w:r>
      <w:r w:rsidR="00F749AE" w:rsidRPr="003E0C66">
        <w:t>nr</w:t>
      </w:r>
      <w:r w:rsidR="00E05B22" w:rsidRPr="003E0C66">
        <w:t xml:space="preserve"> </w:t>
      </w:r>
      <w:r w:rsidR="004A4969" w:rsidRPr="003E0C66">
        <w:t xml:space="preserve">37981/06, 38022/06, 39122/06 i 44278/06, § 58, 17 </w:t>
      </w:r>
      <w:r w:rsidR="002B664C">
        <w:t>kwietnia</w:t>
      </w:r>
      <w:r w:rsidR="002B664C" w:rsidRPr="003E0C66">
        <w:t xml:space="preserve"> </w:t>
      </w:r>
      <w:r w:rsidR="00E05B22" w:rsidRPr="003E0C66">
        <w:t>2012</w:t>
      </w:r>
      <w:r w:rsidR="002B664C">
        <w:t xml:space="preserve"> roku</w:t>
      </w:r>
      <w:r w:rsidR="00E05B22" w:rsidRPr="003E0C66">
        <w:t>)</w:t>
      </w:r>
      <w:r w:rsidR="004A4969" w:rsidRPr="003E0C66">
        <w:t xml:space="preserve"> </w:t>
      </w:r>
      <w:r w:rsidR="002B664C">
        <w:t>i</w:t>
      </w:r>
      <w:r w:rsidR="002B664C" w:rsidRPr="003E0C66">
        <w:t xml:space="preserve"> </w:t>
      </w:r>
      <w:proofErr w:type="spellStart"/>
      <w:r w:rsidR="004A4969" w:rsidRPr="003E0C66">
        <w:rPr>
          <w:i/>
        </w:rPr>
        <w:t>Damir</w:t>
      </w:r>
      <w:proofErr w:type="spellEnd"/>
      <w:r w:rsidR="004A4969" w:rsidRPr="003E0C66">
        <w:rPr>
          <w:i/>
        </w:rPr>
        <w:t xml:space="preserve"> </w:t>
      </w:r>
      <w:proofErr w:type="spellStart"/>
      <w:r w:rsidR="004A4969" w:rsidRPr="003E0C66">
        <w:rPr>
          <w:i/>
        </w:rPr>
        <w:t>Sibgatullin</w:t>
      </w:r>
      <w:proofErr w:type="spellEnd"/>
      <w:r w:rsidR="004A4969" w:rsidRPr="003E0C66">
        <w:rPr>
          <w:i/>
        </w:rPr>
        <w:t xml:space="preserve"> przeciwko Rosji </w:t>
      </w:r>
      <w:r w:rsidR="004A4969" w:rsidRPr="003E0C66">
        <w:t>(</w:t>
      </w:r>
      <w:r w:rsidR="00F749AE" w:rsidRPr="003E0C66">
        <w:t>nr</w:t>
      </w:r>
      <w:r w:rsidR="00E05B22" w:rsidRPr="003E0C66">
        <w:t> 1413/05, §§ 54-56,</w:t>
      </w:r>
      <w:r w:rsidR="004A4969" w:rsidRPr="003E0C66">
        <w:t xml:space="preserve"> 24 kwietnia</w:t>
      </w:r>
      <w:r w:rsidR="00E05B22" w:rsidRPr="003E0C66">
        <w:t xml:space="preserve"> 2012</w:t>
      </w:r>
      <w:r w:rsidR="002B664C">
        <w:t xml:space="preserve"> roku</w:t>
      </w:r>
      <w:r w:rsidR="00E05B22" w:rsidRPr="003E0C66">
        <w:t>).</w:t>
      </w:r>
      <w:r w:rsidR="004A4969" w:rsidRPr="003E0C66">
        <w:t xml:space="preserve"> Podkreślono, ż</w:t>
      </w:r>
      <w:r w:rsidR="002B664C">
        <w:t>e</w:t>
      </w:r>
      <w:r w:rsidR="004A4969" w:rsidRPr="003E0C66">
        <w:t xml:space="preserve"> w sytuacji</w:t>
      </w:r>
      <w:r w:rsidR="002B664C">
        <w:t>,</w:t>
      </w:r>
      <w:r w:rsidR="004A4969" w:rsidRPr="003E0C66">
        <w:t xml:space="preserve"> kiedy zeznania złożone przez nieobecnego świadka nie były </w:t>
      </w:r>
      <w:r w:rsidR="002B664C">
        <w:t>decydujące</w:t>
      </w:r>
      <w:r w:rsidR="004A4969" w:rsidRPr="003E0C66">
        <w:t xml:space="preserve"> </w:t>
      </w:r>
      <w:r w:rsidR="00B74C61" w:rsidRPr="003E0C66">
        <w:t>dowiedzenie</w:t>
      </w:r>
      <w:r w:rsidR="00D02FAC">
        <w:t>,</w:t>
      </w:r>
      <w:r w:rsidR="00B74C61" w:rsidRPr="003E0C66">
        <w:t xml:space="preserve"> </w:t>
      </w:r>
      <w:r w:rsidR="002B664C">
        <w:t>że</w:t>
      </w:r>
      <w:r w:rsidR="002B664C" w:rsidRPr="003E0C66">
        <w:t xml:space="preserve"> </w:t>
      </w:r>
      <w:r w:rsidR="00B74C61" w:rsidRPr="003E0C66">
        <w:t xml:space="preserve">zaistniał </w:t>
      </w:r>
      <w:r w:rsidR="002B664C">
        <w:t>ważny</w:t>
      </w:r>
      <w:r w:rsidR="002B664C" w:rsidRPr="003E0C66">
        <w:t xml:space="preserve"> </w:t>
      </w:r>
      <w:r w:rsidR="00B74C61" w:rsidRPr="003E0C66">
        <w:t>powód nie</w:t>
      </w:r>
      <w:r w:rsidR="006B4371" w:rsidRPr="003E0C66">
        <w:t>zapewni</w:t>
      </w:r>
      <w:r w:rsidR="002B664C">
        <w:t>enia</w:t>
      </w:r>
      <w:r w:rsidR="006B4371" w:rsidRPr="003E0C66">
        <w:t xml:space="preserve"> obronie </w:t>
      </w:r>
      <w:r w:rsidR="00BC2A12" w:rsidRPr="003E0C66">
        <w:t>mo</w:t>
      </w:r>
      <w:r w:rsidR="00041B35" w:rsidRPr="003E0C66">
        <w:t xml:space="preserve">żliwości przesłuchania </w:t>
      </w:r>
      <w:r w:rsidR="002B664C" w:rsidRPr="003E0C66">
        <w:t>świadk</w:t>
      </w:r>
      <w:r w:rsidR="002B664C">
        <w:t>a</w:t>
      </w:r>
      <w:r w:rsidR="002B664C" w:rsidRPr="003E0C66">
        <w:t xml:space="preserve"> </w:t>
      </w:r>
      <w:r w:rsidR="00041B35" w:rsidRPr="003E0C66">
        <w:t>nie było konieczn</w:t>
      </w:r>
      <w:r w:rsidR="002B664C">
        <w:t>e</w:t>
      </w:r>
      <w:r w:rsidR="00041B35" w:rsidRPr="003E0C66">
        <w:t>. Ponadto Trybunał powinien sprecyzować</w:t>
      </w:r>
      <w:r w:rsidR="00D02FAC">
        <w:t>,</w:t>
      </w:r>
      <w:r w:rsidR="00041B35" w:rsidRPr="003E0C66">
        <w:t xml:space="preserve"> czy nadal </w:t>
      </w:r>
      <w:r w:rsidR="002B664C">
        <w:t>akceptuje</w:t>
      </w:r>
      <w:r w:rsidR="002B664C" w:rsidRPr="003E0C66">
        <w:t xml:space="preserve"> </w:t>
      </w:r>
      <w:r w:rsidR="00041B35" w:rsidRPr="003E0C66">
        <w:t xml:space="preserve">zasadę </w:t>
      </w:r>
      <w:proofErr w:type="spellStart"/>
      <w:r w:rsidR="00E05B22" w:rsidRPr="003E0C66">
        <w:rPr>
          <w:i/>
        </w:rPr>
        <w:t>impossibilium</w:t>
      </w:r>
      <w:proofErr w:type="spellEnd"/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nulla</w:t>
      </w:r>
      <w:proofErr w:type="spellEnd"/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obligatio</w:t>
      </w:r>
      <w:proofErr w:type="spellEnd"/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est</w:t>
      </w:r>
      <w:proofErr w:type="spellEnd"/>
      <w:r w:rsidR="00E05B22" w:rsidRPr="003E0C66">
        <w:t xml:space="preserve"> </w:t>
      </w:r>
      <w:r w:rsidR="00041B35" w:rsidRPr="003E0C66">
        <w:t xml:space="preserve">jako </w:t>
      </w:r>
      <w:r w:rsidR="002B664C">
        <w:t>ważny</w:t>
      </w:r>
      <w:r w:rsidR="002B664C" w:rsidRPr="003E0C66">
        <w:t xml:space="preserve"> </w:t>
      </w:r>
      <w:r w:rsidR="00041B35" w:rsidRPr="003E0C66">
        <w:t xml:space="preserve">powód </w:t>
      </w:r>
      <w:r w:rsidR="002B664C">
        <w:t>dopuszczenia</w:t>
      </w:r>
      <w:r w:rsidR="002B664C" w:rsidRPr="003E0C66">
        <w:t xml:space="preserve"> </w:t>
      </w:r>
      <w:r w:rsidR="00041B35" w:rsidRPr="003E0C66">
        <w:t>dowod</w:t>
      </w:r>
      <w:r w:rsidR="002B664C">
        <w:t>u</w:t>
      </w:r>
      <w:r w:rsidR="00041B35" w:rsidRPr="003E0C66">
        <w:t xml:space="preserve"> z zeznań nieobecnego świadka. Miało to szczególne znaczenie w sprawach, gdzie świadek opuścił </w:t>
      </w:r>
      <w:r w:rsidR="002B664C">
        <w:t>obszar</w:t>
      </w:r>
      <w:r w:rsidR="00041B35" w:rsidRPr="003E0C66">
        <w:t xml:space="preserve"> jurysdykcj</w:t>
      </w:r>
      <w:r w:rsidR="002B664C">
        <w:t>i</w:t>
      </w:r>
      <w:r w:rsidR="00041B35" w:rsidRPr="003E0C66">
        <w:t xml:space="preserve"> sądów krajowych, ponieważ te ostanie nie mają możliwości zmuszenia świadka do </w:t>
      </w:r>
      <w:r w:rsidR="002B664C">
        <w:t>stawienia</w:t>
      </w:r>
      <w:r w:rsidR="002B664C" w:rsidRPr="003E0C66">
        <w:t xml:space="preserve"> </w:t>
      </w:r>
      <w:r w:rsidR="00041B35" w:rsidRPr="003E0C66">
        <w:t xml:space="preserve">się na rozprawie. 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98</w:t>
      </w:r>
      <w:r w:rsidRPr="003E0C66">
        <w:fldChar w:fldCharType="end"/>
      </w:r>
      <w:r w:rsidR="00E05B22" w:rsidRPr="003E0C66">
        <w:t>.  </w:t>
      </w:r>
      <w:r w:rsidR="00031CF5" w:rsidRPr="003E0C66">
        <w:t>Rząd Cze</w:t>
      </w:r>
      <w:r w:rsidR="002B664C">
        <w:t>ch</w:t>
      </w:r>
      <w:r w:rsidR="00031CF5" w:rsidRPr="003E0C66">
        <w:t xml:space="preserve"> podkreślił ponadto, </w:t>
      </w:r>
      <w:r w:rsidR="00D02FAC">
        <w:t>że</w:t>
      </w:r>
      <w:r w:rsidR="00D02FAC" w:rsidRPr="003E0C66">
        <w:t xml:space="preserve"> </w:t>
      </w:r>
      <w:r w:rsidR="002B664C">
        <w:t xml:space="preserve">to </w:t>
      </w:r>
      <w:r w:rsidR="00031CF5" w:rsidRPr="003E0C66">
        <w:t xml:space="preserve">do kompetencji sądów krajowych należała ocena </w:t>
      </w:r>
      <w:r w:rsidR="009F4F16" w:rsidRPr="003E0C66">
        <w:t>znaczenia zeznań świadk</w:t>
      </w:r>
      <w:r w:rsidR="002B664C">
        <w:t>a</w:t>
      </w:r>
      <w:r w:rsidR="009F4F16" w:rsidRPr="003E0C66">
        <w:t xml:space="preserve"> </w:t>
      </w:r>
      <w:r w:rsidR="002B664C">
        <w:t>dla</w:t>
      </w:r>
      <w:r w:rsidR="002B664C" w:rsidRPr="003E0C66">
        <w:t xml:space="preserve"> </w:t>
      </w:r>
      <w:r w:rsidR="009F4F16" w:rsidRPr="003E0C66">
        <w:t>wynik</w:t>
      </w:r>
      <w:r w:rsidR="002B664C">
        <w:t>u</w:t>
      </w:r>
      <w:r w:rsidR="009F4F16" w:rsidRPr="003E0C66">
        <w:t xml:space="preserve"> sprawy. Szczegółowa analiza </w:t>
      </w:r>
      <w:r w:rsidR="00041B35" w:rsidRPr="003E0C66">
        <w:t xml:space="preserve">dokonana przez Trybunał w zakresie decydującego </w:t>
      </w:r>
      <w:r w:rsidR="009F4F16" w:rsidRPr="003E0C66">
        <w:t>znaczenia</w:t>
      </w:r>
      <w:r w:rsidR="00DD047E" w:rsidRPr="003E0C66">
        <w:t xml:space="preserve"> czy</w:t>
      </w:r>
      <w:r w:rsidR="009771DF" w:rsidRPr="003E0C66">
        <w:t xml:space="preserve"> stopnia </w:t>
      </w:r>
      <w:r w:rsidR="00DD047E" w:rsidRPr="003E0C66">
        <w:t xml:space="preserve">istotności </w:t>
      </w:r>
      <w:r w:rsidR="009F4F16" w:rsidRPr="003E0C66">
        <w:t>omawianych dowodów</w:t>
      </w:r>
      <w:r w:rsidR="00041B35" w:rsidRPr="003E0C66">
        <w:t xml:space="preserve"> </w:t>
      </w:r>
      <w:r w:rsidR="00F01E3C">
        <w:t>prowadziła</w:t>
      </w:r>
      <w:r w:rsidR="00041B35" w:rsidRPr="003E0C66">
        <w:t xml:space="preserve"> do </w:t>
      </w:r>
      <w:r w:rsidR="00F01E3C">
        <w:t>konfliktu</w:t>
      </w:r>
      <w:r w:rsidR="00F01E3C" w:rsidRPr="003E0C66">
        <w:t xml:space="preserve"> </w:t>
      </w:r>
      <w:r w:rsidR="00F01E3C">
        <w:t>po</w:t>
      </w:r>
      <w:r w:rsidR="00041B35" w:rsidRPr="003E0C66">
        <w:t xml:space="preserve">między marginesem uznawalności </w:t>
      </w:r>
      <w:r w:rsidR="00F01E3C">
        <w:t>władz</w:t>
      </w:r>
      <w:r w:rsidR="00F01E3C" w:rsidRPr="003E0C66">
        <w:t xml:space="preserve"> </w:t>
      </w:r>
      <w:r w:rsidR="00041B35" w:rsidRPr="003E0C66">
        <w:t>krajowych</w:t>
      </w:r>
      <w:r w:rsidR="00D02FAC">
        <w:t>,</w:t>
      </w:r>
      <w:r w:rsidR="00041B35" w:rsidRPr="003E0C66">
        <w:t xml:space="preserve"> a doktryną Trybunału</w:t>
      </w:r>
      <w:r w:rsidR="00F01E3C">
        <w:t xml:space="preserve"> jako czwartej instancji</w:t>
      </w:r>
      <w:r w:rsidR="00041B35" w:rsidRPr="003E0C66">
        <w:t xml:space="preserve">. </w:t>
      </w:r>
      <w:r w:rsidR="00DD047E" w:rsidRPr="003E0C66">
        <w:t xml:space="preserve">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99</w:t>
      </w:r>
      <w:r w:rsidRPr="003E0C66">
        <w:fldChar w:fldCharType="end"/>
      </w:r>
      <w:r w:rsidR="00E05B22" w:rsidRPr="003E0C66">
        <w:t>. </w:t>
      </w:r>
      <w:r w:rsidR="00DD047E" w:rsidRPr="003E0C66">
        <w:t xml:space="preserve"> Zdaniem Rządu czeskiego bardziej elastyczne </w:t>
      </w:r>
      <w:r w:rsidR="00F01E3C">
        <w:t>podejście</w:t>
      </w:r>
      <w:r w:rsidR="00F01E3C" w:rsidRPr="003E0C66">
        <w:t xml:space="preserve"> </w:t>
      </w:r>
      <w:r w:rsidR="00DD047E" w:rsidRPr="003E0C66">
        <w:t xml:space="preserve">przyjęte przez Trybunał w sprawie </w:t>
      </w:r>
      <w:r w:rsidR="00E05B22" w:rsidRPr="003E0C66">
        <w:rPr>
          <w:i/>
        </w:rPr>
        <w:t xml:space="preserve">Al-Khawaja </w:t>
      </w:r>
      <w:r w:rsidR="00D02FAC">
        <w:rPr>
          <w:i/>
        </w:rPr>
        <w:t>i</w:t>
      </w:r>
      <w:r w:rsidR="00D02FAC" w:rsidRPr="003E0C66">
        <w:rPr>
          <w:i/>
        </w:rPr>
        <w:t xml:space="preserve"> </w:t>
      </w:r>
      <w:r w:rsidR="00E05B22" w:rsidRPr="003E0C66">
        <w:rPr>
          <w:i/>
        </w:rPr>
        <w:t>Tahery</w:t>
      </w:r>
      <w:r w:rsidR="00E05B22" w:rsidRPr="003E0C66">
        <w:t xml:space="preserve"> (</w:t>
      </w:r>
      <w:r w:rsidR="00F01E3C">
        <w:t>cytowana</w:t>
      </w:r>
      <w:r w:rsidR="00F01E3C" w:rsidRPr="003E0C66">
        <w:t xml:space="preserve"> </w:t>
      </w:r>
      <w:r w:rsidR="00041B35" w:rsidRPr="003E0C66">
        <w:t>wyżej</w:t>
      </w:r>
      <w:r w:rsidR="00E05B22" w:rsidRPr="003E0C66">
        <w:t>)</w:t>
      </w:r>
      <w:r w:rsidR="00CA4DBB">
        <w:t>,</w:t>
      </w:r>
      <w:r w:rsidR="00041B35" w:rsidRPr="003E0C66">
        <w:t xml:space="preserve"> </w:t>
      </w:r>
      <w:r w:rsidR="00F01E3C">
        <w:t>dotyczące</w:t>
      </w:r>
      <w:r w:rsidR="00041B35" w:rsidRPr="003E0C66">
        <w:t xml:space="preserve"> </w:t>
      </w:r>
      <w:r w:rsidR="00F01E3C">
        <w:t>jedynego</w:t>
      </w:r>
      <w:r w:rsidR="00041B35" w:rsidRPr="003E0C66">
        <w:t xml:space="preserve"> lub </w:t>
      </w:r>
      <w:r w:rsidR="00F01E3C">
        <w:t>decydującego</w:t>
      </w:r>
      <w:r w:rsidR="00F01E3C" w:rsidRPr="003E0C66">
        <w:t xml:space="preserve"> </w:t>
      </w:r>
      <w:r w:rsidR="007B4291" w:rsidRPr="003E0C66">
        <w:t xml:space="preserve">dowodu, czyni </w:t>
      </w:r>
      <w:r w:rsidR="00F01E3C">
        <w:t xml:space="preserve">jego </w:t>
      </w:r>
      <w:r w:rsidR="007B4291" w:rsidRPr="003E0C66">
        <w:t xml:space="preserve">orzecznictwo mniej przewidywalnym. </w:t>
      </w:r>
      <w:r w:rsidR="00F01E3C">
        <w:t>Rząd zaproponował</w:t>
      </w:r>
      <w:r w:rsidR="007B4291" w:rsidRPr="003E0C66">
        <w:t>, aby Trybunał wyjaśnił, które czynniki wyrównawcze należy uznać za wystarczając</w:t>
      </w:r>
      <w:r w:rsidR="00F01E3C">
        <w:t>e</w:t>
      </w:r>
      <w:r w:rsidR="007B4291" w:rsidRPr="003E0C66">
        <w:t xml:space="preserve"> do zapobieżenia naruszeniu Artykułu 6 Konwencji. </w:t>
      </w:r>
      <w:r w:rsidR="00E05B22" w:rsidRPr="003E0C66">
        <w:t xml:space="preserve"> </w:t>
      </w:r>
    </w:p>
    <w:p w:rsidR="00E05B22" w:rsidRPr="003E0C66" w:rsidRDefault="00E05B22" w:rsidP="00BC0CE7">
      <w:pPr>
        <w:pStyle w:val="ECHRHeading2"/>
        <w:outlineLvl w:val="0"/>
      </w:pPr>
      <w:r w:rsidRPr="003E0C66">
        <w:lastRenderedPageBreak/>
        <w:t>C.  </w:t>
      </w:r>
      <w:r w:rsidR="00DD047E" w:rsidRPr="003E0C66">
        <w:t xml:space="preserve">Stanowisko Wielkiej Izby </w:t>
      </w:r>
    </w:p>
    <w:p w:rsidR="00E05B22" w:rsidRPr="003E0C66" w:rsidRDefault="00E05B22" w:rsidP="00BC0CE7">
      <w:pPr>
        <w:pStyle w:val="ECHRHeading3"/>
      </w:pPr>
      <w:r w:rsidRPr="003E0C66">
        <w:t>1.  </w:t>
      </w:r>
      <w:r w:rsidR="00DD047E" w:rsidRPr="003E0C66">
        <w:t xml:space="preserve">Podsumowanie właściwych zasad </w:t>
      </w:r>
    </w:p>
    <w:p w:rsidR="00E05B22" w:rsidRPr="003E0C66" w:rsidRDefault="00E05B22" w:rsidP="00BC0CE7">
      <w:pPr>
        <w:pStyle w:val="ECHRHeading4"/>
      </w:pPr>
      <w:r w:rsidRPr="003E0C66">
        <w:t>(a)  </w:t>
      </w:r>
      <w:r w:rsidR="00DD047E" w:rsidRPr="003E0C66">
        <w:t xml:space="preserve">Zasady ogólne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100</w:t>
      </w:r>
      <w:r w:rsidRPr="003E0C66">
        <w:fldChar w:fldCharType="end"/>
      </w:r>
      <w:r w:rsidR="00E05B22" w:rsidRPr="003E0C66">
        <w:t>.  </w:t>
      </w:r>
      <w:r w:rsidR="00DD047E" w:rsidRPr="003E0C66">
        <w:t>Trybunał podkreśla, iż gwarancje zawarte w paragrafi</w:t>
      </w:r>
      <w:r w:rsidR="001860BE" w:rsidRPr="003E0C66">
        <w:t xml:space="preserve">e 3 (d) Artykułu 6 </w:t>
      </w:r>
      <w:r w:rsidR="00E43C98">
        <w:t>są szczególnym aspektem</w:t>
      </w:r>
      <w:r w:rsidR="00DD047E" w:rsidRPr="003E0C66">
        <w:t xml:space="preserve"> prawa do </w:t>
      </w:r>
      <w:r w:rsidR="00E43C98">
        <w:t>rzetelnego</w:t>
      </w:r>
      <w:r w:rsidR="00E43C98" w:rsidRPr="003E0C66">
        <w:t xml:space="preserve"> </w:t>
      </w:r>
      <w:r w:rsidR="00DD047E" w:rsidRPr="003E0C66">
        <w:t>procesu, o którym mo</w:t>
      </w:r>
      <w:r w:rsidR="001860BE" w:rsidRPr="003E0C66">
        <w:t xml:space="preserve">wa w paragrafie 1 tegoż Artykułu (zobacz </w:t>
      </w:r>
      <w:r w:rsidR="001860BE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E43C98">
        <w:t>cytowany</w:t>
      </w:r>
      <w:r w:rsidR="00E43C98" w:rsidRPr="003E0C66">
        <w:t xml:space="preserve"> </w:t>
      </w:r>
      <w:r w:rsidR="00CA4DBB">
        <w:t>powyżej, §118),</w:t>
      </w:r>
      <w:r w:rsidR="001860BE" w:rsidRPr="003E0C66">
        <w:t xml:space="preserve"> </w:t>
      </w:r>
      <w:r w:rsidR="00E43C98">
        <w:t xml:space="preserve">zatem </w:t>
      </w:r>
      <w:r w:rsidR="001860BE" w:rsidRPr="003E0C66">
        <w:t xml:space="preserve">Trybunał rozpatrzy skargę skarżącego biorąc pod uwagę te dwa przepisy razem (zobacz </w:t>
      </w:r>
      <w:proofErr w:type="spellStart"/>
      <w:r w:rsidR="00C0261F" w:rsidRPr="003E0C66">
        <w:rPr>
          <w:i/>
        </w:rPr>
        <w:t>Windisch</w:t>
      </w:r>
      <w:proofErr w:type="spellEnd"/>
      <w:r w:rsidR="001860BE" w:rsidRPr="003E0C66">
        <w:rPr>
          <w:i/>
        </w:rPr>
        <w:t xml:space="preserve"> przeciw</w:t>
      </w:r>
      <w:r w:rsidR="00C0261F" w:rsidRPr="003E0C66">
        <w:rPr>
          <w:i/>
        </w:rPr>
        <w:t>ko</w:t>
      </w:r>
      <w:r w:rsidR="001860BE" w:rsidRPr="003E0C66">
        <w:rPr>
          <w:i/>
        </w:rPr>
        <w:t xml:space="preserve"> Austrii, 27 września 1990</w:t>
      </w:r>
      <w:r w:rsidR="00E43C98">
        <w:rPr>
          <w:i/>
        </w:rPr>
        <w:t xml:space="preserve"> roku</w:t>
      </w:r>
      <w:r w:rsidR="001860BE" w:rsidRPr="003E0C66">
        <w:rPr>
          <w:i/>
        </w:rPr>
        <w:t>, §</w:t>
      </w:r>
      <w:r w:rsidR="00051BB8">
        <w:rPr>
          <w:i/>
        </w:rPr>
        <w:t xml:space="preserve"> </w:t>
      </w:r>
      <w:r w:rsidR="001860BE" w:rsidRPr="003E0C66">
        <w:rPr>
          <w:i/>
        </w:rPr>
        <w:t>23, seria A</w:t>
      </w:r>
      <w:r w:rsidR="00051BB8">
        <w:rPr>
          <w:i/>
        </w:rPr>
        <w:t xml:space="preserve"> nr 186</w:t>
      </w:r>
      <w:r w:rsidR="001860BE" w:rsidRPr="003E0C66">
        <w:rPr>
          <w:i/>
        </w:rPr>
        <w:t xml:space="preserve">, oraz </w:t>
      </w:r>
      <w:proofErr w:type="spellStart"/>
      <w:r w:rsidR="001860BE" w:rsidRPr="003E0C66">
        <w:rPr>
          <w:i/>
        </w:rPr>
        <w:t>Lüdi</w:t>
      </w:r>
      <w:proofErr w:type="spellEnd"/>
      <w:r w:rsidR="001860BE" w:rsidRPr="003E0C66">
        <w:rPr>
          <w:i/>
        </w:rPr>
        <w:t xml:space="preserve"> przeciwko Szwajcarii,15</w:t>
      </w:r>
      <w:r w:rsidR="00CA4DBB">
        <w:rPr>
          <w:i/>
        </w:rPr>
        <w:t xml:space="preserve"> </w:t>
      </w:r>
      <w:r w:rsidR="001860BE" w:rsidRPr="003E0C66">
        <w:rPr>
          <w:i/>
        </w:rPr>
        <w:t>czerwca</w:t>
      </w:r>
      <w:r w:rsidR="00CA4DBB">
        <w:rPr>
          <w:i/>
        </w:rPr>
        <w:t xml:space="preserve"> </w:t>
      </w:r>
      <w:r w:rsidR="001860BE" w:rsidRPr="003E0C66">
        <w:rPr>
          <w:i/>
        </w:rPr>
        <w:t>1992</w:t>
      </w:r>
      <w:r w:rsidR="00CA4DBB">
        <w:rPr>
          <w:i/>
        </w:rPr>
        <w:t xml:space="preserve"> </w:t>
      </w:r>
      <w:r w:rsidR="00051BB8">
        <w:rPr>
          <w:i/>
        </w:rPr>
        <w:t>roku</w:t>
      </w:r>
      <w:r w:rsidR="001860BE" w:rsidRPr="003E0C66">
        <w:rPr>
          <w:i/>
        </w:rPr>
        <w:t>, §</w:t>
      </w:r>
      <w:r w:rsidR="00051BB8">
        <w:rPr>
          <w:i/>
        </w:rPr>
        <w:t xml:space="preserve"> </w:t>
      </w:r>
      <w:r w:rsidR="001860BE" w:rsidRPr="003E0C66">
        <w:rPr>
          <w:i/>
        </w:rPr>
        <w:t xml:space="preserve">43, seria A, nr 238). </w:t>
      </w:r>
      <w:r w:rsidR="00E05B22" w:rsidRPr="003E0C66">
        <w:rPr>
          <w:i/>
        </w:rPr>
        <w:t xml:space="preserve"> </w:t>
      </w:r>
    </w:p>
    <w:p w:rsidR="00E05B22" w:rsidRPr="003E0C66" w:rsidRDefault="006B25B0" w:rsidP="00BC0CE7">
      <w:pPr>
        <w:pStyle w:val="ECHRPara"/>
        <w:rPr>
          <w:i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101</w:t>
      </w:r>
      <w:r w:rsidRPr="003E0C66">
        <w:fldChar w:fldCharType="end"/>
      </w:r>
      <w:r w:rsidR="00E05B22" w:rsidRPr="003E0C66">
        <w:t>.  </w:t>
      </w:r>
      <w:r w:rsidR="001239C7" w:rsidRPr="003E0C66">
        <w:t xml:space="preserve"> Głównym celem Trybunału, </w:t>
      </w:r>
      <w:r w:rsidR="00051BB8">
        <w:t>zgodnie z</w:t>
      </w:r>
      <w:r w:rsidR="001239C7" w:rsidRPr="003E0C66">
        <w:t xml:space="preserve"> Artykuł</w:t>
      </w:r>
      <w:r w:rsidR="00051BB8">
        <w:t>em</w:t>
      </w:r>
      <w:r w:rsidR="001239C7" w:rsidRPr="003E0C66">
        <w:t xml:space="preserve"> 6 §</w:t>
      </w:r>
      <w:r w:rsidR="00051BB8">
        <w:t xml:space="preserve"> </w:t>
      </w:r>
      <w:r w:rsidR="001239C7" w:rsidRPr="003E0C66">
        <w:t>1, jest ocena ogólnej sprawiedliwości postępowania karnego (zobacz, między innymi</w:t>
      </w:r>
      <w:r w:rsidR="007B1AF8">
        <w:t>,</w:t>
      </w:r>
      <w:r w:rsidR="001239C7" w:rsidRPr="003E0C66">
        <w:t xml:space="preserve"> </w:t>
      </w:r>
      <w:proofErr w:type="spellStart"/>
      <w:r w:rsidR="00E05B22" w:rsidRPr="003E0C66">
        <w:rPr>
          <w:i/>
        </w:rPr>
        <w:t>Taxquet</w:t>
      </w:r>
      <w:proofErr w:type="spellEnd"/>
      <w:r w:rsidR="001239C7" w:rsidRPr="003E0C66">
        <w:rPr>
          <w:i/>
        </w:rPr>
        <w:t xml:space="preserve"> przeciw</w:t>
      </w:r>
      <w:r w:rsidR="00051BB8">
        <w:rPr>
          <w:i/>
        </w:rPr>
        <w:t>ko</w:t>
      </w:r>
      <w:r w:rsidR="001239C7" w:rsidRPr="003E0C66">
        <w:rPr>
          <w:i/>
        </w:rPr>
        <w:t xml:space="preserve"> Belgii [GC], </w:t>
      </w:r>
      <w:r w:rsidR="00F749AE" w:rsidRPr="003E0C66">
        <w:rPr>
          <w:i/>
        </w:rPr>
        <w:t>nr</w:t>
      </w:r>
      <w:r w:rsidR="001239C7" w:rsidRPr="003E0C66">
        <w:rPr>
          <w:i/>
        </w:rPr>
        <w:t xml:space="preserve"> 926/05, §</w:t>
      </w:r>
      <w:r w:rsidR="00051BB8">
        <w:rPr>
          <w:i/>
        </w:rPr>
        <w:t xml:space="preserve"> </w:t>
      </w:r>
      <w:r w:rsidR="001239C7" w:rsidRPr="003E0C66">
        <w:rPr>
          <w:i/>
        </w:rPr>
        <w:t xml:space="preserve">84, </w:t>
      </w:r>
      <w:r w:rsidR="00F749AE" w:rsidRPr="003E0C66">
        <w:rPr>
          <w:i/>
        </w:rPr>
        <w:t>ETPCZ</w:t>
      </w:r>
      <w:r w:rsidR="001239C7" w:rsidRPr="003E0C66">
        <w:rPr>
          <w:i/>
        </w:rPr>
        <w:t xml:space="preserve"> 2010, z dalszymi odniesieniami). </w:t>
      </w:r>
      <w:r w:rsidR="001239C7" w:rsidRPr="007B1AF8">
        <w:t xml:space="preserve">Przy dokonywaniu tej oceny Trybunał przyjrzy się postępowaniu </w:t>
      </w:r>
      <w:r w:rsidR="00051BB8" w:rsidRPr="007B1AF8">
        <w:t>jako</w:t>
      </w:r>
      <w:r w:rsidR="001239C7" w:rsidRPr="007B1AF8">
        <w:t xml:space="preserve"> całości, włączając w to sposób</w:t>
      </w:r>
      <w:r w:rsidR="00051BB8" w:rsidRPr="007B1AF8">
        <w:t>,</w:t>
      </w:r>
      <w:r w:rsidR="001239C7" w:rsidRPr="007B1AF8">
        <w:t xml:space="preserve"> w jaki uzyskano dowody, uwzględniając prawo do obrony, ale także interes publiczny oraz </w:t>
      </w:r>
      <w:r w:rsidR="00051BB8" w:rsidRPr="007B1AF8">
        <w:t>p</w:t>
      </w:r>
      <w:r w:rsidR="007E41C5" w:rsidRPr="007B1AF8">
        <w:t>okrzywdzonych</w:t>
      </w:r>
      <w:r w:rsidR="00051BB8" w:rsidRPr="007B1AF8">
        <w:t xml:space="preserve"> </w:t>
      </w:r>
      <w:r w:rsidR="001239C7" w:rsidRPr="007B1AF8">
        <w:t>w poprawnym ściganiu przestępstwa</w:t>
      </w:r>
      <w:r w:rsidR="001239C7" w:rsidRPr="003E0C66">
        <w:rPr>
          <w:i/>
        </w:rPr>
        <w:t xml:space="preserve"> </w:t>
      </w:r>
      <w:r w:rsidR="001239C7" w:rsidRPr="003E0C66">
        <w:rPr>
          <w:rFonts w:ascii="Times New Roman" w:eastAsia="Times New Roman" w:hAnsi="Times New Roman" w:cs="Times New Roman"/>
          <w:szCs w:val="20"/>
          <w:lang w:eastAsia="en-GB"/>
        </w:rPr>
        <w:t>(zobacz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proofErr w:type="spellStart"/>
      <w:r w:rsidR="001239C7" w:rsidRPr="003E0C66">
        <w:rPr>
          <w:rFonts w:ascii="Times New Roman" w:eastAsia="Times New Roman" w:hAnsi="Times New Roman" w:cs="Times New Roman"/>
          <w:i/>
          <w:szCs w:val="20"/>
        </w:rPr>
        <w:t>Gäfgen</w:t>
      </w:r>
      <w:proofErr w:type="spellEnd"/>
      <w:r w:rsidR="001239C7" w:rsidRPr="003E0C66">
        <w:rPr>
          <w:rFonts w:ascii="Times New Roman" w:eastAsia="Times New Roman" w:hAnsi="Times New Roman" w:cs="Times New Roman"/>
          <w:i/>
          <w:szCs w:val="20"/>
        </w:rPr>
        <w:t xml:space="preserve"> przeciwko Niemcom</w:t>
      </w:r>
      <w:r w:rsidR="001239C7" w:rsidRPr="003E0C66">
        <w:rPr>
          <w:rFonts w:ascii="Times New Roman" w:eastAsia="Times New Roman" w:hAnsi="Times New Roman" w:cs="Times New Roman"/>
          <w:szCs w:val="20"/>
        </w:rPr>
        <w:t xml:space="preserve"> [GC], </w:t>
      </w:r>
      <w:r w:rsidR="00F749AE" w:rsidRPr="003E0C66">
        <w:rPr>
          <w:rFonts w:ascii="Times New Roman" w:eastAsia="Times New Roman" w:hAnsi="Times New Roman" w:cs="Times New Roman"/>
          <w:szCs w:val="20"/>
        </w:rPr>
        <w:t>nr</w:t>
      </w:r>
      <w:r w:rsidR="001239C7" w:rsidRPr="003E0C66">
        <w:rPr>
          <w:rFonts w:ascii="Times New Roman" w:eastAsia="Times New Roman" w:hAnsi="Times New Roman" w:cs="Times New Roman"/>
          <w:szCs w:val="20"/>
        </w:rPr>
        <w:t xml:space="preserve"> 22978/05, §§ 163 oraz 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175, </w:t>
      </w:r>
      <w:r w:rsidR="00F749AE" w:rsidRPr="003E0C66">
        <w:rPr>
          <w:rFonts w:ascii="Times New Roman" w:eastAsia="Times New Roman" w:hAnsi="Times New Roman" w:cs="Times New Roman"/>
          <w:szCs w:val="20"/>
        </w:rPr>
        <w:t>ETPCZ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 2010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) </w:t>
      </w:r>
      <w:r w:rsidR="001239C7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oraz, jeśli będzie to konieczne, prawom ofiar 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>(</w:t>
      </w:r>
      <w:r w:rsidR="001239C7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zobacz </w:t>
      </w:r>
      <w:r w:rsidR="001239C7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7E41C5">
        <w:t>cytowany</w:t>
      </w:r>
      <w:r w:rsidR="007E41C5" w:rsidRPr="003E0C66">
        <w:t xml:space="preserve"> </w:t>
      </w:r>
      <w:r w:rsidR="001239C7" w:rsidRPr="003E0C66">
        <w:t>powyżej</w:t>
      </w:r>
      <w:r w:rsidR="00E05B22" w:rsidRPr="003E0C66">
        <w:t>, § 118</w:t>
      </w:r>
      <w:r w:rsidR="00E05B22" w:rsidRPr="003E0C66"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="001239C7" w:rsidRPr="003E0C66">
        <w:rPr>
          <w:rFonts w:ascii="Times New Roman" w:eastAsia="Times New Roman" w:hAnsi="Times New Roman" w:cs="Times New Roman"/>
          <w:snapToGrid w:val="0"/>
          <w:szCs w:val="24"/>
        </w:rPr>
        <w:t xml:space="preserve"> z </w:t>
      </w:r>
      <w:r w:rsidR="00DC0443" w:rsidRPr="003E0C66">
        <w:rPr>
          <w:rFonts w:ascii="Times New Roman" w:eastAsia="Times New Roman" w:hAnsi="Times New Roman" w:cs="Times New Roman"/>
          <w:snapToGrid w:val="0"/>
          <w:szCs w:val="24"/>
        </w:rPr>
        <w:t>dalszymi odwołaniami oraz</w:t>
      </w:r>
      <w:r w:rsidR="00E05B22" w:rsidRPr="003E0C66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E05B22" w:rsidRPr="003E0C66">
        <w:rPr>
          <w:i/>
        </w:rPr>
        <w:t>Hümmer</w:t>
      </w:r>
      <w:proofErr w:type="spellEnd"/>
      <w:r w:rsidR="00E05B22" w:rsidRPr="003E0C66">
        <w:t xml:space="preserve">, </w:t>
      </w:r>
      <w:r w:rsidR="007E41C5">
        <w:t>cytowany</w:t>
      </w:r>
      <w:r w:rsidR="007E41C5" w:rsidRPr="003E0C66">
        <w:t xml:space="preserve"> </w:t>
      </w:r>
      <w:r w:rsidR="00DC0443" w:rsidRPr="003E0C66">
        <w:t>wyżej</w:t>
      </w:r>
      <w:r w:rsidR="00E05B22" w:rsidRPr="003E0C66">
        <w:rPr>
          <w:snapToGrid w:val="0"/>
        </w:rPr>
        <w:t>, § 37</w:t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t>).</w:t>
      </w:r>
    </w:p>
    <w:p w:rsidR="00E05B22" w:rsidRPr="003E0C66" w:rsidRDefault="006B25B0" w:rsidP="00BC0CE7">
      <w:pPr>
        <w:pStyle w:val="ECHRPara"/>
        <w:tabs>
          <w:tab w:val="left" w:pos="6312"/>
        </w:tabs>
      </w:pPr>
      <w:r w:rsidRPr="003E0C66">
        <w:rPr>
          <w:szCs w:val="24"/>
        </w:rPr>
        <w:fldChar w:fldCharType="begin"/>
      </w:r>
      <w:r w:rsidR="00E05B22" w:rsidRPr="003E0C66">
        <w:rPr>
          <w:szCs w:val="24"/>
        </w:rPr>
        <w:instrText xml:space="preserve"> SEQ level0 \*arabic </w:instrText>
      </w:r>
      <w:r w:rsidRPr="003E0C66">
        <w:rPr>
          <w:szCs w:val="24"/>
        </w:rPr>
        <w:fldChar w:fldCharType="separate"/>
      </w:r>
      <w:r w:rsidR="00CC1F60" w:rsidRPr="003E0C66">
        <w:rPr>
          <w:noProof/>
          <w:szCs w:val="24"/>
        </w:rPr>
        <w:t>102</w:t>
      </w:r>
      <w:r w:rsidRPr="003E0C66">
        <w:rPr>
          <w:szCs w:val="24"/>
        </w:rPr>
        <w:fldChar w:fldCharType="end"/>
      </w:r>
      <w:r w:rsidR="00E05B22" w:rsidRPr="003E0C66">
        <w:rPr>
          <w:szCs w:val="24"/>
        </w:rPr>
        <w:t>. </w:t>
      </w:r>
      <w:r w:rsidR="00B90FB4" w:rsidRPr="003E0C66">
        <w:rPr>
          <w:szCs w:val="24"/>
        </w:rPr>
        <w:t xml:space="preserve">Zasady stosowane w sprawach, w których świadek </w:t>
      </w:r>
      <w:r w:rsidR="007E41C5">
        <w:rPr>
          <w:szCs w:val="24"/>
        </w:rPr>
        <w:t>oskarżenia</w:t>
      </w:r>
      <w:r w:rsidR="007E41C5" w:rsidRPr="003E0C66">
        <w:rPr>
          <w:szCs w:val="24"/>
        </w:rPr>
        <w:t xml:space="preserve"> </w:t>
      </w:r>
      <w:r w:rsidR="00B90FB4" w:rsidRPr="003E0C66">
        <w:rPr>
          <w:szCs w:val="24"/>
        </w:rPr>
        <w:t xml:space="preserve">nie </w:t>
      </w:r>
      <w:r w:rsidR="007E41C5">
        <w:rPr>
          <w:szCs w:val="24"/>
        </w:rPr>
        <w:t>stawił</w:t>
      </w:r>
      <w:r w:rsidR="007E41C5" w:rsidRPr="003E0C66">
        <w:rPr>
          <w:szCs w:val="24"/>
        </w:rPr>
        <w:t xml:space="preserve"> </w:t>
      </w:r>
      <w:r w:rsidR="00B90FB4" w:rsidRPr="003E0C66">
        <w:rPr>
          <w:szCs w:val="24"/>
        </w:rPr>
        <w:t>się na rozprawie, a wcześniej złożone przez niego zeznania zostały dopuszczone</w:t>
      </w:r>
      <w:r w:rsidR="007B1AF8">
        <w:rPr>
          <w:szCs w:val="24"/>
        </w:rPr>
        <w:t xml:space="preserve"> </w:t>
      </w:r>
      <w:r w:rsidR="00B90FB4" w:rsidRPr="003E0C66">
        <w:rPr>
          <w:szCs w:val="24"/>
        </w:rPr>
        <w:t>jako</w:t>
      </w:r>
      <w:r w:rsidR="007B1AF8">
        <w:rPr>
          <w:szCs w:val="24"/>
        </w:rPr>
        <w:t xml:space="preserve"> </w:t>
      </w:r>
      <w:r w:rsidR="00B90FB4" w:rsidRPr="003E0C66">
        <w:rPr>
          <w:szCs w:val="24"/>
        </w:rPr>
        <w:t>dowód</w:t>
      </w:r>
      <w:r w:rsidR="007E41C5">
        <w:rPr>
          <w:szCs w:val="24"/>
        </w:rPr>
        <w:t>,</w:t>
      </w:r>
      <w:r w:rsidR="007B1AF8">
        <w:rPr>
          <w:szCs w:val="24"/>
        </w:rPr>
        <w:t xml:space="preserve"> </w:t>
      </w:r>
      <w:r w:rsidR="00B90FB4" w:rsidRPr="003E0C66">
        <w:rPr>
          <w:szCs w:val="24"/>
        </w:rPr>
        <w:t>zostały</w:t>
      </w:r>
      <w:r w:rsidR="007B1AF8">
        <w:rPr>
          <w:szCs w:val="24"/>
        </w:rPr>
        <w:t xml:space="preserve"> </w:t>
      </w:r>
      <w:r w:rsidR="00B90FB4" w:rsidRPr="003E0C66">
        <w:rPr>
          <w:szCs w:val="24"/>
        </w:rPr>
        <w:t>zebrane i doprecyzowane w wyroku Wielkiej Izby z 15 grudnia 2011 roku</w:t>
      </w:r>
      <w:r w:rsidR="00E05B22" w:rsidRPr="003E0C66">
        <w:t xml:space="preserve"> </w:t>
      </w:r>
      <w:r w:rsidR="007E41C5">
        <w:t xml:space="preserve">w </w:t>
      </w:r>
      <w:r w:rsidR="007B1AF8">
        <w:t>wyroku w sprawie</w:t>
      </w:r>
      <w:r w:rsidR="007E41C5">
        <w:t xml:space="preserve"> </w:t>
      </w:r>
      <w:r w:rsidR="00B90FB4" w:rsidRPr="003E0C66">
        <w:rPr>
          <w:i/>
        </w:rPr>
        <w:t>Al-Khawaja i</w:t>
      </w:r>
      <w:r w:rsidR="00E05B22" w:rsidRPr="003E0C66">
        <w:rPr>
          <w:i/>
        </w:rPr>
        <w:t xml:space="preserve"> Tahery </w:t>
      </w:r>
      <w:r w:rsidR="00E05B22" w:rsidRPr="003E0C66">
        <w:t>(</w:t>
      </w:r>
      <w:r w:rsidR="007E41C5">
        <w:t>cytowan</w:t>
      </w:r>
      <w:r w:rsidR="007B1AF8">
        <w:t>y</w:t>
      </w:r>
      <w:r w:rsidR="007E41C5" w:rsidRPr="003E0C66">
        <w:t xml:space="preserve"> </w:t>
      </w:r>
      <w:r w:rsidR="00B90FB4" w:rsidRPr="003E0C66">
        <w:t>powyżej</w:t>
      </w:r>
      <w:r w:rsidR="00E05B22" w:rsidRPr="003E0C66">
        <w:t>).</w:t>
      </w:r>
    </w:p>
    <w:p w:rsidR="00E05B22" w:rsidRPr="003E0C66" w:rsidRDefault="006B25B0" w:rsidP="00BC0CE7">
      <w:pPr>
        <w:pStyle w:val="ECHRPara"/>
        <w:tabs>
          <w:tab w:val="left" w:pos="6312"/>
        </w:tabs>
        <w:rPr>
          <w:rFonts w:ascii="Times New Roman" w:eastAsia="Times New Roman" w:hAnsi="Times New Roman" w:cs="Times New Roman"/>
          <w:szCs w:val="20"/>
          <w:lang w:eastAsia="en-GB"/>
        </w:rPr>
      </w:pPr>
      <w:r w:rsidRPr="003E0C66">
        <w:rPr>
          <w:szCs w:val="24"/>
        </w:rPr>
        <w:fldChar w:fldCharType="begin"/>
      </w:r>
      <w:r w:rsidR="00E05B22" w:rsidRPr="003E0C66">
        <w:rPr>
          <w:szCs w:val="24"/>
        </w:rPr>
        <w:instrText xml:space="preserve"> SEQ level0 \*arabic </w:instrText>
      </w:r>
      <w:r w:rsidRPr="003E0C66">
        <w:rPr>
          <w:szCs w:val="24"/>
        </w:rPr>
        <w:fldChar w:fldCharType="separate"/>
      </w:r>
      <w:r w:rsidR="00CC1F60" w:rsidRPr="003E0C66">
        <w:rPr>
          <w:noProof/>
          <w:szCs w:val="24"/>
        </w:rPr>
        <w:t>103</w:t>
      </w:r>
      <w:r w:rsidRPr="003E0C66">
        <w:rPr>
          <w:szCs w:val="24"/>
        </w:rPr>
        <w:fldChar w:fldCharType="end"/>
      </w:r>
      <w:r w:rsidR="00E05B22" w:rsidRPr="003E0C66">
        <w:rPr>
          <w:szCs w:val="24"/>
        </w:rPr>
        <w:t>.  </w:t>
      </w:r>
      <w:r w:rsidR="00B90FB4" w:rsidRPr="003E0C66">
        <w:rPr>
          <w:szCs w:val="24"/>
        </w:rPr>
        <w:t>Trybunał podkreślił w tym wyroku, ż</w:t>
      </w:r>
      <w:r w:rsidR="007E41C5">
        <w:rPr>
          <w:szCs w:val="24"/>
        </w:rPr>
        <w:t>e</w:t>
      </w:r>
      <w:r w:rsidR="00B90FB4" w:rsidRPr="003E0C66">
        <w:rPr>
          <w:szCs w:val="24"/>
        </w:rPr>
        <w:t xml:space="preserve"> Artykuł 6 §</w:t>
      </w:r>
      <w:r w:rsidR="007E41C5">
        <w:rPr>
          <w:szCs w:val="24"/>
        </w:rPr>
        <w:t xml:space="preserve"> </w:t>
      </w:r>
      <w:r w:rsidR="00B90FB4" w:rsidRPr="003E0C66">
        <w:rPr>
          <w:szCs w:val="24"/>
        </w:rPr>
        <w:t>3 (d) ustanawia zasadę, zgodnie z którą zanim oskarżony zostanie skazany</w:t>
      </w:r>
      <w:r w:rsidR="007B1AF8">
        <w:rPr>
          <w:szCs w:val="24"/>
        </w:rPr>
        <w:t>,</w:t>
      </w:r>
      <w:r w:rsidR="00B90FB4" w:rsidRPr="003E0C66">
        <w:rPr>
          <w:szCs w:val="24"/>
        </w:rPr>
        <w:t xml:space="preserve"> </w:t>
      </w:r>
      <w:r w:rsidR="000A4FF8">
        <w:rPr>
          <w:szCs w:val="24"/>
        </w:rPr>
        <w:t xml:space="preserve">co do zasady </w:t>
      </w:r>
      <w:r w:rsidR="00B90FB4" w:rsidRPr="003E0C66">
        <w:rPr>
          <w:szCs w:val="24"/>
        </w:rPr>
        <w:t>wszystkie dowod</w:t>
      </w:r>
      <w:r w:rsidR="00DC4975" w:rsidRPr="003E0C66">
        <w:rPr>
          <w:szCs w:val="24"/>
        </w:rPr>
        <w:t xml:space="preserve">y na jego niekorzyść muszą zostać </w:t>
      </w:r>
      <w:r w:rsidR="007E41C5">
        <w:rPr>
          <w:szCs w:val="24"/>
        </w:rPr>
        <w:t>przeprowadzone</w:t>
      </w:r>
      <w:r w:rsidR="007E41C5" w:rsidRPr="003E0C66">
        <w:rPr>
          <w:szCs w:val="24"/>
        </w:rPr>
        <w:t xml:space="preserve"> </w:t>
      </w:r>
      <w:r w:rsidR="00DC4975" w:rsidRPr="003E0C66">
        <w:rPr>
          <w:szCs w:val="24"/>
        </w:rPr>
        <w:t xml:space="preserve">w jego obecności na </w:t>
      </w:r>
      <w:r w:rsidR="007E41C5">
        <w:rPr>
          <w:szCs w:val="24"/>
        </w:rPr>
        <w:t xml:space="preserve">jawnej </w:t>
      </w:r>
      <w:r w:rsidR="00DC4975" w:rsidRPr="003E0C66">
        <w:rPr>
          <w:szCs w:val="24"/>
        </w:rPr>
        <w:t xml:space="preserve">rozprawie w celu przedstawienia argumentów </w:t>
      </w:r>
      <w:r w:rsidR="000A4FF8">
        <w:rPr>
          <w:szCs w:val="24"/>
        </w:rPr>
        <w:t xml:space="preserve">przeciwnych </w:t>
      </w:r>
      <w:r w:rsidR="00DC4975" w:rsidRPr="003E0C66">
        <w:rPr>
          <w:rFonts w:ascii="Times New Roman" w:eastAsia="Times New Roman" w:hAnsi="Times New Roman" w:cs="Times New Roman"/>
          <w:szCs w:val="20"/>
          <w:lang w:eastAsia="en-GB"/>
        </w:rPr>
        <w:t>(zobacz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DC4975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0A4FF8">
        <w:t>cytowany</w:t>
      </w:r>
      <w:r w:rsidR="000A4FF8" w:rsidRPr="003E0C66">
        <w:t xml:space="preserve"> </w:t>
      </w:r>
      <w:r w:rsidR="007B1AF8">
        <w:t>po</w:t>
      </w:r>
      <w:r w:rsidR="00DC4975" w:rsidRPr="003E0C66">
        <w:t>wyżej</w:t>
      </w:r>
      <w:r w:rsidR="00E05B22" w:rsidRPr="003E0C66">
        <w:t>, § 118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>).</w:t>
      </w:r>
    </w:p>
    <w:p w:rsidR="00E05B22" w:rsidRPr="003E0C66" w:rsidRDefault="006B25B0" w:rsidP="00BC0CE7">
      <w:pPr>
        <w:pStyle w:val="ECHRPara"/>
      </w:pPr>
      <w:r w:rsidRPr="003E0C66">
        <w:rPr>
          <w:rFonts w:ascii="Times New Roman" w:eastAsia="Times New Roman" w:hAnsi="Times New Roman" w:cs="Times New Roman"/>
          <w:szCs w:val="20"/>
          <w:lang w:eastAsia="en-GB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en-GB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en-GB"/>
        </w:rPr>
        <w:t>104</w:t>
      </w:r>
      <w:r w:rsidRPr="003E0C66">
        <w:rPr>
          <w:rFonts w:ascii="Times New Roman" w:eastAsia="Times New Roman" w:hAnsi="Times New Roman" w:cs="Times New Roman"/>
          <w:szCs w:val="20"/>
          <w:lang w:eastAsia="en-GB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>.  </w:t>
      </w:r>
      <w:r w:rsidR="00DC4975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Trybunał musi podkreślić, w tym kontekście, znaczenie etapu dochodzenia dla przygotowania postępowania karnego, ponieważ dowody uzyskane na tym etapie określają ramy, w których </w:t>
      </w:r>
      <w:r w:rsidR="00300F23">
        <w:rPr>
          <w:rFonts w:ascii="Times New Roman" w:eastAsia="Times New Roman" w:hAnsi="Times New Roman" w:cs="Times New Roman"/>
          <w:szCs w:val="20"/>
          <w:lang w:eastAsia="en-GB"/>
        </w:rPr>
        <w:t xml:space="preserve">zarzucane </w:t>
      </w:r>
      <w:r w:rsidR="00DC4975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przestępstwo zostanie rozpatrzone podczas rozprawy </w:t>
      </w:r>
      <w:r w:rsidR="00DC4975" w:rsidRPr="003E0C66">
        <w:rPr>
          <w:rFonts w:ascii="Times New Roman" w:eastAsia="Times New Roman" w:hAnsi="Times New Roman" w:cs="Times New Roman"/>
          <w:szCs w:val="20"/>
          <w:lang w:eastAsia="fr-FR"/>
        </w:rPr>
        <w:t>(zobacz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proofErr w:type="spellStart"/>
      <w:r w:rsidR="00DC4975" w:rsidRPr="003E0C66">
        <w:rPr>
          <w:i/>
        </w:rPr>
        <w:t>Salduz</w:t>
      </w:r>
      <w:proofErr w:type="spellEnd"/>
      <w:r w:rsidR="00DC4975" w:rsidRPr="003E0C66">
        <w:rPr>
          <w:i/>
        </w:rPr>
        <w:t xml:space="preserve"> przeciw Turcji </w:t>
      </w:r>
      <w:r w:rsidR="00DC4975" w:rsidRPr="003E0C66">
        <w:t xml:space="preserve">[GC], </w:t>
      </w:r>
      <w:r w:rsidR="00F749AE" w:rsidRPr="003E0C66">
        <w:t>nr</w:t>
      </w:r>
      <w:r w:rsidR="00E05B22" w:rsidRPr="003E0C66">
        <w:t xml:space="preserve"> 36391/02, § 54, </w:t>
      </w:r>
      <w:r w:rsidR="00F749AE" w:rsidRPr="003E0C66">
        <w:t>ETPCZ</w:t>
      </w:r>
      <w:r w:rsidR="00E05B22" w:rsidRPr="003E0C66">
        <w:t xml:space="preserve"> 2008).</w:t>
      </w:r>
      <w:r w:rsidR="00DC4975" w:rsidRPr="003E0C66">
        <w:t xml:space="preserve"> Nawet jeśli podstawowym celem Artykułu 6 </w:t>
      </w:r>
      <w:r w:rsidR="006944AF" w:rsidRPr="003E0C66">
        <w:t>Konwencji, w odniesieniu do postępowań karnych, jest zapewnienie sprawiedliwego</w:t>
      </w:r>
      <w:r w:rsidR="007B1AF8">
        <w:t xml:space="preserve"> procesu przez „</w:t>
      </w:r>
      <w:r w:rsidR="00300F23">
        <w:t>sąd</w:t>
      </w:r>
      <w:r w:rsidR="007B1AF8">
        <w:t>”</w:t>
      </w:r>
      <w:r w:rsidR="00300F23" w:rsidRPr="003E0C66">
        <w:t xml:space="preserve"> </w:t>
      </w:r>
      <w:r w:rsidR="006944AF" w:rsidRPr="003E0C66">
        <w:t xml:space="preserve">właściwy do </w:t>
      </w:r>
      <w:r w:rsidR="00300F23">
        <w:t>rozpoznania</w:t>
      </w:r>
      <w:r w:rsidR="00300F23" w:rsidRPr="003E0C66">
        <w:t xml:space="preserve"> </w:t>
      </w:r>
      <w:r w:rsidR="007B1AF8">
        <w:t>„</w:t>
      </w:r>
      <w:r w:rsidR="00300F23">
        <w:t>sprawy karnej</w:t>
      </w:r>
      <w:r w:rsidR="00B67C22" w:rsidRPr="003E0C66">
        <w:t xml:space="preserve">’’, to nie wynika z </w:t>
      </w:r>
      <w:r w:rsidR="00300F23">
        <w:t>tego</w:t>
      </w:r>
      <w:r w:rsidR="00B67C22" w:rsidRPr="003E0C66">
        <w:t>, ż</w:t>
      </w:r>
      <w:r w:rsidR="00300F23">
        <w:t>e</w:t>
      </w:r>
      <w:r w:rsidR="00B67C22" w:rsidRPr="003E0C66">
        <w:t xml:space="preserve"> Artykuł ten nie ma zastosowania w postępowaniu przygotowawczym. </w:t>
      </w:r>
      <w:r w:rsidR="00C14173">
        <w:t xml:space="preserve">Tak więc </w:t>
      </w:r>
      <w:r w:rsidR="00B67C22" w:rsidRPr="003E0C66">
        <w:t xml:space="preserve">Artykuł 6, a zwłaszcza </w:t>
      </w:r>
      <w:r w:rsidR="00C14173">
        <w:t xml:space="preserve">jego </w:t>
      </w:r>
      <w:r w:rsidR="00BC39D2" w:rsidRPr="003E0C66">
        <w:t>paragraf 3</w:t>
      </w:r>
      <w:r w:rsidR="00434549" w:rsidRPr="003E0C66">
        <w:t xml:space="preserve">, może być </w:t>
      </w:r>
      <w:r w:rsidR="00C14173">
        <w:t>właściwy</w:t>
      </w:r>
      <w:r w:rsidR="00C14173" w:rsidRPr="003E0C66">
        <w:t xml:space="preserve"> </w:t>
      </w:r>
      <w:r w:rsidR="00C14173">
        <w:t>zanim sprawa zostanie przekazana do sądu</w:t>
      </w:r>
      <w:r w:rsidR="00267E05" w:rsidRPr="003E0C66">
        <w:t xml:space="preserve">, </w:t>
      </w:r>
      <w:r w:rsidR="00D6764A" w:rsidRPr="003E0C66">
        <w:t xml:space="preserve">w zakresie, w jakim </w:t>
      </w:r>
      <w:r w:rsidR="00C14173">
        <w:t>rzetelność procesu</w:t>
      </w:r>
      <w:r w:rsidR="00C14173" w:rsidRPr="003E0C66">
        <w:t xml:space="preserve"> </w:t>
      </w:r>
      <w:r w:rsidR="00267E05" w:rsidRPr="003E0C66">
        <w:t xml:space="preserve">może zostać </w:t>
      </w:r>
      <w:r w:rsidR="00064008">
        <w:t xml:space="preserve">poważnie </w:t>
      </w:r>
      <w:r w:rsidR="00267E05" w:rsidRPr="003E0C66">
        <w:t xml:space="preserve">zakłócona </w:t>
      </w:r>
      <w:r w:rsidR="00267E05" w:rsidRPr="003E0C66">
        <w:lastRenderedPageBreak/>
        <w:t>przez początkowe niezastosowanie się do jego postanowień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(</w:t>
      </w:r>
      <w:r w:rsidR="00267E05" w:rsidRPr="003E0C66">
        <w:rPr>
          <w:rFonts w:ascii="Times New Roman" w:eastAsia="Times New Roman" w:hAnsi="Times New Roman" w:cs="Times New Roman"/>
          <w:szCs w:val="20"/>
          <w:lang w:eastAsia="fr-FR"/>
        </w:rPr>
        <w:t>zobacz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 </w:t>
      </w:r>
      <w:proofErr w:type="spellStart"/>
      <w:r w:rsidR="00E05B22" w:rsidRPr="003E0C66">
        <w:rPr>
          <w:i/>
        </w:rPr>
        <w:t>Salduz</w:t>
      </w:r>
      <w:proofErr w:type="spellEnd"/>
      <w:r w:rsidR="00E05B22" w:rsidRPr="003E0C66">
        <w:t xml:space="preserve">, </w:t>
      </w:r>
      <w:r w:rsidR="00E561E3">
        <w:t>cytowany powyżej,</w:t>
      </w:r>
      <w:r w:rsidR="00E05B22" w:rsidRPr="003E0C66">
        <w:t xml:space="preserve"> § 50, </w:t>
      </w:r>
      <w:r w:rsidR="00267E05" w:rsidRPr="003E0C66">
        <w:t xml:space="preserve">w odniesieniu do </w:t>
      </w:r>
      <w:proofErr w:type="spellStart"/>
      <w:r w:rsidR="00E05B22" w:rsidRPr="003E0C66">
        <w:rPr>
          <w:i/>
        </w:rPr>
        <w:t>Imbrioscia</w:t>
      </w:r>
      <w:proofErr w:type="spellEnd"/>
      <w:r w:rsidR="00E05B22" w:rsidRPr="003E0C66">
        <w:rPr>
          <w:i/>
        </w:rPr>
        <w:t xml:space="preserve"> </w:t>
      </w:r>
      <w:r w:rsidR="00267E05" w:rsidRPr="003E0C66">
        <w:rPr>
          <w:i/>
        </w:rPr>
        <w:t>przeciwko Szwajcarii</w:t>
      </w:r>
      <w:r w:rsidR="00267E05" w:rsidRPr="003E0C66">
        <w:t>, 24 listopada 1993</w:t>
      </w:r>
      <w:r w:rsidR="00E561E3">
        <w:t xml:space="preserve"> roku</w:t>
      </w:r>
      <w:r w:rsidR="00267E05" w:rsidRPr="003E0C66">
        <w:t xml:space="preserve">, § 36, </w:t>
      </w:r>
      <w:r w:rsidR="00E561E3">
        <w:t>s</w:t>
      </w:r>
      <w:r w:rsidR="00267E05" w:rsidRPr="003E0C66">
        <w:t>eria A</w:t>
      </w:r>
      <w:r w:rsidR="00E561E3">
        <w:t>,</w:t>
      </w:r>
      <w:r w:rsidR="00267E05" w:rsidRPr="003E0C66">
        <w:t xml:space="preserve"> </w:t>
      </w:r>
      <w:r w:rsidR="00F749AE" w:rsidRPr="003E0C66">
        <w:t>nr</w:t>
      </w:r>
      <w:r w:rsidR="00E05B22" w:rsidRPr="003E0C66">
        <w:t xml:space="preserve"> 275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).</w:t>
      </w:r>
    </w:p>
    <w:p w:rsidR="00E05B22" w:rsidRPr="003E0C66" w:rsidRDefault="006B25B0" w:rsidP="007B1AF8">
      <w:pPr>
        <w:pStyle w:val="ECHRPara"/>
        <w:tabs>
          <w:tab w:val="left" w:pos="6312"/>
        </w:tabs>
        <w:rPr>
          <w:rFonts w:ascii="Times New Roman" w:eastAsia="Times New Roman" w:hAnsi="Times New Roman" w:cs="Times New Roman"/>
          <w:szCs w:val="20"/>
          <w:lang w:eastAsia="en-GB"/>
        </w:rPr>
      </w:pPr>
      <w:r w:rsidRPr="003E0C66">
        <w:rPr>
          <w:rFonts w:ascii="Times New Roman" w:eastAsia="Times New Roman" w:hAnsi="Times New Roman" w:cs="Times New Roman"/>
          <w:szCs w:val="20"/>
          <w:lang w:eastAsia="en-GB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0"/>
          <w:lang w:eastAsia="en-GB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0"/>
          <w:lang w:eastAsia="en-GB"/>
        </w:rPr>
        <w:t>105</w:t>
      </w:r>
      <w:r w:rsidRPr="003E0C66">
        <w:rPr>
          <w:rFonts w:ascii="Times New Roman" w:eastAsia="Times New Roman" w:hAnsi="Times New Roman" w:cs="Times New Roman"/>
          <w:szCs w:val="20"/>
          <w:lang w:eastAsia="en-GB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>.  </w:t>
      </w:r>
      <w:r w:rsidR="007B1AF8">
        <w:rPr>
          <w:rFonts w:ascii="Times New Roman" w:eastAsia="Times New Roman" w:hAnsi="Times New Roman" w:cs="Times New Roman"/>
          <w:szCs w:val="20"/>
          <w:lang w:eastAsia="en-GB"/>
        </w:rPr>
        <w:t>Jednakże</w:t>
      </w:r>
      <w:r w:rsidR="00BE51BC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użycie jako dowodu zeznań złożonych na etapie dochodzenia policyjnego oraz </w:t>
      </w:r>
      <w:r w:rsidR="00E561E3">
        <w:rPr>
          <w:rFonts w:ascii="Times New Roman" w:eastAsia="Times New Roman" w:hAnsi="Times New Roman" w:cs="Times New Roman"/>
          <w:szCs w:val="20"/>
          <w:lang w:eastAsia="en-GB"/>
        </w:rPr>
        <w:t>przed sędzią śledczym</w:t>
      </w:r>
      <w:r w:rsidR="00BE51BC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nie jest </w:t>
      </w:r>
      <w:r w:rsidR="00A732F4" w:rsidRPr="003E0C66">
        <w:rPr>
          <w:rFonts w:ascii="Times New Roman" w:eastAsia="Times New Roman" w:hAnsi="Times New Roman" w:cs="Times New Roman"/>
          <w:szCs w:val="20"/>
          <w:lang w:eastAsia="en-GB"/>
        </w:rPr>
        <w:t>samo w sobie sprzeczne z Artykułem 6 §§</w:t>
      </w:r>
      <w:r w:rsidR="00E561E3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A732F4" w:rsidRPr="003E0C66">
        <w:rPr>
          <w:rFonts w:ascii="Times New Roman" w:eastAsia="Times New Roman" w:hAnsi="Times New Roman" w:cs="Times New Roman"/>
          <w:szCs w:val="20"/>
          <w:lang w:eastAsia="en-GB"/>
        </w:rPr>
        <w:t>1 i 3</w:t>
      </w:r>
      <w:r w:rsidR="00E561E3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A732F4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(d), pod warunkiem, że zostały zachowane prawa do obrony. Zasadniczo prawa te </w:t>
      </w:r>
      <w:r w:rsidR="00E83621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wymagają, aby </w:t>
      </w:r>
      <w:r w:rsidR="00E561E3">
        <w:rPr>
          <w:rFonts w:ascii="Times New Roman" w:eastAsia="Times New Roman" w:hAnsi="Times New Roman" w:cs="Times New Roman"/>
          <w:szCs w:val="20"/>
          <w:lang w:eastAsia="en-GB"/>
        </w:rPr>
        <w:t>oskarżonemu</w:t>
      </w:r>
      <w:r w:rsidR="00E561E3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E83621" w:rsidRPr="003E0C66">
        <w:rPr>
          <w:rFonts w:ascii="Times New Roman" w:eastAsia="Times New Roman" w:hAnsi="Times New Roman" w:cs="Times New Roman"/>
          <w:szCs w:val="20"/>
          <w:lang w:eastAsia="en-GB"/>
        </w:rPr>
        <w:t>zapewniono odpowiednią i właściwą</w:t>
      </w:r>
      <w:r w:rsidR="00301173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możl</w:t>
      </w:r>
      <w:r w:rsidR="00E83621" w:rsidRPr="003E0C66">
        <w:rPr>
          <w:rFonts w:ascii="Times New Roman" w:eastAsia="Times New Roman" w:hAnsi="Times New Roman" w:cs="Times New Roman"/>
          <w:szCs w:val="20"/>
          <w:lang w:eastAsia="en-GB"/>
        </w:rPr>
        <w:t>iwość</w:t>
      </w:r>
      <w:r w:rsidR="00301173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skonfrontowania i przesłuchania świadka zeznającego przeciwko niemu </w:t>
      </w:r>
      <w:r w:rsidR="007D1E33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– wtedy, gdy świadek ten składa zeznania lub </w:t>
      </w:r>
      <w:r w:rsidR="00E561E3">
        <w:rPr>
          <w:rFonts w:ascii="Times New Roman" w:eastAsia="Times New Roman" w:hAnsi="Times New Roman" w:cs="Times New Roman"/>
          <w:szCs w:val="20"/>
          <w:lang w:eastAsia="en-GB"/>
        </w:rPr>
        <w:t>na</w:t>
      </w:r>
      <w:r w:rsidR="007D1E33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późniejszym etapie postępowania</w:t>
      </w:r>
      <w:r w:rsidR="00E83621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7D1E33" w:rsidRPr="003E0C66">
        <w:rPr>
          <w:rFonts w:ascii="Times New Roman" w:eastAsia="Times New Roman" w:hAnsi="Times New Roman" w:cs="Times New Roman"/>
          <w:szCs w:val="20"/>
          <w:lang w:eastAsia="fr-FR"/>
        </w:rPr>
        <w:t>(zobacz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7D1E33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7D1E33" w:rsidRPr="003E0C66">
        <w:t>wspomniany wyżej</w:t>
      </w:r>
      <w:r w:rsidR="00E05B22" w:rsidRPr="003E0C66">
        <w:t>, § 118,</w:t>
      </w:r>
      <w:r w:rsidR="007B1AF8">
        <w:t xml:space="preserve"> </w:t>
      </w:r>
      <w:r w:rsidR="007D1E33" w:rsidRPr="003E0C66">
        <w:t>z dalszymi odniesieniami</w:t>
      </w:r>
      <w:r w:rsidR="00E05B22" w:rsidRPr="003E0C66">
        <w:t xml:space="preserve">; </w:t>
      </w:r>
      <w:r w:rsidR="007D1E33" w:rsidRPr="003E0C66">
        <w:t xml:space="preserve">zobacz także </w:t>
      </w:r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A.G </w:t>
      </w:r>
      <w:r w:rsidR="007D1E33" w:rsidRPr="003E0C66">
        <w:rPr>
          <w:rFonts w:ascii="Times New Roman" w:eastAsia="Calibri" w:hAnsi="Times New Roman" w:cs="Times New Roman"/>
          <w:i/>
          <w:snapToGrid w:val="0"/>
        </w:rPr>
        <w:t xml:space="preserve"> przeciw</w:t>
      </w:r>
      <w:r w:rsidR="00E561E3">
        <w:rPr>
          <w:rFonts w:ascii="Times New Roman" w:eastAsia="Calibri" w:hAnsi="Times New Roman" w:cs="Times New Roman"/>
          <w:i/>
          <w:snapToGrid w:val="0"/>
        </w:rPr>
        <w:t>ko</w:t>
      </w:r>
      <w:r w:rsidR="007D1E33" w:rsidRPr="003E0C66">
        <w:rPr>
          <w:rFonts w:ascii="Times New Roman" w:eastAsia="Calibri" w:hAnsi="Times New Roman" w:cs="Times New Roman"/>
          <w:i/>
          <w:snapToGrid w:val="0"/>
        </w:rPr>
        <w:t xml:space="preserve"> Szwecji</w:t>
      </w:r>
      <w:r w:rsidR="007D1E33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F749AE" w:rsidRPr="003E0C66">
        <w:rPr>
          <w:rFonts w:ascii="Times New Roman" w:eastAsia="Calibri" w:hAnsi="Times New Roman" w:cs="Times New Roman"/>
          <w:snapToGrid w:val="0"/>
        </w:rPr>
        <w:t>nr</w:t>
      </w:r>
      <w:r w:rsidR="007D1E33" w:rsidRPr="003E0C66">
        <w:rPr>
          <w:rFonts w:ascii="Times New Roman" w:eastAsia="Calibri" w:hAnsi="Times New Roman" w:cs="Times New Roman"/>
          <w:snapToGrid w:val="0"/>
        </w:rPr>
        <w:t xml:space="preserve"> 315/09, 10 </w:t>
      </w:r>
      <w:r w:rsidR="00182408" w:rsidRPr="003E0C66">
        <w:rPr>
          <w:rFonts w:ascii="Times New Roman" w:eastAsia="Calibri" w:hAnsi="Times New Roman" w:cs="Times New Roman"/>
          <w:snapToGrid w:val="0"/>
        </w:rPr>
        <w:t>stycznia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2012</w:t>
      </w:r>
      <w:r w:rsidR="00E561E3">
        <w:rPr>
          <w:rFonts w:ascii="Times New Roman" w:eastAsia="Calibri" w:hAnsi="Times New Roman" w:cs="Times New Roman"/>
          <w:snapToGrid w:val="0"/>
        </w:rPr>
        <w:t xml:space="preserve"> roku</w:t>
      </w:r>
      <w:r w:rsidR="00E05B22" w:rsidRPr="003E0C66">
        <w:t xml:space="preserve"> </w:t>
      </w:r>
      <w:r w:rsidR="00182408" w:rsidRPr="003E0C66">
        <w:t xml:space="preserve">oraz </w:t>
      </w:r>
      <w:proofErr w:type="spellStart"/>
      <w:r w:rsidR="00E05B22" w:rsidRPr="003E0C66">
        <w:rPr>
          <w:i/>
        </w:rPr>
        <w:t>Trampevski</w:t>
      </w:r>
      <w:proofErr w:type="spellEnd"/>
      <w:r w:rsidR="00E05B22" w:rsidRPr="003E0C66">
        <w:rPr>
          <w:i/>
        </w:rPr>
        <w:t xml:space="preserve"> </w:t>
      </w:r>
      <w:r w:rsidR="00182408" w:rsidRPr="003E0C66">
        <w:rPr>
          <w:i/>
        </w:rPr>
        <w:t>przeciwko byłej Jugosłowiańskiej Republice Macedonii</w:t>
      </w:r>
      <w:r w:rsidR="00182408" w:rsidRPr="003E0C66">
        <w:t xml:space="preserve">, </w:t>
      </w:r>
      <w:r w:rsidR="00F749AE" w:rsidRPr="003E0C66">
        <w:t>nr</w:t>
      </w:r>
      <w:r w:rsidR="00E05B22" w:rsidRPr="003E0C66">
        <w:t> 4570/07</w:t>
      </w:r>
      <w:r w:rsidR="00182408" w:rsidRPr="003E0C66">
        <w:rPr>
          <w:snapToGrid w:val="0"/>
        </w:rPr>
        <w:t>, § 44, 10 lipca</w:t>
      </w:r>
      <w:r w:rsidR="00E05B22" w:rsidRPr="003E0C66">
        <w:rPr>
          <w:snapToGrid w:val="0"/>
        </w:rPr>
        <w:t xml:space="preserve"> 2012</w:t>
      </w:r>
      <w:r w:rsidR="00E561E3">
        <w:rPr>
          <w:snapToGrid w:val="0"/>
        </w:rPr>
        <w:t xml:space="preserve"> roku</w:t>
      </w:r>
      <w:r w:rsidR="00E05B22" w:rsidRPr="003E0C66">
        <w:rPr>
          <w:rFonts w:ascii="Times New Roman" w:eastAsia="Times New Roman" w:hAnsi="Times New Roman" w:cs="Times New Roman"/>
          <w:szCs w:val="20"/>
        </w:rPr>
        <w:t>).</w:t>
      </w:r>
    </w:p>
    <w:p w:rsidR="00E05B22" w:rsidRPr="003E0C66" w:rsidRDefault="006B25B0" w:rsidP="00BC0CE7">
      <w:pPr>
        <w:pStyle w:val="ECHRPara"/>
        <w:tabs>
          <w:tab w:val="left" w:pos="6312"/>
        </w:tabs>
      </w:pPr>
      <w:r w:rsidRPr="003E0C66">
        <w:rPr>
          <w:szCs w:val="24"/>
        </w:rPr>
        <w:fldChar w:fldCharType="begin"/>
      </w:r>
      <w:r w:rsidR="00E05B22" w:rsidRPr="003E0C66">
        <w:rPr>
          <w:szCs w:val="24"/>
        </w:rPr>
        <w:instrText xml:space="preserve"> SEQ level0 \*arabic </w:instrText>
      </w:r>
      <w:r w:rsidRPr="003E0C66">
        <w:rPr>
          <w:szCs w:val="24"/>
        </w:rPr>
        <w:fldChar w:fldCharType="separate"/>
      </w:r>
      <w:r w:rsidR="00CC1F60" w:rsidRPr="003E0C66">
        <w:rPr>
          <w:noProof/>
          <w:szCs w:val="24"/>
        </w:rPr>
        <w:t>106</w:t>
      </w:r>
      <w:r w:rsidRPr="003E0C66">
        <w:rPr>
          <w:szCs w:val="24"/>
        </w:rPr>
        <w:fldChar w:fldCharType="end"/>
      </w:r>
      <w:r w:rsidR="00E05B22" w:rsidRPr="003E0C66">
        <w:rPr>
          <w:szCs w:val="24"/>
        </w:rPr>
        <w:t>.  </w:t>
      </w:r>
      <w:r w:rsidR="00182408" w:rsidRPr="003E0C66">
        <w:rPr>
          <w:szCs w:val="24"/>
        </w:rPr>
        <w:t xml:space="preserve">W wyroku w sprawie </w:t>
      </w:r>
      <w:r w:rsidR="007A5D80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 </w:t>
      </w:r>
      <w:r w:rsidR="007A5D80" w:rsidRPr="003E0C66">
        <w:t>Trybunał stwierdzi</w:t>
      </w:r>
      <w:r w:rsidR="00F744EE">
        <w:t>ł</w:t>
      </w:r>
      <w:r w:rsidR="007A5D80" w:rsidRPr="003E0C66">
        <w:t>, ż</w:t>
      </w:r>
      <w:r w:rsidR="00F744EE">
        <w:t>e</w:t>
      </w:r>
      <w:r w:rsidR="007A5D80" w:rsidRPr="003E0C66">
        <w:t xml:space="preserve"> dopuszczenie jako dow</w:t>
      </w:r>
      <w:r w:rsidR="00F744EE">
        <w:t>odu</w:t>
      </w:r>
      <w:r w:rsidR="007A5D80" w:rsidRPr="003E0C66">
        <w:t xml:space="preserve"> zeznań świadka, który był nieobecny na rozprawie</w:t>
      </w:r>
      <w:r w:rsidR="009C4A62" w:rsidRPr="003E0C66">
        <w:t xml:space="preserve">, a którego przedprocesowe zeznania </w:t>
      </w:r>
      <w:r w:rsidR="00F744EE">
        <w:t>były</w:t>
      </w:r>
      <w:r w:rsidR="00F744EE" w:rsidRPr="003E0C66">
        <w:t xml:space="preserve"> </w:t>
      </w:r>
      <w:r w:rsidR="009C4A62" w:rsidRPr="003E0C66">
        <w:t>jedyny</w:t>
      </w:r>
      <w:r w:rsidR="00F744EE">
        <w:t>m</w:t>
      </w:r>
      <w:r w:rsidR="009C4A62" w:rsidRPr="003E0C66">
        <w:t xml:space="preserve"> lub </w:t>
      </w:r>
      <w:r w:rsidR="00F744EE">
        <w:t>decydującym dowodem</w:t>
      </w:r>
      <w:r w:rsidR="00F744EE" w:rsidRPr="003E0C66">
        <w:t xml:space="preserve"> </w:t>
      </w:r>
      <w:r w:rsidR="009C4A62" w:rsidRPr="003E0C66">
        <w:t xml:space="preserve">przeciwko </w:t>
      </w:r>
      <w:r w:rsidR="00F744EE">
        <w:t>oskarżonemu</w:t>
      </w:r>
      <w:r w:rsidR="009C4A62" w:rsidRPr="003E0C66">
        <w:t>, nie powoduje automatycznie naruszenia Artykułu 6 §</w:t>
      </w:r>
      <w:r w:rsidR="00F744EE">
        <w:t xml:space="preserve"> </w:t>
      </w:r>
      <w:r w:rsidR="009C4A62" w:rsidRPr="003E0C66">
        <w:t>1. Uzasadn</w:t>
      </w:r>
      <w:r w:rsidR="004474FE">
        <w:t>iał, iż stosowanie tak zwanej „</w:t>
      </w:r>
      <w:r w:rsidR="008D1834">
        <w:t>reguły</w:t>
      </w:r>
      <w:r w:rsidR="008D1834" w:rsidRPr="003E0C66">
        <w:t xml:space="preserve"> </w:t>
      </w:r>
      <w:r w:rsidR="004474FE">
        <w:t>wyłączności</w:t>
      </w:r>
      <w:r w:rsidR="009C4A62" w:rsidRPr="003E0C66">
        <w:t xml:space="preserve"> lub </w:t>
      </w:r>
      <w:r w:rsidR="008D1834">
        <w:t>decydującej roli</w:t>
      </w:r>
      <w:r w:rsidR="009C4A62" w:rsidRPr="003E0C66">
        <w:t>’’ (</w:t>
      </w:r>
      <w:r w:rsidR="00F744EE">
        <w:t>zgodnie z którą</w:t>
      </w:r>
      <w:r w:rsidR="009C4A62" w:rsidRPr="003E0C66">
        <w:t xml:space="preserve"> proces </w:t>
      </w:r>
      <w:r w:rsidR="00F01B63" w:rsidRPr="003E0C66">
        <w:t>byłby</w:t>
      </w:r>
      <w:r w:rsidR="009C4A62" w:rsidRPr="003E0C66">
        <w:t xml:space="preserve"> nieuczciwy</w:t>
      </w:r>
      <w:r w:rsidR="00F01B63" w:rsidRPr="003E0C66">
        <w:t xml:space="preserve">, jeśli </w:t>
      </w:r>
      <w:r w:rsidR="00F744EE">
        <w:t>skazanie</w:t>
      </w:r>
      <w:r w:rsidR="00F744EE" w:rsidRPr="003E0C66">
        <w:t xml:space="preserve"> </w:t>
      </w:r>
      <w:r w:rsidR="00F01B63" w:rsidRPr="003E0C66">
        <w:t>opierał</w:t>
      </w:r>
      <w:r w:rsidR="00F744EE">
        <w:t>o</w:t>
      </w:r>
      <w:r w:rsidR="00F01B63" w:rsidRPr="003E0C66">
        <w:t xml:space="preserve">by się jedynie </w:t>
      </w:r>
      <w:r w:rsidR="00F744EE">
        <w:t>albo</w:t>
      </w:r>
      <w:r w:rsidR="00F744EE" w:rsidRPr="003E0C66">
        <w:t xml:space="preserve"> </w:t>
      </w:r>
      <w:r w:rsidR="00F01B63" w:rsidRPr="003E0C66">
        <w:t>w decy</w:t>
      </w:r>
      <w:r w:rsidR="00F744EE">
        <w:t>dującym</w:t>
      </w:r>
      <w:r w:rsidR="00F01B63" w:rsidRPr="003E0C66">
        <w:t xml:space="preserve"> stopniu na dowodach z zeznań świadka, którego oskarżony nie mógł przesłuchać na żadnym z etapów postępowania</w:t>
      </w:r>
      <w:r w:rsidR="00E05B22" w:rsidRPr="003E0C66">
        <w:t>; ibid</w:t>
      </w:r>
      <w:r w:rsidR="00E05B22" w:rsidRPr="003E0C66">
        <w:rPr>
          <w:i/>
        </w:rPr>
        <w:t>.</w:t>
      </w:r>
      <w:r w:rsidR="00E05B22" w:rsidRPr="003E0C66">
        <w:t xml:space="preserve">, §§ 128 </w:t>
      </w:r>
      <w:r w:rsidR="00F744EE">
        <w:t>i</w:t>
      </w:r>
      <w:r w:rsidR="00F744EE" w:rsidRPr="003E0C66">
        <w:t xml:space="preserve"> </w:t>
      </w:r>
      <w:r w:rsidR="00E05B22" w:rsidRPr="003E0C66">
        <w:t xml:space="preserve">147) </w:t>
      </w:r>
      <w:r w:rsidR="008D1834">
        <w:t xml:space="preserve">w sposób nieelastyczny </w:t>
      </w:r>
      <w:r w:rsidR="00C7127F" w:rsidRPr="003E0C66">
        <w:t>byłoby sprzeczne</w:t>
      </w:r>
      <w:r w:rsidR="00F01B63" w:rsidRPr="003E0C66">
        <w:t xml:space="preserve"> z tradycyjny</w:t>
      </w:r>
      <w:r w:rsidR="00C7127F" w:rsidRPr="003E0C66">
        <w:t>m sposobem</w:t>
      </w:r>
      <w:r w:rsidR="008D1834">
        <w:t>, w który</w:t>
      </w:r>
      <w:r w:rsidR="00C7127F" w:rsidRPr="003E0C66">
        <w:t xml:space="preserve"> Trybunał </w:t>
      </w:r>
      <w:r w:rsidR="008D1834">
        <w:t xml:space="preserve">podchodzi do </w:t>
      </w:r>
      <w:r w:rsidR="00C7127F" w:rsidRPr="003E0C66">
        <w:t xml:space="preserve">prawa do sprawiedliwego procesu na podstawie Artykułu 6 § 1, mianowicie badaniem czy postępowanie jako całość było </w:t>
      </w:r>
      <w:r w:rsidR="004474FE">
        <w:t>rzetelne</w:t>
      </w:r>
      <w:r w:rsidR="00C7127F" w:rsidRPr="003E0C66">
        <w:t xml:space="preserve">. Jednakże dopuszczenie takich dowodów, ze względu na nieodłączne </w:t>
      </w:r>
      <w:r w:rsidR="00E80D53">
        <w:t>ryzyko dla rzetelności</w:t>
      </w:r>
      <w:r w:rsidR="00E80D53" w:rsidRPr="003E0C66">
        <w:t xml:space="preserve"> </w:t>
      </w:r>
      <w:r w:rsidR="00C7127F" w:rsidRPr="003E0C66">
        <w:t xml:space="preserve">procesu, stanowi bardzo ważny czynnik </w:t>
      </w:r>
      <w:r w:rsidR="00E80D53">
        <w:t>do ważenia na skali</w:t>
      </w:r>
      <w:r w:rsidR="00C7127F" w:rsidRPr="003E0C66">
        <w:t xml:space="preserve"> </w:t>
      </w:r>
      <w:r w:rsidR="00E05B22" w:rsidRPr="003E0C66">
        <w:t>(ibid</w:t>
      </w:r>
      <w:r w:rsidR="00E05B22" w:rsidRPr="003E0C66">
        <w:rPr>
          <w:i/>
        </w:rPr>
        <w:t>.</w:t>
      </w:r>
      <w:r w:rsidR="00E05B22" w:rsidRPr="003E0C66">
        <w:t>, §§ 146-47).</w:t>
      </w:r>
    </w:p>
    <w:p w:rsidR="00E05B22" w:rsidRPr="003E0C66" w:rsidRDefault="006B25B0" w:rsidP="00BC0CE7">
      <w:pPr>
        <w:pStyle w:val="ECHRPara"/>
        <w:tabs>
          <w:tab w:val="left" w:pos="6312"/>
        </w:tabs>
      </w:pPr>
      <w:r w:rsidRPr="003E0C66">
        <w:rPr>
          <w:szCs w:val="24"/>
        </w:rPr>
        <w:fldChar w:fldCharType="begin"/>
      </w:r>
      <w:r w:rsidR="00E05B22" w:rsidRPr="003E0C66">
        <w:rPr>
          <w:szCs w:val="24"/>
        </w:rPr>
        <w:instrText xml:space="preserve"> SEQ level0 \*arabic </w:instrText>
      </w:r>
      <w:r w:rsidRPr="003E0C66">
        <w:rPr>
          <w:szCs w:val="24"/>
        </w:rPr>
        <w:fldChar w:fldCharType="separate"/>
      </w:r>
      <w:r w:rsidR="00CC1F60" w:rsidRPr="003E0C66">
        <w:rPr>
          <w:noProof/>
          <w:szCs w:val="24"/>
        </w:rPr>
        <w:t>107</w:t>
      </w:r>
      <w:r w:rsidRPr="003E0C66">
        <w:rPr>
          <w:szCs w:val="24"/>
        </w:rPr>
        <w:fldChar w:fldCharType="end"/>
      </w:r>
      <w:r w:rsidR="00E05B22" w:rsidRPr="003E0C66">
        <w:rPr>
          <w:szCs w:val="24"/>
        </w:rPr>
        <w:t>.  </w:t>
      </w:r>
      <w:r w:rsidR="00304001" w:rsidRPr="003E0C66">
        <w:rPr>
          <w:szCs w:val="24"/>
        </w:rPr>
        <w:t xml:space="preserve">Zgodnie z zasadami </w:t>
      </w:r>
      <w:r w:rsidR="00E80D53">
        <w:rPr>
          <w:szCs w:val="24"/>
        </w:rPr>
        <w:t>ustalonymi</w:t>
      </w:r>
      <w:r w:rsidR="00E80D53" w:rsidRPr="003E0C66">
        <w:rPr>
          <w:szCs w:val="24"/>
        </w:rPr>
        <w:t xml:space="preserve"> </w:t>
      </w:r>
      <w:r w:rsidR="00304001" w:rsidRPr="003E0C66">
        <w:rPr>
          <w:szCs w:val="24"/>
        </w:rPr>
        <w:t xml:space="preserve">w wyroku </w:t>
      </w:r>
      <w:r w:rsidR="00304001" w:rsidRPr="003E0C66">
        <w:rPr>
          <w:i/>
        </w:rPr>
        <w:t>Al-Khawaj</w:t>
      </w:r>
      <w:r w:rsidR="004474FE">
        <w:rPr>
          <w:i/>
        </w:rPr>
        <w:t>a</w:t>
      </w:r>
      <w:r w:rsidR="00304001" w:rsidRPr="003E0C66">
        <w:rPr>
          <w:i/>
        </w:rPr>
        <w:t xml:space="preserve"> i</w:t>
      </w:r>
      <w:r w:rsidR="00E05B22" w:rsidRPr="003E0C66">
        <w:rPr>
          <w:i/>
        </w:rPr>
        <w:t xml:space="preserve"> Tahery</w:t>
      </w:r>
      <w:r w:rsidR="00304001" w:rsidRPr="003E0C66">
        <w:t xml:space="preserve"> koniecznym jest badanie</w:t>
      </w:r>
      <w:r w:rsidR="00795B57" w:rsidRPr="003E0C66">
        <w:t xml:space="preserve"> zgodności z Artykułem 6 §</w:t>
      </w:r>
      <w:r w:rsidR="00E80D53" w:rsidRPr="003E0C66">
        <w:t>§</w:t>
      </w:r>
      <w:r w:rsidR="00E80D53">
        <w:t xml:space="preserve"> </w:t>
      </w:r>
      <w:r w:rsidR="00795B57" w:rsidRPr="003E0C66">
        <w:t xml:space="preserve">1 i 3 (d) Konwencji postępowania, w którym </w:t>
      </w:r>
      <w:r w:rsidR="00E80D53" w:rsidRPr="003E0C66">
        <w:t xml:space="preserve">zostały użyte jako dowód </w:t>
      </w:r>
      <w:r w:rsidR="00795B57" w:rsidRPr="003E0C66">
        <w:t xml:space="preserve">zeznania złożone przez świadka, który nie był obecny na rozprawie </w:t>
      </w:r>
      <w:r w:rsidR="00E80D53" w:rsidRPr="003E0C66">
        <w:t xml:space="preserve">w trzech </w:t>
      </w:r>
      <w:r w:rsidR="004474FE">
        <w:t>etapach</w:t>
      </w:r>
      <w:r w:rsidR="00E80D53" w:rsidRPr="003E0C66">
        <w:t xml:space="preserve"> </w:t>
      </w:r>
      <w:r w:rsidR="00E05B22" w:rsidRPr="003E0C66">
        <w:t>(ibid</w:t>
      </w:r>
      <w:r w:rsidR="00E05B22" w:rsidRPr="003E0C66">
        <w:rPr>
          <w:i/>
        </w:rPr>
        <w:t>.</w:t>
      </w:r>
      <w:r w:rsidR="00E05B22" w:rsidRPr="003E0C66">
        <w:t xml:space="preserve"> § 152). </w:t>
      </w:r>
      <w:r w:rsidR="000F7B1E" w:rsidRPr="003E0C66">
        <w:t>Trybunał musi zbadać</w:t>
      </w:r>
      <w:r w:rsidR="00E80D53">
        <w:t>:</w:t>
      </w:r>
      <w:r w:rsidR="000F7B1E" w:rsidRPr="003E0C66">
        <w:t xml:space="preserve">  </w:t>
      </w:r>
    </w:p>
    <w:p w:rsidR="00E05B22" w:rsidRPr="003E0C66" w:rsidRDefault="00E05B22" w:rsidP="00BC0CE7">
      <w:pPr>
        <w:pStyle w:val="ECHRPara"/>
        <w:tabs>
          <w:tab w:val="left" w:pos="6312"/>
        </w:tabs>
      </w:pPr>
      <w:r w:rsidRPr="003E0C66">
        <w:t>(i) </w:t>
      </w:r>
      <w:r w:rsidR="000F7B1E" w:rsidRPr="003E0C66">
        <w:t xml:space="preserve"> czy zaistniał </w:t>
      </w:r>
      <w:r w:rsidR="00E80D53">
        <w:t>ważny</w:t>
      </w:r>
      <w:r w:rsidR="00E80D53" w:rsidRPr="003E0C66">
        <w:t xml:space="preserve"> </w:t>
      </w:r>
      <w:r w:rsidR="000F7B1E" w:rsidRPr="003E0C66">
        <w:t>powód nieobecnoś</w:t>
      </w:r>
      <w:r w:rsidR="00E80D53">
        <w:t>ci</w:t>
      </w:r>
      <w:r w:rsidR="000F7B1E" w:rsidRPr="003E0C66">
        <w:t xml:space="preserve"> świadka, a co za tym idzie, </w:t>
      </w:r>
      <w:r w:rsidR="004474FE">
        <w:t>dopuszczenia</w:t>
      </w:r>
      <w:r w:rsidR="000F7B1E" w:rsidRPr="003E0C66">
        <w:t xml:space="preserve"> </w:t>
      </w:r>
      <w:r w:rsidR="00531B4C" w:rsidRPr="003E0C66">
        <w:t xml:space="preserve">jako dowodu </w:t>
      </w:r>
      <w:r w:rsidR="00531B4C">
        <w:t>niezweryfikowanych</w:t>
      </w:r>
      <w:r w:rsidR="00531B4C" w:rsidRPr="003E0C66">
        <w:t xml:space="preserve"> </w:t>
      </w:r>
      <w:r w:rsidR="000F7B1E" w:rsidRPr="003E0C66">
        <w:t>zeznań nieobecn</w:t>
      </w:r>
      <w:r w:rsidR="00531B4C">
        <w:t>ego</w:t>
      </w:r>
      <w:r w:rsidR="000F7B1E" w:rsidRPr="003E0C66">
        <w:t xml:space="preserve"> świadk</w:t>
      </w:r>
      <w:r w:rsidR="00531B4C">
        <w:t>a</w:t>
      </w:r>
      <w:r w:rsidR="000F7B1E" w:rsidRPr="003E0C66">
        <w:t xml:space="preserve"> </w:t>
      </w:r>
      <w:r w:rsidRPr="003E0C66">
        <w:t>(ibid</w:t>
      </w:r>
      <w:r w:rsidRPr="003E0C66">
        <w:rPr>
          <w:i/>
        </w:rPr>
        <w:t>.</w:t>
      </w:r>
      <w:r w:rsidRPr="003E0C66">
        <w:t>, §§ 119-25);</w:t>
      </w:r>
    </w:p>
    <w:p w:rsidR="00E05B22" w:rsidRPr="003E0C66" w:rsidRDefault="00E05B22" w:rsidP="00BC0CE7">
      <w:pPr>
        <w:pStyle w:val="ECHRPara"/>
        <w:tabs>
          <w:tab w:val="left" w:pos="6312"/>
        </w:tabs>
      </w:pPr>
      <w:r w:rsidRPr="003E0C66">
        <w:t>(ii) </w:t>
      </w:r>
      <w:r w:rsidR="000F7B1E" w:rsidRPr="003E0C66">
        <w:t xml:space="preserve">czy dowód z zeznań nieobecnego świadka był jedyną lub </w:t>
      </w:r>
      <w:r w:rsidR="00531B4C">
        <w:t>decydującą</w:t>
      </w:r>
      <w:r w:rsidR="00531B4C" w:rsidRPr="003E0C66">
        <w:t xml:space="preserve"> </w:t>
      </w:r>
      <w:r w:rsidR="000F7B1E" w:rsidRPr="003E0C66">
        <w:t>podstawą skazania oskarżonego</w:t>
      </w:r>
      <w:r w:rsidRPr="003E0C66">
        <w:t xml:space="preserve"> (ibid</w:t>
      </w:r>
      <w:r w:rsidRPr="003E0C66">
        <w:rPr>
          <w:i/>
        </w:rPr>
        <w:t>.</w:t>
      </w:r>
      <w:r w:rsidR="000F7B1E" w:rsidRPr="003E0C66">
        <w:t>, §§ 119 i 126-47); oraz</w:t>
      </w:r>
    </w:p>
    <w:p w:rsidR="00E05B22" w:rsidRPr="003E0C66" w:rsidRDefault="00E05B22" w:rsidP="00BC0CE7">
      <w:pPr>
        <w:pStyle w:val="ECHRPara"/>
        <w:tabs>
          <w:tab w:val="left" w:pos="6312"/>
        </w:tabs>
      </w:pPr>
      <w:r w:rsidRPr="003E0C66">
        <w:t>(iii) </w:t>
      </w:r>
      <w:r w:rsidR="000F7B1E" w:rsidRPr="003E0C66">
        <w:t xml:space="preserve">czy zaistniały wystarczające czynniki </w:t>
      </w:r>
      <w:r w:rsidR="00472292" w:rsidRPr="003E0C66">
        <w:t xml:space="preserve">równoważące, w tym silne gwarancje proceduralne, rekompensujące obronie utrudnienia spowodowane </w:t>
      </w:r>
      <w:r w:rsidR="00850D6F" w:rsidRPr="003E0C66">
        <w:t xml:space="preserve">w rezultacie </w:t>
      </w:r>
      <w:r w:rsidR="004474FE">
        <w:t>dopuszczenia</w:t>
      </w:r>
      <w:r w:rsidR="00850D6F" w:rsidRPr="003E0C66">
        <w:t xml:space="preserve"> </w:t>
      </w:r>
      <w:r w:rsidR="00531B4C">
        <w:t>niezweryfikowanych</w:t>
      </w:r>
      <w:r w:rsidR="00531B4C" w:rsidRPr="003E0C66">
        <w:t xml:space="preserve"> </w:t>
      </w:r>
      <w:r w:rsidR="00850D6F" w:rsidRPr="003E0C66">
        <w:t xml:space="preserve">dowodów oraz </w:t>
      </w:r>
      <w:r w:rsidR="00531B4C">
        <w:t>zapewniające</w:t>
      </w:r>
      <w:r w:rsidR="00850D6F" w:rsidRPr="003E0C66">
        <w:t>, że cały proces był sprawiedliwy</w:t>
      </w:r>
      <w:r w:rsidRPr="003E0C66">
        <w:t xml:space="preserve"> (ibid</w:t>
      </w:r>
      <w:r w:rsidRPr="003E0C66">
        <w:rPr>
          <w:i/>
        </w:rPr>
        <w:t>.</w:t>
      </w:r>
      <w:r w:rsidRPr="003E0C66">
        <w:t>, § 147).</w:t>
      </w:r>
    </w:p>
    <w:p w:rsidR="00E05B22" w:rsidRPr="003E0C66" w:rsidRDefault="006B25B0" w:rsidP="00850D6F">
      <w:pPr>
        <w:pStyle w:val="ECHRPara"/>
        <w:tabs>
          <w:tab w:val="left" w:pos="6312"/>
        </w:tabs>
        <w:rPr>
          <w:szCs w:val="24"/>
        </w:rPr>
      </w:pPr>
      <w:r w:rsidRPr="003E0C66">
        <w:rPr>
          <w:szCs w:val="24"/>
        </w:rPr>
        <w:lastRenderedPageBreak/>
        <w:fldChar w:fldCharType="begin"/>
      </w:r>
      <w:r w:rsidR="00E05B22" w:rsidRPr="003E0C66">
        <w:rPr>
          <w:szCs w:val="24"/>
        </w:rPr>
        <w:instrText xml:space="preserve"> SEQ level0 \*arabic </w:instrText>
      </w:r>
      <w:r w:rsidRPr="003E0C66">
        <w:rPr>
          <w:szCs w:val="24"/>
        </w:rPr>
        <w:fldChar w:fldCharType="separate"/>
      </w:r>
      <w:r w:rsidR="00CC1F60" w:rsidRPr="003E0C66">
        <w:rPr>
          <w:noProof/>
          <w:szCs w:val="24"/>
        </w:rPr>
        <w:t>108</w:t>
      </w:r>
      <w:r w:rsidRPr="003E0C66">
        <w:rPr>
          <w:szCs w:val="24"/>
        </w:rPr>
        <w:fldChar w:fldCharType="end"/>
      </w:r>
      <w:r w:rsidR="00E05B22" w:rsidRPr="003E0C66">
        <w:rPr>
          <w:szCs w:val="24"/>
        </w:rPr>
        <w:t>. </w:t>
      </w:r>
      <w:r w:rsidR="00850D6F" w:rsidRPr="003E0C66">
        <w:rPr>
          <w:szCs w:val="24"/>
        </w:rPr>
        <w:t xml:space="preserve"> Jeśli chodzi o stosowanie powyższych zasad w kontekście </w:t>
      </w:r>
      <w:r w:rsidR="00050D97">
        <w:rPr>
          <w:szCs w:val="24"/>
        </w:rPr>
        <w:t>odmiennych</w:t>
      </w:r>
      <w:r w:rsidR="00050D97" w:rsidRPr="003E0C66">
        <w:rPr>
          <w:szCs w:val="24"/>
        </w:rPr>
        <w:t xml:space="preserve"> </w:t>
      </w:r>
      <w:r w:rsidR="00850D6F" w:rsidRPr="003E0C66">
        <w:rPr>
          <w:szCs w:val="24"/>
        </w:rPr>
        <w:t xml:space="preserve">systemów prawnych w Umawiających się Państwach, w szczególności w kontekście systemu </w:t>
      </w:r>
      <w:proofErr w:type="spellStart"/>
      <w:r w:rsidR="00850D6F" w:rsidRPr="00E11235">
        <w:rPr>
          <w:i/>
          <w:szCs w:val="24"/>
        </w:rPr>
        <w:t>common</w:t>
      </w:r>
      <w:proofErr w:type="spellEnd"/>
      <w:r w:rsidR="00850D6F" w:rsidRPr="00E11235">
        <w:rPr>
          <w:i/>
          <w:szCs w:val="24"/>
        </w:rPr>
        <w:t>-law</w:t>
      </w:r>
      <w:r w:rsidR="00850D6F" w:rsidRPr="003E0C66">
        <w:rPr>
          <w:szCs w:val="24"/>
        </w:rPr>
        <w:t xml:space="preserve"> i systemu </w:t>
      </w:r>
      <w:r w:rsidR="00050D97">
        <w:rPr>
          <w:szCs w:val="24"/>
        </w:rPr>
        <w:t xml:space="preserve">prawa </w:t>
      </w:r>
      <w:r w:rsidR="00850D6F" w:rsidRPr="003E0C66">
        <w:rPr>
          <w:szCs w:val="24"/>
        </w:rPr>
        <w:t>kontynentalnego, Trybunał podkreśla, iż chociaż ważnym</w:t>
      </w:r>
      <w:r w:rsidR="00050D97">
        <w:rPr>
          <w:szCs w:val="24"/>
        </w:rPr>
        <w:t xml:space="preserve"> dla niego</w:t>
      </w:r>
      <w:r w:rsidR="00850D6F" w:rsidRPr="003E0C66">
        <w:rPr>
          <w:szCs w:val="24"/>
        </w:rPr>
        <w:t xml:space="preserve"> jest</w:t>
      </w:r>
      <w:r w:rsidR="00C7127F" w:rsidRPr="003E0C66">
        <w:rPr>
          <w:szCs w:val="24"/>
        </w:rPr>
        <w:t xml:space="preserve"> uwzględnienie </w:t>
      </w:r>
      <w:r w:rsidR="00050D97">
        <w:rPr>
          <w:szCs w:val="24"/>
        </w:rPr>
        <w:t xml:space="preserve">istotnych </w:t>
      </w:r>
      <w:r w:rsidR="00C7127F" w:rsidRPr="003E0C66">
        <w:rPr>
          <w:szCs w:val="24"/>
        </w:rPr>
        <w:t xml:space="preserve">różnic w systemach prawnych i </w:t>
      </w:r>
      <w:r w:rsidR="00050D97">
        <w:rPr>
          <w:szCs w:val="24"/>
        </w:rPr>
        <w:t>procedurach</w:t>
      </w:r>
      <w:r w:rsidR="00C7127F" w:rsidRPr="003E0C66">
        <w:rPr>
          <w:szCs w:val="24"/>
        </w:rPr>
        <w:t>, włączając w to różne podejścia do dopuszczalności dowodów w postępowaniach karnych, to ostatecznie musi on stosować ten sam standard oceny na podstawie Artykułu 6 §</w:t>
      </w:r>
      <w:r w:rsidR="00050D97" w:rsidRPr="003E0C66">
        <w:t>§</w:t>
      </w:r>
      <w:r w:rsidR="00C7127F" w:rsidRPr="003E0C66">
        <w:rPr>
          <w:szCs w:val="24"/>
        </w:rPr>
        <w:t xml:space="preserve"> 1 i 3 (d) niezależnie od systemu prawnego</w:t>
      </w:r>
      <w:r w:rsidR="00050D97">
        <w:rPr>
          <w:szCs w:val="24"/>
        </w:rPr>
        <w:t>,</w:t>
      </w:r>
      <w:r w:rsidR="00C7127F" w:rsidRPr="003E0C66">
        <w:rPr>
          <w:szCs w:val="24"/>
        </w:rPr>
        <w:t xml:space="preserve"> z którego wywodzi się sprawa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4474FE">
        <w:rPr>
          <w:rFonts w:ascii="Times New Roman" w:eastAsia="Times New Roman" w:hAnsi="Times New Roman" w:cs="Times New Roman"/>
          <w:szCs w:val="20"/>
          <w:lang w:eastAsia="fr-FR"/>
        </w:rPr>
        <w:t>(</w:t>
      </w:r>
      <w:r w:rsidR="00A07256" w:rsidRPr="003E0C66">
        <w:rPr>
          <w:rFonts w:ascii="Times New Roman" w:eastAsia="Times New Roman" w:hAnsi="Times New Roman" w:cs="Times New Roman"/>
          <w:szCs w:val="20"/>
          <w:lang w:eastAsia="fr-FR"/>
        </w:rPr>
        <w:t>zobacz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i/>
        </w:rPr>
        <w:t xml:space="preserve">Al-Khawaja </w:t>
      </w:r>
      <w:r w:rsidR="00A07256" w:rsidRPr="003E0C66">
        <w:rPr>
          <w:i/>
        </w:rPr>
        <w:t>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050D97">
        <w:t>cytowany powyżej,</w:t>
      </w:r>
      <w:r w:rsidR="00E05B22" w:rsidRPr="003E0C66">
        <w:t xml:space="preserve"> § 130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).</w:t>
      </w:r>
    </w:p>
    <w:p w:rsidR="00E05B22" w:rsidRPr="003E0C66" w:rsidRDefault="006B25B0" w:rsidP="00BC0CE7">
      <w:pPr>
        <w:suppressAutoHyphens/>
        <w:ind w:firstLine="284"/>
        <w:rPr>
          <w:rFonts w:ascii="Times New Roman" w:eastAsia="Times New Roman" w:hAnsi="Times New Roman" w:cs="Times New Roman"/>
          <w:szCs w:val="20"/>
        </w:rPr>
      </w:pPr>
      <w:r w:rsidRPr="003E0C66">
        <w:rPr>
          <w:rFonts w:ascii="Times New Roman" w:eastAsia="Times New Roman" w:hAnsi="Times New Roman" w:cs="Times New Roman"/>
          <w:szCs w:val="24"/>
          <w:lang w:eastAsia="fr-FR"/>
        </w:rPr>
        <w:fldChar w:fldCharType="begin"/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instrText xml:space="preserve"> SEQ level0 \*arabic </w:instrText>
      </w:r>
      <w:r w:rsidRPr="003E0C66">
        <w:rPr>
          <w:rFonts w:ascii="Times New Roman" w:eastAsia="Times New Roman" w:hAnsi="Times New Roman" w:cs="Times New Roman"/>
          <w:szCs w:val="24"/>
          <w:lang w:eastAsia="fr-FR"/>
        </w:rPr>
        <w:fldChar w:fldCharType="separate"/>
      </w:r>
      <w:r w:rsidR="00CC1F60" w:rsidRPr="003E0C66">
        <w:rPr>
          <w:rFonts w:ascii="Times New Roman" w:eastAsia="Times New Roman" w:hAnsi="Times New Roman" w:cs="Times New Roman"/>
          <w:noProof/>
          <w:szCs w:val="24"/>
          <w:lang w:eastAsia="fr-FR"/>
        </w:rPr>
        <w:t>109</w:t>
      </w:r>
      <w:r w:rsidRPr="003E0C66">
        <w:rPr>
          <w:rFonts w:ascii="Times New Roman" w:eastAsia="Times New Roman" w:hAnsi="Times New Roman" w:cs="Times New Roman"/>
          <w:szCs w:val="24"/>
          <w:lang w:eastAsia="fr-FR"/>
        </w:rPr>
        <w:fldChar w:fldCharType="end"/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t>.  </w:t>
      </w:r>
      <w:r w:rsidR="00850D6F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Ponadto w sprawach wynikających ze skarg indywidualnych zadaniem Trybunału nie jest </w:t>
      </w:r>
      <w:r w:rsidR="00F608B3">
        <w:rPr>
          <w:rFonts w:ascii="Times New Roman" w:eastAsia="Times New Roman" w:hAnsi="Times New Roman" w:cs="Times New Roman"/>
          <w:szCs w:val="24"/>
          <w:lang w:eastAsia="fr-FR"/>
        </w:rPr>
        <w:t>ocena</w:t>
      </w:r>
      <w:r w:rsidR="00702BB8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ustawodawstwa</w:t>
      </w:r>
      <w:r w:rsidR="00F608B3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F608B3" w:rsidRPr="00FA3031">
        <w:rPr>
          <w:rFonts w:ascii="Times New Roman" w:eastAsia="Times New Roman" w:hAnsi="Times New Roman" w:cs="Times New Roman"/>
          <w:i/>
          <w:szCs w:val="24"/>
          <w:lang w:eastAsia="fr-FR"/>
        </w:rPr>
        <w:t>in abstracto</w:t>
      </w:r>
      <w:r w:rsidR="00702BB8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. Trybunał musi ograniczyć się, jak </w:t>
      </w:r>
      <w:r w:rsidR="00F608B3">
        <w:rPr>
          <w:rFonts w:ascii="Times New Roman" w:eastAsia="Times New Roman" w:hAnsi="Times New Roman" w:cs="Times New Roman"/>
          <w:szCs w:val="24"/>
          <w:lang w:eastAsia="fr-FR"/>
        </w:rPr>
        <w:t>dalece</w:t>
      </w:r>
      <w:r w:rsidR="00F608B3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702BB8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to możliwe, do badania kwestii </w:t>
      </w:r>
      <w:r w:rsidR="00F608B3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poruszonych </w:t>
      </w:r>
      <w:r w:rsidR="00702BB8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w rozpatrywanej sprawie </w:t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t>(</w:t>
      </w:r>
      <w:r w:rsidR="00702BB8" w:rsidRPr="003E0C66">
        <w:rPr>
          <w:rFonts w:ascii="Times New Roman" w:eastAsia="Times New Roman" w:hAnsi="Times New Roman" w:cs="Times New Roman"/>
          <w:szCs w:val="24"/>
          <w:lang w:eastAsia="fr-FR"/>
        </w:rPr>
        <w:t>zobacz, między innymi</w:t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r w:rsidR="00E05B22" w:rsidRPr="003E0C66">
        <w:rPr>
          <w:i/>
        </w:rPr>
        <w:t xml:space="preserve">N.C. </w:t>
      </w:r>
      <w:r w:rsidR="00702BB8" w:rsidRPr="003E0C66">
        <w:rPr>
          <w:i/>
        </w:rPr>
        <w:t>przeciwko Włochom</w:t>
      </w:r>
      <w:r w:rsidR="00E05B22" w:rsidRPr="003E0C66">
        <w:rPr>
          <w:i/>
        </w:rPr>
        <w:t xml:space="preserve"> </w:t>
      </w:r>
      <w:r w:rsidR="00702BB8" w:rsidRPr="003E0C66">
        <w:t>[GC], nr</w:t>
      </w:r>
      <w:r w:rsidR="00E05B22" w:rsidRPr="003E0C66">
        <w:t xml:space="preserve"> 24952/94, § 56, </w:t>
      </w:r>
      <w:r w:rsidR="00F749AE" w:rsidRPr="003E0C66">
        <w:t>ETPCZ</w:t>
      </w:r>
      <w:r w:rsidR="00E05B22" w:rsidRPr="003E0C66">
        <w:t xml:space="preserve"> 2002</w:t>
      </w:r>
      <w:r w:rsidR="00E05B22" w:rsidRPr="003E0C66">
        <w:noBreakHyphen/>
        <w:t>X</w:t>
      </w:r>
      <w:r w:rsidR="00702BB8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oraz</w:t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="00E05B22" w:rsidRPr="003E0C66">
        <w:rPr>
          <w:i/>
        </w:rPr>
        <w:t>Taxquet</w:t>
      </w:r>
      <w:proofErr w:type="spellEnd"/>
      <w:r w:rsidR="00E05B22" w:rsidRPr="003E0C66">
        <w:t xml:space="preserve">, </w:t>
      </w:r>
      <w:r w:rsidR="00F608B3">
        <w:t>cytowany</w:t>
      </w:r>
      <w:r w:rsidR="00F608B3" w:rsidRPr="003E0C66">
        <w:t xml:space="preserve"> </w:t>
      </w:r>
      <w:r w:rsidR="00702BB8" w:rsidRPr="003E0C66">
        <w:t>powyżej</w:t>
      </w:r>
      <w:r w:rsidR="00E05B22" w:rsidRPr="003E0C66">
        <w:t>, § 83</w:t>
      </w:r>
      <w:r w:rsidR="00E05B22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). </w:t>
      </w:r>
      <w:r w:rsidR="00702BB8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Podczas </w:t>
      </w:r>
      <w:r w:rsidR="00F608B3">
        <w:rPr>
          <w:rFonts w:ascii="Times New Roman" w:eastAsia="Times New Roman" w:hAnsi="Times New Roman" w:cs="Times New Roman"/>
          <w:szCs w:val="24"/>
          <w:lang w:eastAsia="fr-FR"/>
        </w:rPr>
        <w:t>rozpoznawania</w:t>
      </w:r>
      <w:r w:rsidR="00F608B3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702BB8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spraw Trybunał ma oczywiście na uwadze różnice między systemami prawnymi Umawiających się Stron Konwencji, </w:t>
      </w:r>
      <w:r w:rsidR="00762142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jeśli chodzi o kwestie takie jak </w:t>
      </w:r>
      <w:r w:rsidR="00F608B3">
        <w:rPr>
          <w:rFonts w:ascii="Times New Roman" w:eastAsia="Times New Roman" w:hAnsi="Times New Roman" w:cs="Times New Roman"/>
          <w:szCs w:val="24"/>
          <w:lang w:eastAsia="fr-FR"/>
        </w:rPr>
        <w:t>dopuszczenie</w:t>
      </w:r>
      <w:r w:rsidR="00F608B3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762142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dowodu z zeznań nieobecnego świadka oraz </w:t>
      </w:r>
      <w:r w:rsidR="002220B4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konieczność zapewnienia </w:t>
      </w:r>
      <w:r w:rsidR="004474FE">
        <w:rPr>
          <w:rFonts w:ascii="Times New Roman" w:eastAsia="Times New Roman" w:hAnsi="Times New Roman" w:cs="Times New Roman"/>
          <w:szCs w:val="24"/>
          <w:lang w:eastAsia="fr-FR"/>
        </w:rPr>
        <w:t>rzetelnego</w:t>
      </w:r>
      <w:r w:rsidR="002220B4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postępowania. </w:t>
      </w:r>
      <w:r w:rsidR="0030237A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Należy wziąć </w:t>
      </w:r>
      <w:r w:rsidR="00805D05" w:rsidRPr="003E0C66">
        <w:rPr>
          <w:rFonts w:ascii="Times New Roman" w:eastAsia="Times New Roman" w:hAnsi="Times New Roman" w:cs="Times New Roman"/>
          <w:szCs w:val="24"/>
          <w:lang w:eastAsia="fr-FR"/>
        </w:rPr>
        <w:t>pod uwagę w tym przy</w:t>
      </w:r>
      <w:r w:rsidR="0030237A" w:rsidRPr="003E0C66">
        <w:rPr>
          <w:rFonts w:ascii="Times New Roman" w:eastAsia="Times New Roman" w:hAnsi="Times New Roman" w:cs="Times New Roman"/>
          <w:szCs w:val="24"/>
          <w:lang w:eastAsia="fr-FR"/>
        </w:rPr>
        <w:t>padku</w:t>
      </w:r>
      <w:r w:rsidR="00805D05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odpowiednie rozbieżności podczas rozpatrywania sprawy, </w:t>
      </w:r>
      <w:r w:rsidR="00F608B3">
        <w:rPr>
          <w:rFonts w:ascii="Times New Roman" w:eastAsia="Times New Roman" w:hAnsi="Times New Roman" w:cs="Times New Roman"/>
          <w:szCs w:val="24"/>
          <w:lang w:eastAsia="fr-FR"/>
        </w:rPr>
        <w:t>w szczególności</w:t>
      </w:r>
      <w:r w:rsidR="0030237A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, czy wystąpiły odpowiednie wyrównujące czynniki rekompensujące obronie utrudnienia spowodowane w wyniku </w:t>
      </w:r>
      <w:r w:rsidR="004474FE">
        <w:rPr>
          <w:rFonts w:ascii="Times New Roman" w:eastAsia="Times New Roman" w:hAnsi="Times New Roman" w:cs="Times New Roman"/>
          <w:szCs w:val="24"/>
          <w:lang w:eastAsia="fr-FR"/>
        </w:rPr>
        <w:t>dopuszczenia</w:t>
      </w:r>
      <w:r w:rsidR="0030237A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5C29EC">
        <w:rPr>
          <w:rFonts w:ascii="Times New Roman" w:eastAsia="Times New Roman" w:hAnsi="Times New Roman" w:cs="Times New Roman"/>
          <w:szCs w:val="24"/>
          <w:lang w:eastAsia="fr-FR"/>
        </w:rPr>
        <w:t>niezweryfikowanego</w:t>
      </w:r>
      <w:r w:rsidR="005C29EC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30237A" w:rsidRPr="003E0C66">
        <w:rPr>
          <w:rFonts w:ascii="Times New Roman" w:eastAsia="Times New Roman" w:hAnsi="Times New Roman" w:cs="Times New Roman"/>
          <w:szCs w:val="24"/>
          <w:lang w:eastAsia="fr-FR"/>
        </w:rPr>
        <w:t>dowodu z zeznań świadk</w:t>
      </w:r>
      <w:r w:rsidR="005C29EC">
        <w:rPr>
          <w:rFonts w:ascii="Times New Roman" w:eastAsia="Times New Roman" w:hAnsi="Times New Roman" w:cs="Times New Roman"/>
          <w:szCs w:val="24"/>
          <w:lang w:eastAsia="fr-FR"/>
        </w:rPr>
        <w:t>a</w:t>
      </w:r>
      <w:r w:rsidR="0030237A" w:rsidRPr="003E0C6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567C68" w:rsidRPr="003E0C66">
        <w:rPr>
          <w:rFonts w:ascii="Times New Roman" w:eastAsia="Times New Roman" w:hAnsi="Times New Roman" w:cs="Times New Roman"/>
          <w:szCs w:val="20"/>
        </w:rPr>
        <w:t>(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567C68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567C68" w:rsidRPr="003E0C66">
        <w:t xml:space="preserve">, </w:t>
      </w:r>
      <w:r w:rsidR="005C29EC">
        <w:t>cytowany</w:t>
      </w:r>
      <w:r w:rsidR="005C29EC" w:rsidRPr="003E0C66">
        <w:t xml:space="preserve"> </w:t>
      </w:r>
      <w:r w:rsidR="004474FE">
        <w:t>po</w:t>
      </w:r>
      <w:r w:rsidR="00567C68" w:rsidRPr="003E0C66">
        <w:t>wyżej</w:t>
      </w:r>
      <w:r w:rsidR="00E05B22" w:rsidRPr="003E0C66">
        <w:t>, § 146)</w:t>
      </w:r>
      <w:r w:rsidR="00E05B22" w:rsidRPr="003E0C66">
        <w:rPr>
          <w:rFonts w:ascii="Times New Roman" w:eastAsia="Times New Roman" w:hAnsi="Times New Roman" w:cs="Times New Roman"/>
          <w:szCs w:val="20"/>
        </w:rPr>
        <w:t>.</w:t>
      </w:r>
    </w:p>
    <w:p w:rsidR="00E05B22" w:rsidRPr="003E0C66" w:rsidRDefault="00E05B22" w:rsidP="00BC0CE7">
      <w:pPr>
        <w:pStyle w:val="ECHRHeading4"/>
      </w:pPr>
      <w:r w:rsidRPr="003E0C66">
        <w:t>(b) </w:t>
      </w:r>
      <w:r w:rsidR="00567C68" w:rsidRPr="003E0C66">
        <w:t xml:space="preserve">Związek </w:t>
      </w:r>
      <w:r w:rsidR="005C29EC">
        <w:t>pomiędzy</w:t>
      </w:r>
      <w:r w:rsidR="005C29EC" w:rsidRPr="003E0C66">
        <w:t xml:space="preserve"> </w:t>
      </w:r>
      <w:r w:rsidR="00567C68" w:rsidRPr="003E0C66">
        <w:t xml:space="preserve">trzema </w:t>
      </w:r>
      <w:r w:rsidR="0003711B">
        <w:t>stopniami</w:t>
      </w:r>
      <w:r w:rsidR="0003711B" w:rsidRPr="003E0C66">
        <w:t xml:space="preserve"> </w:t>
      </w:r>
      <w:r w:rsidR="00567C68" w:rsidRPr="003E0C66">
        <w:t>badania sprawy</w:t>
      </w:r>
      <w:r w:rsidRPr="003E0C66">
        <w:t xml:space="preserve"> </w:t>
      </w:r>
      <w:r w:rsidRPr="003E0C66">
        <w:rPr>
          <w:i/>
        </w:rPr>
        <w:t>Al-Khawaja</w:t>
      </w:r>
      <w:r w:rsidR="00567C68" w:rsidRPr="003E0C66">
        <w:t xml:space="preserve">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110</w:t>
      </w:r>
      <w:r w:rsidRPr="003E0C66">
        <w:fldChar w:fldCharType="end"/>
      </w:r>
      <w:r w:rsidR="00E05B22" w:rsidRPr="003E0C66">
        <w:t>. </w:t>
      </w:r>
      <w:r w:rsidR="00567C68" w:rsidRPr="003E0C66">
        <w:t xml:space="preserve">Trybunał uważa, iż zastosowanie zasad ukształtowanych w sprawie  </w:t>
      </w:r>
      <w:r w:rsidR="00E05B22" w:rsidRPr="003E0C66">
        <w:t xml:space="preserve"> </w:t>
      </w:r>
      <w:r w:rsidR="00567C68" w:rsidRPr="003E0C66">
        <w:rPr>
          <w:rFonts w:ascii="Times New Roman" w:hAnsi="Times New Roman"/>
          <w:i/>
        </w:rPr>
        <w:t xml:space="preserve">Al-Khawaja </w:t>
      </w:r>
      <w:r w:rsidR="00A07256" w:rsidRPr="003E0C66">
        <w:rPr>
          <w:rFonts w:ascii="Times New Roman" w:hAnsi="Times New Roman"/>
          <w:i/>
        </w:rPr>
        <w:t>i</w:t>
      </w:r>
      <w:r w:rsidR="00E05B22" w:rsidRPr="003E0C66">
        <w:rPr>
          <w:rFonts w:ascii="Times New Roman" w:hAnsi="Times New Roman"/>
          <w:i/>
        </w:rPr>
        <w:t xml:space="preserve"> Tahery</w:t>
      </w:r>
      <w:r w:rsidR="00E05B22" w:rsidRPr="003E0C66">
        <w:rPr>
          <w:rFonts w:ascii="Times New Roman" w:hAnsi="Times New Roman"/>
        </w:rPr>
        <w:t xml:space="preserve"> </w:t>
      </w:r>
      <w:r w:rsidR="00567C68" w:rsidRPr="003E0C66">
        <w:rPr>
          <w:rFonts w:ascii="Times New Roman" w:hAnsi="Times New Roman"/>
        </w:rPr>
        <w:t xml:space="preserve">w późniejszym orzecznictwie ujawnia potrzebę wyjaśnienia związku między wspomnianymi wyżej trzema </w:t>
      </w:r>
      <w:r w:rsidR="004474FE">
        <w:rPr>
          <w:rFonts w:ascii="Times New Roman" w:hAnsi="Times New Roman"/>
        </w:rPr>
        <w:t>stopniami</w:t>
      </w:r>
      <w:r w:rsidR="0003711B" w:rsidRPr="003E0C66">
        <w:rPr>
          <w:rFonts w:ascii="Times New Roman" w:hAnsi="Times New Roman"/>
        </w:rPr>
        <w:t xml:space="preserve"> </w:t>
      </w:r>
      <w:r w:rsidR="00567C68" w:rsidRPr="003E0C66">
        <w:rPr>
          <w:rFonts w:ascii="Times New Roman" w:hAnsi="Times New Roman"/>
        </w:rPr>
        <w:t xml:space="preserve">badania sprawy </w:t>
      </w:r>
      <w:r w:rsidR="00E05B22" w:rsidRPr="003E0C66">
        <w:rPr>
          <w:rFonts w:ascii="Times New Roman" w:hAnsi="Times New Roman"/>
          <w:i/>
        </w:rPr>
        <w:t>Al</w:t>
      </w:r>
      <w:r w:rsidR="00E05B22" w:rsidRPr="003E0C66">
        <w:rPr>
          <w:rFonts w:ascii="Times New Roman" w:hAnsi="Times New Roman"/>
          <w:i/>
        </w:rPr>
        <w:noBreakHyphen/>
        <w:t>Khawaja</w:t>
      </w:r>
      <w:r w:rsidR="00567C68" w:rsidRPr="003E0C66">
        <w:rPr>
          <w:rFonts w:ascii="Times New Roman" w:hAnsi="Times New Roman"/>
          <w:i/>
        </w:rPr>
        <w:t xml:space="preserve"> </w:t>
      </w:r>
      <w:r w:rsidR="00567C68" w:rsidRPr="00FA3031">
        <w:rPr>
          <w:rFonts w:ascii="Times New Roman" w:hAnsi="Times New Roman"/>
        </w:rPr>
        <w:t>w zakresie</w:t>
      </w:r>
      <w:r w:rsidR="00567C68" w:rsidRPr="003E0C66">
        <w:rPr>
          <w:rFonts w:ascii="Times New Roman" w:hAnsi="Times New Roman"/>
          <w:i/>
        </w:rPr>
        <w:t xml:space="preserve"> </w:t>
      </w:r>
      <w:r w:rsidR="00567C68" w:rsidRPr="003E0C66">
        <w:rPr>
          <w:rFonts w:ascii="Times New Roman" w:hAnsi="Times New Roman"/>
        </w:rPr>
        <w:t xml:space="preserve">badania zgodności z Konwencją rozprawy, podczas której </w:t>
      </w:r>
      <w:r w:rsidR="0003711B" w:rsidRPr="003E0C66">
        <w:rPr>
          <w:rFonts w:ascii="Times New Roman" w:hAnsi="Times New Roman"/>
        </w:rPr>
        <w:t xml:space="preserve">zostały dopuszczone </w:t>
      </w:r>
      <w:r w:rsidR="00567C68" w:rsidRPr="003E0C66">
        <w:rPr>
          <w:rFonts w:ascii="Times New Roman" w:hAnsi="Times New Roman"/>
        </w:rPr>
        <w:t>niezweryfikowane</w:t>
      </w:r>
      <w:r w:rsidR="00B4290F" w:rsidRPr="003E0C66">
        <w:rPr>
          <w:rFonts w:ascii="Times New Roman" w:hAnsi="Times New Roman"/>
        </w:rPr>
        <w:t>, obciążające</w:t>
      </w:r>
      <w:r w:rsidR="00567C68" w:rsidRPr="003E0C66">
        <w:rPr>
          <w:rFonts w:ascii="Times New Roman" w:hAnsi="Times New Roman"/>
        </w:rPr>
        <w:t xml:space="preserve"> dowody z zeznań świadk</w:t>
      </w:r>
      <w:r w:rsidR="0003711B">
        <w:rPr>
          <w:rFonts w:ascii="Times New Roman" w:hAnsi="Times New Roman"/>
        </w:rPr>
        <w:t>a</w:t>
      </w:r>
      <w:r w:rsidR="00B4290F" w:rsidRPr="003E0C66">
        <w:rPr>
          <w:rFonts w:ascii="Times New Roman" w:hAnsi="Times New Roman"/>
        </w:rPr>
        <w:t xml:space="preserve">. Oczywistym jest, iż każdy z trzech </w:t>
      </w:r>
      <w:r w:rsidR="004474FE">
        <w:rPr>
          <w:rFonts w:ascii="Times New Roman" w:hAnsi="Times New Roman"/>
        </w:rPr>
        <w:t>etapów</w:t>
      </w:r>
      <w:r w:rsidR="00750B0B" w:rsidRPr="003E0C66">
        <w:rPr>
          <w:rFonts w:ascii="Times New Roman" w:hAnsi="Times New Roman"/>
        </w:rPr>
        <w:t xml:space="preserve"> </w:t>
      </w:r>
      <w:r w:rsidR="00B4290F" w:rsidRPr="003E0C66">
        <w:rPr>
          <w:rFonts w:ascii="Times New Roman" w:hAnsi="Times New Roman"/>
        </w:rPr>
        <w:t>musi zostać zbadany jeśli – tak jak w wyroku</w:t>
      </w:r>
      <w:r w:rsidR="00567C68" w:rsidRPr="003E0C66">
        <w:rPr>
          <w:rFonts w:ascii="Times New Roman" w:hAnsi="Times New Roman"/>
        </w:rPr>
        <w:t xml:space="preserve"> </w:t>
      </w:r>
      <w:r w:rsidR="00B4290F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 – </w:t>
      </w:r>
      <w:r w:rsidR="00B4290F" w:rsidRPr="003E0C66">
        <w:t xml:space="preserve">odpowiedzi na pytania w </w:t>
      </w:r>
      <w:r w:rsidR="0003711B">
        <w:t>kroku</w:t>
      </w:r>
      <w:r w:rsidR="0003711B" w:rsidRPr="003E0C66">
        <w:t xml:space="preserve"> </w:t>
      </w:r>
      <w:r w:rsidR="00B4290F" w:rsidRPr="003E0C66">
        <w:t xml:space="preserve">pierwszym (czy był </w:t>
      </w:r>
      <w:r w:rsidR="0003711B">
        <w:t>ważny</w:t>
      </w:r>
      <w:r w:rsidR="0003711B" w:rsidRPr="003E0C66">
        <w:t xml:space="preserve"> </w:t>
      </w:r>
      <w:r w:rsidR="00B4290F" w:rsidRPr="003E0C66">
        <w:t xml:space="preserve">powód </w:t>
      </w:r>
      <w:r w:rsidR="0003711B">
        <w:t xml:space="preserve">niestawiennictwa </w:t>
      </w:r>
      <w:r w:rsidR="00B4290F" w:rsidRPr="003E0C66">
        <w:t>świadka) oraz drugim (czy dowód z zeznań nieobecnego świadka był jedyną lub decydującą podstawą wydania wyroku skazującego) są twierdzące</w:t>
      </w:r>
      <w:r w:rsidR="003B5471" w:rsidRPr="003E0C66">
        <w:t xml:space="preserve"> </w:t>
      </w:r>
      <w:r w:rsidR="00E05B22" w:rsidRPr="003E0C66">
        <w:t>(</w:t>
      </w:r>
      <w:r w:rsidR="003B5471" w:rsidRPr="003E0C66">
        <w:t>zobacz</w:t>
      </w:r>
      <w:r w:rsidR="00E05B22" w:rsidRPr="003E0C66">
        <w:t xml:space="preserve"> </w:t>
      </w:r>
      <w:r w:rsidR="00E05B22" w:rsidRPr="003E0C66">
        <w:rPr>
          <w:i/>
        </w:rPr>
        <w:t xml:space="preserve">Al-Khawaja </w:t>
      </w:r>
      <w:r w:rsidR="003B5471" w:rsidRPr="003E0C66">
        <w:rPr>
          <w:i/>
        </w:rPr>
        <w:t>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03711B">
        <w:t>cytowany powyżej</w:t>
      </w:r>
      <w:r w:rsidR="00E05B22" w:rsidRPr="003E0C66">
        <w:t xml:space="preserve">, §§ 120 </w:t>
      </w:r>
      <w:r w:rsidR="003B5471" w:rsidRPr="003E0C66">
        <w:t>i</w:t>
      </w:r>
      <w:r w:rsidR="00E05B22" w:rsidRPr="003E0C66">
        <w:t xml:space="preserve"> 147).</w:t>
      </w:r>
      <w:r w:rsidR="003B5471" w:rsidRPr="003E0C66">
        <w:t xml:space="preserve"> Trybunał został jednakże wezwany do </w:t>
      </w:r>
      <w:r w:rsidR="0003711B">
        <w:t>wyjaśnienia</w:t>
      </w:r>
      <w:r w:rsidR="00CA3336" w:rsidRPr="003E0C66">
        <w:t xml:space="preserve">, czy należy badać wszystkie trzy etapy </w:t>
      </w:r>
      <w:r w:rsidR="0003711B">
        <w:t xml:space="preserve">w sprawach, w których </w:t>
      </w:r>
      <w:r w:rsidR="00CA3336" w:rsidRPr="003E0C66">
        <w:t xml:space="preserve">odpowiedź na pierwsze lub drugie pytanie jest negatywna, jak również w jakiej kolejności należy </w:t>
      </w:r>
      <w:r w:rsidR="00750B0B">
        <w:t xml:space="preserve">je </w:t>
      </w:r>
      <w:r w:rsidR="00CA3336" w:rsidRPr="003E0C66">
        <w:t xml:space="preserve">badać.  </w:t>
      </w:r>
      <w:r w:rsidR="003B5471" w:rsidRPr="003E0C66">
        <w:t xml:space="preserve"> </w:t>
      </w:r>
      <w:r w:rsidR="00E05B22" w:rsidRPr="003E0C66">
        <w:t xml:space="preserve"> </w:t>
      </w:r>
    </w:p>
    <w:p w:rsidR="00E05B22" w:rsidRPr="003E0C66" w:rsidRDefault="00E05B22" w:rsidP="00BC0CE7">
      <w:pPr>
        <w:pStyle w:val="ECHRHeading5"/>
      </w:pPr>
      <w:r w:rsidRPr="003E0C66">
        <w:lastRenderedPageBreak/>
        <w:t>(i) </w:t>
      </w:r>
      <w:r w:rsidR="0079514F" w:rsidRPr="003E0C66">
        <w:t xml:space="preserve">Czy brak </w:t>
      </w:r>
      <w:r w:rsidR="00386C5A">
        <w:t>ważnego</w:t>
      </w:r>
      <w:r w:rsidR="00386C5A" w:rsidRPr="003E0C66">
        <w:t xml:space="preserve"> </w:t>
      </w:r>
      <w:r w:rsidR="0079514F" w:rsidRPr="003E0C66">
        <w:t>powodu usprawiedliwiającego nieobecność świadka pociąga za sobą</w:t>
      </w:r>
      <w:r w:rsidR="00386C5A">
        <w:t>, sam przez się,</w:t>
      </w:r>
      <w:r w:rsidR="0079514F" w:rsidRPr="003E0C66">
        <w:t xml:space="preserve"> naruszenie Artykułu 6 §</w:t>
      </w:r>
      <w:r w:rsidR="00386C5A">
        <w:t xml:space="preserve">§ </w:t>
      </w:r>
      <w:r w:rsidR="0079514F" w:rsidRPr="003E0C66">
        <w:t xml:space="preserve">1 i 3 (d)  </w:t>
      </w:r>
      <w:r w:rsidRPr="003E0C66">
        <w:t> 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en-GB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111</w:t>
      </w:r>
      <w:r w:rsidRPr="003E0C66">
        <w:fldChar w:fldCharType="end"/>
      </w:r>
      <w:r w:rsidR="00E05B22" w:rsidRPr="003E0C66">
        <w:t>. </w:t>
      </w:r>
      <w:r w:rsidR="0079514F" w:rsidRPr="003E0C66">
        <w:t>Jeśli chodzi o kwestię</w:t>
      </w:r>
      <w:r w:rsidR="00A31017" w:rsidRPr="003E0C66">
        <w:t xml:space="preserve">, czy brak </w:t>
      </w:r>
      <w:r w:rsidR="00386C5A">
        <w:t>ważnego</w:t>
      </w:r>
      <w:r w:rsidR="00386C5A" w:rsidRPr="003E0C66">
        <w:t xml:space="preserve"> </w:t>
      </w:r>
      <w:r w:rsidR="00A31017" w:rsidRPr="003E0C66">
        <w:t>powodu u</w:t>
      </w:r>
      <w:r w:rsidR="000601F4" w:rsidRPr="003E0C66">
        <w:t xml:space="preserve">sprawiedliwiającego nieobecność świadka (pierwszy etap </w:t>
      </w:r>
      <w:r w:rsidR="00386C5A">
        <w:t>testu</w:t>
      </w:r>
      <w:r w:rsidR="000601F4" w:rsidRPr="003E0C66">
        <w:t xml:space="preserve"> </w:t>
      </w:r>
      <w:r w:rsidR="000601F4" w:rsidRPr="00FA3031">
        <w:rPr>
          <w:i/>
        </w:rPr>
        <w:t>Al-Khawaja</w:t>
      </w:r>
      <w:r w:rsidR="000601F4" w:rsidRPr="003E0C66">
        <w:t>) pociąga za sobą</w:t>
      </w:r>
      <w:r w:rsidR="00386C5A">
        <w:t>, sam przez się,</w:t>
      </w:r>
      <w:r w:rsidR="000601F4" w:rsidRPr="003E0C66">
        <w:t xml:space="preserve"> naruszenie Artykułu 6 §</w:t>
      </w:r>
      <w:r w:rsidR="00386C5A">
        <w:t>§</w:t>
      </w:r>
      <w:r w:rsidR="000601F4" w:rsidRPr="003E0C66">
        <w:t xml:space="preserve"> 1 i 3 (d) Konwencji, bez konieczności </w:t>
      </w:r>
      <w:r w:rsidR="00386C5A">
        <w:t>badania</w:t>
      </w:r>
      <w:r w:rsidR="00386C5A" w:rsidRPr="003E0C66">
        <w:t xml:space="preserve"> </w:t>
      </w:r>
      <w:r w:rsidR="000601F4" w:rsidRPr="003E0C66">
        <w:t xml:space="preserve">drugiego i trzeciego </w:t>
      </w:r>
      <w:r w:rsidR="00386C5A">
        <w:t>stopnia</w:t>
      </w:r>
      <w:r w:rsidR="00386C5A" w:rsidRPr="003E0C66">
        <w:t xml:space="preserve"> </w:t>
      </w:r>
      <w:r w:rsidR="00386C5A">
        <w:t>testu</w:t>
      </w:r>
      <w:r w:rsidR="00386C5A" w:rsidRPr="003E0C66">
        <w:t xml:space="preserve"> </w:t>
      </w:r>
      <w:r w:rsidR="000601F4" w:rsidRPr="00FA3031">
        <w:rPr>
          <w:i/>
        </w:rPr>
        <w:t>Al-Khawaja</w:t>
      </w:r>
      <w:r w:rsidR="000601F4" w:rsidRPr="003E0C66">
        <w:t>, Trybunał zauważa</w:t>
      </w:r>
      <w:r w:rsidR="00386C5A">
        <w:t>,</w:t>
      </w:r>
      <w:r w:rsidR="000601F4" w:rsidRPr="003E0C66">
        <w:t xml:space="preserve"> co następuje. W wyroku w sprawie </w:t>
      </w:r>
      <w:r w:rsidR="000601F4" w:rsidRPr="003E0C66">
        <w:rPr>
          <w:i/>
        </w:rPr>
        <w:t>Al-Khawaja i Tahery</w:t>
      </w:r>
      <w:r w:rsidR="000601F4" w:rsidRPr="003E0C66">
        <w:t xml:space="preserve"> Trybunał uznał</w:t>
      </w:r>
      <w:r w:rsidR="00386C5A">
        <w:t>,</w:t>
      </w:r>
      <w:r w:rsidR="000601F4" w:rsidRPr="003E0C66">
        <w:t xml:space="preserve"> </w:t>
      </w:r>
      <w:r w:rsidR="00386C5A">
        <w:t>że</w:t>
      </w:r>
      <w:r w:rsidR="000601F4" w:rsidRPr="003E0C66">
        <w:t xml:space="preserve"> wymóg </w:t>
      </w:r>
      <w:r w:rsidR="00386C5A">
        <w:t>wystąpienia ważnego</w:t>
      </w:r>
      <w:r w:rsidR="00386C5A" w:rsidRPr="003E0C66">
        <w:t xml:space="preserve"> </w:t>
      </w:r>
      <w:r w:rsidR="00BC2F38" w:rsidRPr="003E0C66">
        <w:t xml:space="preserve">powodu </w:t>
      </w:r>
      <w:r w:rsidR="00386C5A">
        <w:t xml:space="preserve">dopuszczenia dowodu z zeznań </w:t>
      </w:r>
      <w:r w:rsidR="00BC2F38" w:rsidRPr="003E0C66">
        <w:t xml:space="preserve"> nieobecn</w:t>
      </w:r>
      <w:r w:rsidR="00386C5A">
        <w:t>ego</w:t>
      </w:r>
      <w:r w:rsidR="00BC2F38" w:rsidRPr="003E0C66">
        <w:t xml:space="preserve"> świadka stanowi ‘’</w:t>
      </w:r>
      <w:r w:rsidR="00386C5A">
        <w:t xml:space="preserve">kwestię </w:t>
      </w:r>
      <w:r w:rsidR="00BC2F38" w:rsidRPr="003E0C66">
        <w:t>wstępn</w:t>
      </w:r>
      <w:r w:rsidR="00386C5A">
        <w:t xml:space="preserve">ą”, </w:t>
      </w:r>
      <w:r w:rsidR="00BC2F38" w:rsidRPr="003E0C66">
        <w:t>któr</w:t>
      </w:r>
      <w:r w:rsidR="00386C5A">
        <w:t>a</w:t>
      </w:r>
      <w:r w:rsidR="00BC2F38" w:rsidRPr="003E0C66">
        <w:t xml:space="preserve"> musi zostać </w:t>
      </w:r>
      <w:r w:rsidR="00386C5A">
        <w:t>zbadana</w:t>
      </w:r>
      <w:r w:rsidR="00386C5A" w:rsidRPr="003E0C66">
        <w:t xml:space="preserve"> </w:t>
      </w:r>
      <w:r w:rsidR="00BC2F38" w:rsidRPr="003E0C66">
        <w:t xml:space="preserve">przed </w:t>
      </w:r>
      <w:r w:rsidR="00386C5A">
        <w:t>rozpatrywaniem kwestii,</w:t>
      </w:r>
      <w:r w:rsidR="00386C5A" w:rsidRPr="003E0C66">
        <w:t xml:space="preserve"> </w:t>
      </w:r>
      <w:r w:rsidR="00BC2F38" w:rsidRPr="003E0C66">
        <w:t xml:space="preserve">czy dowód </w:t>
      </w:r>
      <w:r w:rsidR="00386C5A">
        <w:t xml:space="preserve">ten </w:t>
      </w:r>
      <w:r w:rsidR="00BC2F38" w:rsidRPr="003E0C66">
        <w:t xml:space="preserve">jest </w:t>
      </w:r>
      <w:r w:rsidR="00386C5A">
        <w:t xml:space="preserve">dowodem </w:t>
      </w:r>
      <w:r w:rsidR="00BC2F38" w:rsidRPr="003E0C66">
        <w:t xml:space="preserve">jedynym lub </w:t>
      </w:r>
      <w:r w:rsidR="00386C5A">
        <w:t>decydującym</w:t>
      </w:r>
      <w:r w:rsidR="00386C5A" w:rsidRPr="003E0C66"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>(ibid</w:t>
      </w:r>
      <w:r w:rsidR="00E05B22" w:rsidRPr="003E0C66">
        <w:rPr>
          <w:rFonts w:ascii="Times New Roman" w:eastAsia="Times New Roman" w:hAnsi="Times New Roman" w:cs="Times New Roman"/>
          <w:i/>
          <w:szCs w:val="20"/>
          <w:lang w:eastAsia="en-GB"/>
        </w:rPr>
        <w:t>.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>, § 120).</w:t>
      </w:r>
      <w:r w:rsidR="00BC2F38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Ponadto Trybunał zauważ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>ył</w:t>
      </w:r>
      <w:r w:rsidR="00BC2F38" w:rsidRPr="003E0C66">
        <w:rPr>
          <w:rFonts w:ascii="Times New Roman" w:eastAsia="Times New Roman" w:hAnsi="Times New Roman" w:cs="Times New Roman"/>
          <w:szCs w:val="20"/>
          <w:lang w:eastAsia="en-GB"/>
        </w:rPr>
        <w:t>, ż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>e</w:t>
      </w:r>
      <w:r w:rsidR="00BC2F38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>stwierdz</w:t>
      </w:r>
      <w:r w:rsidR="002B38E5">
        <w:rPr>
          <w:rFonts w:ascii="Times New Roman" w:eastAsia="Times New Roman" w:hAnsi="Times New Roman" w:cs="Times New Roman"/>
          <w:szCs w:val="20"/>
          <w:lang w:eastAsia="en-GB"/>
        </w:rPr>
        <w:t>a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>ł</w:t>
      </w:r>
      <w:r w:rsidR="00FD4745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BC2F38" w:rsidRPr="003E0C66">
        <w:rPr>
          <w:rFonts w:ascii="Times New Roman" w:eastAsia="Times New Roman" w:hAnsi="Times New Roman" w:cs="Times New Roman"/>
          <w:szCs w:val="20"/>
          <w:lang w:eastAsia="en-GB"/>
        </w:rPr>
        <w:t>naruszeni</w:t>
      </w:r>
      <w:r w:rsidR="002B38E5">
        <w:rPr>
          <w:rFonts w:ascii="Times New Roman" w:eastAsia="Times New Roman" w:hAnsi="Times New Roman" w:cs="Times New Roman"/>
          <w:szCs w:val="20"/>
          <w:lang w:eastAsia="en-GB"/>
        </w:rPr>
        <w:t>e</w:t>
      </w:r>
      <w:r w:rsidR="00BC2F38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Artykułu 6 §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 xml:space="preserve">§ </w:t>
      </w:r>
      <w:r w:rsidR="00BC2F38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1 i 3 (d) nawet w przypadkach, w których dowód 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 xml:space="preserve">z zeznań </w:t>
      </w:r>
      <w:r w:rsidR="00BC2F38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nieobecnego świadka nie był ani jedynym ani decydującym, 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>natomiast</w:t>
      </w:r>
      <w:r w:rsidR="00FD4745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F12C31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nie przedstawiono 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>ważnego</w:t>
      </w:r>
      <w:r w:rsidR="00FD4745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F12C31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powodu usprawiedliwiającego </w:t>
      </w:r>
      <w:r w:rsidR="00FD4745">
        <w:rPr>
          <w:rFonts w:ascii="Times New Roman" w:eastAsia="Times New Roman" w:hAnsi="Times New Roman" w:cs="Times New Roman"/>
          <w:szCs w:val="20"/>
          <w:lang w:eastAsia="en-GB"/>
        </w:rPr>
        <w:t>nieprzesłuchanie</w:t>
      </w:r>
      <w:r w:rsidR="00FD4745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F12C31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świadka. 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112</w:t>
      </w:r>
      <w:r w:rsidRPr="003E0C66">
        <w:fldChar w:fldCharType="end"/>
      </w:r>
      <w:r w:rsidR="00E05B22" w:rsidRPr="003E0C66">
        <w:t>.</w:t>
      </w:r>
      <w:r w:rsidR="000601F4" w:rsidRPr="003E0C66">
        <w:t xml:space="preserve"> Trybunał </w:t>
      </w:r>
      <w:r w:rsidR="00FD4745">
        <w:t>zauważa</w:t>
      </w:r>
      <w:r w:rsidR="000601F4" w:rsidRPr="003E0C66">
        <w:t>, ż</w:t>
      </w:r>
      <w:r w:rsidR="00FD4745">
        <w:t>e</w:t>
      </w:r>
      <w:r w:rsidR="000601F4" w:rsidRPr="003E0C66">
        <w:t xml:space="preserve"> wymóg uzasadnienia niepowołania świadka został rozwinięty w </w:t>
      </w:r>
      <w:r w:rsidR="00FD4745">
        <w:t xml:space="preserve">jego </w:t>
      </w:r>
      <w:r w:rsidR="000601F4" w:rsidRPr="003E0C66">
        <w:t>orzecznictwie w związku z pytaniem, czy skazanie oskarżonego było wyłącznie lub w sposób decydujący oparte na dowodzie z zeznań nieobecnego świadka</w:t>
      </w:r>
      <w:r w:rsidR="00E05B22" w:rsidRPr="003E0C66">
        <w:t xml:space="preserve"> (</w:t>
      </w:r>
      <w:r w:rsidR="00F434A6" w:rsidRPr="003E0C66">
        <w:t xml:space="preserve">zobacz </w:t>
      </w:r>
      <w:r w:rsidR="00E05B22" w:rsidRPr="003E0C66">
        <w:t> </w:t>
      </w:r>
      <w:r w:rsidR="00F434A6" w:rsidRPr="003E0C66">
        <w:rPr>
          <w:i/>
        </w:rPr>
        <w:t>Al</w:t>
      </w:r>
      <w:r w:rsidR="00F434A6" w:rsidRPr="003E0C66">
        <w:rPr>
          <w:i/>
        </w:rPr>
        <w:noBreakHyphen/>
        <w:t xml:space="preserve">Khawaja i </w:t>
      </w:r>
      <w:r w:rsidR="00E05B22" w:rsidRPr="003E0C66">
        <w:rPr>
          <w:i/>
        </w:rPr>
        <w:t>Tahery</w:t>
      </w:r>
      <w:r w:rsidR="00E05B22" w:rsidRPr="003E0C66">
        <w:t xml:space="preserve">, </w:t>
      </w:r>
      <w:r w:rsidR="00FD4745">
        <w:t>cytowany</w:t>
      </w:r>
      <w:r w:rsidR="00FD4745" w:rsidRPr="003E0C66">
        <w:t xml:space="preserve"> </w:t>
      </w:r>
      <w:r w:rsidR="00FD4745">
        <w:t>po</w:t>
      </w:r>
      <w:r w:rsidR="00F434A6" w:rsidRPr="003E0C66">
        <w:t>wyżej</w:t>
      </w:r>
      <w:r w:rsidR="00E05B22" w:rsidRPr="003E0C66">
        <w:t xml:space="preserve">, 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§ 128). </w:t>
      </w:r>
      <w:r w:rsidR="00F434A6" w:rsidRPr="003E0C66">
        <w:rPr>
          <w:rFonts w:ascii="Times New Roman" w:eastAsia="Times New Roman" w:hAnsi="Times New Roman" w:cs="Times New Roman"/>
          <w:szCs w:val="20"/>
        </w:rPr>
        <w:t xml:space="preserve">Ponadto Trybunał podkreśla, </w:t>
      </w:r>
      <w:r w:rsidR="002B38E5">
        <w:rPr>
          <w:rFonts w:ascii="Times New Roman" w:eastAsia="Times New Roman" w:hAnsi="Times New Roman" w:cs="Times New Roman"/>
          <w:szCs w:val="20"/>
        </w:rPr>
        <w:t>że</w:t>
      </w:r>
      <w:r w:rsidR="00F434A6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FD4745">
        <w:rPr>
          <w:rFonts w:ascii="Times New Roman" w:eastAsia="Times New Roman" w:hAnsi="Times New Roman" w:cs="Times New Roman"/>
          <w:szCs w:val="20"/>
        </w:rPr>
        <w:t xml:space="preserve">u </w:t>
      </w:r>
      <w:r w:rsidR="00F434A6" w:rsidRPr="003E0C66">
        <w:rPr>
          <w:rFonts w:ascii="Times New Roman" w:eastAsia="Times New Roman" w:hAnsi="Times New Roman" w:cs="Times New Roman"/>
          <w:szCs w:val="20"/>
        </w:rPr>
        <w:t>racjonalne</w:t>
      </w:r>
      <w:r w:rsidR="00FD4745">
        <w:rPr>
          <w:rFonts w:ascii="Times New Roman" w:eastAsia="Times New Roman" w:hAnsi="Times New Roman" w:cs="Times New Roman"/>
          <w:szCs w:val="20"/>
        </w:rPr>
        <w:t>go podłoża</w:t>
      </w:r>
      <w:r w:rsidR="00F434A6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FD4745">
        <w:rPr>
          <w:rFonts w:ascii="Times New Roman" w:eastAsia="Times New Roman" w:hAnsi="Times New Roman" w:cs="Times New Roman"/>
          <w:szCs w:val="20"/>
        </w:rPr>
        <w:t>jego</w:t>
      </w:r>
      <w:r w:rsidR="00FD4745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F434A6" w:rsidRPr="003E0C66">
        <w:rPr>
          <w:rFonts w:ascii="Times New Roman" w:eastAsia="Times New Roman" w:hAnsi="Times New Roman" w:cs="Times New Roman"/>
          <w:szCs w:val="20"/>
        </w:rPr>
        <w:t xml:space="preserve">wyroku w sprawie </w:t>
      </w:r>
      <w:r w:rsidR="00E05B22" w:rsidRPr="003E0C66">
        <w:rPr>
          <w:rFonts w:ascii="Times New Roman" w:eastAsia="Times New Roman" w:hAnsi="Times New Roman" w:cs="Times New Roman"/>
          <w:i/>
          <w:szCs w:val="20"/>
        </w:rPr>
        <w:t>Al-Khawaja</w:t>
      </w:r>
      <w:r w:rsidR="00F12C31" w:rsidRPr="003E0C66">
        <w:rPr>
          <w:rFonts w:ascii="Times New Roman" w:eastAsia="Times New Roman" w:hAnsi="Times New Roman" w:cs="Times New Roman"/>
          <w:i/>
          <w:szCs w:val="20"/>
        </w:rPr>
        <w:t xml:space="preserve"> i</w:t>
      </w:r>
      <w:r w:rsidR="00E05B22" w:rsidRPr="003E0C66">
        <w:rPr>
          <w:rFonts w:ascii="Times New Roman" w:eastAsia="Times New Roman" w:hAnsi="Times New Roman" w:cs="Times New Roman"/>
          <w:i/>
          <w:szCs w:val="20"/>
        </w:rPr>
        <w:t xml:space="preserve"> Tahery</w:t>
      </w:r>
      <w:r w:rsidR="00E05B22" w:rsidRPr="003E0C66">
        <w:rPr>
          <w:rFonts w:ascii="Times New Roman" w:eastAsia="Times New Roman" w:hAnsi="Times New Roman" w:cs="Times New Roman"/>
          <w:szCs w:val="20"/>
        </w:rPr>
        <w:t>,</w:t>
      </w:r>
      <w:r w:rsidR="00F434A6" w:rsidRPr="003E0C66">
        <w:rPr>
          <w:rFonts w:ascii="Times New Roman" w:eastAsia="Times New Roman" w:hAnsi="Times New Roman" w:cs="Times New Roman"/>
          <w:szCs w:val="20"/>
        </w:rPr>
        <w:t xml:space="preserve"> w </w:t>
      </w:r>
      <w:r w:rsidR="002B38E5">
        <w:rPr>
          <w:rFonts w:ascii="Times New Roman" w:eastAsia="Times New Roman" w:hAnsi="Times New Roman" w:cs="Times New Roman"/>
          <w:szCs w:val="20"/>
        </w:rPr>
        <w:t>której odstąpił od tak zwanej „</w:t>
      </w:r>
      <w:r w:rsidR="004B5D23">
        <w:rPr>
          <w:rFonts w:ascii="Times New Roman" w:eastAsia="Times New Roman" w:hAnsi="Times New Roman" w:cs="Times New Roman"/>
          <w:szCs w:val="20"/>
        </w:rPr>
        <w:t>reguły wyłączności i decydujące</w:t>
      </w:r>
      <w:r w:rsidR="002B38E5">
        <w:rPr>
          <w:rFonts w:ascii="Times New Roman" w:eastAsia="Times New Roman" w:hAnsi="Times New Roman" w:cs="Times New Roman"/>
          <w:szCs w:val="20"/>
        </w:rPr>
        <w:t>j</w:t>
      </w:r>
      <w:r w:rsidR="004B5D23">
        <w:rPr>
          <w:rFonts w:ascii="Times New Roman" w:eastAsia="Times New Roman" w:hAnsi="Times New Roman" w:cs="Times New Roman"/>
          <w:szCs w:val="20"/>
        </w:rPr>
        <w:t xml:space="preserve"> </w:t>
      </w:r>
      <w:r w:rsidR="002B38E5">
        <w:rPr>
          <w:rFonts w:ascii="Times New Roman" w:eastAsia="Times New Roman" w:hAnsi="Times New Roman" w:cs="Times New Roman"/>
          <w:szCs w:val="20"/>
        </w:rPr>
        <w:t>roli”</w:t>
      </w:r>
      <w:r w:rsidR="00552BB6" w:rsidRPr="003E0C66">
        <w:rPr>
          <w:rFonts w:ascii="Times New Roman" w:eastAsia="Times New Roman" w:hAnsi="Times New Roman" w:cs="Times New Roman"/>
          <w:szCs w:val="20"/>
        </w:rPr>
        <w:t>,</w:t>
      </w:r>
      <w:r w:rsidR="00F12C31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FD4745">
        <w:rPr>
          <w:rFonts w:ascii="Times New Roman" w:eastAsia="Times New Roman" w:hAnsi="Times New Roman" w:cs="Times New Roman"/>
          <w:szCs w:val="20"/>
        </w:rPr>
        <w:t>leż</w:t>
      </w:r>
      <w:r w:rsidR="004B5D23">
        <w:rPr>
          <w:rFonts w:ascii="Times New Roman" w:eastAsia="Times New Roman" w:hAnsi="Times New Roman" w:cs="Times New Roman"/>
          <w:szCs w:val="20"/>
        </w:rPr>
        <w:t>ało</w:t>
      </w:r>
      <w:r w:rsidR="00FD4745">
        <w:rPr>
          <w:rFonts w:ascii="Times New Roman" w:eastAsia="Times New Roman" w:hAnsi="Times New Roman" w:cs="Times New Roman"/>
          <w:szCs w:val="20"/>
        </w:rPr>
        <w:t xml:space="preserve"> </w:t>
      </w:r>
      <w:r w:rsidR="00F12C31" w:rsidRPr="003E0C66">
        <w:rPr>
          <w:rFonts w:ascii="Times New Roman" w:eastAsia="Times New Roman" w:hAnsi="Times New Roman" w:cs="Times New Roman"/>
          <w:szCs w:val="20"/>
        </w:rPr>
        <w:t xml:space="preserve">odejście od </w:t>
      </w:r>
      <w:r w:rsidR="004B5D23">
        <w:rPr>
          <w:rFonts w:ascii="Times New Roman" w:eastAsia="Times New Roman" w:hAnsi="Times New Roman" w:cs="Times New Roman"/>
          <w:szCs w:val="20"/>
        </w:rPr>
        <w:t>bezkrytycznej</w:t>
      </w:r>
      <w:r w:rsidR="004B5D23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F12C31" w:rsidRPr="003E0C66">
        <w:rPr>
          <w:rFonts w:ascii="Times New Roman" w:eastAsia="Times New Roman" w:hAnsi="Times New Roman" w:cs="Times New Roman"/>
          <w:szCs w:val="20"/>
        </w:rPr>
        <w:t xml:space="preserve">reguły i zapewnienie tradycyjnego badania </w:t>
      </w:r>
      <w:r w:rsidR="00FD4745">
        <w:rPr>
          <w:rFonts w:ascii="Times New Roman" w:eastAsia="Times New Roman" w:hAnsi="Times New Roman" w:cs="Times New Roman"/>
          <w:szCs w:val="20"/>
        </w:rPr>
        <w:t>rzetelności</w:t>
      </w:r>
      <w:r w:rsidR="00FD4745" w:rsidRPr="003E0C66">
        <w:rPr>
          <w:rFonts w:ascii="Times New Roman" w:eastAsia="Times New Roman" w:hAnsi="Times New Roman" w:cs="Times New Roman"/>
          <w:szCs w:val="20"/>
        </w:rPr>
        <w:t xml:space="preserve"> postępowania </w:t>
      </w:r>
      <w:r w:rsidR="004B5D23">
        <w:rPr>
          <w:rFonts w:ascii="Times New Roman" w:eastAsia="Times New Roman" w:hAnsi="Times New Roman" w:cs="Times New Roman"/>
          <w:szCs w:val="20"/>
        </w:rPr>
        <w:t>jako</w:t>
      </w:r>
      <w:r w:rsidR="00FD4745">
        <w:rPr>
          <w:rFonts w:ascii="Times New Roman" w:eastAsia="Times New Roman" w:hAnsi="Times New Roman" w:cs="Times New Roman"/>
          <w:szCs w:val="20"/>
        </w:rPr>
        <w:t xml:space="preserve"> całości</w:t>
      </w:r>
      <w:r w:rsidR="00FD4745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</w:rPr>
        <w:t>(ibid</w:t>
      </w:r>
      <w:r w:rsidR="00E05B22" w:rsidRPr="003E0C66">
        <w:rPr>
          <w:rFonts w:ascii="Times New Roman" w:eastAsia="Times New Roman" w:hAnsi="Times New Roman" w:cs="Times New Roman"/>
          <w:i/>
          <w:szCs w:val="20"/>
        </w:rPr>
        <w:t>.</w:t>
      </w:r>
      <w:r w:rsidR="00E05B22" w:rsidRPr="003E0C66">
        <w:rPr>
          <w:rFonts w:ascii="Times New Roman" w:eastAsia="Times New Roman" w:hAnsi="Times New Roman" w:cs="Times New Roman"/>
          <w:szCs w:val="20"/>
        </w:rPr>
        <w:t>, §§ 146-47).</w:t>
      </w:r>
      <w:r w:rsidR="00F12C31" w:rsidRPr="003E0C66">
        <w:rPr>
          <w:rFonts w:ascii="Times New Roman" w:eastAsia="Times New Roman" w:hAnsi="Times New Roman" w:cs="Times New Roman"/>
          <w:szCs w:val="20"/>
        </w:rPr>
        <w:t xml:space="preserve"> Jednakże było</w:t>
      </w:r>
      <w:r w:rsidR="00961046" w:rsidRPr="003E0C66">
        <w:rPr>
          <w:rFonts w:ascii="Times New Roman" w:eastAsia="Times New Roman" w:hAnsi="Times New Roman" w:cs="Times New Roman"/>
          <w:szCs w:val="20"/>
        </w:rPr>
        <w:t>by</w:t>
      </w:r>
      <w:r w:rsidR="00F12C31" w:rsidRPr="003E0C66">
        <w:rPr>
          <w:rFonts w:ascii="Times New Roman" w:eastAsia="Times New Roman" w:hAnsi="Times New Roman" w:cs="Times New Roman"/>
          <w:szCs w:val="20"/>
        </w:rPr>
        <w:t xml:space="preserve"> to równoznaczne ze stworzeniem nowej </w:t>
      </w:r>
      <w:r w:rsidR="004B5D23">
        <w:rPr>
          <w:rFonts w:ascii="Times New Roman" w:eastAsia="Times New Roman" w:hAnsi="Times New Roman" w:cs="Times New Roman"/>
          <w:szCs w:val="20"/>
        </w:rPr>
        <w:t xml:space="preserve">bezkrytycznej </w:t>
      </w:r>
      <w:r w:rsidR="00F12C31" w:rsidRPr="003E0C66">
        <w:rPr>
          <w:rFonts w:ascii="Times New Roman" w:eastAsia="Times New Roman" w:hAnsi="Times New Roman" w:cs="Times New Roman"/>
          <w:szCs w:val="20"/>
        </w:rPr>
        <w:t>zasady</w:t>
      </w:r>
      <w:r w:rsidR="002B38E5">
        <w:rPr>
          <w:rFonts w:ascii="Times New Roman" w:eastAsia="Times New Roman" w:hAnsi="Times New Roman" w:cs="Times New Roman"/>
          <w:szCs w:val="20"/>
        </w:rPr>
        <w:t>,</w:t>
      </w:r>
      <w:r w:rsidR="00795583" w:rsidRPr="003E0C66">
        <w:rPr>
          <w:rFonts w:ascii="Times New Roman" w:eastAsia="Times New Roman" w:hAnsi="Times New Roman" w:cs="Times New Roman"/>
          <w:szCs w:val="20"/>
        </w:rPr>
        <w:t xml:space="preserve"> gdyby </w:t>
      </w:r>
      <w:r w:rsidR="001E38C4" w:rsidRPr="003E0C66">
        <w:rPr>
          <w:rFonts w:ascii="Times New Roman" w:eastAsia="Times New Roman" w:hAnsi="Times New Roman" w:cs="Times New Roman"/>
          <w:szCs w:val="20"/>
        </w:rPr>
        <w:t>postępowanie</w:t>
      </w:r>
      <w:r w:rsidR="00795583" w:rsidRPr="003E0C66">
        <w:rPr>
          <w:rFonts w:ascii="Times New Roman" w:eastAsia="Times New Roman" w:hAnsi="Times New Roman" w:cs="Times New Roman"/>
          <w:szCs w:val="20"/>
        </w:rPr>
        <w:t xml:space="preserve"> uznane zostało za nie</w:t>
      </w:r>
      <w:r w:rsidR="004B5D23">
        <w:rPr>
          <w:rFonts w:ascii="Times New Roman" w:eastAsia="Times New Roman" w:hAnsi="Times New Roman" w:cs="Times New Roman"/>
          <w:szCs w:val="20"/>
        </w:rPr>
        <w:t>rzetelne</w:t>
      </w:r>
      <w:r w:rsidR="00795583" w:rsidRPr="003E0C66">
        <w:rPr>
          <w:rFonts w:ascii="Times New Roman" w:eastAsia="Times New Roman" w:hAnsi="Times New Roman" w:cs="Times New Roman"/>
          <w:szCs w:val="20"/>
        </w:rPr>
        <w:t xml:space="preserve"> ze względu na </w:t>
      </w:r>
      <w:r w:rsidR="004B5D23">
        <w:rPr>
          <w:rFonts w:ascii="Times New Roman" w:eastAsia="Times New Roman" w:hAnsi="Times New Roman" w:cs="Times New Roman"/>
          <w:szCs w:val="20"/>
        </w:rPr>
        <w:t xml:space="preserve">sam </w:t>
      </w:r>
      <w:r w:rsidR="00795583" w:rsidRPr="003E0C66">
        <w:rPr>
          <w:rFonts w:ascii="Times New Roman" w:eastAsia="Times New Roman" w:hAnsi="Times New Roman" w:cs="Times New Roman"/>
          <w:szCs w:val="20"/>
        </w:rPr>
        <w:t xml:space="preserve">brak </w:t>
      </w:r>
      <w:r w:rsidR="004B5D23">
        <w:rPr>
          <w:rFonts w:ascii="Times New Roman" w:eastAsia="Times New Roman" w:hAnsi="Times New Roman" w:cs="Times New Roman"/>
          <w:szCs w:val="20"/>
        </w:rPr>
        <w:t>ważnych</w:t>
      </w:r>
      <w:r w:rsidR="004B5D23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795583" w:rsidRPr="003E0C66">
        <w:rPr>
          <w:rFonts w:ascii="Times New Roman" w:eastAsia="Times New Roman" w:hAnsi="Times New Roman" w:cs="Times New Roman"/>
          <w:szCs w:val="20"/>
        </w:rPr>
        <w:t xml:space="preserve">powodów usprawiedliwiających nieobecność świadka, nawet jeśli niezweryfikowane dowody nie byłyby ani wyłączne ani </w:t>
      </w:r>
      <w:r w:rsidR="004B5D23">
        <w:rPr>
          <w:rFonts w:ascii="Times New Roman" w:eastAsia="Times New Roman" w:hAnsi="Times New Roman" w:cs="Times New Roman"/>
          <w:szCs w:val="20"/>
        </w:rPr>
        <w:t>decydujące</w:t>
      </w:r>
      <w:r w:rsidR="004B5D23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795583" w:rsidRPr="003E0C66">
        <w:rPr>
          <w:rFonts w:ascii="Times New Roman" w:eastAsia="Times New Roman" w:hAnsi="Times New Roman" w:cs="Times New Roman"/>
          <w:szCs w:val="20"/>
        </w:rPr>
        <w:t xml:space="preserve">i </w:t>
      </w:r>
      <w:r w:rsidR="004B5D23">
        <w:rPr>
          <w:rFonts w:ascii="Times New Roman" w:eastAsia="Times New Roman" w:hAnsi="Times New Roman" w:cs="Times New Roman"/>
          <w:szCs w:val="20"/>
        </w:rPr>
        <w:t>były</w:t>
      </w:r>
      <w:r w:rsidR="002B38E5">
        <w:rPr>
          <w:rFonts w:ascii="Times New Roman" w:eastAsia="Times New Roman" w:hAnsi="Times New Roman" w:cs="Times New Roman"/>
          <w:szCs w:val="20"/>
        </w:rPr>
        <w:t>by</w:t>
      </w:r>
      <w:r w:rsidR="004B5D23">
        <w:rPr>
          <w:rFonts w:ascii="Times New Roman" w:eastAsia="Times New Roman" w:hAnsi="Times New Roman" w:cs="Times New Roman"/>
          <w:szCs w:val="20"/>
        </w:rPr>
        <w:t xml:space="preserve"> </w:t>
      </w:r>
      <w:r w:rsidR="00795583" w:rsidRPr="003E0C66">
        <w:rPr>
          <w:rFonts w:ascii="Times New Roman" w:eastAsia="Times New Roman" w:hAnsi="Times New Roman" w:cs="Times New Roman"/>
          <w:szCs w:val="20"/>
        </w:rPr>
        <w:t>prawdopodobnie nawet nieistotne dla wyniku sprawy</w:t>
      </w:r>
      <w:r w:rsidR="002B38E5">
        <w:rPr>
          <w:rFonts w:ascii="Times New Roman" w:eastAsia="Times New Roman" w:hAnsi="Times New Roman" w:cs="Times New Roman"/>
          <w:szCs w:val="20"/>
        </w:rPr>
        <w:t>.</w:t>
      </w:r>
      <w:r w:rsidR="00795583" w:rsidRPr="003E0C66">
        <w:rPr>
          <w:rFonts w:ascii="Times New Roman" w:eastAsia="Times New Roman" w:hAnsi="Times New Roman" w:cs="Times New Roman"/>
          <w:szCs w:val="20"/>
        </w:rPr>
        <w:t xml:space="preserve">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113</w:t>
      </w:r>
      <w:r w:rsidRPr="003E0C66">
        <w:fldChar w:fldCharType="end"/>
      </w:r>
      <w:r w:rsidR="00E05B22" w:rsidRPr="003E0C66">
        <w:t>.  </w:t>
      </w:r>
      <w:r w:rsidR="00552BB6" w:rsidRPr="003E0C66">
        <w:t xml:space="preserve">Trybunał zauważa, </w:t>
      </w:r>
      <w:r w:rsidR="002B38E5">
        <w:t>że</w:t>
      </w:r>
      <w:r w:rsidR="00552BB6" w:rsidRPr="003E0C66">
        <w:t xml:space="preserve"> w wielu sprawach po wydaniu wyroku w sprawie </w:t>
      </w:r>
      <w:r w:rsidR="00E05B22" w:rsidRPr="003E0C66">
        <w:rPr>
          <w:i/>
        </w:rPr>
        <w:t>Al-Khawaja</w:t>
      </w:r>
      <w:r w:rsidR="00552BB6" w:rsidRPr="003E0C66">
        <w:rPr>
          <w:i/>
        </w:rPr>
        <w:t xml:space="preserve"> </w:t>
      </w:r>
      <w:r w:rsidR="00C94CE3">
        <w:t xml:space="preserve">prezentował </w:t>
      </w:r>
      <w:r w:rsidR="00552BB6" w:rsidRPr="003E0C66">
        <w:t>ogóln</w:t>
      </w:r>
      <w:r w:rsidR="00C94CE3">
        <w:t>y sposób podejścia</w:t>
      </w:r>
      <w:r w:rsidR="00552BB6" w:rsidRPr="003E0C66">
        <w:t xml:space="preserve"> do badania </w:t>
      </w:r>
      <w:r w:rsidR="002B38E5">
        <w:t>rzetelności</w:t>
      </w:r>
      <w:r w:rsidR="00552BB6" w:rsidRPr="003E0C66">
        <w:t xml:space="preserve"> postępowania, mając na uwadze wszystkie trzy etapy badania sprawy </w:t>
      </w:r>
      <w:r w:rsidR="00E05B22" w:rsidRPr="003E0C66">
        <w:rPr>
          <w:rFonts w:ascii="Times New Roman" w:eastAsia="Calibri" w:hAnsi="Times New Roman" w:cs="Times New Roman"/>
          <w:i/>
          <w:szCs w:val="24"/>
        </w:rPr>
        <w:t>Al-Khawaja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552BB6" w:rsidRPr="003E0C66">
        <w:t>(zobacz</w:t>
      </w:r>
      <w:r w:rsidR="00E05B22" w:rsidRPr="003E0C66">
        <w:t xml:space="preserve"> </w:t>
      </w:r>
      <w:proofErr w:type="spellStart"/>
      <w:r w:rsidR="00E05B22" w:rsidRPr="003E0C66">
        <w:rPr>
          <w:i/>
        </w:rPr>
        <w:t>Salikhov</w:t>
      </w:r>
      <w:proofErr w:type="spellEnd"/>
      <w:r w:rsidR="00552BB6" w:rsidRPr="003E0C66">
        <w:rPr>
          <w:i/>
        </w:rPr>
        <w:t xml:space="preserve"> przeciwko Rosji</w:t>
      </w:r>
      <w:r w:rsidR="00552BB6" w:rsidRPr="003E0C66">
        <w:t xml:space="preserve">, </w:t>
      </w:r>
      <w:r w:rsidR="00F749AE" w:rsidRPr="003E0C66">
        <w:t>nr</w:t>
      </w:r>
      <w:r w:rsidR="00E05B22" w:rsidRPr="003E0C66">
        <w:t xml:space="preserve"> 23880/05</w:t>
      </w:r>
      <w:r w:rsidR="00552BB6" w:rsidRPr="003E0C66">
        <w:rPr>
          <w:snapToGrid w:val="0"/>
          <w:szCs w:val="24"/>
        </w:rPr>
        <w:t xml:space="preserve">, §§ 118 </w:t>
      </w:r>
      <w:r w:rsidR="00C94CE3">
        <w:rPr>
          <w:snapToGrid w:val="0"/>
          <w:szCs w:val="24"/>
        </w:rPr>
        <w:t>i</w:t>
      </w:r>
      <w:r w:rsidR="00552BB6" w:rsidRPr="003E0C66">
        <w:rPr>
          <w:snapToGrid w:val="0"/>
          <w:szCs w:val="24"/>
        </w:rPr>
        <w:t xml:space="preserve"> nast., 3 maj</w:t>
      </w:r>
      <w:r w:rsidR="00C94CE3">
        <w:rPr>
          <w:snapToGrid w:val="0"/>
          <w:szCs w:val="24"/>
        </w:rPr>
        <w:t>a</w:t>
      </w:r>
      <w:r w:rsidR="00E05B22" w:rsidRPr="003E0C66">
        <w:rPr>
          <w:snapToGrid w:val="0"/>
          <w:szCs w:val="24"/>
        </w:rPr>
        <w:t xml:space="preserve"> 2012</w:t>
      </w:r>
      <w:r w:rsidR="00C94CE3">
        <w:rPr>
          <w:snapToGrid w:val="0"/>
          <w:szCs w:val="24"/>
        </w:rPr>
        <w:t xml:space="preserve"> roku</w:t>
      </w:r>
      <w:r w:rsidR="00E05B22" w:rsidRPr="003E0C66">
        <w:rPr>
          <w:snapToGrid w:val="0"/>
          <w:szCs w:val="24"/>
        </w:rPr>
        <w:t xml:space="preserve">; </w:t>
      </w:r>
      <w:proofErr w:type="spellStart"/>
      <w:r w:rsidR="00E05B22" w:rsidRPr="003E0C66">
        <w:rPr>
          <w:i/>
        </w:rPr>
        <w:t>Asadbeyli</w:t>
      </w:r>
      <w:proofErr w:type="spellEnd"/>
      <w:r w:rsidR="00E05B22" w:rsidRPr="003E0C66">
        <w:rPr>
          <w:i/>
        </w:rPr>
        <w:t xml:space="preserve"> </w:t>
      </w:r>
      <w:r w:rsidR="00552BB6" w:rsidRPr="003E0C66">
        <w:rPr>
          <w:i/>
        </w:rPr>
        <w:t>i Inni przeciwko Azerbejdżanowi</w:t>
      </w:r>
      <w:r w:rsidR="00552BB6" w:rsidRPr="003E0C66">
        <w:t xml:space="preserve">, </w:t>
      </w:r>
      <w:r w:rsidR="00F749AE" w:rsidRPr="003E0C66">
        <w:t>nr</w:t>
      </w:r>
      <w:r w:rsidR="00E05B22" w:rsidRPr="003E0C66">
        <w:t xml:space="preserve"> 3653/05, 14729/05, </w:t>
      </w:r>
      <w:r w:rsidR="00552BB6" w:rsidRPr="003E0C66">
        <w:t>20908/05, 26242/05, 36083/05 i</w:t>
      </w:r>
      <w:r w:rsidR="00E05B22" w:rsidRPr="003E0C66">
        <w:t xml:space="preserve"> 16519/06</w:t>
      </w:r>
      <w:r w:rsidR="00E05B22" w:rsidRPr="003E0C66">
        <w:rPr>
          <w:snapToGrid w:val="0"/>
        </w:rPr>
        <w:t xml:space="preserve">, § 134, 11 </w:t>
      </w:r>
      <w:r w:rsidR="00552BB6" w:rsidRPr="003E0C66">
        <w:t>grudnia</w:t>
      </w:r>
      <w:r w:rsidR="00E05B22" w:rsidRPr="003E0C66">
        <w:rPr>
          <w:snapToGrid w:val="0"/>
        </w:rPr>
        <w:t xml:space="preserve"> 2012</w:t>
      </w:r>
      <w:r w:rsidR="00C94CE3">
        <w:rPr>
          <w:snapToGrid w:val="0"/>
        </w:rPr>
        <w:t xml:space="preserve"> roku</w:t>
      </w:r>
      <w:r w:rsidR="00E05B22" w:rsidRPr="003E0C66">
        <w:rPr>
          <w:snapToGrid w:val="0"/>
        </w:rPr>
        <w:t xml:space="preserve">; </w:t>
      </w:r>
      <w:proofErr w:type="spellStart"/>
      <w:r w:rsidR="00E05B22" w:rsidRPr="003E0C66">
        <w:rPr>
          <w:i/>
          <w:snapToGrid w:val="0"/>
        </w:rPr>
        <w:t>Yevgeniy</w:t>
      </w:r>
      <w:proofErr w:type="spellEnd"/>
      <w:r w:rsidR="00E05B22" w:rsidRPr="003E0C66">
        <w:rPr>
          <w:i/>
          <w:snapToGrid w:val="0"/>
        </w:rPr>
        <w:t xml:space="preserve"> </w:t>
      </w:r>
      <w:proofErr w:type="spellStart"/>
      <w:r w:rsidR="00E05B22" w:rsidRPr="003E0C66">
        <w:rPr>
          <w:i/>
          <w:snapToGrid w:val="0"/>
        </w:rPr>
        <w:t>Ivanov</w:t>
      </w:r>
      <w:proofErr w:type="spellEnd"/>
      <w:r w:rsidR="00552BB6" w:rsidRPr="003E0C66">
        <w:rPr>
          <w:i/>
          <w:snapToGrid w:val="0"/>
        </w:rPr>
        <w:t xml:space="preserve"> przeciwko Rosji</w:t>
      </w:r>
      <w:r w:rsidR="00552BB6" w:rsidRPr="003E0C66">
        <w:rPr>
          <w:snapToGrid w:val="0"/>
        </w:rPr>
        <w:t xml:space="preserve">, </w:t>
      </w:r>
      <w:r w:rsidR="00F749AE" w:rsidRPr="003E0C66">
        <w:rPr>
          <w:snapToGrid w:val="0"/>
        </w:rPr>
        <w:t>nr</w:t>
      </w:r>
      <w:r w:rsidR="00552BB6" w:rsidRPr="003E0C66">
        <w:rPr>
          <w:snapToGrid w:val="0"/>
        </w:rPr>
        <w:t xml:space="preserve"> 27100/03, §§ 45-50, 25 </w:t>
      </w:r>
      <w:r w:rsidR="00C94CE3">
        <w:rPr>
          <w:snapToGrid w:val="0"/>
        </w:rPr>
        <w:t>kwietnia</w:t>
      </w:r>
      <w:r w:rsidR="00C94CE3" w:rsidRPr="003E0C66">
        <w:rPr>
          <w:snapToGrid w:val="0"/>
        </w:rPr>
        <w:t xml:space="preserve"> </w:t>
      </w:r>
      <w:r w:rsidR="00E05B22" w:rsidRPr="003E0C66">
        <w:rPr>
          <w:snapToGrid w:val="0"/>
        </w:rPr>
        <w:t>2013</w:t>
      </w:r>
      <w:r w:rsidR="00C94CE3">
        <w:rPr>
          <w:snapToGrid w:val="0"/>
        </w:rPr>
        <w:t xml:space="preserve"> roku</w:t>
      </w:r>
      <w:r w:rsidR="00E05B22" w:rsidRPr="003E0C66">
        <w:rPr>
          <w:snapToGrid w:val="0"/>
        </w:rPr>
        <w:t xml:space="preserve"> </w:t>
      </w:r>
      <w:r w:rsidR="00C94CE3">
        <w:rPr>
          <w:rFonts w:ascii="Times New Roman" w:eastAsia="Calibri" w:hAnsi="Times New Roman" w:cs="Times New Roman"/>
          <w:szCs w:val="24"/>
        </w:rPr>
        <w:t>i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A63FCC" w:rsidRPr="003E0C66">
        <w:rPr>
          <w:rFonts w:ascii="Times New Roman" w:eastAsia="Calibri" w:hAnsi="Times New Roman" w:cs="Times New Roman"/>
          <w:i/>
          <w:szCs w:val="24"/>
        </w:rPr>
        <w:t>Şandru</w:t>
      </w:r>
      <w:proofErr w:type="spellEnd"/>
      <w:r w:rsidR="00552BB6" w:rsidRPr="003E0C66">
        <w:rPr>
          <w:rFonts w:ascii="Times New Roman" w:eastAsia="Calibri" w:hAnsi="Times New Roman" w:cs="Times New Roman"/>
          <w:i/>
          <w:szCs w:val="24"/>
        </w:rPr>
        <w:t xml:space="preserve"> przeciwko Rumunii</w:t>
      </w:r>
      <w:r w:rsidR="00552BB6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F749AE" w:rsidRPr="003E0C66">
        <w:rPr>
          <w:rFonts w:ascii="Times New Roman" w:eastAsia="Calibri" w:hAnsi="Times New Roman" w:cs="Times New Roman"/>
          <w:szCs w:val="24"/>
        </w:rPr>
        <w:t>nr</w:t>
      </w:r>
      <w:r w:rsidR="00552BB6" w:rsidRPr="003E0C66">
        <w:rPr>
          <w:rFonts w:ascii="Times New Roman" w:eastAsia="Calibri" w:hAnsi="Times New Roman" w:cs="Times New Roman"/>
          <w:szCs w:val="24"/>
        </w:rPr>
        <w:t xml:space="preserve"> 33882/05, §§ 62-70, 15 </w:t>
      </w:r>
      <w:r w:rsidR="000F246B" w:rsidRPr="003E0C66">
        <w:rPr>
          <w:rFonts w:ascii="Times New Roman" w:eastAsia="Calibri" w:hAnsi="Times New Roman" w:cs="Times New Roman"/>
          <w:szCs w:val="24"/>
        </w:rPr>
        <w:t>październik</w:t>
      </w:r>
      <w:r w:rsidR="00C94CE3">
        <w:rPr>
          <w:rFonts w:ascii="Times New Roman" w:eastAsia="Calibri" w:hAnsi="Times New Roman" w:cs="Times New Roman"/>
          <w:szCs w:val="24"/>
        </w:rPr>
        <w:t>a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2013</w:t>
      </w:r>
      <w:r w:rsidR="00C94CE3">
        <w:rPr>
          <w:rFonts w:ascii="Times New Roman" w:eastAsia="Calibri" w:hAnsi="Times New Roman" w:cs="Times New Roman"/>
          <w:szCs w:val="24"/>
        </w:rPr>
        <w:t xml:space="preserve"> roku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). </w:t>
      </w:r>
      <w:r w:rsidR="00552BB6" w:rsidRPr="003E0C66">
        <w:rPr>
          <w:rFonts w:ascii="Times New Roman" w:eastAsia="Calibri" w:hAnsi="Times New Roman" w:cs="Times New Roman"/>
          <w:szCs w:val="24"/>
        </w:rPr>
        <w:t xml:space="preserve">Jednakże w innych sprawach </w:t>
      </w:r>
      <w:r w:rsidR="00C94CE3">
        <w:rPr>
          <w:rFonts w:ascii="Times New Roman" w:eastAsia="Calibri" w:hAnsi="Times New Roman" w:cs="Times New Roman"/>
          <w:szCs w:val="24"/>
        </w:rPr>
        <w:t xml:space="preserve">sam tylko </w:t>
      </w:r>
      <w:r w:rsidR="00552BB6" w:rsidRPr="003E0C66">
        <w:rPr>
          <w:rFonts w:ascii="Times New Roman" w:eastAsia="Calibri" w:hAnsi="Times New Roman" w:cs="Times New Roman"/>
          <w:szCs w:val="24"/>
        </w:rPr>
        <w:t xml:space="preserve">brak </w:t>
      </w:r>
      <w:r w:rsidR="00C94CE3">
        <w:rPr>
          <w:rFonts w:ascii="Times New Roman" w:eastAsia="Calibri" w:hAnsi="Times New Roman" w:cs="Times New Roman"/>
          <w:szCs w:val="24"/>
        </w:rPr>
        <w:t>ważnego</w:t>
      </w:r>
      <w:r w:rsidR="00C94CE3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552BB6" w:rsidRPr="003E0C66">
        <w:rPr>
          <w:rFonts w:ascii="Times New Roman" w:eastAsia="Calibri" w:hAnsi="Times New Roman" w:cs="Times New Roman"/>
          <w:szCs w:val="24"/>
        </w:rPr>
        <w:t>powodu uzasadniającego nieobecność świadków oskarżenia był wystarczający do uznania, iż nastąpiło naruszenie Artykułu 6 §</w:t>
      </w:r>
      <w:r w:rsidR="00C94CE3">
        <w:rPr>
          <w:rFonts w:ascii="Times New Roman" w:eastAsia="Calibri" w:hAnsi="Times New Roman" w:cs="Times New Roman"/>
          <w:szCs w:val="24"/>
        </w:rPr>
        <w:t xml:space="preserve">§ </w:t>
      </w:r>
      <w:r w:rsidR="00552BB6" w:rsidRPr="003E0C66">
        <w:rPr>
          <w:rFonts w:ascii="Times New Roman" w:eastAsia="Calibri" w:hAnsi="Times New Roman" w:cs="Times New Roman"/>
          <w:szCs w:val="24"/>
        </w:rPr>
        <w:t>1 i 3 (d)</w:t>
      </w:r>
      <w:r w:rsidR="00E05B22" w:rsidRPr="003E0C66">
        <w:rPr>
          <w:snapToGrid w:val="0"/>
        </w:rPr>
        <w:t xml:space="preserve"> (</w:t>
      </w:r>
      <w:r w:rsidR="00552BB6" w:rsidRPr="003E0C66">
        <w:t>zobacz</w:t>
      </w:r>
      <w:r w:rsidR="00E05B22" w:rsidRPr="003E0C66">
        <w:t> </w:t>
      </w:r>
      <w:proofErr w:type="spellStart"/>
      <w:r w:rsidR="00E05B22" w:rsidRPr="003E0C66">
        <w:rPr>
          <w:i/>
          <w:snapToGrid w:val="0"/>
        </w:rPr>
        <w:t>Rudnichenko</w:t>
      </w:r>
      <w:proofErr w:type="spellEnd"/>
      <w:r w:rsidR="00E05B22" w:rsidRPr="003E0C66">
        <w:rPr>
          <w:i/>
          <w:snapToGrid w:val="0"/>
        </w:rPr>
        <w:t xml:space="preserve"> </w:t>
      </w:r>
      <w:r w:rsidR="00552BB6" w:rsidRPr="003E0C66">
        <w:rPr>
          <w:i/>
          <w:snapToGrid w:val="0"/>
        </w:rPr>
        <w:t>przeciwko Ukrainie</w:t>
      </w:r>
      <w:r w:rsidR="00E05B22" w:rsidRPr="003E0C66">
        <w:rPr>
          <w:i/>
          <w:snapToGrid w:val="0"/>
        </w:rPr>
        <w:t>,</w:t>
      </w:r>
      <w:r w:rsidR="00552BB6" w:rsidRPr="003E0C66">
        <w:rPr>
          <w:snapToGrid w:val="0"/>
        </w:rPr>
        <w:t xml:space="preserve"> </w:t>
      </w:r>
      <w:r w:rsidR="00F749AE" w:rsidRPr="003E0C66">
        <w:rPr>
          <w:snapToGrid w:val="0"/>
        </w:rPr>
        <w:t>nr</w:t>
      </w:r>
      <w:r w:rsidR="00552BB6" w:rsidRPr="003E0C66">
        <w:rPr>
          <w:snapToGrid w:val="0"/>
        </w:rPr>
        <w:t xml:space="preserve"> 2775/07, §§ 105-110, 11 lipca</w:t>
      </w:r>
      <w:r w:rsidR="00E05B22" w:rsidRPr="003E0C66">
        <w:rPr>
          <w:snapToGrid w:val="0"/>
        </w:rPr>
        <w:t xml:space="preserve"> 2013</w:t>
      </w:r>
      <w:r w:rsidR="00C94CE3">
        <w:rPr>
          <w:snapToGrid w:val="0"/>
        </w:rPr>
        <w:t xml:space="preserve"> roku</w:t>
      </w:r>
      <w:r w:rsidR="00E05B22" w:rsidRPr="003E0C66">
        <w:t xml:space="preserve"> </w:t>
      </w:r>
      <w:r w:rsidR="00C94CE3">
        <w:t xml:space="preserve">i </w:t>
      </w:r>
      <w:proofErr w:type="spellStart"/>
      <w:r w:rsidR="00E05B22" w:rsidRPr="003E0C66">
        <w:rPr>
          <w:i/>
        </w:rPr>
        <w:t>Nikolitsas</w:t>
      </w:r>
      <w:proofErr w:type="spellEnd"/>
      <w:r w:rsidR="00E05B22" w:rsidRPr="003E0C66">
        <w:rPr>
          <w:i/>
        </w:rPr>
        <w:t xml:space="preserve"> </w:t>
      </w:r>
      <w:r w:rsidR="00552BB6" w:rsidRPr="003E0C66">
        <w:rPr>
          <w:i/>
        </w:rPr>
        <w:t>przeciwko Grecji</w:t>
      </w:r>
      <w:r w:rsidR="00E05B22" w:rsidRPr="003E0C66">
        <w:rPr>
          <w:snapToGrid w:val="0"/>
        </w:rPr>
        <w:t xml:space="preserve">, </w:t>
      </w:r>
      <w:r w:rsidR="00F749AE" w:rsidRPr="003E0C66">
        <w:t>nr</w:t>
      </w:r>
      <w:r w:rsidR="00E05B22" w:rsidRPr="003E0C66">
        <w:t xml:space="preserve"> 63117/09</w:t>
      </w:r>
      <w:r w:rsidR="00552BB6" w:rsidRPr="003E0C66">
        <w:rPr>
          <w:snapToGrid w:val="0"/>
        </w:rPr>
        <w:t>, § 35, 3 lipca</w:t>
      </w:r>
      <w:r w:rsidR="00E05B22" w:rsidRPr="003E0C66">
        <w:rPr>
          <w:snapToGrid w:val="0"/>
        </w:rPr>
        <w:t xml:space="preserve"> 2014</w:t>
      </w:r>
      <w:r w:rsidR="00C94CE3">
        <w:rPr>
          <w:snapToGrid w:val="0"/>
        </w:rPr>
        <w:t xml:space="preserve"> roku</w:t>
      </w:r>
      <w:r w:rsidR="00E05B22" w:rsidRPr="003E0C66">
        <w:rPr>
          <w:snapToGrid w:val="0"/>
        </w:rPr>
        <w:t xml:space="preserve">; </w:t>
      </w:r>
      <w:r w:rsidR="00552BB6" w:rsidRPr="003E0C66">
        <w:rPr>
          <w:snapToGrid w:val="0"/>
        </w:rPr>
        <w:t xml:space="preserve">w ostatnim przypadku Trybunał </w:t>
      </w:r>
      <w:r w:rsidR="0027410E" w:rsidRPr="003E0C66">
        <w:rPr>
          <w:snapToGrid w:val="0"/>
        </w:rPr>
        <w:t>omówił dalsze etapy</w:t>
      </w:r>
      <w:r w:rsidR="00795583" w:rsidRPr="003E0C66">
        <w:rPr>
          <w:snapToGrid w:val="0"/>
        </w:rPr>
        <w:t xml:space="preserve"> </w:t>
      </w:r>
      <w:r w:rsidR="0027410E" w:rsidRPr="003E0C66">
        <w:rPr>
          <w:snapToGrid w:val="0"/>
        </w:rPr>
        <w:t xml:space="preserve">badania </w:t>
      </w:r>
      <w:r w:rsidR="00E05B22" w:rsidRPr="003E0C66">
        <w:rPr>
          <w:rFonts w:ascii="Times New Roman" w:eastAsia="Calibri" w:hAnsi="Times New Roman" w:cs="Times New Roman"/>
          <w:i/>
          <w:szCs w:val="24"/>
        </w:rPr>
        <w:t>Al-Khawaja</w:t>
      </w:r>
      <w:r w:rsidR="00C94CE3">
        <w:rPr>
          <w:rFonts w:ascii="Times New Roman" w:eastAsia="Calibri" w:hAnsi="Times New Roman" w:cs="Times New Roman"/>
          <w:i/>
          <w:szCs w:val="24"/>
        </w:rPr>
        <w:t>,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27410E" w:rsidRPr="003E0C66">
        <w:rPr>
          <w:rFonts w:ascii="Times New Roman" w:eastAsia="Calibri" w:hAnsi="Times New Roman" w:cs="Times New Roman"/>
          <w:szCs w:val="24"/>
        </w:rPr>
        <w:t xml:space="preserve">zobacz 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ibid., §§ 36-39</w:t>
      </w:r>
      <w:r w:rsidR="00E05B22" w:rsidRPr="003E0C66">
        <w:rPr>
          <w:snapToGrid w:val="0"/>
        </w:rPr>
        <w:t>).</w:t>
      </w:r>
      <w:r w:rsidR="0027410E" w:rsidRPr="003E0C66">
        <w:rPr>
          <w:snapToGrid w:val="0"/>
        </w:rPr>
        <w:t xml:space="preserve"> W jeszcze innych przypadkach </w:t>
      </w:r>
      <w:r w:rsidR="0097624E">
        <w:rPr>
          <w:snapToGrid w:val="0"/>
        </w:rPr>
        <w:lastRenderedPageBreak/>
        <w:t>przyjęto</w:t>
      </w:r>
      <w:r w:rsidR="00F17560">
        <w:rPr>
          <w:snapToGrid w:val="0"/>
        </w:rPr>
        <w:t xml:space="preserve"> </w:t>
      </w:r>
      <w:r w:rsidR="0097624E">
        <w:rPr>
          <w:snapToGrid w:val="0"/>
        </w:rPr>
        <w:t>zróżnicowane</w:t>
      </w:r>
      <w:r w:rsidR="00F17560">
        <w:rPr>
          <w:snapToGrid w:val="0"/>
        </w:rPr>
        <w:t xml:space="preserve"> </w:t>
      </w:r>
      <w:r w:rsidR="0097624E">
        <w:rPr>
          <w:snapToGrid w:val="0"/>
        </w:rPr>
        <w:t>podejście</w:t>
      </w:r>
      <w:r w:rsidR="0027410E" w:rsidRPr="003E0C66">
        <w:rPr>
          <w:snapToGrid w:val="0"/>
        </w:rPr>
        <w:t>:</w:t>
      </w:r>
      <w:r w:rsidR="00F17560">
        <w:rPr>
          <w:snapToGrid w:val="0"/>
        </w:rPr>
        <w:t xml:space="preserve"> </w:t>
      </w:r>
      <w:r w:rsidR="0027410E" w:rsidRPr="003E0C66">
        <w:rPr>
          <w:snapToGrid w:val="0"/>
        </w:rPr>
        <w:t>brak</w:t>
      </w:r>
      <w:r w:rsidR="00F17560">
        <w:rPr>
          <w:snapToGrid w:val="0"/>
        </w:rPr>
        <w:t xml:space="preserve"> </w:t>
      </w:r>
      <w:r w:rsidR="0097624E">
        <w:rPr>
          <w:snapToGrid w:val="0"/>
        </w:rPr>
        <w:t>ważnego</w:t>
      </w:r>
      <w:r w:rsidR="0097624E" w:rsidRPr="003E0C66">
        <w:rPr>
          <w:snapToGrid w:val="0"/>
        </w:rPr>
        <w:t xml:space="preserve"> </w:t>
      </w:r>
      <w:r w:rsidR="0027410E" w:rsidRPr="003E0C66">
        <w:rPr>
          <w:snapToGrid w:val="0"/>
        </w:rPr>
        <w:t>powodu usprawiedliwiającego nieobecność świadk</w:t>
      </w:r>
      <w:r w:rsidR="0097624E">
        <w:rPr>
          <w:snapToGrid w:val="0"/>
        </w:rPr>
        <w:t>ów oskarżenia</w:t>
      </w:r>
      <w:r w:rsidR="0027410E" w:rsidRPr="003E0C66">
        <w:rPr>
          <w:snapToGrid w:val="0"/>
        </w:rPr>
        <w:t xml:space="preserve"> został uznany za rozstrzygający </w:t>
      </w:r>
      <w:r w:rsidR="00D7322F">
        <w:rPr>
          <w:snapToGrid w:val="0"/>
        </w:rPr>
        <w:t>o nierzetelności procesu</w:t>
      </w:r>
      <w:r w:rsidR="00380D2C" w:rsidRPr="003E0C66">
        <w:rPr>
          <w:snapToGrid w:val="0"/>
        </w:rPr>
        <w:t xml:space="preserve"> chyba, że zeznania </w:t>
      </w:r>
      <w:r w:rsidR="00D7322F">
        <w:rPr>
          <w:snapToGrid w:val="0"/>
        </w:rPr>
        <w:t xml:space="preserve">świadka </w:t>
      </w:r>
      <w:r w:rsidR="00380D2C" w:rsidRPr="003E0C66">
        <w:rPr>
          <w:snapToGrid w:val="0"/>
        </w:rPr>
        <w:t xml:space="preserve">były </w:t>
      </w:r>
      <w:r w:rsidR="00D7322F">
        <w:rPr>
          <w:snapToGrid w:val="0"/>
        </w:rPr>
        <w:t xml:space="preserve">oczywiście </w:t>
      </w:r>
      <w:r w:rsidR="00380D2C" w:rsidRPr="003E0C66">
        <w:rPr>
          <w:snapToGrid w:val="0"/>
        </w:rPr>
        <w:t xml:space="preserve">nieistotne dla </w:t>
      </w:r>
      <w:r w:rsidR="00D7322F">
        <w:rPr>
          <w:snapToGrid w:val="0"/>
        </w:rPr>
        <w:t xml:space="preserve">wyniku </w:t>
      </w:r>
      <w:r w:rsidR="00380D2C" w:rsidRPr="003E0C66">
        <w:rPr>
          <w:snapToGrid w:val="0"/>
        </w:rPr>
        <w:t xml:space="preserve">sprawy </w:t>
      </w:r>
      <w:r w:rsidR="00E05B22" w:rsidRPr="003E0C66">
        <w:rPr>
          <w:snapToGrid w:val="0"/>
        </w:rPr>
        <w:t>(</w:t>
      </w:r>
      <w:r w:rsidR="00380D2C" w:rsidRPr="003E0C66">
        <w:t>zobacz</w:t>
      </w:r>
      <w:r w:rsidR="00E05B22" w:rsidRPr="003E0C66">
        <w:t xml:space="preserve"> </w:t>
      </w:r>
      <w:proofErr w:type="spellStart"/>
      <w:r w:rsidR="00E05B22" w:rsidRPr="003E0C66">
        <w:rPr>
          <w:i/>
          <w:snapToGrid w:val="0"/>
        </w:rPr>
        <w:t>Khodorkovskiy</w:t>
      </w:r>
      <w:proofErr w:type="spellEnd"/>
      <w:r w:rsidR="00E05B22" w:rsidRPr="003E0C66">
        <w:rPr>
          <w:i/>
          <w:snapToGrid w:val="0"/>
        </w:rPr>
        <w:t xml:space="preserve"> </w:t>
      </w:r>
      <w:r w:rsidR="00380D2C" w:rsidRPr="003E0C66">
        <w:rPr>
          <w:i/>
          <w:snapToGrid w:val="0"/>
        </w:rPr>
        <w:t>i</w:t>
      </w:r>
      <w:r w:rsidR="00E05B22" w:rsidRPr="003E0C66">
        <w:rPr>
          <w:i/>
          <w:snapToGrid w:val="0"/>
        </w:rPr>
        <w:t xml:space="preserve"> </w:t>
      </w:r>
      <w:proofErr w:type="spellStart"/>
      <w:r w:rsidR="00E05B22" w:rsidRPr="003E0C66">
        <w:rPr>
          <w:i/>
          <w:snapToGrid w:val="0"/>
        </w:rPr>
        <w:t>Lebedev</w:t>
      </w:r>
      <w:proofErr w:type="spellEnd"/>
      <w:r w:rsidR="00E05B22" w:rsidRPr="003E0C66">
        <w:rPr>
          <w:snapToGrid w:val="0"/>
        </w:rPr>
        <w:t xml:space="preserve"> </w:t>
      </w:r>
      <w:r w:rsidR="00380D2C" w:rsidRPr="003E0C66">
        <w:rPr>
          <w:i/>
          <w:snapToGrid w:val="0"/>
        </w:rPr>
        <w:t>przeciwko Rosji</w:t>
      </w:r>
      <w:r w:rsidR="00380D2C" w:rsidRPr="003E0C66">
        <w:rPr>
          <w:snapToGrid w:val="0"/>
        </w:rPr>
        <w:t xml:space="preserve">, </w:t>
      </w:r>
      <w:r w:rsidR="00F749AE" w:rsidRPr="003E0C66">
        <w:rPr>
          <w:snapToGrid w:val="0"/>
        </w:rPr>
        <w:t>nr</w:t>
      </w:r>
      <w:r w:rsidR="00E05B22" w:rsidRPr="003E0C66">
        <w:rPr>
          <w:snapToGrid w:val="0"/>
        </w:rPr>
        <w:t xml:space="preserve"> 11082/06 </w:t>
      </w:r>
      <w:r w:rsidR="00380D2C" w:rsidRPr="003E0C66">
        <w:rPr>
          <w:snapToGrid w:val="0"/>
        </w:rPr>
        <w:t>i</w:t>
      </w:r>
      <w:r w:rsidR="00E05B22" w:rsidRPr="003E0C66">
        <w:rPr>
          <w:snapToGrid w:val="0"/>
        </w:rPr>
        <w:t xml:space="preserve"> 13772/05, §§ 709-16, 25 </w:t>
      </w:r>
      <w:r w:rsidR="00380D2C" w:rsidRPr="003E0C66">
        <w:rPr>
          <w:snapToGrid w:val="0"/>
        </w:rPr>
        <w:t>lipca</w:t>
      </w:r>
      <w:r w:rsidR="00E05B22" w:rsidRPr="003E0C66">
        <w:rPr>
          <w:snapToGrid w:val="0"/>
        </w:rPr>
        <w:t xml:space="preserve"> 2013</w:t>
      </w:r>
      <w:r w:rsidR="00D7322F">
        <w:rPr>
          <w:snapToGrid w:val="0"/>
        </w:rPr>
        <w:t xml:space="preserve"> roku</w:t>
      </w:r>
      <w:r w:rsidR="00E05B22" w:rsidRPr="003E0C66">
        <w:rPr>
          <w:snapToGrid w:val="0"/>
        </w:rPr>
        <w:t xml:space="preserve">; </w:t>
      </w:r>
      <w:proofErr w:type="spellStart"/>
      <w:r w:rsidR="00E05B22" w:rsidRPr="003E0C66">
        <w:rPr>
          <w:i/>
        </w:rPr>
        <w:t>Cevat</w:t>
      </w:r>
      <w:proofErr w:type="spellEnd"/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Soysal</w:t>
      </w:r>
      <w:proofErr w:type="spellEnd"/>
      <w:r w:rsidR="00E05B22" w:rsidRPr="003E0C66">
        <w:t xml:space="preserve"> </w:t>
      </w:r>
      <w:r w:rsidR="00380D2C" w:rsidRPr="003E0C66">
        <w:rPr>
          <w:i/>
        </w:rPr>
        <w:t>przeciwko Turcji</w:t>
      </w:r>
      <w:r w:rsidR="00380D2C" w:rsidRPr="003E0C66">
        <w:t xml:space="preserve">, </w:t>
      </w:r>
      <w:r w:rsidR="00F749AE" w:rsidRPr="003E0C66">
        <w:t>nr</w:t>
      </w:r>
      <w:r w:rsidR="00E05B22" w:rsidRPr="003E0C66">
        <w:t xml:space="preserve"> 17362/03</w:t>
      </w:r>
      <w:r w:rsidR="00E05B22" w:rsidRPr="003E0C66">
        <w:rPr>
          <w:snapToGrid w:val="0"/>
        </w:rPr>
        <w:t xml:space="preserve">, §§ 76-79, </w:t>
      </w:r>
      <w:r w:rsidR="00E05B22" w:rsidRPr="003E0C66">
        <w:t>23</w:t>
      </w:r>
      <w:r w:rsidR="00E05B22" w:rsidRPr="003E0C66">
        <w:rPr>
          <w:snapToGrid w:val="0"/>
        </w:rPr>
        <w:t xml:space="preserve"> </w:t>
      </w:r>
      <w:r w:rsidR="00380D2C" w:rsidRPr="003E0C66">
        <w:rPr>
          <w:snapToGrid w:val="0"/>
        </w:rPr>
        <w:t>września</w:t>
      </w:r>
      <w:r w:rsidR="00E05B22" w:rsidRPr="003E0C66">
        <w:rPr>
          <w:snapToGrid w:val="0"/>
        </w:rPr>
        <w:t xml:space="preserve"> 2014</w:t>
      </w:r>
      <w:r w:rsidR="00D7322F">
        <w:rPr>
          <w:snapToGrid w:val="0"/>
        </w:rPr>
        <w:t xml:space="preserve"> roku</w:t>
      </w:r>
      <w:r w:rsidR="00E05B22" w:rsidRPr="003E0C66">
        <w:rPr>
          <w:snapToGrid w:val="0"/>
        </w:rPr>
        <w:t xml:space="preserve"> </w:t>
      </w:r>
      <w:r w:rsidR="00380D2C" w:rsidRPr="003E0C66">
        <w:rPr>
          <w:snapToGrid w:val="0"/>
        </w:rPr>
        <w:t>oraz</w:t>
      </w:r>
      <w:r w:rsidR="00E05B22" w:rsidRPr="003E0C66">
        <w:rPr>
          <w:snapToGrid w:val="0"/>
        </w:rPr>
        <w:t xml:space="preserve"> </w:t>
      </w:r>
      <w:proofErr w:type="spellStart"/>
      <w:r w:rsidR="00E05B22" w:rsidRPr="003E0C66">
        <w:rPr>
          <w:i/>
        </w:rPr>
        <w:t>Suldin</w:t>
      </w:r>
      <w:proofErr w:type="spellEnd"/>
      <w:r w:rsidR="00E05B22" w:rsidRPr="003E0C66">
        <w:rPr>
          <w:i/>
        </w:rPr>
        <w:t xml:space="preserve"> </w:t>
      </w:r>
      <w:r w:rsidR="00380D2C" w:rsidRPr="003E0C66">
        <w:rPr>
          <w:i/>
        </w:rPr>
        <w:t xml:space="preserve">przeciwko </w:t>
      </w:r>
      <w:r w:rsidR="000F246B" w:rsidRPr="003E0C66">
        <w:rPr>
          <w:i/>
        </w:rPr>
        <w:t>Rosji</w:t>
      </w:r>
      <w:r w:rsidR="00380D2C" w:rsidRPr="003E0C66">
        <w:t xml:space="preserve">, </w:t>
      </w:r>
      <w:r w:rsidR="00F749AE" w:rsidRPr="003E0C66">
        <w:t>nr</w:t>
      </w:r>
      <w:r w:rsidR="00E05B22" w:rsidRPr="003E0C66">
        <w:t xml:space="preserve"> 20077/04</w:t>
      </w:r>
      <w:r w:rsidR="00E05B22" w:rsidRPr="003E0C66">
        <w:rPr>
          <w:snapToGrid w:val="0"/>
        </w:rPr>
        <w:t xml:space="preserve">, §§ 56-59, 16 </w:t>
      </w:r>
      <w:r w:rsidR="00380D2C" w:rsidRPr="003E0C66">
        <w:rPr>
          <w:snapToGrid w:val="0"/>
        </w:rPr>
        <w:t>październik</w:t>
      </w:r>
      <w:r w:rsidR="00D7322F">
        <w:rPr>
          <w:snapToGrid w:val="0"/>
        </w:rPr>
        <w:t>a</w:t>
      </w:r>
      <w:r w:rsidR="004A00D5" w:rsidRPr="003E0C66">
        <w:rPr>
          <w:snapToGrid w:val="0"/>
        </w:rPr>
        <w:t xml:space="preserve"> </w:t>
      </w:r>
      <w:r w:rsidR="00E05B22" w:rsidRPr="003E0C66">
        <w:rPr>
          <w:snapToGrid w:val="0"/>
        </w:rPr>
        <w:t>2014</w:t>
      </w:r>
      <w:r w:rsidR="00D7322F">
        <w:rPr>
          <w:snapToGrid w:val="0"/>
        </w:rPr>
        <w:t xml:space="preserve"> roku</w:t>
      </w:r>
      <w:r w:rsidR="00E05B22" w:rsidRPr="003E0C66">
        <w:rPr>
          <w:snapToGrid w:val="0"/>
        </w:rPr>
        <w:t>).</w:t>
      </w:r>
      <w:r w:rsidR="00380D2C" w:rsidRPr="003E0C66">
        <w:rPr>
          <w:snapToGrid w:val="0"/>
        </w:rPr>
        <w:t xml:space="preserve"> Wielka Izba</w:t>
      </w:r>
      <w:r w:rsidR="00D7322F">
        <w:rPr>
          <w:snapToGrid w:val="0"/>
        </w:rPr>
        <w:t>,</w:t>
      </w:r>
      <w:r w:rsidR="00380D2C" w:rsidRPr="003E0C66">
        <w:rPr>
          <w:snapToGrid w:val="0"/>
        </w:rPr>
        <w:t xml:space="preserve"> w świetle </w:t>
      </w:r>
      <w:r w:rsidR="00D7322F">
        <w:rPr>
          <w:snapToGrid w:val="0"/>
        </w:rPr>
        <w:t>powyższego</w:t>
      </w:r>
      <w:r w:rsidR="00380D2C" w:rsidRPr="003E0C66">
        <w:rPr>
          <w:snapToGrid w:val="0"/>
        </w:rPr>
        <w:t xml:space="preserve"> </w:t>
      </w:r>
      <w:r w:rsidR="004A00D5" w:rsidRPr="003E0C66">
        <w:rPr>
          <w:snapToGrid w:val="0"/>
        </w:rPr>
        <w:t xml:space="preserve">(zobacz paragrafy 111-112) uważa, że brak </w:t>
      </w:r>
      <w:r w:rsidR="00D7322F">
        <w:rPr>
          <w:snapToGrid w:val="0"/>
        </w:rPr>
        <w:t>ważnej</w:t>
      </w:r>
      <w:r w:rsidR="00D7322F" w:rsidRPr="003E0C66">
        <w:rPr>
          <w:snapToGrid w:val="0"/>
        </w:rPr>
        <w:t xml:space="preserve"> </w:t>
      </w:r>
      <w:r w:rsidR="004A00D5" w:rsidRPr="003E0C66">
        <w:rPr>
          <w:snapToGrid w:val="0"/>
        </w:rPr>
        <w:t xml:space="preserve">przyczyny usprawiedliwiającej nieobecność świadka </w:t>
      </w:r>
      <w:r w:rsidR="00D7322F">
        <w:rPr>
          <w:snapToGrid w:val="0"/>
        </w:rPr>
        <w:t xml:space="preserve">nie może sam rozstrzygać o nierzetelności procesu. Brak ważnego powodu usprawiedliwiającego nieobecność świadków oskarżenia </w:t>
      </w:r>
      <w:r w:rsidR="004A00D5" w:rsidRPr="003E0C66">
        <w:rPr>
          <w:snapToGrid w:val="0"/>
        </w:rPr>
        <w:t xml:space="preserve">jest bardzo </w:t>
      </w:r>
      <w:r w:rsidR="00D7322F">
        <w:rPr>
          <w:snapToGrid w:val="0"/>
        </w:rPr>
        <w:t>istotnym</w:t>
      </w:r>
      <w:r w:rsidR="00D7322F" w:rsidRPr="003E0C66">
        <w:rPr>
          <w:snapToGrid w:val="0"/>
        </w:rPr>
        <w:t xml:space="preserve"> </w:t>
      </w:r>
      <w:r w:rsidR="004A00D5" w:rsidRPr="003E0C66">
        <w:rPr>
          <w:snapToGrid w:val="0"/>
        </w:rPr>
        <w:t xml:space="preserve">czynnikiem, który należy </w:t>
      </w:r>
      <w:r w:rsidR="00C86FE2" w:rsidRPr="003E0C66">
        <w:rPr>
          <w:snapToGrid w:val="0"/>
        </w:rPr>
        <w:t xml:space="preserve">zbadać </w:t>
      </w:r>
      <w:r w:rsidR="00D7322F">
        <w:rPr>
          <w:snapToGrid w:val="0"/>
        </w:rPr>
        <w:t xml:space="preserve">oceniając </w:t>
      </w:r>
      <w:r w:rsidR="00C86FE2" w:rsidRPr="003E0C66">
        <w:rPr>
          <w:snapToGrid w:val="0"/>
        </w:rPr>
        <w:t xml:space="preserve">ogólną </w:t>
      </w:r>
      <w:r w:rsidR="00F17560">
        <w:rPr>
          <w:snapToGrid w:val="0"/>
        </w:rPr>
        <w:t>rzetelność</w:t>
      </w:r>
      <w:r w:rsidR="00C86FE2" w:rsidRPr="003E0C66">
        <w:rPr>
          <w:snapToGrid w:val="0"/>
        </w:rPr>
        <w:t xml:space="preserve"> procesu </w:t>
      </w:r>
      <w:r w:rsidR="00D7322F">
        <w:rPr>
          <w:snapToGrid w:val="0"/>
        </w:rPr>
        <w:t xml:space="preserve">i sam </w:t>
      </w:r>
      <w:r w:rsidR="00C86FE2" w:rsidRPr="003E0C66">
        <w:rPr>
          <w:snapToGrid w:val="0"/>
        </w:rPr>
        <w:t>może przeważyć szalę</w:t>
      </w:r>
      <w:r w:rsidR="00F17560">
        <w:rPr>
          <w:snapToGrid w:val="0"/>
        </w:rPr>
        <w:t>,</w:t>
      </w:r>
      <w:r w:rsidR="00C86FE2" w:rsidRPr="003E0C66">
        <w:rPr>
          <w:snapToGrid w:val="0"/>
        </w:rPr>
        <w:t xml:space="preserve"> </w:t>
      </w:r>
      <w:r w:rsidR="00D7322F" w:rsidRPr="003E0C66">
        <w:rPr>
          <w:snapToGrid w:val="0"/>
        </w:rPr>
        <w:t>jeśli</w:t>
      </w:r>
      <w:r w:rsidR="00C86FE2" w:rsidRPr="003E0C66">
        <w:rPr>
          <w:snapToGrid w:val="0"/>
        </w:rPr>
        <w:t xml:space="preserve"> chodzi o naruszenie Artykułu 6 §§ 1 i 3 (d). </w:t>
      </w:r>
      <w:r w:rsidR="004A00D5" w:rsidRPr="003E0C66">
        <w:rPr>
          <w:snapToGrid w:val="0"/>
        </w:rPr>
        <w:t xml:space="preserve"> </w:t>
      </w:r>
      <w:r w:rsidR="00E05B22" w:rsidRPr="003E0C66">
        <w:rPr>
          <w:snapToGrid w:val="0"/>
        </w:rPr>
        <w:t xml:space="preserve"> </w:t>
      </w:r>
    </w:p>
    <w:p w:rsidR="00E05B22" w:rsidRPr="003E0C66" w:rsidRDefault="00E05B22" w:rsidP="00BC0CE7">
      <w:pPr>
        <w:pStyle w:val="ECHRHeading5"/>
      </w:pPr>
      <w:r w:rsidRPr="003E0C66">
        <w:t>(ii)  </w:t>
      </w:r>
      <w:r w:rsidR="004D1C49" w:rsidRPr="003E0C66">
        <w:t xml:space="preserve">Czy </w:t>
      </w:r>
      <w:r w:rsidR="0093767D">
        <w:t>nadal</w:t>
      </w:r>
      <w:r w:rsidR="0093767D" w:rsidRPr="003E0C66">
        <w:t xml:space="preserve"> </w:t>
      </w:r>
      <w:r w:rsidR="004D1C49" w:rsidRPr="003E0C66">
        <w:t xml:space="preserve">konieczne są </w:t>
      </w:r>
      <w:r w:rsidR="0093767D">
        <w:t xml:space="preserve">odpowiednie </w:t>
      </w:r>
      <w:r w:rsidR="004D1C49" w:rsidRPr="003E0C66">
        <w:t xml:space="preserve">czynniki wyrównujące, </w:t>
      </w:r>
      <w:r w:rsidR="0093767D">
        <w:t>gdy</w:t>
      </w:r>
      <w:r w:rsidR="0093767D" w:rsidRPr="003E0C66">
        <w:t xml:space="preserve"> </w:t>
      </w:r>
      <w:r w:rsidR="0093767D">
        <w:t>niezweryfikowane</w:t>
      </w:r>
      <w:r w:rsidR="0093767D" w:rsidRPr="003E0C66">
        <w:t xml:space="preserve"> </w:t>
      </w:r>
      <w:r w:rsidR="004D1C49" w:rsidRPr="003E0C66">
        <w:t>dowody z zeznań świadków nie były ani jedyne ani decydujące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114</w:t>
      </w:r>
      <w:r w:rsidRPr="003E0C66">
        <w:fldChar w:fldCharType="end"/>
      </w:r>
      <w:r w:rsidR="00E05B22" w:rsidRPr="003E0C66">
        <w:t>.  </w:t>
      </w:r>
      <w:r w:rsidR="004D1C49" w:rsidRPr="003E0C66">
        <w:t xml:space="preserve">W wyroku w sprawie </w:t>
      </w:r>
      <w:r w:rsidR="004D1C49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 </w:t>
      </w:r>
      <w:r w:rsidR="004D1C49" w:rsidRPr="003E0C66">
        <w:t xml:space="preserve">Trybunał </w:t>
      </w:r>
      <w:r w:rsidR="0093767D">
        <w:t>zajął się wymogiem</w:t>
      </w:r>
      <w:r w:rsidR="004D1C49" w:rsidRPr="003E0C66">
        <w:t xml:space="preserve"> istnienia odpowiednich czynników wyrównujących, </w:t>
      </w:r>
      <w:r w:rsidR="0093767D" w:rsidRPr="003E0C66">
        <w:t>zapewni</w:t>
      </w:r>
      <w:r w:rsidR="0093767D">
        <w:t>ających</w:t>
      </w:r>
      <w:r w:rsidR="004D1C49" w:rsidRPr="003E0C66">
        <w:t xml:space="preserve"> sprawiedliwą i rzetelną ocenę wiarygodności dowodu w kontekście spraw, w których wyroki </w:t>
      </w:r>
      <w:r w:rsidR="0093767D">
        <w:t>były oparte</w:t>
      </w:r>
      <w:r w:rsidR="0093767D" w:rsidRPr="003E0C66">
        <w:t xml:space="preserve"> </w:t>
      </w:r>
      <w:r w:rsidR="004D1C49" w:rsidRPr="003E0C66">
        <w:t>wyłączn</w:t>
      </w:r>
      <w:r w:rsidR="0093767D">
        <w:t>ie</w:t>
      </w:r>
      <w:r w:rsidR="004D1C49" w:rsidRPr="003E0C66">
        <w:t xml:space="preserve"> lub </w:t>
      </w:r>
      <w:r w:rsidR="0093767D">
        <w:t xml:space="preserve">w </w:t>
      </w:r>
      <w:r w:rsidR="004D1C49" w:rsidRPr="003E0C66">
        <w:t xml:space="preserve">decydującym stopniu na dowodach z zeznań nieobecnych świadków </w:t>
      </w:r>
      <w:r w:rsidR="00E05B22" w:rsidRPr="003E0C66">
        <w:t>(ibid</w:t>
      </w:r>
      <w:r w:rsidR="00E05B22" w:rsidRPr="003E0C66">
        <w:rPr>
          <w:i/>
        </w:rPr>
        <w:t>.</w:t>
      </w:r>
      <w:r w:rsidR="00E05B22" w:rsidRPr="003E0C66">
        <w:t>, § 147).</w:t>
      </w:r>
    </w:p>
    <w:p w:rsidR="00E05B22" w:rsidRPr="003E0C66" w:rsidRDefault="006B25B0" w:rsidP="002E4A13">
      <w:pPr>
        <w:pStyle w:val="ECHRPara"/>
        <w:rPr>
          <w:snapToGrid w:val="0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115</w:t>
      </w:r>
      <w:r w:rsidRPr="003E0C66">
        <w:fldChar w:fldCharType="end"/>
      </w:r>
      <w:r w:rsidR="00E05B22" w:rsidRPr="003E0C66">
        <w:t>.  </w:t>
      </w:r>
      <w:r w:rsidR="004D1C49" w:rsidRPr="003E0C66">
        <w:t>Jeśli chodzi o kwestię, czy konieczn</w:t>
      </w:r>
      <w:r w:rsidR="0093767D">
        <w:t>e</w:t>
      </w:r>
      <w:r w:rsidR="004D1C49" w:rsidRPr="003E0C66">
        <w:t xml:space="preserve"> jest badanie zaistnienia </w:t>
      </w:r>
      <w:r w:rsidR="00465782" w:rsidRPr="003E0C66">
        <w:t>wystarczających</w:t>
      </w:r>
      <w:r w:rsidR="004D1C49" w:rsidRPr="003E0C66">
        <w:t xml:space="preserve"> czynników wyrównujących nawet w sprawach, w których </w:t>
      </w:r>
      <w:r w:rsidR="001C7AF1" w:rsidRPr="003E0C66">
        <w:t>znaczenie dowodu z zeznań nieobecnego świadka nie było</w:t>
      </w:r>
      <w:r w:rsidR="0093767D">
        <w:t xml:space="preserve"> tego stopnia, że stanowił on</w:t>
      </w:r>
      <w:r w:rsidR="001C7AF1" w:rsidRPr="003E0C66">
        <w:t xml:space="preserve"> jedyną czy decydującą o skazaniu oskarżonego podstaw</w:t>
      </w:r>
      <w:r w:rsidR="0093767D">
        <w:t>ę</w:t>
      </w:r>
      <w:r w:rsidR="001C7AF1" w:rsidRPr="003E0C66">
        <w:t>, Trybunał podkreślił, iż</w:t>
      </w:r>
      <w:r w:rsidR="00042137" w:rsidRPr="003E0C66">
        <w:t xml:space="preserve"> </w:t>
      </w:r>
      <w:r w:rsidR="0093767D">
        <w:t xml:space="preserve">co do zasady </w:t>
      </w:r>
      <w:r w:rsidR="006A06D6" w:rsidRPr="003E0C66">
        <w:t xml:space="preserve">uznał za konieczne badanie ogólnej </w:t>
      </w:r>
      <w:r w:rsidR="0093767D">
        <w:t>rzetelności</w:t>
      </w:r>
      <w:r w:rsidR="0093767D" w:rsidRPr="003E0C66">
        <w:t xml:space="preserve"> </w:t>
      </w:r>
      <w:r w:rsidR="006A06D6" w:rsidRPr="003E0C66">
        <w:t xml:space="preserve">postępowania. Co </w:t>
      </w:r>
      <w:r w:rsidR="00903D1D">
        <w:t xml:space="preserve">tradycyjnie </w:t>
      </w:r>
      <w:r w:rsidR="006A06D6" w:rsidRPr="003E0C66">
        <w:t xml:space="preserve">obejmowało zbadanie zarówno znaczenia </w:t>
      </w:r>
      <w:r w:rsidR="00F17560" w:rsidRPr="003E0C66">
        <w:t xml:space="preserve">dla sprawy </w:t>
      </w:r>
      <w:r w:rsidR="006A06D6" w:rsidRPr="003E0C66">
        <w:t xml:space="preserve">niezweryfikowanych dowodów przeciwko oskarżonemu oraz </w:t>
      </w:r>
      <w:r w:rsidR="008C50E5" w:rsidRPr="003E0C66">
        <w:t>środków wyrównawczych</w:t>
      </w:r>
      <w:r w:rsidR="00903D1D">
        <w:t>,</w:t>
      </w:r>
      <w:r w:rsidR="008C50E5" w:rsidRPr="003E0C66">
        <w:t xml:space="preserve"> podjętych przez organy sądowe w celu zrekompensowania utrudnień</w:t>
      </w:r>
      <w:r w:rsidR="00903D1D">
        <w:t>,</w:t>
      </w:r>
      <w:r w:rsidR="008C50E5" w:rsidRPr="003E0C66">
        <w:t xml:space="preserve"> z którymi musiała zmierzyć się obrona</w:t>
      </w:r>
      <w:r w:rsidR="006A06D6" w:rsidRPr="003E0C66">
        <w:t xml:space="preserve"> </w:t>
      </w:r>
      <w:r w:rsidR="00E05B22" w:rsidRPr="003E0C66">
        <w:t>(</w:t>
      </w:r>
      <w:r w:rsidR="008C50E5" w:rsidRPr="003E0C66">
        <w:t>zobacz</w:t>
      </w:r>
      <w:r w:rsidR="00E05B22" w:rsidRPr="003E0C66">
        <w:t xml:space="preserve"> </w:t>
      </w:r>
      <w:r w:rsidR="00E05B22" w:rsidRPr="003E0C66">
        <w:rPr>
          <w:i/>
        </w:rPr>
        <w:t xml:space="preserve">Gani </w:t>
      </w:r>
      <w:r w:rsidR="008C50E5" w:rsidRPr="003E0C66">
        <w:rPr>
          <w:i/>
        </w:rPr>
        <w:t>przeciwko Hiszpanii</w:t>
      </w:r>
      <w:r w:rsidR="00E05B22" w:rsidRPr="003E0C66">
        <w:t>, no. 61800/08</w:t>
      </w:r>
      <w:r w:rsidR="00E05B22" w:rsidRPr="003E0C66">
        <w:rPr>
          <w:snapToGrid w:val="0"/>
        </w:rPr>
        <w:t xml:space="preserve">, § 41, 19 </w:t>
      </w:r>
      <w:r w:rsidR="008C50E5" w:rsidRPr="003E0C66">
        <w:rPr>
          <w:snapToGrid w:val="0"/>
        </w:rPr>
        <w:t>lutego</w:t>
      </w:r>
      <w:r w:rsidR="00E05B22" w:rsidRPr="003E0C66">
        <w:rPr>
          <w:snapToGrid w:val="0"/>
        </w:rPr>
        <w:t xml:space="preserve"> 2013</w:t>
      </w:r>
      <w:r w:rsidR="00903D1D">
        <w:rPr>
          <w:snapToGrid w:val="0"/>
        </w:rPr>
        <w:t xml:space="preserve"> roku</w:t>
      </w:r>
      <w:r w:rsidR="00E05B22" w:rsidRPr="003E0C66">
        <w:rPr>
          <w:snapToGrid w:val="0"/>
        </w:rPr>
        <w:t xml:space="preserve">, </w:t>
      </w:r>
      <w:r w:rsidR="008C50E5" w:rsidRPr="003E0C66">
        <w:rPr>
          <w:snapToGrid w:val="0"/>
        </w:rPr>
        <w:t>z wieloma odniesieniami</w:t>
      </w:r>
      <w:r w:rsidR="00E05B22" w:rsidRPr="003E0C66">
        <w:rPr>
          <w:snapToGrid w:val="0"/>
        </w:rPr>
        <w:t xml:space="preserve">; </w:t>
      </w:r>
      <w:r w:rsidR="008C50E5" w:rsidRPr="003E0C66">
        <w:rPr>
          <w:snapToGrid w:val="0"/>
        </w:rPr>
        <w:t>zobacz także</w:t>
      </w:r>
      <w:r w:rsidR="00E05B22" w:rsidRPr="003E0C66">
        <w:rPr>
          <w:snapToGrid w:val="0"/>
        </w:rPr>
        <w:t xml:space="preserve"> </w:t>
      </w:r>
      <w:r w:rsidR="00E05B22" w:rsidRPr="003E0C66">
        <w:rPr>
          <w:rFonts w:ascii="Times New Roman" w:eastAsia="Calibri" w:hAnsi="Times New Roman" w:cs="Times New Roman"/>
          <w:i/>
        </w:rPr>
        <w:t xml:space="preserve">Fąfrowicz </w:t>
      </w:r>
      <w:r w:rsidR="008C50E5" w:rsidRPr="003E0C66">
        <w:rPr>
          <w:rFonts w:ascii="Times New Roman" w:eastAsia="Calibri" w:hAnsi="Times New Roman" w:cs="Times New Roman"/>
          <w:i/>
        </w:rPr>
        <w:t>przeciwko Polsce</w:t>
      </w:r>
      <w:r w:rsidR="008C50E5" w:rsidRPr="003E0C66">
        <w:rPr>
          <w:rFonts w:ascii="Times New Roman" w:eastAsia="Calibri" w:hAnsi="Times New Roman" w:cs="Times New Roman"/>
        </w:rPr>
        <w:t>, nr</w:t>
      </w:r>
      <w:r w:rsidR="00E05B22" w:rsidRPr="003E0C66">
        <w:rPr>
          <w:rFonts w:ascii="Times New Roman" w:eastAsia="Calibri" w:hAnsi="Times New Roman" w:cs="Times New Roman"/>
        </w:rPr>
        <w:t xml:space="preserve"> 43609/07</w:t>
      </w:r>
      <w:r w:rsidR="00E05B22" w:rsidRPr="003E0C66">
        <w:rPr>
          <w:rFonts w:ascii="Times New Roman" w:eastAsia="Calibri" w:hAnsi="Times New Roman" w:cs="Times New Roman"/>
          <w:snapToGrid w:val="0"/>
          <w:szCs w:val="24"/>
        </w:rPr>
        <w:t>, §§ 58</w:t>
      </w:r>
      <w:r w:rsidR="00E05B22" w:rsidRPr="003E0C66">
        <w:rPr>
          <w:rFonts w:ascii="Times New Roman" w:eastAsia="Calibri" w:hAnsi="Times New Roman" w:cs="Times New Roman"/>
          <w:snapToGrid w:val="0"/>
          <w:szCs w:val="24"/>
        </w:rPr>
        <w:noBreakHyphen/>
        <w:t xml:space="preserve">63, 17 </w:t>
      </w:r>
      <w:r w:rsidR="008C50E5" w:rsidRPr="003E0C66">
        <w:rPr>
          <w:rFonts w:ascii="Times New Roman" w:eastAsia="Calibri" w:hAnsi="Times New Roman" w:cs="Times New Roman"/>
          <w:snapToGrid w:val="0"/>
          <w:szCs w:val="24"/>
        </w:rPr>
        <w:t>kwietnia</w:t>
      </w:r>
      <w:r w:rsidR="00E05B22" w:rsidRPr="003E0C66">
        <w:rPr>
          <w:rFonts w:ascii="Times New Roman" w:eastAsia="Calibri" w:hAnsi="Times New Roman" w:cs="Times New Roman"/>
          <w:snapToGrid w:val="0"/>
          <w:szCs w:val="24"/>
        </w:rPr>
        <w:t xml:space="preserve"> 2012</w:t>
      </w:r>
      <w:r w:rsidR="00903D1D">
        <w:rPr>
          <w:rFonts w:ascii="Times New Roman" w:eastAsia="Calibri" w:hAnsi="Times New Roman" w:cs="Times New Roman"/>
          <w:snapToGrid w:val="0"/>
          <w:szCs w:val="24"/>
        </w:rPr>
        <w:t xml:space="preserve"> roku</w:t>
      </w:r>
      <w:r w:rsidR="00E05B22" w:rsidRPr="003E0C66">
        <w:rPr>
          <w:snapToGrid w:val="0"/>
        </w:rPr>
        <w:t xml:space="preserve">;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Sellick</w:t>
      </w:r>
      <w:proofErr w:type="spellEnd"/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and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Sellick</w:t>
      </w:r>
      <w:proofErr w:type="spellEnd"/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</w:t>
      </w:r>
      <w:r w:rsidR="008C50E5" w:rsidRPr="003E0C66">
        <w:rPr>
          <w:rFonts w:ascii="Times New Roman" w:eastAsia="Calibri" w:hAnsi="Times New Roman" w:cs="Times New Roman"/>
          <w:i/>
          <w:snapToGrid w:val="0"/>
        </w:rPr>
        <w:t>przeciwko Wielkiej Brytanii</w:t>
      </w:r>
      <w:r w:rsidR="008C50E5" w:rsidRPr="003E0C66">
        <w:rPr>
          <w:rFonts w:ascii="Times New Roman" w:eastAsia="Calibri" w:hAnsi="Times New Roman" w:cs="Times New Roman"/>
          <w:snapToGrid w:val="0"/>
        </w:rPr>
        <w:t xml:space="preserve"> (</w:t>
      </w:r>
      <w:proofErr w:type="spellStart"/>
      <w:r w:rsidR="008C50E5" w:rsidRPr="003E0C66">
        <w:rPr>
          <w:rFonts w:ascii="Times New Roman" w:eastAsia="Calibri" w:hAnsi="Times New Roman" w:cs="Times New Roman"/>
          <w:snapToGrid w:val="0"/>
        </w:rPr>
        <w:t>dec</w:t>
      </w:r>
      <w:proofErr w:type="spellEnd"/>
      <w:r w:rsidR="008C50E5" w:rsidRPr="003E0C66">
        <w:rPr>
          <w:rFonts w:ascii="Times New Roman" w:eastAsia="Calibri" w:hAnsi="Times New Roman" w:cs="Times New Roman"/>
          <w:snapToGrid w:val="0"/>
        </w:rPr>
        <w:t>.), nr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 18743/06, §§ 54-55, 16 </w:t>
      </w:r>
      <w:r w:rsidR="008C50E5" w:rsidRPr="003E0C66">
        <w:rPr>
          <w:rFonts w:ascii="Times New Roman" w:eastAsia="Calibri" w:hAnsi="Times New Roman" w:cs="Times New Roman"/>
          <w:snapToGrid w:val="0"/>
        </w:rPr>
        <w:t>października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2012 </w:t>
      </w:r>
      <w:r w:rsidR="00903D1D">
        <w:rPr>
          <w:rFonts w:ascii="Times New Roman" w:eastAsia="Calibri" w:hAnsi="Times New Roman" w:cs="Times New Roman"/>
          <w:snapToGrid w:val="0"/>
        </w:rPr>
        <w:t xml:space="preserve">roku </w:t>
      </w:r>
      <w:r w:rsidR="00E05B22" w:rsidRPr="003E0C66">
        <w:rPr>
          <w:rFonts w:ascii="Times New Roman" w:eastAsia="Calibri" w:hAnsi="Times New Roman" w:cs="Times New Roman"/>
          <w:snapToGrid w:val="0"/>
        </w:rPr>
        <w:t>(</w:t>
      </w:r>
      <w:r w:rsidR="008C50E5" w:rsidRPr="003E0C66">
        <w:rPr>
          <w:rFonts w:ascii="Times New Roman" w:eastAsia="Calibri" w:hAnsi="Times New Roman" w:cs="Times New Roman"/>
          <w:snapToGrid w:val="0"/>
        </w:rPr>
        <w:t>dotyczące dowodów z zeznań nieobecnych świadków scharakteryzowanych jako ‘’ważne’’)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; </w:t>
      </w:r>
      <w:proofErr w:type="spellStart"/>
      <w:r w:rsidR="00E05B22" w:rsidRPr="003E0C66">
        <w:rPr>
          <w:i/>
        </w:rPr>
        <w:t>Beggs</w:t>
      </w:r>
      <w:proofErr w:type="spellEnd"/>
      <w:r w:rsidR="008E2468" w:rsidRPr="003E0C66">
        <w:rPr>
          <w:i/>
        </w:rPr>
        <w:t xml:space="preserve"> </w:t>
      </w:r>
      <w:r w:rsidR="008C50E5" w:rsidRPr="003E0C66">
        <w:rPr>
          <w:i/>
        </w:rPr>
        <w:t>przeciwko Wielkiej Brytanii</w:t>
      </w:r>
      <w:r w:rsidR="008C50E5" w:rsidRPr="003E0C66">
        <w:t>, nr</w:t>
      </w:r>
      <w:r w:rsidR="00E05B22" w:rsidRPr="003E0C66">
        <w:t> 25133/06</w:t>
      </w:r>
      <w:r w:rsidR="00E05B22" w:rsidRPr="003E0C66">
        <w:rPr>
          <w:snapToGrid w:val="0"/>
        </w:rPr>
        <w:t>, §§ 156-159, 6 </w:t>
      </w:r>
      <w:r w:rsidR="008C50E5" w:rsidRPr="003E0C66">
        <w:rPr>
          <w:snapToGrid w:val="0"/>
        </w:rPr>
        <w:t>listopada</w:t>
      </w:r>
      <w:r w:rsidR="00E05B22" w:rsidRPr="003E0C66">
        <w:rPr>
          <w:snapToGrid w:val="0"/>
        </w:rPr>
        <w:t xml:space="preserve"> 2012</w:t>
      </w:r>
      <w:r w:rsidR="00903D1D">
        <w:rPr>
          <w:snapToGrid w:val="0"/>
        </w:rPr>
        <w:t xml:space="preserve"> roku</w:t>
      </w:r>
      <w:r w:rsidR="00E05B22" w:rsidRPr="003E0C66">
        <w:rPr>
          <w:snapToGrid w:val="0"/>
        </w:rPr>
        <w:t xml:space="preserve"> (</w:t>
      </w:r>
      <w:r w:rsidR="008C50E5" w:rsidRPr="003E0C66">
        <w:rPr>
          <w:snapToGrid w:val="0"/>
        </w:rPr>
        <w:t xml:space="preserve">dotyczący dowodów z zeznań nieobecnego świadka scharakteryzowanych jedynie jako część </w:t>
      </w:r>
      <w:r w:rsidR="00903D1D">
        <w:rPr>
          <w:snapToGrid w:val="0"/>
        </w:rPr>
        <w:t>dowodów poszlakowych</w:t>
      </w:r>
      <w:r w:rsidR="00E05B22" w:rsidRPr="003E0C66">
        <w:rPr>
          <w:snapToGrid w:val="0"/>
        </w:rPr>
        <w:t>)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; </w:t>
      </w:r>
      <w:proofErr w:type="spellStart"/>
      <w:r w:rsidR="00E05B22" w:rsidRPr="003E0C66">
        <w:rPr>
          <w:i/>
        </w:rPr>
        <w:t>Štefančič</w:t>
      </w:r>
      <w:proofErr w:type="spellEnd"/>
      <w:r w:rsidR="00E05B22" w:rsidRPr="003E0C66">
        <w:rPr>
          <w:i/>
        </w:rPr>
        <w:t xml:space="preserve"> </w:t>
      </w:r>
      <w:r w:rsidR="008C50E5" w:rsidRPr="003E0C66">
        <w:rPr>
          <w:i/>
        </w:rPr>
        <w:t xml:space="preserve">przeciwko </w:t>
      </w:r>
      <w:r w:rsidR="000F246B" w:rsidRPr="003E0C66">
        <w:rPr>
          <w:i/>
        </w:rPr>
        <w:t>Słowenii</w:t>
      </w:r>
      <w:r w:rsidR="008C50E5" w:rsidRPr="003E0C66">
        <w:t>, nr</w:t>
      </w:r>
      <w:r w:rsidR="00E05B22" w:rsidRPr="003E0C66">
        <w:t xml:space="preserve"> 18027/05, §§ 42-47, 25 </w:t>
      </w:r>
      <w:r w:rsidR="008C50E5" w:rsidRPr="003E0C66">
        <w:t>października</w:t>
      </w:r>
      <w:r w:rsidR="00E05B22" w:rsidRPr="003E0C66">
        <w:t xml:space="preserve"> 2012 </w:t>
      </w:r>
      <w:r w:rsidR="00903D1D">
        <w:t xml:space="preserve">roku </w:t>
      </w:r>
      <w:r w:rsidR="00E05B22" w:rsidRPr="003E0C66">
        <w:rPr>
          <w:rFonts w:ascii="Times New Roman" w:eastAsia="Calibri" w:hAnsi="Times New Roman" w:cs="Times New Roman"/>
          <w:snapToGrid w:val="0"/>
        </w:rPr>
        <w:t>(</w:t>
      </w:r>
      <w:r w:rsidR="008C50E5" w:rsidRPr="003E0C66">
        <w:rPr>
          <w:rFonts w:ascii="Times New Roman" w:eastAsia="Calibri" w:hAnsi="Times New Roman" w:cs="Times New Roman"/>
          <w:snapToGrid w:val="0"/>
        </w:rPr>
        <w:t>dotyczący  dowod</w:t>
      </w:r>
      <w:r w:rsidR="00903D1D">
        <w:rPr>
          <w:rFonts w:ascii="Times New Roman" w:eastAsia="Calibri" w:hAnsi="Times New Roman" w:cs="Times New Roman"/>
          <w:snapToGrid w:val="0"/>
        </w:rPr>
        <w:t>u</w:t>
      </w:r>
      <w:r w:rsidR="008C50E5" w:rsidRPr="003E0C66">
        <w:rPr>
          <w:rFonts w:ascii="Times New Roman" w:eastAsia="Calibri" w:hAnsi="Times New Roman" w:cs="Times New Roman"/>
          <w:snapToGrid w:val="0"/>
        </w:rPr>
        <w:t xml:space="preserve"> z zeznań nieobecnego świadka </w:t>
      </w:r>
      <w:r w:rsidR="00903D1D" w:rsidRPr="003E0C66">
        <w:rPr>
          <w:rFonts w:ascii="Times New Roman" w:eastAsia="Calibri" w:hAnsi="Times New Roman" w:cs="Times New Roman"/>
          <w:snapToGrid w:val="0"/>
        </w:rPr>
        <w:t>scharakteryzowan</w:t>
      </w:r>
      <w:r w:rsidR="00903D1D">
        <w:rPr>
          <w:rFonts w:ascii="Times New Roman" w:eastAsia="Calibri" w:hAnsi="Times New Roman" w:cs="Times New Roman"/>
          <w:snapToGrid w:val="0"/>
        </w:rPr>
        <w:t>ego</w:t>
      </w:r>
      <w:r w:rsidR="00903D1D" w:rsidRPr="003E0C66">
        <w:rPr>
          <w:rFonts w:ascii="Times New Roman" w:eastAsia="Calibri" w:hAnsi="Times New Roman" w:cs="Times New Roman"/>
          <w:snapToGrid w:val="0"/>
        </w:rPr>
        <w:t xml:space="preserve"> </w:t>
      </w:r>
      <w:r w:rsidR="008C50E5" w:rsidRPr="003E0C66">
        <w:rPr>
          <w:rFonts w:ascii="Times New Roman" w:eastAsia="Calibri" w:hAnsi="Times New Roman" w:cs="Times New Roman"/>
          <w:snapToGrid w:val="0"/>
        </w:rPr>
        <w:t xml:space="preserve">jako </w:t>
      </w:r>
      <w:r w:rsidR="00903D1D">
        <w:rPr>
          <w:rFonts w:ascii="Times New Roman" w:eastAsia="Calibri" w:hAnsi="Times New Roman" w:cs="Times New Roman"/>
          <w:snapToGrid w:val="0"/>
        </w:rPr>
        <w:t>jeden</w:t>
      </w:r>
      <w:r w:rsidR="00903D1D" w:rsidRPr="003E0C66">
        <w:rPr>
          <w:rFonts w:ascii="Times New Roman" w:eastAsia="Calibri" w:hAnsi="Times New Roman" w:cs="Times New Roman"/>
          <w:snapToGrid w:val="0"/>
        </w:rPr>
        <w:t xml:space="preserve"> </w:t>
      </w:r>
      <w:r w:rsidR="008C50E5" w:rsidRPr="003E0C66">
        <w:rPr>
          <w:rFonts w:ascii="Times New Roman" w:eastAsia="Calibri" w:hAnsi="Times New Roman" w:cs="Times New Roman"/>
          <w:snapToGrid w:val="0"/>
        </w:rPr>
        <w:t>z kilku elementów</w:t>
      </w:r>
      <w:r w:rsidR="00903D1D">
        <w:rPr>
          <w:rFonts w:ascii="Times New Roman" w:eastAsia="Calibri" w:hAnsi="Times New Roman" w:cs="Times New Roman"/>
          <w:snapToGrid w:val="0"/>
        </w:rPr>
        <w:t>,</w:t>
      </w:r>
      <w:r w:rsidR="008C50E5" w:rsidRPr="003E0C66">
        <w:rPr>
          <w:rFonts w:ascii="Times New Roman" w:eastAsia="Calibri" w:hAnsi="Times New Roman" w:cs="Times New Roman"/>
          <w:snapToGrid w:val="0"/>
        </w:rPr>
        <w:t xml:space="preserve"> </w:t>
      </w:r>
      <w:r w:rsidR="008C50E5" w:rsidRPr="003E0C66">
        <w:rPr>
          <w:rFonts w:ascii="Times New Roman" w:eastAsia="Calibri" w:hAnsi="Times New Roman" w:cs="Times New Roman"/>
          <w:snapToGrid w:val="0"/>
        </w:rPr>
        <w:lastRenderedPageBreak/>
        <w:t xml:space="preserve">na których </w:t>
      </w:r>
      <w:r w:rsidR="00903D1D">
        <w:rPr>
          <w:rFonts w:ascii="Times New Roman" w:eastAsia="Calibri" w:hAnsi="Times New Roman" w:cs="Times New Roman"/>
          <w:snapToGrid w:val="0"/>
        </w:rPr>
        <w:t>opierał się</w:t>
      </w:r>
      <w:r w:rsidR="00903D1D" w:rsidRPr="003E0C66">
        <w:rPr>
          <w:rFonts w:ascii="Times New Roman" w:eastAsia="Calibri" w:hAnsi="Times New Roman" w:cs="Times New Roman"/>
          <w:snapToGrid w:val="0"/>
        </w:rPr>
        <w:t xml:space="preserve"> </w:t>
      </w:r>
      <w:r w:rsidR="008C50E5" w:rsidRPr="003E0C66">
        <w:rPr>
          <w:rFonts w:ascii="Times New Roman" w:eastAsia="Calibri" w:hAnsi="Times New Roman" w:cs="Times New Roman"/>
          <w:snapToGrid w:val="0"/>
        </w:rPr>
        <w:t xml:space="preserve">wyrok </w:t>
      </w:r>
      <w:r w:rsidR="00903D1D">
        <w:rPr>
          <w:rFonts w:ascii="Times New Roman" w:eastAsia="Calibri" w:hAnsi="Times New Roman" w:cs="Times New Roman"/>
          <w:snapToGrid w:val="0"/>
        </w:rPr>
        <w:t xml:space="preserve">skazujący </w:t>
      </w:r>
      <w:r w:rsidR="008C50E5" w:rsidRPr="003E0C66">
        <w:rPr>
          <w:rFonts w:ascii="Times New Roman" w:eastAsia="Calibri" w:hAnsi="Times New Roman" w:cs="Times New Roman"/>
          <w:snapToGrid w:val="0"/>
        </w:rPr>
        <w:t>oskarżonego)</w:t>
      </w:r>
      <w:r w:rsidR="00E05B22" w:rsidRPr="003E0C66">
        <w:t xml:space="preserve"> </w:t>
      </w:r>
      <w:r w:rsidR="002E4A13" w:rsidRPr="003E0C66">
        <w:rPr>
          <w:rFonts w:ascii="Times New Roman" w:eastAsia="Calibri" w:hAnsi="Times New Roman" w:cs="Times New Roman"/>
          <w:snapToGrid w:val="0"/>
        </w:rPr>
        <w:t>oraz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Garofolo</w:t>
      </w:r>
      <w:proofErr w:type="spellEnd"/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</w:t>
      </w:r>
      <w:r w:rsidR="002E4A13" w:rsidRPr="003E0C66">
        <w:rPr>
          <w:rFonts w:ascii="Times New Roman" w:eastAsia="Calibri" w:hAnsi="Times New Roman" w:cs="Times New Roman"/>
          <w:i/>
          <w:snapToGrid w:val="0"/>
        </w:rPr>
        <w:t>przeciwko Szwajcarii</w:t>
      </w:r>
      <w:r w:rsidR="002E4A13" w:rsidRPr="003E0C66">
        <w:rPr>
          <w:rFonts w:ascii="Times New Roman" w:eastAsia="Calibri" w:hAnsi="Times New Roman" w:cs="Times New Roman"/>
          <w:snapToGrid w:val="0"/>
        </w:rPr>
        <w:t xml:space="preserve"> (</w:t>
      </w:r>
      <w:proofErr w:type="spellStart"/>
      <w:r w:rsidR="002E4A13" w:rsidRPr="003E0C66">
        <w:rPr>
          <w:rFonts w:ascii="Times New Roman" w:eastAsia="Calibri" w:hAnsi="Times New Roman" w:cs="Times New Roman"/>
          <w:snapToGrid w:val="0"/>
        </w:rPr>
        <w:t>dec</w:t>
      </w:r>
      <w:proofErr w:type="spellEnd"/>
      <w:r w:rsidR="002E4A13" w:rsidRPr="003E0C66">
        <w:rPr>
          <w:rFonts w:ascii="Times New Roman" w:eastAsia="Calibri" w:hAnsi="Times New Roman" w:cs="Times New Roman"/>
          <w:snapToGrid w:val="0"/>
        </w:rPr>
        <w:t xml:space="preserve">.), </w:t>
      </w:r>
      <w:r w:rsidR="00F749AE" w:rsidRPr="003E0C66">
        <w:rPr>
          <w:rFonts w:ascii="Times New Roman" w:eastAsia="Calibri" w:hAnsi="Times New Roman" w:cs="Times New Roman"/>
          <w:snapToGrid w:val="0"/>
        </w:rPr>
        <w:t>nr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 4380/09, </w:t>
      </w:r>
      <w:r w:rsidR="00E05B22" w:rsidRPr="003E0C66">
        <w:rPr>
          <w:rFonts w:ascii="Times New Roman" w:eastAsia="Calibri" w:hAnsi="Times New Roman" w:cs="Times New Roman"/>
          <w:szCs w:val="24"/>
        </w:rPr>
        <w:t>§§ 52</w:t>
      </w:r>
      <w:r w:rsidR="002E4A13" w:rsidRPr="003E0C66">
        <w:rPr>
          <w:rFonts w:ascii="Times New Roman" w:eastAsia="Calibri" w:hAnsi="Times New Roman" w:cs="Times New Roman"/>
          <w:szCs w:val="24"/>
        </w:rPr>
        <w:t xml:space="preserve"> i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56-57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, 2 </w:t>
      </w:r>
      <w:r w:rsidR="002E4A13" w:rsidRPr="003E0C66">
        <w:rPr>
          <w:rFonts w:ascii="Times New Roman" w:eastAsia="Calibri" w:hAnsi="Times New Roman" w:cs="Times New Roman"/>
          <w:snapToGrid w:val="0"/>
        </w:rPr>
        <w:t>kwietnia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2013</w:t>
      </w:r>
      <w:r w:rsidR="00903D1D">
        <w:rPr>
          <w:rFonts w:ascii="Times New Roman" w:eastAsia="Calibri" w:hAnsi="Times New Roman" w:cs="Times New Roman"/>
          <w:snapToGrid w:val="0"/>
        </w:rPr>
        <w:t xml:space="preserve"> roku</w:t>
      </w:r>
      <w:r w:rsidR="00E05B22" w:rsidRPr="003E0C66">
        <w:rPr>
          <w:rFonts w:ascii="Times New Roman" w:eastAsia="Calibri" w:hAnsi="Times New Roman" w:cs="Times New Roman"/>
          <w:szCs w:val="24"/>
        </w:rPr>
        <w:t>;</w:t>
      </w:r>
      <w:r w:rsidR="002E4A13" w:rsidRPr="003E0C66">
        <w:rPr>
          <w:rFonts w:ascii="Times New Roman" w:eastAsia="Calibri" w:hAnsi="Times New Roman" w:cs="Times New Roman"/>
          <w:szCs w:val="24"/>
        </w:rPr>
        <w:t xml:space="preserve"> ale zobacz także </w:t>
      </w:r>
      <w:proofErr w:type="spellStart"/>
      <w:r w:rsidR="00903D1D" w:rsidRPr="00FA3031">
        <w:rPr>
          <w:rFonts w:ascii="Times New Roman" w:eastAsia="Calibri" w:hAnsi="Times New Roman" w:cs="Times New Roman"/>
          <w:i/>
          <w:szCs w:val="24"/>
        </w:rPr>
        <w:t>Matytsina</w:t>
      </w:r>
      <w:proofErr w:type="spellEnd"/>
      <w:r w:rsidR="00903D1D" w:rsidRPr="00FA3031">
        <w:rPr>
          <w:rFonts w:ascii="Times New Roman" w:eastAsia="Calibri" w:hAnsi="Times New Roman" w:cs="Times New Roman"/>
          <w:i/>
          <w:szCs w:val="24"/>
        </w:rPr>
        <w:t xml:space="preserve"> przeciwko Rosji</w:t>
      </w:r>
      <w:r w:rsidR="00903D1D">
        <w:rPr>
          <w:rFonts w:ascii="Times New Roman" w:eastAsia="Calibri" w:hAnsi="Times New Roman" w:cs="Times New Roman"/>
          <w:szCs w:val="24"/>
        </w:rPr>
        <w:t xml:space="preserve">, nr 58428/10, §§ 164-65, 27 marca 2014 roku i </w:t>
      </w:r>
      <w:proofErr w:type="spellStart"/>
      <w:r w:rsidR="00E05B22" w:rsidRPr="003E0C66">
        <w:rPr>
          <w:i/>
        </w:rPr>
        <w:t>Horncastle</w:t>
      </w:r>
      <w:proofErr w:type="spellEnd"/>
      <w:r w:rsidR="00E05B22" w:rsidRPr="003E0C66">
        <w:rPr>
          <w:i/>
        </w:rPr>
        <w:t xml:space="preserve"> </w:t>
      </w:r>
      <w:r w:rsidR="00903D1D">
        <w:rPr>
          <w:i/>
        </w:rPr>
        <w:t>i</w:t>
      </w:r>
      <w:r w:rsidR="002E4A13" w:rsidRPr="003E0C66">
        <w:rPr>
          <w:i/>
        </w:rPr>
        <w:t xml:space="preserve"> Inni przeciwko Wielkiej Brytanii</w:t>
      </w:r>
      <w:r w:rsidR="002E4A13" w:rsidRPr="003E0C66">
        <w:t>, nr</w:t>
      </w:r>
      <w:r w:rsidR="00E05B22" w:rsidRPr="003E0C66">
        <w:t xml:space="preserve"> 4184/10</w:t>
      </w:r>
      <w:r w:rsidR="00E05B22" w:rsidRPr="003E0C66">
        <w:rPr>
          <w:snapToGrid w:val="0"/>
        </w:rPr>
        <w:t>, §§ 150-51, 16 </w:t>
      </w:r>
      <w:r w:rsidR="002E4A13" w:rsidRPr="003E0C66">
        <w:rPr>
          <w:snapToGrid w:val="0"/>
        </w:rPr>
        <w:t>grudnia</w:t>
      </w:r>
      <w:r w:rsidR="00E05B22" w:rsidRPr="003E0C66">
        <w:rPr>
          <w:snapToGrid w:val="0"/>
        </w:rPr>
        <w:t xml:space="preserve"> 2014 </w:t>
      </w:r>
      <w:r w:rsidR="00903D1D">
        <w:rPr>
          <w:snapToGrid w:val="0"/>
        </w:rPr>
        <w:t xml:space="preserve">roku </w:t>
      </w:r>
      <w:r w:rsidR="00E05B22" w:rsidRPr="003E0C66">
        <w:rPr>
          <w:snapToGrid w:val="0"/>
          <w:color w:val="000000"/>
        </w:rPr>
        <w:t>(</w:t>
      </w:r>
      <w:r w:rsidR="002E4A13" w:rsidRPr="003E0C66">
        <w:rPr>
          <w:snapToGrid w:val="0"/>
          <w:color w:val="000000"/>
        </w:rPr>
        <w:t>w obu przypadkach</w:t>
      </w:r>
      <w:r w:rsidR="00746F88" w:rsidRPr="003E0C66">
        <w:rPr>
          <w:snapToGrid w:val="0"/>
          <w:color w:val="000000"/>
        </w:rPr>
        <w:t xml:space="preserve"> ze względu na mał</w:t>
      </w:r>
      <w:r w:rsidR="001501C0">
        <w:rPr>
          <w:snapToGrid w:val="0"/>
          <w:color w:val="000000"/>
        </w:rPr>
        <w:t>e znaczenie zeznań</w:t>
      </w:r>
      <w:r w:rsidR="00746F88" w:rsidRPr="003E0C66">
        <w:rPr>
          <w:snapToGrid w:val="0"/>
          <w:color w:val="000000"/>
        </w:rPr>
        <w:t xml:space="preserve"> nieobecnych świadków</w:t>
      </w:r>
      <w:r w:rsidR="001501C0" w:rsidRPr="001501C0">
        <w:rPr>
          <w:snapToGrid w:val="0"/>
          <w:color w:val="000000"/>
        </w:rPr>
        <w:t xml:space="preserve"> </w:t>
      </w:r>
      <w:r w:rsidR="001501C0">
        <w:rPr>
          <w:snapToGrid w:val="0"/>
          <w:color w:val="000000"/>
        </w:rPr>
        <w:t>istnienie</w:t>
      </w:r>
      <w:r w:rsidR="001501C0" w:rsidRPr="003E0C66">
        <w:rPr>
          <w:snapToGrid w:val="0"/>
          <w:color w:val="000000"/>
        </w:rPr>
        <w:t xml:space="preserve"> czynników wyrównawczych</w:t>
      </w:r>
      <w:r w:rsidR="00746F88" w:rsidRPr="003E0C66">
        <w:rPr>
          <w:snapToGrid w:val="0"/>
          <w:color w:val="000000"/>
        </w:rPr>
        <w:t xml:space="preserve"> nie </w:t>
      </w:r>
      <w:r w:rsidR="001501C0">
        <w:rPr>
          <w:snapToGrid w:val="0"/>
          <w:color w:val="000000"/>
        </w:rPr>
        <w:t xml:space="preserve">było </w:t>
      </w:r>
      <w:r w:rsidR="00746F88" w:rsidRPr="003E0C66">
        <w:rPr>
          <w:snapToGrid w:val="0"/>
          <w:color w:val="000000"/>
        </w:rPr>
        <w:t>badan</w:t>
      </w:r>
      <w:r w:rsidR="001501C0">
        <w:rPr>
          <w:snapToGrid w:val="0"/>
          <w:color w:val="000000"/>
        </w:rPr>
        <w:t>e</w:t>
      </w:r>
      <w:r w:rsidR="00746F88" w:rsidRPr="003E0C66">
        <w:rPr>
          <w:snapToGrid w:val="0"/>
          <w:color w:val="000000"/>
        </w:rPr>
        <w:t>)</w:t>
      </w:r>
      <w:r w:rsidR="00F17560">
        <w:rPr>
          <w:snapToGrid w:val="0"/>
          <w:color w:val="000000"/>
        </w:rPr>
        <w:t>)</w:t>
      </w:r>
      <w:r w:rsidR="00E05B22" w:rsidRPr="003E0C66">
        <w:rPr>
          <w:snapToGrid w:val="0"/>
          <w:color w:val="000000"/>
        </w:rPr>
        <w:t>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116</w:t>
      </w:r>
      <w:r w:rsidRPr="003E0C66">
        <w:fldChar w:fldCharType="end"/>
      </w:r>
      <w:r w:rsidR="00E05B22" w:rsidRPr="003E0C66">
        <w:t>.  </w:t>
      </w:r>
      <w:r w:rsidR="004D3C43" w:rsidRPr="003E0C66">
        <w:t xml:space="preserve">Mając na uwadze, </w:t>
      </w:r>
      <w:r w:rsidR="00F17560">
        <w:t>że</w:t>
      </w:r>
      <w:r w:rsidR="004D3C43" w:rsidRPr="003E0C66">
        <w:t xml:space="preserve"> zadaniem Trybunału jest</w:t>
      </w:r>
      <w:r w:rsidR="0041202D" w:rsidRPr="003E0C66">
        <w:t xml:space="preserve"> </w:t>
      </w:r>
      <w:r w:rsidR="001501C0">
        <w:t>ustalenie,</w:t>
      </w:r>
      <w:r w:rsidR="001501C0" w:rsidRPr="003E0C66">
        <w:t xml:space="preserve"> </w:t>
      </w:r>
      <w:r w:rsidR="004D3C43" w:rsidRPr="003E0C66">
        <w:t>czy postęp</w:t>
      </w:r>
      <w:r w:rsidR="0041202D" w:rsidRPr="003E0C66">
        <w:t xml:space="preserve">owanie jako całość było uczciwe, musi on </w:t>
      </w:r>
      <w:r w:rsidR="001501C0">
        <w:t>badać,</w:t>
      </w:r>
      <w:r w:rsidR="001501C0" w:rsidRPr="003E0C66">
        <w:t xml:space="preserve"> </w:t>
      </w:r>
      <w:r w:rsidR="0041202D" w:rsidRPr="003E0C66">
        <w:t xml:space="preserve">czy istniały wystarczające czynniki wyrównawcze nie tylko w przypadku, </w:t>
      </w:r>
      <w:r w:rsidR="001501C0">
        <w:t>gdy</w:t>
      </w:r>
      <w:r w:rsidR="001501C0" w:rsidRPr="003E0C66">
        <w:t xml:space="preserve"> </w:t>
      </w:r>
      <w:r w:rsidR="0041202D" w:rsidRPr="003E0C66">
        <w:t xml:space="preserve">dowód z zeznań nieobecnego świadka był jedyną lub decydującą podstawą wydania wyroku skazującego. Trybunał musi </w:t>
      </w:r>
      <w:r w:rsidR="001501C0">
        <w:t>to uczynić także w</w:t>
      </w:r>
      <w:r w:rsidR="0041202D" w:rsidRPr="003E0C66">
        <w:t xml:space="preserve"> przypadk</w:t>
      </w:r>
      <w:r w:rsidR="001501C0">
        <w:t>ach, w których</w:t>
      </w:r>
      <w:r w:rsidR="0041202D" w:rsidRPr="003E0C66">
        <w:t>,</w:t>
      </w:r>
      <w:r w:rsidR="00746F88" w:rsidRPr="003E0C66">
        <w:t xml:space="preserve"> po zbadaniu </w:t>
      </w:r>
      <w:r w:rsidR="00CA0654" w:rsidRPr="003E0C66">
        <w:t>oceny sądów krajowych dotyczącej wagi dowodów (opisane bardziej szczegółowo w paragrafie 124 poniże</w:t>
      </w:r>
      <w:r w:rsidR="001501C0">
        <w:t>j</w:t>
      </w:r>
      <w:r w:rsidR="00CA0654" w:rsidRPr="003E0C66">
        <w:t>)</w:t>
      </w:r>
      <w:r w:rsidR="001501C0">
        <w:t xml:space="preserve"> stwierdzi</w:t>
      </w:r>
      <w:r w:rsidR="00CA0654" w:rsidRPr="003E0C66">
        <w:t>,</w:t>
      </w:r>
      <w:r w:rsidR="001501C0">
        <w:t xml:space="preserve"> że</w:t>
      </w:r>
      <w:r w:rsidR="00CA0654" w:rsidRPr="003E0C66">
        <w:t xml:space="preserve"> nie jest jasn</w:t>
      </w:r>
      <w:r w:rsidR="001501C0">
        <w:t>e</w:t>
      </w:r>
      <w:r w:rsidR="00CA0654" w:rsidRPr="003E0C66">
        <w:t xml:space="preserve"> czy </w:t>
      </w:r>
      <w:r w:rsidR="001501C0">
        <w:t xml:space="preserve">przedmiotowy </w:t>
      </w:r>
      <w:r w:rsidR="00CA0654" w:rsidRPr="003E0C66">
        <w:t xml:space="preserve">dowód był jedynym lub decydującym czynnikiem, ale mimo to przekonany jest o znacznej wadze tegoż dowodu </w:t>
      </w:r>
      <w:r w:rsidR="001501C0">
        <w:t>oraz</w:t>
      </w:r>
      <w:r w:rsidR="003C2814" w:rsidRPr="003E0C66">
        <w:t xml:space="preserve"> że </w:t>
      </w:r>
      <w:r w:rsidR="001501C0">
        <w:t>dopuszczenie tego dowodu może utrudnić obronę</w:t>
      </w:r>
      <w:r w:rsidR="003C2814" w:rsidRPr="003E0C66">
        <w:t xml:space="preserve">. Zakres czynników wyrównawczych koniecznych do uznania procesu za </w:t>
      </w:r>
      <w:r w:rsidR="00F17560">
        <w:t>rzetelny</w:t>
      </w:r>
      <w:r w:rsidR="003C2814" w:rsidRPr="003E0C66">
        <w:t xml:space="preserve"> </w:t>
      </w:r>
      <w:r w:rsidR="001501C0">
        <w:t>będzie zależeć</w:t>
      </w:r>
      <w:r w:rsidR="001501C0" w:rsidRPr="003E0C66">
        <w:t xml:space="preserve"> </w:t>
      </w:r>
      <w:r w:rsidR="003C2814" w:rsidRPr="003E0C66">
        <w:t xml:space="preserve">od wagi dowodów </w:t>
      </w:r>
      <w:r w:rsidR="001501C0">
        <w:t xml:space="preserve">z zeznań </w:t>
      </w:r>
      <w:r w:rsidR="003C2814" w:rsidRPr="003E0C66">
        <w:t>nieobecnego świadka. Im ważniejszy dowód, tym większe kroki wyrównawcze należy podjąć</w:t>
      </w:r>
      <w:r w:rsidR="00717174">
        <w:t>, aby postę</w:t>
      </w:r>
      <w:r w:rsidR="001501C0">
        <w:t>powanie jako całość</w:t>
      </w:r>
      <w:r w:rsidR="00717174">
        <w:t xml:space="preserve"> zostało uznane za rzetelne</w:t>
      </w:r>
    </w:p>
    <w:p w:rsidR="00E05B22" w:rsidRPr="003E0C66" w:rsidRDefault="00E05B22" w:rsidP="00BC0CE7">
      <w:pPr>
        <w:pStyle w:val="ECHRHeading5"/>
      </w:pPr>
      <w:r w:rsidRPr="003E0C66">
        <w:t>(iii) </w:t>
      </w:r>
      <w:r w:rsidR="004E112B" w:rsidRPr="003E0C66">
        <w:t xml:space="preserve">  Kolejność trzech </w:t>
      </w:r>
      <w:r w:rsidR="00933400">
        <w:t xml:space="preserve">etapów </w:t>
      </w:r>
      <w:r w:rsidR="00717174">
        <w:t>testu</w:t>
      </w:r>
      <w:r w:rsidR="00717174" w:rsidRPr="003E0C66">
        <w:t xml:space="preserve"> </w:t>
      </w:r>
      <w:r w:rsidR="004E112B" w:rsidRPr="003E0C66">
        <w:t xml:space="preserve">Al-Khawaja </w:t>
      </w:r>
    </w:p>
    <w:p w:rsidR="00E05B22" w:rsidRPr="003E0C66" w:rsidRDefault="006B25B0" w:rsidP="004E112B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117</w:t>
      </w:r>
      <w:r w:rsidRPr="003E0C66">
        <w:fldChar w:fldCharType="end"/>
      </w:r>
      <w:r w:rsidR="00E05B22" w:rsidRPr="003E0C66">
        <w:t>. </w:t>
      </w:r>
      <w:r w:rsidR="004E112B" w:rsidRPr="003E0C66">
        <w:t>Trybunał zauważa, iż w sprawie</w:t>
      </w:r>
      <w:r w:rsidR="00E05B22" w:rsidRPr="003E0C66">
        <w:t xml:space="preserve"> </w:t>
      </w:r>
      <w:r w:rsidR="004E112B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4E112B" w:rsidRPr="003E0C66">
        <w:t xml:space="preserve"> wymóg </w:t>
      </w:r>
      <w:r w:rsidR="00933400">
        <w:t>ważnego</w:t>
      </w:r>
      <w:r w:rsidR="00933400" w:rsidRPr="003E0C66">
        <w:t xml:space="preserve"> </w:t>
      </w:r>
      <w:r w:rsidR="004E112B" w:rsidRPr="003E0C66">
        <w:t xml:space="preserve">powodu usprawiedliwiającego nieobecność świadka (etap pierwszy) </w:t>
      </w:r>
      <w:r w:rsidR="00933400">
        <w:t xml:space="preserve"> i w konsekwencji</w:t>
      </w:r>
      <w:r w:rsidR="004E112B" w:rsidRPr="003E0C66">
        <w:t xml:space="preserve"> </w:t>
      </w:r>
      <w:r w:rsidR="00933400">
        <w:t>dopuszczenie</w:t>
      </w:r>
      <w:r w:rsidR="00933400" w:rsidRPr="003E0C66">
        <w:t xml:space="preserve"> </w:t>
      </w:r>
      <w:r w:rsidR="004E112B" w:rsidRPr="003E0C66">
        <w:t>dowodu z zeznań nieobecnego świadka zostały uznane za kwestię</w:t>
      </w:r>
      <w:r w:rsidR="00933400" w:rsidRPr="00933400">
        <w:t xml:space="preserve"> </w:t>
      </w:r>
      <w:r w:rsidR="00933400" w:rsidRPr="003E0C66">
        <w:t>wstępną</w:t>
      </w:r>
      <w:r w:rsidR="004E112B" w:rsidRPr="003E0C66">
        <w:t>, która musi zostać zbadana przed podjęciem jakichkolwiek rozważań</w:t>
      </w:r>
      <w:r w:rsidR="00F17560">
        <w:t>,</w:t>
      </w:r>
      <w:r w:rsidR="004E112B" w:rsidRPr="003E0C66">
        <w:t xml:space="preserve"> czy dowód był jedynym lub decydującym czynnikiem</w:t>
      </w:r>
      <w:r w:rsidR="00010B34" w:rsidRPr="003E0C66">
        <w:t xml:space="preserve"> (</w:t>
      </w:r>
      <w:r w:rsidR="004E112B" w:rsidRPr="003E0C66">
        <w:t>etap drugi; ibid., §</w:t>
      </w:r>
      <w:r w:rsidR="00933400">
        <w:t xml:space="preserve"> </w:t>
      </w:r>
      <w:r w:rsidR="004E112B" w:rsidRPr="003E0C66">
        <w:t xml:space="preserve">120). </w:t>
      </w:r>
      <w:r w:rsidR="00933400">
        <w:t xml:space="preserve">Pojęcie </w:t>
      </w:r>
      <w:r w:rsidR="00F17560">
        <w:t>„</w:t>
      </w:r>
      <w:r w:rsidR="00933400">
        <w:t>w</w:t>
      </w:r>
      <w:r w:rsidR="004E112B" w:rsidRPr="003E0C66">
        <w:t>stępn</w:t>
      </w:r>
      <w:r w:rsidR="00933400">
        <w:t>a</w:t>
      </w:r>
      <w:r w:rsidR="004E112B" w:rsidRPr="003E0C66">
        <w:t>’’, w tym kontekście, może być</w:t>
      </w:r>
      <w:r w:rsidR="002D485D" w:rsidRPr="003E0C66">
        <w:t xml:space="preserve"> rozumiane w dotychczasowym znaczeniu</w:t>
      </w:r>
      <w:r w:rsidR="004E112B" w:rsidRPr="003E0C66">
        <w:t>:</w:t>
      </w:r>
      <w:r w:rsidR="002D485D" w:rsidRPr="003E0C66">
        <w:t xml:space="preserve"> sąd orzekający musi najpierw zadecydować czy wystąpił </w:t>
      </w:r>
      <w:r w:rsidR="00933400">
        <w:t>ważny</w:t>
      </w:r>
      <w:r w:rsidR="00933400" w:rsidRPr="003E0C66">
        <w:t xml:space="preserve"> </w:t>
      </w:r>
      <w:r w:rsidR="002D485D" w:rsidRPr="003E0C66">
        <w:t>powód nieobecności świadka oraz</w:t>
      </w:r>
      <w:r w:rsidR="00933400">
        <w:t>,</w:t>
      </w:r>
      <w:r w:rsidR="002D485D" w:rsidRPr="003E0C66">
        <w:t xml:space="preserve"> </w:t>
      </w:r>
      <w:r w:rsidR="00933400" w:rsidRPr="003E0C66">
        <w:t xml:space="preserve">w konsekwencji, </w:t>
      </w:r>
      <w:r w:rsidR="002D485D" w:rsidRPr="003E0C66">
        <w:t>czy</w:t>
      </w:r>
      <w:r w:rsidR="00933400">
        <w:t xml:space="preserve"> </w:t>
      </w:r>
      <w:r w:rsidR="002D485D" w:rsidRPr="003E0C66">
        <w:t xml:space="preserve">dowód z zeznań nieobecnego świadka może zostać </w:t>
      </w:r>
      <w:r w:rsidR="00933400">
        <w:t>dopuszczony</w:t>
      </w:r>
      <w:r w:rsidR="002D485D" w:rsidRPr="003E0C66">
        <w:t>.</w:t>
      </w:r>
      <w:r w:rsidR="00A3044C" w:rsidRPr="003E0C66">
        <w:t xml:space="preserve"> Dopiero po </w:t>
      </w:r>
      <w:r w:rsidR="00933400">
        <w:t>dopuszczeniu</w:t>
      </w:r>
      <w:r w:rsidR="00933400" w:rsidRPr="003E0C66">
        <w:t xml:space="preserve"> </w:t>
      </w:r>
      <w:r w:rsidR="00A3044C" w:rsidRPr="003E0C66">
        <w:t xml:space="preserve">dowodu z zeznań świadka sąd orzekający </w:t>
      </w:r>
      <w:r w:rsidR="00933400">
        <w:t xml:space="preserve">może </w:t>
      </w:r>
      <w:r w:rsidR="00A3044C" w:rsidRPr="003E0C66">
        <w:t>oceni</w:t>
      </w:r>
      <w:r w:rsidR="00933400">
        <w:t>ć</w:t>
      </w:r>
      <w:r w:rsidR="00A3044C" w:rsidRPr="003E0C66">
        <w:t xml:space="preserve">, w chwili zakończenia procesu </w:t>
      </w:r>
      <w:r w:rsidR="00010B34" w:rsidRPr="003E0C66">
        <w:t xml:space="preserve">i uwzględniając wszelkie </w:t>
      </w:r>
      <w:r w:rsidR="00933400">
        <w:t>przeprowadzone</w:t>
      </w:r>
      <w:r w:rsidR="00933400" w:rsidRPr="003E0C66">
        <w:t xml:space="preserve"> </w:t>
      </w:r>
      <w:r w:rsidR="00010B34" w:rsidRPr="003E0C66">
        <w:t>dowody</w:t>
      </w:r>
      <w:r w:rsidR="00933400">
        <w:t>, znaczenie dowodu z zeznań niestającego świadka i w szczególności</w:t>
      </w:r>
      <w:r w:rsidR="00F17560">
        <w:t>,</w:t>
      </w:r>
      <w:r w:rsidR="00010B34" w:rsidRPr="003E0C66">
        <w:t xml:space="preserve"> czy dowód z zeznań nieobecnego świadka </w:t>
      </w:r>
      <w:r w:rsidR="00933400">
        <w:t>stanowi</w:t>
      </w:r>
      <w:r w:rsidR="00010B34" w:rsidRPr="003E0C66">
        <w:t xml:space="preserve"> jedyną lub decydującą podstaw</w:t>
      </w:r>
      <w:r w:rsidR="00933400">
        <w:t>ę</w:t>
      </w:r>
      <w:r w:rsidR="00010B34" w:rsidRPr="003E0C66">
        <w:t xml:space="preserve"> skazania oskarżonego. Od wagi dowodu z zeznań nieobecnego świadka zależało będzie</w:t>
      </w:r>
      <w:r w:rsidR="00F17560">
        <w:t>,</w:t>
      </w:r>
      <w:r w:rsidR="00010B34" w:rsidRPr="003E0C66">
        <w:t xml:space="preserve"> </w:t>
      </w:r>
      <w:r w:rsidR="00933400">
        <w:t>jak wielkiej wagi</w:t>
      </w:r>
      <w:r w:rsidR="00010B34" w:rsidRPr="003E0C66">
        <w:t xml:space="preserve"> będą musiały </w:t>
      </w:r>
      <w:r w:rsidR="00933400">
        <w:t>zostać zastosowane</w:t>
      </w:r>
      <w:r w:rsidR="00933400" w:rsidRPr="003E0C66">
        <w:t xml:space="preserve"> </w:t>
      </w:r>
      <w:r w:rsidR="00010B34" w:rsidRPr="003E0C66">
        <w:t xml:space="preserve">czynniki wyrównujące (etap trzeci) </w:t>
      </w:r>
      <w:r w:rsidR="00933400">
        <w:t>dla</w:t>
      </w:r>
      <w:r w:rsidR="00933400" w:rsidRPr="003E0C66">
        <w:t xml:space="preserve"> </w:t>
      </w:r>
      <w:r w:rsidR="00010B34" w:rsidRPr="003E0C66">
        <w:t>zapewnieni</w:t>
      </w:r>
      <w:r w:rsidR="00933400">
        <w:t>a</w:t>
      </w:r>
      <w:r w:rsidR="00010B34" w:rsidRPr="003E0C66">
        <w:t xml:space="preserve"> </w:t>
      </w:r>
      <w:r w:rsidR="00F17560">
        <w:t>rzetelnego</w:t>
      </w:r>
      <w:r w:rsidR="00010B34" w:rsidRPr="003E0C66">
        <w:t xml:space="preserve"> procesu</w:t>
      </w:r>
      <w:r w:rsidR="00933400">
        <w:t xml:space="preserve"> w całości</w:t>
      </w:r>
      <w:r w:rsidR="00010B34" w:rsidRPr="003E0C66">
        <w:t xml:space="preserve">.  </w:t>
      </w:r>
      <w:r w:rsidR="00010B34" w:rsidRPr="003E0C66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118</w:t>
      </w:r>
      <w:r w:rsidRPr="003E0C66">
        <w:fldChar w:fldCharType="end"/>
      </w:r>
      <w:r w:rsidR="00E05B22" w:rsidRPr="003E0C66">
        <w:t>. </w:t>
      </w:r>
      <w:r w:rsidR="00010B34" w:rsidRPr="003E0C66">
        <w:t xml:space="preserve">W </w:t>
      </w:r>
      <w:r w:rsidR="0018005B">
        <w:t>tym kontekście</w:t>
      </w:r>
      <w:r w:rsidR="00F17560">
        <w:t xml:space="preserve">, co do zasady </w:t>
      </w:r>
      <w:r w:rsidR="0018005B">
        <w:t xml:space="preserve">istotnym będzie </w:t>
      </w:r>
      <w:r w:rsidR="00010B34" w:rsidRPr="003E0C66">
        <w:t>zbada</w:t>
      </w:r>
      <w:r w:rsidR="0018005B">
        <w:t>nie tych trzech</w:t>
      </w:r>
      <w:r w:rsidR="00010B34" w:rsidRPr="003E0C66">
        <w:t xml:space="preserve"> trzy etap</w:t>
      </w:r>
      <w:r w:rsidR="0018005B">
        <w:t>ów testu</w:t>
      </w:r>
      <w:r w:rsidR="00010B34" w:rsidRPr="003E0C66">
        <w:t xml:space="preserve"> </w:t>
      </w:r>
      <w:r w:rsidR="00E05B22" w:rsidRPr="003E0C66">
        <w:rPr>
          <w:i/>
        </w:rPr>
        <w:t>Al-Khawaja</w:t>
      </w:r>
      <w:r w:rsidR="00E05B22" w:rsidRPr="003E0C66">
        <w:t xml:space="preserve"> </w:t>
      </w:r>
      <w:r w:rsidR="00010B34" w:rsidRPr="003E0C66">
        <w:t>w kolejności określonej w tym</w:t>
      </w:r>
      <w:r w:rsidR="0018005B">
        <w:t>że</w:t>
      </w:r>
      <w:r w:rsidR="00010B34" w:rsidRPr="003E0C66">
        <w:t xml:space="preserve"> wyroku (zobacz paragraf 107 powyżej). Jednakże wszystkie trzy etapy są ze </w:t>
      </w:r>
      <w:r w:rsidR="00010B34" w:rsidRPr="003E0C66">
        <w:lastRenderedPageBreak/>
        <w:t xml:space="preserve">sobą związane </w:t>
      </w:r>
      <w:r w:rsidR="0005666D" w:rsidRPr="003E0C66">
        <w:t>i wspólnie brane pod uwagę pozwalają ustalić</w:t>
      </w:r>
      <w:r w:rsidR="0018005B">
        <w:t>,</w:t>
      </w:r>
      <w:r w:rsidR="0005666D" w:rsidRPr="003E0C66">
        <w:t xml:space="preserve"> czy sporne postępowanie karne, było </w:t>
      </w:r>
      <w:r w:rsidR="00F17560">
        <w:t>rzetelne</w:t>
      </w:r>
      <w:r w:rsidR="0018005B">
        <w:t xml:space="preserve"> jako całość</w:t>
      </w:r>
      <w:r w:rsidR="0005666D" w:rsidRPr="003E0C66">
        <w:t xml:space="preserve">. W danym przypadku może być stosownym zbadanie etapów w innej kolejności, mianowicie jeśli jeden z etapów okaże się szczególnie </w:t>
      </w:r>
      <w:r w:rsidR="0018005B">
        <w:t>rozstrzygający</w:t>
      </w:r>
      <w:r w:rsidR="0018005B" w:rsidRPr="003E0C66">
        <w:t xml:space="preserve"> </w:t>
      </w:r>
      <w:r w:rsidR="0018005B">
        <w:t>jeśli chodzi o rzetelność lub nierzetelność</w:t>
      </w:r>
      <w:r w:rsidR="0005666D" w:rsidRPr="003E0C66">
        <w:t xml:space="preserve"> postępowania </w:t>
      </w:r>
      <w:r w:rsidR="00E05B22" w:rsidRPr="003E0C66">
        <w:t>(</w:t>
      </w:r>
      <w:r w:rsidR="0005666D" w:rsidRPr="003E0C66">
        <w:t>zobacz w tym kontekście, na przykład,</w:t>
      </w:r>
      <w:r w:rsidR="00E05B22" w:rsidRPr="003E0C66">
        <w:t xml:space="preserve"> </w:t>
      </w:r>
      <w:proofErr w:type="spellStart"/>
      <w:r w:rsidR="00E05B22" w:rsidRPr="003E0C66">
        <w:rPr>
          <w:i/>
        </w:rPr>
        <w:t>Nechto</w:t>
      </w:r>
      <w:proofErr w:type="spellEnd"/>
      <w:r w:rsidR="0005666D" w:rsidRPr="003E0C66">
        <w:rPr>
          <w:i/>
        </w:rPr>
        <w:t xml:space="preserve"> przeciwko Rosji</w:t>
      </w:r>
      <w:r w:rsidR="0005666D" w:rsidRPr="003E0C66">
        <w:t>, nr</w:t>
      </w:r>
      <w:r w:rsidR="00E05B22" w:rsidRPr="003E0C66">
        <w:t xml:space="preserve"> 24893/05</w:t>
      </w:r>
      <w:r w:rsidR="0005666D" w:rsidRPr="003E0C66">
        <w:rPr>
          <w:snapToGrid w:val="0"/>
          <w:szCs w:val="24"/>
        </w:rPr>
        <w:t xml:space="preserve">, §§ 119-25 i 126-27, 24 </w:t>
      </w:r>
      <w:r w:rsidR="0018005B">
        <w:rPr>
          <w:snapToGrid w:val="0"/>
          <w:szCs w:val="24"/>
        </w:rPr>
        <w:t>stycznia</w:t>
      </w:r>
      <w:r w:rsidR="0018005B" w:rsidRPr="003E0C66">
        <w:rPr>
          <w:snapToGrid w:val="0"/>
          <w:szCs w:val="24"/>
        </w:rPr>
        <w:t xml:space="preserve"> </w:t>
      </w:r>
      <w:r w:rsidR="00E05B22" w:rsidRPr="003E0C66">
        <w:rPr>
          <w:snapToGrid w:val="0"/>
          <w:szCs w:val="24"/>
        </w:rPr>
        <w:t>2012</w:t>
      </w:r>
      <w:r w:rsidR="0018005B">
        <w:rPr>
          <w:snapToGrid w:val="0"/>
          <w:szCs w:val="24"/>
        </w:rPr>
        <w:t xml:space="preserve"> roku</w:t>
      </w:r>
      <w:r w:rsidR="00E05B22" w:rsidRPr="003E0C66">
        <w:t xml:space="preserve">; </w:t>
      </w:r>
      <w:proofErr w:type="spellStart"/>
      <w:r w:rsidR="00E05B22" w:rsidRPr="003E0C66">
        <w:rPr>
          <w:rFonts w:ascii="Times New Roman" w:eastAsia="Times New Roman" w:hAnsi="Times New Roman" w:cs="Times New Roman"/>
          <w:i/>
          <w:szCs w:val="24"/>
        </w:rPr>
        <w:t>Mitkus</w:t>
      </w:r>
      <w:proofErr w:type="spellEnd"/>
      <w:r w:rsidR="0005666D" w:rsidRPr="003E0C66">
        <w:rPr>
          <w:rFonts w:ascii="Times New Roman" w:eastAsia="Times New Roman" w:hAnsi="Times New Roman" w:cs="Times New Roman"/>
          <w:i/>
          <w:szCs w:val="24"/>
        </w:rPr>
        <w:t xml:space="preserve"> przeciwko Łotwie</w:t>
      </w:r>
      <w:r w:rsidR="00B50FC6" w:rsidRPr="003E0C66">
        <w:rPr>
          <w:rFonts w:ascii="Times New Roman" w:eastAsia="Times New Roman" w:hAnsi="Times New Roman" w:cs="Times New Roman"/>
          <w:szCs w:val="24"/>
        </w:rPr>
        <w:t>, nr</w:t>
      </w:r>
      <w:r w:rsidR="0005666D" w:rsidRPr="003E0C66">
        <w:rPr>
          <w:rFonts w:ascii="Times New Roman" w:eastAsia="Times New Roman" w:hAnsi="Times New Roman" w:cs="Times New Roman"/>
          <w:szCs w:val="24"/>
        </w:rPr>
        <w:t xml:space="preserve"> 7259/03, §§ 101-102 i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 106, 2 </w:t>
      </w:r>
      <w:r w:rsidR="0005666D" w:rsidRPr="003E0C66">
        <w:rPr>
          <w:rFonts w:ascii="Times New Roman" w:eastAsia="Times New Roman" w:hAnsi="Times New Roman" w:cs="Times New Roman"/>
          <w:szCs w:val="24"/>
        </w:rPr>
        <w:t>październik</w:t>
      </w:r>
      <w:r w:rsidR="0018005B">
        <w:rPr>
          <w:rFonts w:ascii="Times New Roman" w:eastAsia="Times New Roman" w:hAnsi="Times New Roman" w:cs="Times New Roman"/>
          <w:szCs w:val="24"/>
        </w:rPr>
        <w:t>a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 2012</w:t>
      </w:r>
      <w:r w:rsidR="0018005B">
        <w:rPr>
          <w:rFonts w:ascii="Times New Roman" w:eastAsia="Times New Roman" w:hAnsi="Times New Roman" w:cs="Times New Roman"/>
          <w:szCs w:val="24"/>
        </w:rPr>
        <w:t xml:space="preserve"> roku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; </w:t>
      </w:r>
      <w:r w:rsidR="00E05B22" w:rsidRPr="003E0C66">
        <w:rPr>
          <w:rFonts w:ascii="Times New Roman" w:eastAsia="Times New Roman" w:hAnsi="Times New Roman" w:cs="Times New Roman"/>
          <w:i/>
          <w:szCs w:val="24"/>
        </w:rPr>
        <w:t>Gani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, </w:t>
      </w:r>
      <w:r w:rsidR="00F17560">
        <w:rPr>
          <w:rFonts w:ascii="Times New Roman" w:eastAsia="Times New Roman" w:hAnsi="Times New Roman" w:cs="Times New Roman"/>
          <w:szCs w:val="24"/>
        </w:rPr>
        <w:t>cytowany</w:t>
      </w:r>
      <w:r w:rsidR="0005666D" w:rsidRPr="003E0C66">
        <w:rPr>
          <w:rFonts w:ascii="Times New Roman" w:eastAsia="Times New Roman" w:hAnsi="Times New Roman" w:cs="Times New Roman"/>
          <w:szCs w:val="24"/>
        </w:rPr>
        <w:t xml:space="preserve"> </w:t>
      </w:r>
      <w:r w:rsidR="00F17560">
        <w:rPr>
          <w:rFonts w:ascii="Times New Roman" w:eastAsia="Times New Roman" w:hAnsi="Times New Roman" w:cs="Times New Roman"/>
          <w:szCs w:val="24"/>
        </w:rPr>
        <w:t>po</w:t>
      </w:r>
      <w:r w:rsidR="0005666D" w:rsidRPr="003E0C66">
        <w:rPr>
          <w:rFonts w:ascii="Times New Roman" w:eastAsia="Times New Roman" w:hAnsi="Times New Roman" w:cs="Times New Roman"/>
          <w:szCs w:val="24"/>
        </w:rPr>
        <w:t>wyżej, §§ 43-45 oraz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Şandru</w:t>
      </w:r>
      <w:proofErr w:type="spellEnd"/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F17560">
        <w:rPr>
          <w:rFonts w:ascii="Times New Roman" w:eastAsia="Calibri" w:hAnsi="Times New Roman" w:cs="Times New Roman"/>
          <w:szCs w:val="24"/>
        </w:rPr>
        <w:t>cytowany</w:t>
      </w:r>
      <w:r w:rsidR="0005666D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F17560">
        <w:rPr>
          <w:rFonts w:ascii="Times New Roman" w:eastAsia="Calibri" w:hAnsi="Times New Roman" w:cs="Times New Roman"/>
          <w:szCs w:val="24"/>
        </w:rPr>
        <w:t>po</w:t>
      </w:r>
      <w:r w:rsidR="0005666D" w:rsidRPr="003E0C66">
        <w:rPr>
          <w:rFonts w:ascii="Times New Roman" w:eastAsia="Calibri" w:hAnsi="Times New Roman" w:cs="Times New Roman"/>
          <w:szCs w:val="24"/>
        </w:rPr>
        <w:t>wyżej</w:t>
      </w:r>
      <w:r w:rsidR="00E05B22" w:rsidRPr="003E0C66">
        <w:rPr>
          <w:rFonts w:ascii="Times New Roman" w:eastAsia="Calibri" w:hAnsi="Times New Roman" w:cs="Times New Roman"/>
          <w:szCs w:val="24"/>
        </w:rPr>
        <w:t>, §§ 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62-66, </w:t>
      </w:r>
      <w:r w:rsidR="0005666D" w:rsidRPr="003E0C66">
        <w:rPr>
          <w:rFonts w:ascii="Times New Roman" w:eastAsia="Times New Roman" w:hAnsi="Times New Roman" w:cs="Times New Roman"/>
          <w:szCs w:val="24"/>
        </w:rPr>
        <w:t xml:space="preserve">w przypadku tych wszystkich spraw etap drugi, </w:t>
      </w:r>
      <w:r w:rsidR="0018005B">
        <w:rPr>
          <w:rFonts w:ascii="Times New Roman" w:eastAsia="Times New Roman" w:hAnsi="Times New Roman" w:cs="Times New Roman"/>
          <w:szCs w:val="24"/>
        </w:rPr>
        <w:t>to</w:t>
      </w:r>
      <w:r w:rsidR="0018005B" w:rsidRPr="003E0C66">
        <w:rPr>
          <w:rFonts w:ascii="Times New Roman" w:eastAsia="Times New Roman" w:hAnsi="Times New Roman" w:cs="Times New Roman"/>
          <w:szCs w:val="24"/>
        </w:rPr>
        <w:t xml:space="preserve"> </w:t>
      </w:r>
      <w:r w:rsidR="0005666D" w:rsidRPr="003E0C66">
        <w:rPr>
          <w:rFonts w:ascii="Times New Roman" w:eastAsia="Times New Roman" w:hAnsi="Times New Roman" w:cs="Times New Roman"/>
          <w:szCs w:val="24"/>
        </w:rPr>
        <w:t>jest kwestia, czy dowód z zeznań nieobecnego świadka był</w:t>
      </w:r>
      <w:r w:rsidR="0018005B">
        <w:rPr>
          <w:rFonts w:ascii="Times New Roman" w:eastAsia="Times New Roman" w:hAnsi="Times New Roman" w:cs="Times New Roman"/>
          <w:szCs w:val="24"/>
        </w:rPr>
        <w:t xml:space="preserve"> dowodem</w:t>
      </w:r>
      <w:r w:rsidR="0005666D" w:rsidRPr="003E0C66">
        <w:rPr>
          <w:rFonts w:ascii="Times New Roman" w:eastAsia="Times New Roman" w:hAnsi="Times New Roman" w:cs="Times New Roman"/>
          <w:szCs w:val="24"/>
        </w:rPr>
        <w:t xml:space="preserve"> jedynym lub </w:t>
      </w:r>
      <w:r w:rsidR="0018005B">
        <w:rPr>
          <w:rFonts w:ascii="Times New Roman" w:eastAsia="Times New Roman" w:hAnsi="Times New Roman" w:cs="Times New Roman"/>
          <w:szCs w:val="24"/>
        </w:rPr>
        <w:t>decydującym</w:t>
      </w:r>
      <w:r w:rsidR="0005666D" w:rsidRPr="003E0C66">
        <w:rPr>
          <w:rFonts w:ascii="Times New Roman" w:eastAsia="Times New Roman" w:hAnsi="Times New Roman" w:cs="Times New Roman"/>
          <w:szCs w:val="24"/>
        </w:rPr>
        <w:t xml:space="preserve">, została zbadana przed etapem pierwszym, czyli kwestią czy zaistniał </w:t>
      </w:r>
      <w:r w:rsidR="0079213E">
        <w:rPr>
          <w:rFonts w:ascii="Times New Roman" w:eastAsia="Times New Roman" w:hAnsi="Times New Roman" w:cs="Times New Roman"/>
          <w:szCs w:val="24"/>
        </w:rPr>
        <w:t>ważny</w:t>
      </w:r>
      <w:r w:rsidR="0079213E" w:rsidRPr="003E0C66">
        <w:rPr>
          <w:rFonts w:ascii="Times New Roman" w:eastAsia="Times New Roman" w:hAnsi="Times New Roman" w:cs="Times New Roman"/>
          <w:szCs w:val="24"/>
        </w:rPr>
        <w:t xml:space="preserve"> </w:t>
      </w:r>
      <w:r w:rsidR="0005666D" w:rsidRPr="003E0C66">
        <w:rPr>
          <w:rFonts w:ascii="Times New Roman" w:eastAsia="Times New Roman" w:hAnsi="Times New Roman" w:cs="Times New Roman"/>
          <w:szCs w:val="24"/>
        </w:rPr>
        <w:t xml:space="preserve">powód usprawiedliwiający nieobecność świadka). </w:t>
      </w:r>
    </w:p>
    <w:p w:rsidR="00E05B22" w:rsidRPr="003E0C66" w:rsidRDefault="00E05B22" w:rsidP="00BC0CE7">
      <w:pPr>
        <w:pStyle w:val="ECHRHeading4"/>
      </w:pPr>
      <w:r w:rsidRPr="003E0C66">
        <w:t>(c)  </w:t>
      </w:r>
      <w:r w:rsidR="00C8668A" w:rsidRPr="003E0C66">
        <w:t xml:space="preserve">Zasady dotyczące każdego z trzech etapów </w:t>
      </w:r>
      <w:r w:rsidR="0079213E">
        <w:t>testu</w:t>
      </w:r>
      <w:r w:rsidR="0079213E" w:rsidRPr="003E0C66">
        <w:t xml:space="preserve"> </w:t>
      </w:r>
      <w:r w:rsidR="00C8668A" w:rsidRPr="003E0C66">
        <w:t>Al-Khawaja</w:t>
      </w:r>
    </w:p>
    <w:p w:rsidR="00E05B22" w:rsidRPr="003E0C66" w:rsidRDefault="00E05B22" w:rsidP="00BC0CE7">
      <w:pPr>
        <w:pStyle w:val="ECHRHeading5"/>
      </w:pPr>
      <w:r w:rsidRPr="003E0C66">
        <w:t>(i)  </w:t>
      </w:r>
      <w:r w:rsidR="00C8668A" w:rsidRPr="003E0C66">
        <w:t xml:space="preserve">Czy zaistniał </w:t>
      </w:r>
      <w:r w:rsidR="00463AE6">
        <w:t>ważny</w:t>
      </w:r>
      <w:r w:rsidR="00463AE6" w:rsidRPr="003E0C66">
        <w:t xml:space="preserve"> </w:t>
      </w:r>
      <w:r w:rsidR="00C8668A" w:rsidRPr="003E0C66">
        <w:t xml:space="preserve">powód usprawiedliwiający nieobecność świadka podczas rozprawy  </w:t>
      </w:r>
    </w:p>
    <w:p w:rsidR="00E05B22" w:rsidRPr="003E0C66" w:rsidRDefault="006B25B0" w:rsidP="00BC0CE7">
      <w:pPr>
        <w:pStyle w:val="ECHRPara"/>
        <w:rPr>
          <w:i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119</w:t>
      </w:r>
      <w:r w:rsidRPr="003E0C66">
        <w:fldChar w:fldCharType="end"/>
      </w:r>
      <w:r w:rsidR="00E05B22" w:rsidRPr="003E0C66">
        <w:t>. </w:t>
      </w:r>
      <w:r w:rsidR="00C8668A" w:rsidRPr="003E0C66">
        <w:t xml:space="preserve"> </w:t>
      </w:r>
      <w:r w:rsidR="00E251C8">
        <w:t>Ważny</w:t>
      </w:r>
      <w:r w:rsidR="00E251C8" w:rsidRPr="003E0C66">
        <w:t xml:space="preserve"> </w:t>
      </w:r>
      <w:r w:rsidR="00C8668A" w:rsidRPr="003E0C66">
        <w:t xml:space="preserve">powód usprawiedliwiający nieobecność świadka musi istnieć z perspektywy sądu orzekającego, to znaczy, </w:t>
      </w:r>
      <w:r w:rsidR="00E251C8">
        <w:t>s</w:t>
      </w:r>
      <w:r w:rsidR="00C8668A" w:rsidRPr="003E0C66">
        <w:t xml:space="preserve">ąd musi mieć </w:t>
      </w:r>
      <w:r w:rsidR="00F17560">
        <w:t>ważne</w:t>
      </w:r>
      <w:r w:rsidR="00C8668A" w:rsidRPr="003E0C66">
        <w:t xml:space="preserve"> podstawy faktyczne lub prawne pozwalające na</w:t>
      </w:r>
      <w:r w:rsidR="00E251C8">
        <w:t xml:space="preserve"> niezapewnienie</w:t>
      </w:r>
      <w:r w:rsidR="00C8668A" w:rsidRPr="003E0C66">
        <w:t xml:space="preserve"> obecnoś</w:t>
      </w:r>
      <w:r w:rsidR="00E251C8">
        <w:t>ci</w:t>
      </w:r>
      <w:r w:rsidR="00C8668A" w:rsidRPr="003E0C66">
        <w:t xml:space="preserve"> świadka podczas rozprawy. Jeśli zaistniał </w:t>
      </w:r>
      <w:r w:rsidR="00E251C8">
        <w:t>tego typu ważny</w:t>
      </w:r>
      <w:r w:rsidR="00E251C8" w:rsidRPr="003E0C66">
        <w:t xml:space="preserve"> </w:t>
      </w:r>
      <w:r w:rsidR="00C8668A" w:rsidRPr="003E0C66">
        <w:t>pow</w:t>
      </w:r>
      <w:r w:rsidR="00E251C8">
        <w:t>ó</w:t>
      </w:r>
      <w:r w:rsidR="00C8668A" w:rsidRPr="003E0C66">
        <w:t>d usprawiedliwiając</w:t>
      </w:r>
      <w:r w:rsidR="00E251C8">
        <w:t>y</w:t>
      </w:r>
      <w:r w:rsidR="00C8668A" w:rsidRPr="003E0C66">
        <w:t xml:space="preserve"> nieobecność świadka, oznacza to</w:t>
      </w:r>
      <w:r w:rsidR="00F17560">
        <w:t>,</w:t>
      </w:r>
      <w:r w:rsidR="00C8668A" w:rsidRPr="003E0C66">
        <w:t xml:space="preserve"> ż</w:t>
      </w:r>
      <w:r w:rsidR="00E251C8">
        <w:t>e</w:t>
      </w:r>
      <w:r w:rsidR="00C8668A" w:rsidRPr="003E0C66">
        <w:t xml:space="preserve"> wystąpił </w:t>
      </w:r>
      <w:r w:rsidR="00E251C8">
        <w:t>ważny</w:t>
      </w:r>
      <w:r w:rsidR="00E251C8" w:rsidRPr="003E0C66">
        <w:t xml:space="preserve"> </w:t>
      </w:r>
      <w:r w:rsidR="00C8668A" w:rsidRPr="003E0C66">
        <w:t xml:space="preserve">powód lub usprawiedliwienie dla sądu orzekającego, aby </w:t>
      </w:r>
      <w:r w:rsidR="00E251C8">
        <w:t>dopuścić</w:t>
      </w:r>
      <w:r w:rsidR="00E251C8" w:rsidRPr="003E0C66">
        <w:t xml:space="preserve"> </w:t>
      </w:r>
      <w:r w:rsidR="00C8668A" w:rsidRPr="003E0C66">
        <w:t>niezweryfikowane zeznania nieobecnego świadka jako dowód. Istnieją liczne powody</w:t>
      </w:r>
      <w:r w:rsidR="00E251C8">
        <w:t>,</w:t>
      </w:r>
      <w:r w:rsidR="00C8668A" w:rsidRPr="003E0C66">
        <w:t xml:space="preserve"> dla których świadek może nie </w:t>
      </w:r>
      <w:r w:rsidR="00E251C8">
        <w:t>stawić</w:t>
      </w:r>
      <w:r w:rsidR="00E251C8" w:rsidRPr="003E0C66">
        <w:t xml:space="preserve"> </w:t>
      </w:r>
      <w:r w:rsidR="00C8668A" w:rsidRPr="003E0C66">
        <w:t xml:space="preserve">się na rozprawie, takie jak na przykład nieobecność spowodowana śmiercią czy strachem </w:t>
      </w:r>
      <w:r w:rsidR="00C8668A" w:rsidRPr="003E0C66">
        <w:rPr>
          <w:rFonts w:ascii="Times New Roman" w:hAnsi="Times New Roman"/>
        </w:rPr>
        <w:t>(zobacz</w:t>
      </w:r>
      <w:r w:rsidR="00E05B22" w:rsidRPr="003E0C66">
        <w:rPr>
          <w:rFonts w:ascii="Times New Roman" w:hAnsi="Times New Roman"/>
        </w:rPr>
        <w:t xml:space="preserve"> </w:t>
      </w:r>
      <w:r w:rsidR="00C8668A" w:rsidRPr="003E0C66">
        <w:rPr>
          <w:rFonts w:ascii="Times New Roman" w:hAnsi="Times New Roman"/>
          <w:i/>
        </w:rPr>
        <w:t>Al-Khawaja i</w:t>
      </w:r>
      <w:r w:rsidR="00E05B22" w:rsidRPr="003E0C66">
        <w:rPr>
          <w:rFonts w:ascii="Times New Roman" w:hAnsi="Times New Roman"/>
          <w:i/>
        </w:rPr>
        <w:t xml:space="preserve"> Tahery</w:t>
      </w:r>
      <w:r w:rsidR="00E05B22" w:rsidRPr="003E0C66">
        <w:rPr>
          <w:rFonts w:ascii="Times New Roman" w:hAnsi="Times New Roman"/>
        </w:rPr>
        <w:t xml:space="preserve">, </w:t>
      </w:r>
      <w:r w:rsidR="00E251C8">
        <w:rPr>
          <w:rFonts w:ascii="Times New Roman" w:hAnsi="Times New Roman"/>
        </w:rPr>
        <w:t>cytowany</w:t>
      </w:r>
      <w:r w:rsidR="00E251C8" w:rsidRPr="003E0C66">
        <w:rPr>
          <w:rFonts w:ascii="Times New Roman" w:hAnsi="Times New Roman"/>
        </w:rPr>
        <w:t xml:space="preserve"> </w:t>
      </w:r>
      <w:r w:rsidR="00E251C8">
        <w:rPr>
          <w:rFonts w:ascii="Times New Roman" w:hAnsi="Times New Roman"/>
        </w:rPr>
        <w:t>po</w:t>
      </w:r>
      <w:r w:rsidR="00C8668A" w:rsidRPr="003E0C66">
        <w:rPr>
          <w:rFonts w:ascii="Times New Roman" w:hAnsi="Times New Roman"/>
        </w:rPr>
        <w:t>wyżej</w:t>
      </w:r>
      <w:r w:rsidR="00E05B22" w:rsidRPr="003E0C66">
        <w:rPr>
          <w:rFonts w:ascii="Times New Roman" w:hAnsi="Times New Roman"/>
        </w:rPr>
        <w:t xml:space="preserve">, §§ 120-25), </w:t>
      </w:r>
      <w:r w:rsidR="009D1D89" w:rsidRPr="003E0C66">
        <w:rPr>
          <w:rFonts w:ascii="Times New Roman" w:hAnsi="Times New Roman"/>
        </w:rPr>
        <w:t>nieobecność ze względu na stan zdrowia</w:t>
      </w:r>
      <w:r w:rsidR="00C8668A" w:rsidRPr="003E0C66">
        <w:rPr>
          <w:rFonts w:ascii="Times New Roman" w:hAnsi="Times New Roman"/>
        </w:rPr>
        <w:t xml:space="preserve"> </w:t>
      </w:r>
      <w:r w:rsidR="009D1D89" w:rsidRPr="003E0C66">
        <w:rPr>
          <w:rFonts w:ascii="Times New Roman" w:hAnsi="Times New Roman"/>
        </w:rPr>
        <w:t>(zobacz</w:t>
      </w:r>
      <w:r w:rsidR="00E05B22" w:rsidRPr="003E0C66">
        <w:rPr>
          <w:rFonts w:ascii="Times New Roman" w:hAnsi="Times New Roman"/>
        </w:rPr>
        <w:t xml:space="preserve">, </w:t>
      </w:r>
      <w:r w:rsidR="009D1D89" w:rsidRPr="003E0C66">
        <w:rPr>
          <w:rFonts w:ascii="Times New Roman" w:hAnsi="Times New Roman"/>
        </w:rPr>
        <w:t>na przykład</w:t>
      </w:r>
      <w:r w:rsidR="00E05B22" w:rsidRPr="003E0C66">
        <w:rPr>
          <w:rFonts w:ascii="Times New Roman" w:hAnsi="Times New Roman"/>
        </w:rPr>
        <w:t xml:space="preserve">, </w:t>
      </w:r>
      <w:proofErr w:type="spellStart"/>
      <w:r w:rsidR="00E05B22" w:rsidRPr="003E0C66">
        <w:rPr>
          <w:i/>
          <w:snapToGrid w:val="0"/>
        </w:rPr>
        <w:t>Bobeş</w:t>
      </w:r>
      <w:proofErr w:type="spellEnd"/>
      <w:r w:rsidR="009D1D89" w:rsidRPr="003E0C66">
        <w:rPr>
          <w:i/>
          <w:snapToGrid w:val="0"/>
        </w:rPr>
        <w:t xml:space="preserve"> przeciwko Rumunii</w:t>
      </w:r>
      <w:r w:rsidR="00F749AE" w:rsidRPr="003E0C66">
        <w:rPr>
          <w:snapToGrid w:val="0"/>
        </w:rPr>
        <w:t>, nr</w:t>
      </w:r>
      <w:r w:rsidR="009D1D89" w:rsidRPr="003E0C66">
        <w:rPr>
          <w:snapToGrid w:val="0"/>
        </w:rPr>
        <w:t xml:space="preserve"> 29752/05, §§ 39-40, 9 lip</w:t>
      </w:r>
      <w:r w:rsidR="00E251C8">
        <w:rPr>
          <w:snapToGrid w:val="0"/>
        </w:rPr>
        <w:t>ca</w:t>
      </w:r>
      <w:r w:rsidR="00E05B22" w:rsidRPr="003E0C66">
        <w:rPr>
          <w:snapToGrid w:val="0"/>
        </w:rPr>
        <w:t xml:space="preserve"> 2013</w:t>
      </w:r>
      <w:r w:rsidR="00E251C8">
        <w:rPr>
          <w:snapToGrid w:val="0"/>
        </w:rPr>
        <w:t xml:space="preserve"> roku</w:t>
      </w:r>
      <w:r w:rsidR="00E05B22" w:rsidRPr="003E0C66">
        <w:rPr>
          <w:rFonts w:ascii="Times New Roman" w:hAnsi="Times New Roman"/>
        </w:rPr>
        <w:t xml:space="preserve">; </w:t>
      </w:r>
      <w:proofErr w:type="spellStart"/>
      <w:r w:rsidR="00E05B22" w:rsidRPr="003E0C66">
        <w:rPr>
          <w:i/>
          <w:snapToGrid w:val="0"/>
        </w:rPr>
        <w:t>Vronchenko</w:t>
      </w:r>
      <w:proofErr w:type="spellEnd"/>
      <w:r w:rsidR="009D1D89" w:rsidRPr="003E0C66">
        <w:rPr>
          <w:i/>
          <w:snapToGrid w:val="0"/>
        </w:rPr>
        <w:t xml:space="preserve"> przeciwko Estonii</w:t>
      </w:r>
      <w:r w:rsidR="00F749AE" w:rsidRPr="003E0C66">
        <w:rPr>
          <w:snapToGrid w:val="0"/>
        </w:rPr>
        <w:t>, nr</w:t>
      </w:r>
      <w:r w:rsidR="009D1D89" w:rsidRPr="003E0C66">
        <w:rPr>
          <w:snapToGrid w:val="0"/>
        </w:rPr>
        <w:t xml:space="preserve"> 59632/09, § 58, 18 lip</w:t>
      </w:r>
      <w:r w:rsidR="00E251C8">
        <w:rPr>
          <w:snapToGrid w:val="0"/>
        </w:rPr>
        <w:t>ca</w:t>
      </w:r>
      <w:r w:rsidR="00E05B22" w:rsidRPr="003E0C66">
        <w:rPr>
          <w:snapToGrid w:val="0"/>
        </w:rPr>
        <w:t xml:space="preserve"> 2013</w:t>
      </w:r>
      <w:r w:rsidR="00E251C8">
        <w:rPr>
          <w:snapToGrid w:val="0"/>
        </w:rPr>
        <w:t xml:space="preserve"> roku</w:t>
      </w:r>
      <w:r w:rsidR="009D1D89" w:rsidRPr="003E0C66">
        <w:rPr>
          <w:rFonts w:ascii="Times New Roman" w:hAnsi="Times New Roman"/>
        </w:rPr>
        <w:t xml:space="preserve"> i</w:t>
      </w:r>
      <w:r w:rsidR="00E05B22" w:rsidRPr="003E0C66">
        <w:rPr>
          <w:rFonts w:ascii="Times New Roman" w:hAnsi="Times New Roman"/>
        </w:rPr>
        <w:t xml:space="preserve"> </w:t>
      </w:r>
      <w:proofErr w:type="spellStart"/>
      <w:r w:rsidR="00E05B22" w:rsidRPr="003E0C66">
        <w:rPr>
          <w:i/>
        </w:rPr>
        <w:t>Matytsina</w:t>
      </w:r>
      <w:proofErr w:type="spellEnd"/>
      <w:r w:rsidR="00E05B22" w:rsidRPr="003E0C66">
        <w:rPr>
          <w:snapToGrid w:val="0"/>
        </w:rPr>
        <w:t xml:space="preserve">, </w:t>
      </w:r>
      <w:r w:rsidR="00E251C8">
        <w:t>cytowany</w:t>
      </w:r>
      <w:r w:rsidR="00E251C8" w:rsidRPr="003E0C66">
        <w:t xml:space="preserve"> </w:t>
      </w:r>
      <w:r w:rsidR="00E251C8">
        <w:t>po</w:t>
      </w:r>
      <w:r w:rsidR="009D1D89" w:rsidRPr="003E0C66">
        <w:t>wyżej</w:t>
      </w:r>
      <w:r w:rsidR="00E05B22" w:rsidRPr="003E0C66">
        <w:t>,</w:t>
      </w:r>
      <w:r w:rsidR="00E05B22" w:rsidRPr="003E0C66">
        <w:rPr>
          <w:snapToGrid w:val="0"/>
          <w:color w:val="000000"/>
        </w:rPr>
        <w:t xml:space="preserve"> § 163</w:t>
      </w:r>
      <w:r w:rsidR="00E05B22" w:rsidRPr="003E0C66">
        <w:rPr>
          <w:rFonts w:ascii="Times New Roman" w:hAnsi="Times New Roman"/>
        </w:rPr>
        <w:t xml:space="preserve">) </w:t>
      </w:r>
      <w:r w:rsidR="009D1D89" w:rsidRPr="003E0C66">
        <w:rPr>
          <w:rFonts w:ascii="Times New Roman" w:hAnsi="Times New Roman"/>
        </w:rPr>
        <w:t>lub brak możliwości kontaktu ze świadkiem</w:t>
      </w:r>
      <w:r w:rsidR="00E05B22" w:rsidRPr="003E0C66">
        <w:rPr>
          <w:rFonts w:ascii="Times New Roman" w:hAnsi="Times New Roman"/>
        </w:rPr>
        <w:t>.</w:t>
      </w:r>
    </w:p>
    <w:p w:rsidR="00E05B22" w:rsidRPr="003E0C66" w:rsidRDefault="006B25B0" w:rsidP="009827C1">
      <w:pPr>
        <w:pStyle w:val="ECHRPara"/>
        <w:rPr>
          <w:rFonts w:ascii="Times New Roman" w:eastAsia="Times New Roman" w:hAnsi="Times New Roman" w:cs="Times New Roman"/>
          <w:szCs w:val="20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120</w:t>
      </w:r>
      <w:r w:rsidRPr="003E0C66">
        <w:fldChar w:fldCharType="end"/>
      </w:r>
      <w:r w:rsidR="00E05B22" w:rsidRPr="003E0C66">
        <w:t>. </w:t>
      </w:r>
      <w:r w:rsidR="009D1D89" w:rsidRPr="003E0C66">
        <w:t xml:space="preserve">W sprawach dotyczących nieobecności świadka ze względu na jego nieosiągalność Trybunał </w:t>
      </w:r>
      <w:r w:rsidR="009E2A46">
        <w:t>wymaga</w:t>
      </w:r>
      <w:r w:rsidR="009E2A46" w:rsidRPr="003E0C66">
        <w:t xml:space="preserve"> </w:t>
      </w:r>
      <w:r w:rsidR="009D1D89" w:rsidRPr="003E0C66">
        <w:t xml:space="preserve">od </w:t>
      </w:r>
      <w:r w:rsidR="009E2A46">
        <w:t>s</w:t>
      </w:r>
      <w:r w:rsidR="009D1D89" w:rsidRPr="003E0C66">
        <w:t>ądu</w:t>
      </w:r>
      <w:r w:rsidR="009E2A46">
        <w:t xml:space="preserve"> orzekającego,</w:t>
      </w:r>
      <w:r w:rsidR="009D1D89" w:rsidRPr="003E0C66">
        <w:t xml:space="preserve"> </w:t>
      </w:r>
      <w:r w:rsidR="009E2A46">
        <w:t>a</w:t>
      </w:r>
      <w:r w:rsidR="009D1D89" w:rsidRPr="003E0C66">
        <w:t>by ten podjął wszelkie możliwe starania w celu zapewnienia obecności świadka</w:t>
      </w:r>
      <w:r w:rsidR="00E05B22" w:rsidRPr="003E0C66">
        <w:t xml:space="preserve"> (</w:t>
      </w:r>
      <w:r w:rsidR="009D1D89" w:rsidRPr="003E0C66">
        <w:rPr>
          <w:rFonts w:ascii="Times New Roman" w:eastAsia="Times New Roman" w:hAnsi="Times New Roman" w:cs="Times New Roman"/>
          <w:szCs w:val="20"/>
        </w:rPr>
        <w:t>zobacz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E05B22" w:rsidRPr="003E0C66">
        <w:rPr>
          <w:i/>
        </w:rPr>
        <w:t>Gabrielyan</w:t>
      </w:r>
      <w:proofErr w:type="spellEnd"/>
      <w:r w:rsidR="009D1D89" w:rsidRPr="003E0C66">
        <w:rPr>
          <w:i/>
        </w:rPr>
        <w:t xml:space="preserve"> przeciwko Armenii</w:t>
      </w:r>
      <w:r w:rsidR="009D1D89" w:rsidRPr="003E0C66">
        <w:t xml:space="preserve">, </w:t>
      </w:r>
      <w:r w:rsidR="00F749AE" w:rsidRPr="003E0C66">
        <w:t>nr</w:t>
      </w:r>
      <w:r w:rsidR="00E05B22" w:rsidRPr="003E0C66">
        <w:t xml:space="preserve"> 8088/05</w:t>
      </w:r>
      <w:r w:rsidR="00E05B22" w:rsidRPr="003E0C66">
        <w:rPr>
          <w:snapToGrid w:val="0"/>
          <w:szCs w:val="24"/>
        </w:rPr>
        <w:t>, § 78, 10 </w:t>
      </w:r>
      <w:r w:rsidR="009D1D89" w:rsidRPr="003E0C66">
        <w:rPr>
          <w:snapToGrid w:val="0"/>
          <w:szCs w:val="24"/>
        </w:rPr>
        <w:t>kwietnia</w:t>
      </w:r>
      <w:r w:rsidR="00E05B22" w:rsidRPr="003E0C66">
        <w:rPr>
          <w:snapToGrid w:val="0"/>
          <w:szCs w:val="24"/>
        </w:rPr>
        <w:t xml:space="preserve"> 2012</w:t>
      </w:r>
      <w:r w:rsidR="009E2A46">
        <w:rPr>
          <w:snapToGrid w:val="0"/>
          <w:szCs w:val="24"/>
        </w:rPr>
        <w:t xml:space="preserve"> roku</w:t>
      </w:r>
      <w:r w:rsidR="00E05B22" w:rsidRPr="003E0C66">
        <w:rPr>
          <w:snapToGrid w:val="0"/>
          <w:szCs w:val="24"/>
        </w:rPr>
        <w:t xml:space="preserve">; </w:t>
      </w:r>
      <w:proofErr w:type="spellStart"/>
      <w:r w:rsidR="00E05B22" w:rsidRPr="003E0C66">
        <w:rPr>
          <w:i/>
        </w:rPr>
        <w:t>Tseber</w:t>
      </w:r>
      <w:proofErr w:type="spellEnd"/>
      <w:r w:rsidR="00E05B22" w:rsidRPr="003E0C66">
        <w:rPr>
          <w:i/>
        </w:rPr>
        <w:t xml:space="preserve"> </w:t>
      </w:r>
      <w:r w:rsidR="009D1D89" w:rsidRPr="003E0C66">
        <w:rPr>
          <w:i/>
        </w:rPr>
        <w:t>przeciwko Republice Czeskiej</w:t>
      </w:r>
      <w:r w:rsidR="009D1D89" w:rsidRPr="003E0C66">
        <w:t xml:space="preserve">, </w:t>
      </w:r>
      <w:r w:rsidR="00F749AE" w:rsidRPr="003E0C66">
        <w:t>nr</w:t>
      </w:r>
      <w:r w:rsidR="00E05B22" w:rsidRPr="003E0C66">
        <w:t xml:space="preserve"> 46203/08</w:t>
      </w:r>
      <w:r w:rsidR="009D1D89" w:rsidRPr="003E0C66">
        <w:rPr>
          <w:snapToGrid w:val="0"/>
        </w:rPr>
        <w:t>, § 48, 22 listopada</w:t>
      </w:r>
      <w:r w:rsidR="00E05B22" w:rsidRPr="003E0C66">
        <w:rPr>
          <w:snapToGrid w:val="0"/>
        </w:rPr>
        <w:t xml:space="preserve"> 2012</w:t>
      </w:r>
      <w:r w:rsidR="009E2A46">
        <w:rPr>
          <w:snapToGrid w:val="0"/>
        </w:rPr>
        <w:t xml:space="preserve"> roku</w:t>
      </w:r>
      <w:r w:rsidR="00E05B22" w:rsidRPr="003E0C66">
        <w:rPr>
          <w:snapToGrid w:val="0"/>
        </w:rPr>
        <w:t xml:space="preserve"> </w:t>
      </w:r>
      <w:r w:rsidR="009E2A46">
        <w:rPr>
          <w:snapToGrid w:val="0"/>
        </w:rPr>
        <w:t>i</w:t>
      </w:r>
      <w:r w:rsidR="00E05B22" w:rsidRPr="003E0C66">
        <w:rPr>
          <w:snapToGrid w:val="0"/>
        </w:rPr>
        <w:t xml:space="preserve"> </w:t>
      </w:r>
      <w:r w:rsidR="00E05B22" w:rsidRPr="003E0C66">
        <w:rPr>
          <w:i/>
        </w:rPr>
        <w:t>Kostecki</w:t>
      </w:r>
      <w:r w:rsidR="009D1D89" w:rsidRPr="003E0C66">
        <w:rPr>
          <w:i/>
        </w:rPr>
        <w:t xml:space="preserve"> przeciwko Polsce</w:t>
      </w:r>
      <w:r w:rsidR="009D1D89" w:rsidRPr="003E0C66">
        <w:t xml:space="preserve">, </w:t>
      </w:r>
      <w:r w:rsidR="00F749AE" w:rsidRPr="003E0C66">
        <w:t>nr</w:t>
      </w:r>
      <w:r w:rsidR="00E05B22" w:rsidRPr="003E0C66">
        <w:t xml:space="preserve"> 14932/09</w:t>
      </w:r>
      <w:r w:rsidR="009D1D89" w:rsidRPr="003E0C66">
        <w:rPr>
          <w:snapToGrid w:val="0"/>
        </w:rPr>
        <w:t xml:space="preserve">, §§ 65 i 66, 4 czerwca </w:t>
      </w:r>
      <w:r w:rsidR="00E05B22" w:rsidRPr="003E0C66">
        <w:rPr>
          <w:snapToGrid w:val="0"/>
        </w:rPr>
        <w:t>2013</w:t>
      </w:r>
      <w:r w:rsidR="009E2A46">
        <w:rPr>
          <w:snapToGrid w:val="0"/>
        </w:rPr>
        <w:t xml:space="preserve"> roku</w:t>
      </w:r>
      <w:r w:rsidR="00E05B22" w:rsidRPr="003E0C66">
        <w:t xml:space="preserve">). </w:t>
      </w:r>
      <w:r w:rsidR="009D1D89" w:rsidRPr="003E0C66">
        <w:t>Fakt, ż</w:t>
      </w:r>
      <w:r w:rsidR="009E2A46">
        <w:t>e</w:t>
      </w:r>
      <w:r w:rsidR="009D1D89" w:rsidRPr="003E0C66">
        <w:t xml:space="preserve"> sądy krajowe nie były w stanie zlokalizować </w:t>
      </w:r>
      <w:r w:rsidR="009E2A46">
        <w:t xml:space="preserve">obawiającego się </w:t>
      </w:r>
      <w:r w:rsidR="009D1D89" w:rsidRPr="003E0C66">
        <w:t>świadk</w:t>
      </w:r>
      <w:r w:rsidR="009E2A46">
        <w:t>a</w:t>
      </w:r>
      <w:r w:rsidR="009D1D89" w:rsidRPr="003E0C66">
        <w:t xml:space="preserve"> oraz </w:t>
      </w:r>
      <w:r w:rsidR="00C20466">
        <w:t xml:space="preserve">fakt, </w:t>
      </w:r>
      <w:r w:rsidR="009D1D89" w:rsidRPr="003E0C66">
        <w:t xml:space="preserve">że </w:t>
      </w:r>
      <w:r w:rsidR="00C20466">
        <w:t>świadek</w:t>
      </w:r>
      <w:r w:rsidR="00C20466" w:rsidRPr="003E0C66">
        <w:t xml:space="preserve"> </w:t>
      </w:r>
      <w:r w:rsidR="009D1D89" w:rsidRPr="003E0C66">
        <w:t>nie przebywa</w:t>
      </w:r>
      <w:r w:rsidR="00C20466">
        <w:t>ł</w:t>
      </w:r>
      <w:r w:rsidR="009D1D89" w:rsidRPr="003E0C66">
        <w:t xml:space="preserve"> w kraju, w którym toczyło się po</w:t>
      </w:r>
      <w:r w:rsidR="009827C1" w:rsidRPr="003E0C66">
        <w:t xml:space="preserve">stępowanie, </w:t>
      </w:r>
      <w:r w:rsidR="00C20466">
        <w:t>został uznany za</w:t>
      </w:r>
      <w:r w:rsidR="009827C1" w:rsidRPr="003E0C66">
        <w:t xml:space="preserve"> </w:t>
      </w:r>
      <w:r w:rsidR="00C20466">
        <w:t>nie</w:t>
      </w:r>
      <w:r w:rsidR="009827C1" w:rsidRPr="003E0C66">
        <w:t>wystarczający</w:t>
      </w:r>
      <w:r w:rsidR="00C20466">
        <w:t xml:space="preserve"> sam w sobie,</w:t>
      </w:r>
      <w:r w:rsidR="009827C1" w:rsidRPr="003E0C66">
        <w:t xml:space="preserve"> aby spełnić wymogi Artykułu 6 §</w:t>
      </w:r>
      <w:r w:rsidR="00C20466">
        <w:t xml:space="preserve"> </w:t>
      </w:r>
      <w:r w:rsidR="009827C1" w:rsidRPr="003E0C66">
        <w:t>3 (d), który zobowiązuje Umawiające się Strony do podjęcia kroków w celu umożliwienia oskarżonemu przesłuchani</w:t>
      </w:r>
      <w:r w:rsidR="00C20466">
        <w:t>a</w:t>
      </w:r>
      <w:r w:rsidR="009827C1" w:rsidRPr="003E0C66">
        <w:t xml:space="preserve"> </w:t>
      </w:r>
      <w:r w:rsidR="00C20466">
        <w:t xml:space="preserve">lub spowodowania przesłuchania </w:t>
      </w:r>
      <w:r w:rsidR="009827C1" w:rsidRPr="003E0C66">
        <w:t xml:space="preserve">świadków </w:t>
      </w:r>
      <w:r w:rsidR="00C20466">
        <w:t>oskarżenia</w:t>
      </w:r>
      <w:r w:rsidR="009D1D89" w:rsidRPr="003E0C66">
        <w:t xml:space="preserve"> </w:t>
      </w:r>
      <w:r w:rsidR="009827C1" w:rsidRPr="003E0C66">
        <w:rPr>
          <w:rFonts w:ascii="Times New Roman" w:eastAsia="Times New Roman" w:hAnsi="Times New Roman" w:cs="Times New Roman"/>
          <w:szCs w:val="20"/>
        </w:rPr>
        <w:t>(zobacz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E05B22" w:rsidRPr="003E0C66">
        <w:rPr>
          <w:i/>
        </w:rPr>
        <w:t>Gabrielyan</w:t>
      </w:r>
      <w:proofErr w:type="spellEnd"/>
      <w:r w:rsidR="00E05B22" w:rsidRPr="003E0C66">
        <w:t xml:space="preserve">, </w:t>
      </w:r>
      <w:r w:rsidR="00C20466">
        <w:t>cytowany</w:t>
      </w:r>
      <w:r w:rsidR="00C20466" w:rsidRPr="003E0C66">
        <w:t xml:space="preserve"> </w:t>
      </w:r>
      <w:r w:rsidR="00C20466">
        <w:t>po</w:t>
      </w:r>
      <w:r w:rsidR="009827C1" w:rsidRPr="003E0C66">
        <w:t>wyżej</w:t>
      </w:r>
      <w:r w:rsidR="00E05B22" w:rsidRPr="003E0C66">
        <w:rPr>
          <w:snapToGrid w:val="0"/>
          <w:szCs w:val="24"/>
        </w:rPr>
        <w:t xml:space="preserve">, § 81; </w:t>
      </w:r>
      <w:proofErr w:type="spellStart"/>
      <w:r w:rsidR="00E05B22" w:rsidRPr="003E0C66">
        <w:rPr>
          <w:i/>
        </w:rPr>
        <w:t>Tseber</w:t>
      </w:r>
      <w:proofErr w:type="spellEnd"/>
      <w:r w:rsidR="00E05B22" w:rsidRPr="003E0C66">
        <w:t xml:space="preserve">, </w:t>
      </w:r>
      <w:r w:rsidR="00C20466">
        <w:t>cytowany</w:t>
      </w:r>
      <w:r w:rsidR="00C20466" w:rsidRPr="003E0C66">
        <w:t xml:space="preserve"> </w:t>
      </w:r>
      <w:r w:rsidR="00C20466">
        <w:t>po</w:t>
      </w:r>
      <w:r w:rsidR="009827C1" w:rsidRPr="003E0C66">
        <w:t>wyżej</w:t>
      </w:r>
      <w:r w:rsidR="00E05B22" w:rsidRPr="003E0C66">
        <w:rPr>
          <w:snapToGrid w:val="0"/>
        </w:rPr>
        <w:t xml:space="preserve">, § </w:t>
      </w:r>
      <w:r w:rsidR="00E05B22" w:rsidRPr="003E0C66">
        <w:rPr>
          <w:snapToGrid w:val="0"/>
        </w:rPr>
        <w:lastRenderedPageBreak/>
        <w:t xml:space="preserve">48 </w:t>
      </w:r>
      <w:r w:rsidR="00C20466">
        <w:rPr>
          <w:snapToGrid w:val="0"/>
          <w:szCs w:val="24"/>
        </w:rPr>
        <w:t>i</w:t>
      </w:r>
      <w:r w:rsidR="009827C1" w:rsidRPr="003E0C66">
        <w:rPr>
          <w:snapToGrid w:val="0"/>
          <w:szCs w:val="24"/>
        </w:rPr>
        <w:t xml:space="preserve"> </w:t>
      </w:r>
      <w:proofErr w:type="spellStart"/>
      <w:r w:rsidR="00E05B22" w:rsidRPr="003E0C66">
        <w:rPr>
          <w:i/>
        </w:rPr>
        <w:t>Lučić</w:t>
      </w:r>
      <w:proofErr w:type="spellEnd"/>
      <w:r w:rsidR="00E05B22" w:rsidRPr="003E0C66">
        <w:rPr>
          <w:i/>
        </w:rPr>
        <w:t xml:space="preserve"> </w:t>
      </w:r>
      <w:r w:rsidR="009827C1" w:rsidRPr="003E0C66">
        <w:rPr>
          <w:i/>
        </w:rPr>
        <w:t>przeciwko Chorwacji</w:t>
      </w:r>
      <w:r w:rsidR="00E05B22" w:rsidRPr="003E0C66">
        <w:rPr>
          <w:snapToGrid w:val="0"/>
        </w:rPr>
        <w:t xml:space="preserve">, </w:t>
      </w:r>
      <w:r w:rsidR="00F749AE" w:rsidRPr="003E0C66">
        <w:t>nr</w:t>
      </w:r>
      <w:r w:rsidR="00E05B22" w:rsidRPr="003E0C66">
        <w:t xml:space="preserve"> 5699/11</w:t>
      </w:r>
      <w:r w:rsidR="00E05B22" w:rsidRPr="003E0C66">
        <w:rPr>
          <w:snapToGrid w:val="0"/>
        </w:rPr>
        <w:t>, § 79, 27 </w:t>
      </w:r>
      <w:r w:rsidR="009827C1" w:rsidRPr="003E0C66">
        <w:rPr>
          <w:snapToGrid w:val="0"/>
        </w:rPr>
        <w:t>lutego</w:t>
      </w:r>
      <w:r w:rsidR="00E05B22" w:rsidRPr="003E0C66">
        <w:rPr>
          <w:snapToGrid w:val="0"/>
        </w:rPr>
        <w:t xml:space="preserve"> 2014</w:t>
      </w:r>
      <w:r w:rsidR="00C20466">
        <w:rPr>
          <w:snapToGrid w:val="0"/>
        </w:rPr>
        <w:t xml:space="preserve"> roku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). </w:t>
      </w:r>
      <w:r w:rsidR="009827C1" w:rsidRPr="003E0C66">
        <w:rPr>
          <w:rFonts w:ascii="Times New Roman" w:eastAsia="Times New Roman" w:hAnsi="Times New Roman" w:cs="Times New Roman"/>
          <w:szCs w:val="20"/>
        </w:rPr>
        <w:t>Takie środki stanowią część należytej staranności, której dochowywać muszą Umawiające się Strony</w:t>
      </w:r>
      <w:r w:rsidR="00681C2C">
        <w:rPr>
          <w:rFonts w:ascii="Times New Roman" w:eastAsia="Times New Roman" w:hAnsi="Times New Roman" w:cs="Times New Roman"/>
          <w:szCs w:val="20"/>
        </w:rPr>
        <w:t>,</w:t>
      </w:r>
      <w:r w:rsidR="009827C1" w:rsidRPr="003E0C66">
        <w:rPr>
          <w:rFonts w:ascii="Times New Roman" w:eastAsia="Times New Roman" w:hAnsi="Times New Roman" w:cs="Times New Roman"/>
          <w:szCs w:val="20"/>
        </w:rPr>
        <w:t xml:space="preserve"> aby zapewnić</w:t>
      </w:r>
      <w:r w:rsidR="00C20466">
        <w:rPr>
          <w:rFonts w:ascii="Times New Roman" w:eastAsia="Times New Roman" w:hAnsi="Times New Roman" w:cs="Times New Roman"/>
          <w:szCs w:val="20"/>
        </w:rPr>
        <w:t>,</w:t>
      </w:r>
      <w:r w:rsidR="009827C1" w:rsidRPr="003E0C66">
        <w:rPr>
          <w:rFonts w:ascii="Times New Roman" w:eastAsia="Times New Roman" w:hAnsi="Times New Roman" w:cs="Times New Roman"/>
          <w:szCs w:val="20"/>
        </w:rPr>
        <w:t xml:space="preserve"> ż</w:t>
      </w:r>
      <w:r w:rsidR="00C20466">
        <w:rPr>
          <w:rFonts w:ascii="Times New Roman" w:eastAsia="Times New Roman" w:hAnsi="Times New Roman" w:cs="Times New Roman"/>
          <w:szCs w:val="20"/>
        </w:rPr>
        <w:t>e</w:t>
      </w:r>
      <w:r w:rsidR="009827C1" w:rsidRPr="003E0C66">
        <w:rPr>
          <w:rFonts w:ascii="Times New Roman" w:eastAsia="Times New Roman" w:hAnsi="Times New Roman" w:cs="Times New Roman"/>
          <w:szCs w:val="20"/>
        </w:rPr>
        <w:t xml:space="preserve"> prawa zagwarantowane w Artykule 6 są skutecznie wykonywane (zobacz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E05B22" w:rsidRPr="003E0C66">
        <w:rPr>
          <w:i/>
        </w:rPr>
        <w:t>Gabrielyan</w:t>
      </w:r>
      <w:proofErr w:type="spellEnd"/>
      <w:r w:rsidR="00E05B22" w:rsidRPr="003E0C66">
        <w:t xml:space="preserve">, </w:t>
      </w:r>
      <w:r w:rsidR="00C20466">
        <w:t>cytowany</w:t>
      </w:r>
      <w:r w:rsidR="00C20466" w:rsidRPr="003E0C66">
        <w:t xml:space="preserve"> </w:t>
      </w:r>
      <w:r w:rsidR="00C20466">
        <w:t>po</w:t>
      </w:r>
      <w:r w:rsidR="009827C1" w:rsidRPr="003E0C66">
        <w:t>wyżej</w:t>
      </w:r>
      <w:r w:rsidR="00E05B22" w:rsidRPr="003E0C66">
        <w:rPr>
          <w:snapToGrid w:val="0"/>
          <w:szCs w:val="24"/>
        </w:rPr>
        <w:t xml:space="preserve">, § 81, </w:t>
      </w:r>
      <w:r w:rsidR="009827C1" w:rsidRPr="003E0C66">
        <w:rPr>
          <w:snapToGrid w:val="0"/>
          <w:szCs w:val="24"/>
        </w:rPr>
        <w:t>z dalszymi odniesieniami</w:t>
      </w:r>
      <w:r w:rsidR="00E05B22" w:rsidRPr="003E0C66">
        <w:rPr>
          <w:rFonts w:ascii="Times New Roman" w:eastAsia="Times New Roman" w:hAnsi="Times New Roman" w:cs="Times New Roman"/>
          <w:szCs w:val="20"/>
        </w:rPr>
        <w:t>).</w:t>
      </w:r>
      <w:r w:rsidR="009827C1" w:rsidRPr="003E0C66">
        <w:rPr>
          <w:rFonts w:ascii="Times New Roman" w:eastAsia="Times New Roman" w:hAnsi="Times New Roman" w:cs="Times New Roman"/>
          <w:szCs w:val="20"/>
        </w:rPr>
        <w:t xml:space="preserve"> W innym razie </w:t>
      </w:r>
      <w:r w:rsidR="003F73B0" w:rsidRPr="003E0C66">
        <w:rPr>
          <w:rFonts w:ascii="Times New Roman" w:eastAsia="Times New Roman" w:hAnsi="Times New Roman" w:cs="Times New Roman"/>
          <w:szCs w:val="20"/>
        </w:rPr>
        <w:t>nieobecność świadka jest przypisywana władzom krajowym</w:t>
      </w:r>
      <w:r w:rsidR="009827C1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</w:rPr>
        <w:t>(</w:t>
      </w:r>
      <w:r w:rsidR="003F73B0" w:rsidRPr="003E0C66">
        <w:rPr>
          <w:rFonts w:ascii="Times New Roman" w:eastAsia="Times New Roman" w:hAnsi="Times New Roman" w:cs="Times New Roman"/>
          <w:szCs w:val="20"/>
        </w:rPr>
        <w:t xml:space="preserve">zobacz </w:t>
      </w:r>
      <w:proofErr w:type="spellStart"/>
      <w:r w:rsidR="00E05B22" w:rsidRPr="003E0C66">
        <w:rPr>
          <w:i/>
        </w:rPr>
        <w:t>Tseber</w:t>
      </w:r>
      <w:proofErr w:type="spellEnd"/>
      <w:r w:rsidR="00E05B22" w:rsidRPr="003E0C66">
        <w:t xml:space="preserve">, </w:t>
      </w:r>
      <w:r w:rsidR="00C20466">
        <w:t>cytowany</w:t>
      </w:r>
      <w:r w:rsidR="00C20466" w:rsidRPr="003E0C66">
        <w:t xml:space="preserve"> </w:t>
      </w:r>
      <w:r w:rsidR="00C20466">
        <w:t>po</w:t>
      </w:r>
      <w:r w:rsidR="003F73B0" w:rsidRPr="003E0C66">
        <w:t>wyżej</w:t>
      </w:r>
      <w:r w:rsidR="00E05B22" w:rsidRPr="003E0C66">
        <w:rPr>
          <w:snapToGrid w:val="0"/>
        </w:rPr>
        <w:t>, § 48</w:t>
      </w:r>
      <w:r w:rsidR="00C20466">
        <w:rPr>
          <w:rFonts w:ascii="Times New Roman" w:eastAsia="Times New Roman" w:hAnsi="Times New Roman" w:cs="Times New Roman"/>
          <w:szCs w:val="20"/>
        </w:rPr>
        <w:t xml:space="preserve"> i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E05B22" w:rsidRPr="003E0C66">
        <w:rPr>
          <w:i/>
        </w:rPr>
        <w:t>Lučić</w:t>
      </w:r>
      <w:proofErr w:type="spellEnd"/>
      <w:r w:rsidR="00E05B22" w:rsidRPr="003E0C66">
        <w:rPr>
          <w:snapToGrid w:val="0"/>
        </w:rPr>
        <w:t xml:space="preserve">, </w:t>
      </w:r>
      <w:r w:rsidR="00C20466">
        <w:t>cytowany</w:t>
      </w:r>
      <w:r w:rsidR="00C20466" w:rsidRPr="003E0C66">
        <w:t xml:space="preserve"> </w:t>
      </w:r>
      <w:r w:rsidR="00C20466">
        <w:t>po</w:t>
      </w:r>
      <w:r w:rsidR="003F73B0" w:rsidRPr="003E0C66">
        <w:t>wyżej</w:t>
      </w:r>
      <w:r w:rsidR="00E05B22" w:rsidRPr="003E0C66">
        <w:rPr>
          <w:snapToGrid w:val="0"/>
        </w:rPr>
        <w:t>, § 79).</w:t>
      </w:r>
    </w:p>
    <w:p w:rsidR="00E05B22" w:rsidRPr="003E0C66" w:rsidRDefault="006B25B0" w:rsidP="00BC0CE7">
      <w:pPr>
        <w:pStyle w:val="ECHRPara"/>
        <w:rPr>
          <w:i/>
        </w:rPr>
      </w:pPr>
      <w:r w:rsidRPr="003E0C66">
        <w:rPr>
          <w:snapToGrid w:val="0"/>
        </w:rPr>
        <w:fldChar w:fldCharType="begin"/>
      </w:r>
      <w:r w:rsidR="00E05B22" w:rsidRPr="003E0C66">
        <w:rPr>
          <w:snapToGrid w:val="0"/>
        </w:rPr>
        <w:instrText xml:space="preserve"> SEQ level0 \*arabic </w:instrText>
      </w:r>
      <w:r w:rsidRPr="003E0C66">
        <w:rPr>
          <w:snapToGrid w:val="0"/>
        </w:rPr>
        <w:fldChar w:fldCharType="separate"/>
      </w:r>
      <w:r w:rsidR="00CC1F60" w:rsidRPr="003E0C66">
        <w:rPr>
          <w:noProof/>
          <w:snapToGrid w:val="0"/>
        </w:rPr>
        <w:t>121</w:t>
      </w:r>
      <w:r w:rsidRPr="003E0C66">
        <w:rPr>
          <w:snapToGrid w:val="0"/>
        </w:rPr>
        <w:fldChar w:fldCharType="end"/>
      </w:r>
      <w:r w:rsidR="00E05B22" w:rsidRPr="003E0C66">
        <w:rPr>
          <w:snapToGrid w:val="0"/>
        </w:rPr>
        <w:t>.</w:t>
      </w:r>
      <w:r w:rsidR="003F73B0" w:rsidRPr="003E0C66">
        <w:rPr>
          <w:snapToGrid w:val="0"/>
        </w:rPr>
        <w:t xml:space="preserve"> Nie jest kompetencją Trybunału</w:t>
      </w:r>
      <w:r w:rsidR="00C20466">
        <w:rPr>
          <w:snapToGrid w:val="0"/>
        </w:rPr>
        <w:t xml:space="preserve"> sporządzanie</w:t>
      </w:r>
      <w:r w:rsidR="003F73B0" w:rsidRPr="003E0C66">
        <w:rPr>
          <w:snapToGrid w:val="0"/>
        </w:rPr>
        <w:t xml:space="preserve"> list</w:t>
      </w:r>
      <w:r w:rsidR="00C20466">
        <w:rPr>
          <w:snapToGrid w:val="0"/>
        </w:rPr>
        <w:t>y</w:t>
      </w:r>
      <w:r w:rsidR="003F73B0" w:rsidRPr="003E0C66">
        <w:rPr>
          <w:snapToGrid w:val="0"/>
        </w:rPr>
        <w:t xml:space="preserve"> konkretnych środków, jakie muszą podjąć sądy krajowe w celu </w:t>
      </w:r>
      <w:r w:rsidR="00A63F41" w:rsidRPr="003E0C66">
        <w:rPr>
          <w:snapToGrid w:val="0"/>
        </w:rPr>
        <w:t xml:space="preserve">zapewnienia obecności podczas rozprawy świadka, który </w:t>
      </w:r>
      <w:r w:rsidR="00C20466">
        <w:rPr>
          <w:snapToGrid w:val="0"/>
        </w:rPr>
        <w:t xml:space="preserve">ostatecznie </w:t>
      </w:r>
      <w:r w:rsidR="00A63F41" w:rsidRPr="003E0C66">
        <w:rPr>
          <w:snapToGrid w:val="0"/>
        </w:rPr>
        <w:t>okazał się nieosiągalny</w:t>
      </w:r>
      <w:r w:rsidR="00E05B22" w:rsidRPr="003E0C66">
        <w:rPr>
          <w:snapToGrid w:val="0"/>
        </w:rPr>
        <w:t xml:space="preserve"> (</w:t>
      </w:r>
      <w:r w:rsidR="00A63F41" w:rsidRPr="003E0C66">
        <w:rPr>
          <w:rFonts w:ascii="Times New Roman" w:eastAsia="Times New Roman" w:hAnsi="Times New Roman" w:cs="Times New Roman"/>
          <w:szCs w:val="20"/>
        </w:rPr>
        <w:t>zobacz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E05B22" w:rsidRPr="003E0C66">
        <w:rPr>
          <w:i/>
        </w:rPr>
        <w:t>Tseber</w:t>
      </w:r>
      <w:proofErr w:type="spellEnd"/>
      <w:r w:rsidR="00E05B22" w:rsidRPr="003E0C66">
        <w:t xml:space="preserve">, </w:t>
      </w:r>
      <w:r w:rsidR="00C20466">
        <w:t>cytowany</w:t>
      </w:r>
      <w:r w:rsidR="00C20466" w:rsidRPr="003E0C66">
        <w:t xml:space="preserve"> </w:t>
      </w:r>
      <w:r w:rsidR="00C20466">
        <w:t>po</w:t>
      </w:r>
      <w:r w:rsidR="00A63F41" w:rsidRPr="003E0C66">
        <w:t>wyżej</w:t>
      </w:r>
      <w:r w:rsidR="00E05B22" w:rsidRPr="003E0C66">
        <w:rPr>
          <w:snapToGrid w:val="0"/>
        </w:rPr>
        <w:t>, § 49).</w:t>
      </w:r>
      <w:r w:rsidR="00A63F41" w:rsidRPr="003E0C66">
        <w:rPr>
          <w:snapToGrid w:val="0"/>
        </w:rPr>
        <w:t xml:space="preserve"> Jednakże jasnym jest, iż muszą one aktywnie </w:t>
      </w:r>
      <w:r w:rsidR="003E505D" w:rsidRPr="003E0C66">
        <w:rPr>
          <w:snapToGrid w:val="0"/>
        </w:rPr>
        <w:t xml:space="preserve">poszukiwać świadka przy pomocy </w:t>
      </w:r>
      <w:r w:rsidR="0047084A">
        <w:rPr>
          <w:snapToGrid w:val="0"/>
        </w:rPr>
        <w:t>organów</w:t>
      </w:r>
      <w:r w:rsidR="0047084A" w:rsidRPr="003E0C66">
        <w:rPr>
          <w:snapToGrid w:val="0"/>
        </w:rPr>
        <w:t xml:space="preserve"> </w:t>
      </w:r>
      <w:r w:rsidR="003E505D" w:rsidRPr="003E0C66">
        <w:rPr>
          <w:snapToGrid w:val="0"/>
        </w:rPr>
        <w:t>państwowych, w tym policji (zobacz</w:t>
      </w:r>
      <w:r w:rsidR="00E05B22" w:rsidRPr="003E0C66">
        <w:rPr>
          <w:snapToGrid w:val="0"/>
        </w:rPr>
        <w:t xml:space="preserve"> </w:t>
      </w:r>
      <w:proofErr w:type="spellStart"/>
      <w:r w:rsidR="00E05B22" w:rsidRPr="003E0C66">
        <w:rPr>
          <w:i/>
        </w:rPr>
        <w:t>Salikhov</w:t>
      </w:r>
      <w:proofErr w:type="spellEnd"/>
      <w:r w:rsidR="00E05B22" w:rsidRPr="003E0C66">
        <w:t xml:space="preserve">, </w:t>
      </w:r>
      <w:r w:rsidR="0047084A">
        <w:t>cytowany</w:t>
      </w:r>
      <w:r w:rsidR="0047084A" w:rsidRPr="003E0C66">
        <w:t xml:space="preserve"> </w:t>
      </w:r>
      <w:r w:rsidR="0047084A">
        <w:t>po</w:t>
      </w:r>
      <w:r w:rsidR="003E505D" w:rsidRPr="003E0C66">
        <w:t>wyżej</w:t>
      </w:r>
      <w:r w:rsidR="00E05B22" w:rsidRPr="003E0C66">
        <w:rPr>
          <w:snapToGrid w:val="0"/>
          <w:szCs w:val="24"/>
        </w:rPr>
        <w:t>, §§ 116-17</w:t>
      </w:r>
      <w:r w:rsidR="00E05B22" w:rsidRPr="003E0C66">
        <w:rPr>
          <w:snapToGrid w:val="0"/>
        </w:rPr>
        <w:t xml:space="preserve">; </w:t>
      </w:r>
      <w:proofErr w:type="spellStart"/>
      <w:r w:rsidR="00E05B22" w:rsidRPr="003E0C66">
        <w:rPr>
          <w:i/>
        </w:rPr>
        <w:t>Prăjină</w:t>
      </w:r>
      <w:proofErr w:type="spellEnd"/>
      <w:r w:rsidR="00E05B22" w:rsidRPr="003E0C66">
        <w:rPr>
          <w:i/>
        </w:rPr>
        <w:t xml:space="preserve"> </w:t>
      </w:r>
      <w:r w:rsidR="003E505D" w:rsidRPr="003E0C66">
        <w:rPr>
          <w:i/>
        </w:rPr>
        <w:t>przeciwko Rumunii</w:t>
      </w:r>
      <w:r w:rsidR="003E505D" w:rsidRPr="003E0C66">
        <w:t xml:space="preserve">, </w:t>
      </w:r>
      <w:r w:rsidR="00F749AE" w:rsidRPr="003E0C66">
        <w:t>nr</w:t>
      </w:r>
      <w:r w:rsidR="00E05B22" w:rsidRPr="003E0C66">
        <w:t> 5592/05</w:t>
      </w:r>
      <w:r w:rsidR="00E05B22" w:rsidRPr="003E0C66">
        <w:rPr>
          <w:snapToGrid w:val="0"/>
        </w:rPr>
        <w:t xml:space="preserve">, § 47, 7 </w:t>
      </w:r>
      <w:r w:rsidR="003E505D" w:rsidRPr="003E0C66">
        <w:t xml:space="preserve">stycznia </w:t>
      </w:r>
      <w:r w:rsidR="00E05B22" w:rsidRPr="003E0C66">
        <w:rPr>
          <w:snapToGrid w:val="0"/>
        </w:rPr>
        <w:t>2014</w:t>
      </w:r>
      <w:r w:rsidR="0047084A">
        <w:rPr>
          <w:snapToGrid w:val="0"/>
        </w:rPr>
        <w:t xml:space="preserve"> roku i</w:t>
      </w:r>
      <w:r w:rsidR="00E05B22" w:rsidRPr="003E0C66">
        <w:rPr>
          <w:snapToGrid w:val="0"/>
        </w:rPr>
        <w:t xml:space="preserve"> </w:t>
      </w:r>
      <w:proofErr w:type="spellStart"/>
      <w:r w:rsidR="00E05B22" w:rsidRPr="003E0C66">
        <w:rPr>
          <w:i/>
        </w:rPr>
        <w:t>Lučić</w:t>
      </w:r>
      <w:proofErr w:type="spellEnd"/>
      <w:r w:rsidR="00E05B22" w:rsidRPr="003E0C66">
        <w:rPr>
          <w:snapToGrid w:val="0"/>
        </w:rPr>
        <w:t xml:space="preserve">, </w:t>
      </w:r>
      <w:r w:rsidR="0047084A">
        <w:t>cytowany</w:t>
      </w:r>
      <w:r w:rsidR="0047084A" w:rsidRPr="003E0C66">
        <w:t xml:space="preserve"> </w:t>
      </w:r>
      <w:r w:rsidR="0047084A">
        <w:t>po</w:t>
      </w:r>
      <w:r w:rsidR="003E505D" w:rsidRPr="003E0C66">
        <w:t>wyżej</w:t>
      </w:r>
      <w:r w:rsidR="00E05B22" w:rsidRPr="003E0C66">
        <w:rPr>
          <w:snapToGrid w:val="0"/>
        </w:rPr>
        <w:t xml:space="preserve">, § 79) </w:t>
      </w:r>
      <w:r w:rsidR="003E505D" w:rsidRPr="003E0C66">
        <w:rPr>
          <w:snapToGrid w:val="0"/>
        </w:rPr>
        <w:t xml:space="preserve">oraz muszą, </w:t>
      </w:r>
      <w:r w:rsidR="0047084A">
        <w:rPr>
          <w:snapToGrid w:val="0"/>
        </w:rPr>
        <w:t>co do zasady</w:t>
      </w:r>
      <w:r w:rsidR="003E505D" w:rsidRPr="003E0C66">
        <w:rPr>
          <w:snapToGrid w:val="0"/>
        </w:rPr>
        <w:t xml:space="preserve">, </w:t>
      </w:r>
      <w:r w:rsidR="0047084A">
        <w:rPr>
          <w:snapToGrid w:val="0"/>
        </w:rPr>
        <w:t>skorzystać z</w:t>
      </w:r>
      <w:r w:rsidR="003E505D" w:rsidRPr="003E0C66">
        <w:rPr>
          <w:snapToGrid w:val="0"/>
        </w:rPr>
        <w:t xml:space="preserve"> międzynarodowej pomocy prawnej, jeżeli świadek przebywa za granicą</w:t>
      </w:r>
      <w:r w:rsidR="0047084A">
        <w:rPr>
          <w:snapToGrid w:val="0"/>
        </w:rPr>
        <w:t xml:space="preserve"> i</w:t>
      </w:r>
      <w:r w:rsidR="003E505D" w:rsidRPr="003E0C66">
        <w:rPr>
          <w:snapToGrid w:val="0"/>
        </w:rPr>
        <w:t xml:space="preserve"> taki mechanizm</w:t>
      </w:r>
      <w:r w:rsidR="0047084A">
        <w:rPr>
          <w:snapToGrid w:val="0"/>
        </w:rPr>
        <w:t xml:space="preserve"> jest</w:t>
      </w:r>
      <w:r w:rsidR="003E505D" w:rsidRPr="003E0C66">
        <w:rPr>
          <w:snapToGrid w:val="0"/>
        </w:rPr>
        <w:t xml:space="preserve"> dostępn</w:t>
      </w:r>
      <w:r w:rsidR="0047084A">
        <w:rPr>
          <w:snapToGrid w:val="0"/>
        </w:rPr>
        <w:t>y</w:t>
      </w:r>
      <w:r w:rsidR="003E505D" w:rsidRPr="003E0C66">
        <w:rPr>
          <w:snapToGrid w:val="0"/>
        </w:rPr>
        <w:t xml:space="preserve"> (zobacz</w:t>
      </w:r>
      <w:r w:rsidR="00E05B22" w:rsidRPr="003E0C66">
        <w:t> </w:t>
      </w:r>
      <w:proofErr w:type="spellStart"/>
      <w:r w:rsidR="00E05B22" w:rsidRPr="003E0C66">
        <w:rPr>
          <w:i/>
        </w:rPr>
        <w:t>Gabrielyan</w:t>
      </w:r>
      <w:proofErr w:type="spellEnd"/>
      <w:r w:rsidR="00E05B22" w:rsidRPr="003E0C66">
        <w:t xml:space="preserve">, </w:t>
      </w:r>
      <w:r w:rsidR="0047084A">
        <w:t>cytowany</w:t>
      </w:r>
      <w:r w:rsidR="0047084A" w:rsidRPr="003E0C66">
        <w:t xml:space="preserve"> </w:t>
      </w:r>
      <w:r w:rsidR="0047084A">
        <w:t>po</w:t>
      </w:r>
      <w:r w:rsidR="003E505D" w:rsidRPr="003E0C66">
        <w:t>wyżej</w:t>
      </w:r>
      <w:r w:rsidR="00E05B22" w:rsidRPr="003E0C66">
        <w:rPr>
          <w:snapToGrid w:val="0"/>
          <w:szCs w:val="24"/>
        </w:rPr>
        <w:t xml:space="preserve">, § 83; </w:t>
      </w:r>
      <w:r w:rsidR="00E05B22" w:rsidRPr="003E0C66">
        <w:rPr>
          <w:rFonts w:ascii="Times New Roman" w:eastAsia="Calibri" w:hAnsi="Times New Roman" w:cs="Times New Roman"/>
          <w:i/>
        </w:rPr>
        <w:t>Fąfrowicz</w:t>
      </w:r>
      <w:r w:rsidR="00E05B22" w:rsidRPr="003E0C66">
        <w:rPr>
          <w:rFonts w:ascii="Times New Roman" w:eastAsia="Calibri" w:hAnsi="Times New Roman" w:cs="Times New Roman"/>
        </w:rPr>
        <w:t xml:space="preserve">, </w:t>
      </w:r>
      <w:r w:rsidR="0047084A">
        <w:rPr>
          <w:rFonts w:ascii="Times New Roman" w:eastAsia="Calibri" w:hAnsi="Times New Roman" w:cs="Times New Roman"/>
        </w:rPr>
        <w:t>cytowany</w:t>
      </w:r>
      <w:r w:rsidR="0047084A" w:rsidRPr="003E0C66">
        <w:rPr>
          <w:rFonts w:ascii="Times New Roman" w:eastAsia="Calibri" w:hAnsi="Times New Roman" w:cs="Times New Roman"/>
        </w:rPr>
        <w:t xml:space="preserve"> </w:t>
      </w:r>
      <w:r w:rsidR="0047084A">
        <w:rPr>
          <w:rFonts w:ascii="Times New Roman" w:eastAsia="Calibri" w:hAnsi="Times New Roman" w:cs="Times New Roman"/>
        </w:rPr>
        <w:t>po</w:t>
      </w:r>
      <w:r w:rsidR="003E505D" w:rsidRPr="003E0C66">
        <w:rPr>
          <w:rFonts w:ascii="Times New Roman" w:eastAsia="Calibri" w:hAnsi="Times New Roman" w:cs="Times New Roman"/>
        </w:rPr>
        <w:t>wyżej</w:t>
      </w:r>
      <w:r w:rsidR="00E05B22" w:rsidRPr="003E0C66">
        <w:rPr>
          <w:rFonts w:ascii="Times New Roman" w:eastAsia="Calibri" w:hAnsi="Times New Roman" w:cs="Times New Roman"/>
          <w:snapToGrid w:val="0"/>
          <w:szCs w:val="24"/>
        </w:rPr>
        <w:t>, § 56</w:t>
      </w:r>
      <w:r w:rsidR="00E05B22" w:rsidRPr="003E0C66">
        <w:rPr>
          <w:snapToGrid w:val="0"/>
          <w:szCs w:val="24"/>
        </w:rPr>
        <w:t xml:space="preserve">; </w:t>
      </w:r>
      <w:proofErr w:type="spellStart"/>
      <w:r w:rsidR="00E05B22" w:rsidRPr="003E0C66">
        <w:rPr>
          <w:i/>
        </w:rPr>
        <w:t>Lučić</w:t>
      </w:r>
      <w:proofErr w:type="spellEnd"/>
      <w:r w:rsidR="00E05B22" w:rsidRPr="003E0C66">
        <w:rPr>
          <w:snapToGrid w:val="0"/>
        </w:rPr>
        <w:t xml:space="preserve">, </w:t>
      </w:r>
      <w:r w:rsidR="0047084A">
        <w:t>cytowany</w:t>
      </w:r>
      <w:r w:rsidR="0047084A" w:rsidRPr="003E0C66">
        <w:t xml:space="preserve"> </w:t>
      </w:r>
      <w:r w:rsidR="0047084A">
        <w:t>po</w:t>
      </w:r>
      <w:r w:rsidR="003E505D" w:rsidRPr="003E0C66">
        <w:t>wyżej</w:t>
      </w:r>
      <w:r w:rsidR="00E05B22" w:rsidRPr="003E0C66">
        <w:rPr>
          <w:snapToGrid w:val="0"/>
        </w:rPr>
        <w:t>, § 80</w:t>
      </w:r>
      <w:r w:rsidR="0047084A">
        <w:rPr>
          <w:snapToGrid w:val="0"/>
          <w:szCs w:val="24"/>
        </w:rPr>
        <w:t xml:space="preserve"> i</w:t>
      </w:r>
      <w:r w:rsidR="00E05B22" w:rsidRPr="003E0C66">
        <w:rPr>
          <w:snapToGrid w:val="0"/>
          <w:szCs w:val="24"/>
        </w:rPr>
        <w:t xml:space="preserve"> </w:t>
      </w:r>
      <w:proofErr w:type="spellStart"/>
      <w:r w:rsidR="00E05B22" w:rsidRPr="003E0C66">
        <w:rPr>
          <w:i/>
        </w:rPr>
        <w:t>Nikolitsas</w:t>
      </w:r>
      <w:proofErr w:type="spellEnd"/>
      <w:r w:rsidR="00E05B22" w:rsidRPr="003E0C66">
        <w:rPr>
          <w:snapToGrid w:val="0"/>
        </w:rPr>
        <w:t xml:space="preserve">, </w:t>
      </w:r>
      <w:r w:rsidR="0047084A">
        <w:t>cytowany</w:t>
      </w:r>
      <w:r w:rsidR="0047084A" w:rsidRPr="003E0C66">
        <w:t xml:space="preserve"> </w:t>
      </w:r>
      <w:r w:rsidR="0047084A">
        <w:t>po</w:t>
      </w:r>
      <w:r w:rsidR="003E505D" w:rsidRPr="003E0C66">
        <w:t>wyżej</w:t>
      </w:r>
      <w:r w:rsidR="00E05B22" w:rsidRPr="003E0C66">
        <w:rPr>
          <w:snapToGrid w:val="0"/>
        </w:rPr>
        <w:t>, § 35).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122</w:t>
      </w:r>
      <w:r w:rsidRPr="003E0C66">
        <w:fldChar w:fldCharType="end"/>
      </w:r>
      <w:r w:rsidR="00E05B22" w:rsidRPr="003E0C66">
        <w:t>.  </w:t>
      </w:r>
      <w:r w:rsidR="003E505D" w:rsidRPr="003E0C66">
        <w:t xml:space="preserve">Potrzeba podjęcia wszelkich możliwych starań przez władze w celu zapewnienia uczestnictwa świadków w rozprawie pociąga za sobą dokładną kontrolę </w:t>
      </w:r>
      <w:r w:rsidR="00E32756" w:rsidRPr="003E0C66">
        <w:t xml:space="preserve">przez sądy krajowe </w:t>
      </w:r>
      <w:r w:rsidR="003E505D" w:rsidRPr="003E0C66">
        <w:t>przedstawionych powodów usprawiedliwiających nieobecność świadk</w:t>
      </w:r>
      <w:r w:rsidR="00E32756">
        <w:t>ów</w:t>
      </w:r>
      <w:r w:rsidR="003E505D" w:rsidRPr="003E0C66">
        <w:t>,</w:t>
      </w:r>
      <w:r w:rsidR="00681C2C">
        <w:t xml:space="preserve"> </w:t>
      </w:r>
      <w:r w:rsidR="00E32756">
        <w:t>z uwzględnieniem</w:t>
      </w:r>
      <w:r w:rsidR="003E505D" w:rsidRPr="003E0C66">
        <w:t xml:space="preserve"> szczególn</w:t>
      </w:r>
      <w:r w:rsidR="00E32756">
        <w:t>ej</w:t>
      </w:r>
      <w:r w:rsidR="003E505D" w:rsidRPr="003E0C66">
        <w:t xml:space="preserve"> sytuacj</w:t>
      </w:r>
      <w:r w:rsidR="00E32756">
        <w:t>i</w:t>
      </w:r>
      <w:r w:rsidR="003E505D" w:rsidRPr="003E0C66">
        <w:t xml:space="preserve"> każdego świadka </w:t>
      </w:r>
      <w:r w:rsidR="003E505D" w:rsidRPr="003E0C66">
        <w:rPr>
          <w:rFonts w:ascii="Times New Roman" w:hAnsi="Times New Roman"/>
        </w:rPr>
        <w:t>(zob.</w:t>
      </w:r>
      <w:r w:rsidR="00E05B22" w:rsidRPr="003E0C66">
        <w:rPr>
          <w:rFonts w:ascii="Times New Roman" w:hAnsi="Times New Roman"/>
        </w:rPr>
        <w:t xml:space="preserve"> </w:t>
      </w:r>
      <w:proofErr w:type="spellStart"/>
      <w:r w:rsidR="00E05B22" w:rsidRPr="003E0C66">
        <w:rPr>
          <w:i/>
        </w:rPr>
        <w:t>Nechto</w:t>
      </w:r>
      <w:proofErr w:type="spellEnd"/>
      <w:r w:rsidR="00E05B22" w:rsidRPr="003E0C66">
        <w:t xml:space="preserve">, </w:t>
      </w:r>
      <w:r w:rsidR="00EA36FE">
        <w:t>cytowany powyżej</w:t>
      </w:r>
      <w:r w:rsidR="00E05B22" w:rsidRPr="003E0C66">
        <w:rPr>
          <w:snapToGrid w:val="0"/>
          <w:szCs w:val="24"/>
        </w:rPr>
        <w:t>, § 127</w:t>
      </w:r>
      <w:r w:rsidR="00E05B22" w:rsidRPr="003E0C66">
        <w:rPr>
          <w:rFonts w:ascii="Times New Roman" w:eastAsia="Calibri" w:hAnsi="Times New Roman" w:cs="Times New Roman"/>
          <w:snapToGrid w:val="0"/>
          <w:szCs w:val="24"/>
        </w:rPr>
        <w:t xml:space="preserve">; </w:t>
      </w:r>
      <w:proofErr w:type="spellStart"/>
      <w:r w:rsidR="00E05B22" w:rsidRPr="003E0C66">
        <w:rPr>
          <w:i/>
        </w:rPr>
        <w:t>Damir</w:t>
      </w:r>
      <w:proofErr w:type="spellEnd"/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Sibgatullin</w:t>
      </w:r>
      <w:proofErr w:type="spellEnd"/>
      <w:r w:rsidR="00E05B22" w:rsidRPr="003E0C66">
        <w:t xml:space="preserve">, </w:t>
      </w:r>
      <w:r w:rsidR="00EA36FE">
        <w:t>cytowany powyżej</w:t>
      </w:r>
      <w:r w:rsidR="00E05B22" w:rsidRPr="003E0C66">
        <w:rPr>
          <w:snapToGrid w:val="0"/>
          <w:szCs w:val="24"/>
        </w:rPr>
        <w:t>, § 56</w:t>
      </w:r>
      <w:r w:rsidR="00EA36FE">
        <w:rPr>
          <w:rFonts w:ascii="Times New Roman" w:eastAsia="Calibri" w:hAnsi="Times New Roman" w:cs="Times New Roman"/>
          <w:szCs w:val="24"/>
        </w:rPr>
        <w:t xml:space="preserve"> i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</w:rPr>
        <w:t>Yevgeniy</w:t>
      </w:r>
      <w:proofErr w:type="spellEnd"/>
      <w:r w:rsidR="00E05B22" w:rsidRPr="003E0C66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</w:rPr>
        <w:t>Ivanov</w:t>
      </w:r>
      <w:proofErr w:type="spellEnd"/>
      <w:r w:rsidR="00E05B22" w:rsidRPr="003E0C66">
        <w:rPr>
          <w:rFonts w:ascii="Times New Roman" w:eastAsia="Calibri" w:hAnsi="Times New Roman" w:cs="Times New Roman"/>
        </w:rPr>
        <w:t xml:space="preserve">, </w:t>
      </w:r>
      <w:r w:rsidR="00EA36FE">
        <w:rPr>
          <w:rFonts w:ascii="Times New Roman" w:eastAsia="Calibri" w:hAnsi="Times New Roman" w:cs="Times New Roman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>, § 47</w:t>
      </w:r>
      <w:r w:rsidR="00E05B22" w:rsidRPr="003E0C66">
        <w:rPr>
          <w:rFonts w:ascii="Times New Roman" w:hAnsi="Times New Roman"/>
        </w:rPr>
        <w:t>).</w:t>
      </w:r>
    </w:p>
    <w:p w:rsidR="00E05B22" w:rsidRPr="003E0C66" w:rsidRDefault="00E05B22" w:rsidP="00BC0CE7">
      <w:pPr>
        <w:pStyle w:val="ECHRHeading5"/>
      </w:pPr>
      <w:r w:rsidRPr="003E0C66">
        <w:t>(ii)  </w:t>
      </w:r>
      <w:r w:rsidR="003E505D" w:rsidRPr="003E0C66">
        <w:t xml:space="preserve">Czy dowód z zeznań nieobecnego świadka był </w:t>
      </w:r>
      <w:r w:rsidR="00DD0EF0">
        <w:t>jedyną</w:t>
      </w:r>
      <w:r w:rsidR="00DD0EF0" w:rsidRPr="003E0C66">
        <w:t xml:space="preserve"> </w:t>
      </w:r>
      <w:r w:rsidR="003E505D" w:rsidRPr="003E0C66">
        <w:t xml:space="preserve">lub </w:t>
      </w:r>
      <w:r w:rsidR="00DD0EF0">
        <w:t>decydującą podstawą skazania</w:t>
      </w:r>
      <w:r w:rsidR="003E505D" w:rsidRPr="003E0C66">
        <w:t xml:space="preserve"> oskarżonego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123</w:t>
      </w:r>
      <w:r w:rsidRPr="003E0C66">
        <w:fldChar w:fldCharType="end"/>
      </w:r>
      <w:r w:rsidR="00E05B22" w:rsidRPr="003E0C66">
        <w:t>.  </w:t>
      </w:r>
      <w:r w:rsidR="003E505D" w:rsidRPr="003E0C66">
        <w:t xml:space="preserve">Odnośnie </w:t>
      </w:r>
      <w:r w:rsidR="00DD0EF0">
        <w:t xml:space="preserve">do </w:t>
      </w:r>
      <w:r w:rsidR="003E505D" w:rsidRPr="003E0C66">
        <w:t>kwestii</w:t>
      </w:r>
      <w:r w:rsidR="00DD0EF0">
        <w:t>,</w:t>
      </w:r>
      <w:r w:rsidR="003E505D" w:rsidRPr="003E0C66">
        <w:t xml:space="preserve"> czy dowód z z</w:t>
      </w:r>
      <w:r w:rsidR="00AE5035" w:rsidRPr="003E0C66">
        <w:t xml:space="preserve">eznań nieobecnego świadka, </w:t>
      </w:r>
      <w:r w:rsidR="00DD0EF0" w:rsidRPr="003E0C66">
        <w:t>które</w:t>
      </w:r>
      <w:r w:rsidR="00DD0EF0">
        <w:t>go zeznania</w:t>
      </w:r>
      <w:r w:rsidR="00AE5035" w:rsidRPr="003E0C66">
        <w:t xml:space="preserve"> został</w:t>
      </w:r>
      <w:r w:rsidR="00DD0EF0">
        <w:t>y</w:t>
      </w:r>
      <w:r w:rsidR="003E505D" w:rsidRPr="003E0C66">
        <w:t xml:space="preserve"> dopuszcz</w:t>
      </w:r>
      <w:r w:rsidR="00AE5035" w:rsidRPr="003E0C66">
        <w:t>on</w:t>
      </w:r>
      <w:r w:rsidR="00DD0EF0">
        <w:t>e jako dowód,</w:t>
      </w:r>
      <w:r w:rsidR="00AE5035" w:rsidRPr="003E0C66">
        <w:t xml:space="preserve"> był jedyn</w:t>
      </w:r>
      <w:r w:rsidR="00DD0EF0">
        <w:t>ą</w:t>
      </w:r>
      <w:r w:rsidR="00AE5035" w:rsidRPr="003E0C66">
        <w:t xml:space="preserve"> lub </w:t>
      </w:r>
      <w:r w:rsidR="00DD0EF0">
        <w:t>decydującą</w:t>
      </w:r>
      <w:r w:rsidR="00DD0EF0" w:rsidRPr="003E0C66">
        <w:t xml:space="preserve"> </w:t>
      </w:r>
      <w:r w:rsidR="00DD0EF0">
        <w:t>podstawą skazania</w:t>
      </w:r>
      <w:r w:rsidR="00DD0EF0" w:rsidRPr="003E0C66">
        <w:t xml:space="preserve"> </w:t>
      </w:r>
      <w:r w:rsidR="00AE5035" w:rsidRPr="003E0C66">
        <w:t>oskarżonego (</w:t>
      </w:r>
      <w:r w:rsidR="006844C1" w:rsidRPr="003E0C66">
        <w:t xml:space="preserve">drugi etap </w:t>
      </w:r>
      <w:r w:rsidR="00DD0EF0">
        <w:t>testu</w:t>
      </w:r>
      <w:r w:rsidR="00DD0EF0" w:rsidRPr="003E0C66">
        <w:t xml:space="preserve"> </w:t>
      </w:r>
      <w:r w:rsidR="00E05B22" w:rsidRPr="003E0C66">
        <w:rPr>
          <w:i/>
        </w:rPr>
        <w:t>Al-Khawaja</w:t>
      </w:r>
      <w:r w:rsidR="00E05B22" w:rsidRPr="003E0C66">
        <w:t>),</w:t>
      </w:r>
      <w:r w:rsidR="00681C2C">
        <w:t xml:space="preserve"> Trybunał podkreśla, iż „</w:t>
      </w:r>
      <w:r w:rsidR="006844C1" w:rsidRPr="003E0C66">
        <w:t>jedyny’’ dowód należy rozumieć jako jedyny dowód przeciwko oskarżonemu</w:t>
      </w:r>
      <w:r w:rsidR="00E05B22" w:rsidRPr="003E0C66">
        <w:t xml:space="preserve"> </w:t>
      </w:r>
      <w:r w:rsidR="006844C1" w:rsidRPr="003E0C66">
        <w:t>(zobacz</w:t>
      </w:r>
      <w:r w:rsidR="00E05B22" w:rsidRPr="003E0C66">
        <w:t xml:space="preserve"> </w:t>
      </w:r>
      <w:r w:rsidR="006844C1" w:rsidRPr="003E0C66">
        <w:rPr>
          <w:i/>
        </w:rPr>
        <w:t>Al-Khawaja 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DD0EF0">
        <w:t>cytowany powyżej</w:t>
      </w:r>
      <w:r w:rsidR="00E05B22" w:rsidRPr="003E0C66">
        <w:t xml:space="preserve">, § 131). </w:t>
      </w:r>
      <w:r w:rsidR="00681C2C">
        <w:t>„</w:t>
      </w:r>
      <w:r w:rsidR="00DD0EF0">
        <w:t>Decydujący</w:t>
      </w:r>
      <w:r w:rsidR="00E05B22" w:rsidRPr="003E0C66">
        <w:t>”</w:t>
      </w:r>
      <w:r w:rsidR="006844C1" w:rsidRPr="003E0C66">
        <w:t xml:space="preserve"> dowód powinien być rozumiany </w:t>
      </w:r>
      <w:r w:rsidR="00DD0EF0">
        <w:t xml:space="preserve">wąsko, </w:t>
      </w:r>
      <w:r w:rsidR="006844C1" w:rsidRPr="003E0C66">
        <w:t>jako dowód wskazujący</w:t>
      </w:r>
      <w:r w:rsidR="00DD0EF0">
        <w:t xml:space="preserve"> o takim znaczeniu lub wadze</w:t>
      </w:r>
      <w:r w:rsidR="006844C1" w:rsidRPr="003E0C66">
        <w:t xml:space="preserve">, </w:t>
      </w:r>
      <w:r w:rsidR="00DD0EF0">
        <w:t>że może</w:t>
      </w:r>
      <w:r w:rsidR="006844C1" w:rsidRPr="003E0C66">
        <w:t xml:space="preserve"> </w:t>
      </w:r>
      <w:r w:rsidR="00DD0EF0">
        <w:t>być decydujący dla</w:t>
      </w:r>
      <w:r w:rsidR="00DD0EF0" w:rsidRPr="003E0C66">
        <w:t xml:space="preserve"> </w:t>
      </w:r>
      <w:r w:rsidR="006844C1" w:rsidRPr="003E0C66">
        <w:t>wynik</w:t>
      </w:r>
      <w:r w:rsidR="00DD0EF0">
        <w:t>u</w:t>
      </w:r>
      <w:r w:rsidR="006844C1" w:rsidRPr="003E0C66">
        <w:t xml:space="preserve"> sprawy. W przypadku</w:t>
      </w:r>
      <w:r w:rsidR="0032373E" w:rsidRPr="003E0C66">
        <w:t>,</w:t>
      </w:r>
      <w:r w:rsidR="006844C1" w:rsidRPr="003E0C66">
        <w:t xml:space="preserve"> gdy niezweryfikowany dowód z zeznań świadka jest poparty </w:t>
      </w:r>
      <w:r w:rsidR="00DA1236">
        <w:t>innym</w:t>
      </w:r>
      <w:r w:rsidR="006844C1" w:rsidRPr="003E0C66">
        <w:t>, potwierdzającym dowod</w:t>
      </w:r>
      <w:r w:rsidR="00DA1236">
        <w:t>em</w:t>
      </w:r>
      <w:r w:rsidR="006844C1" w:rsidRPr="003E0C66">
        <w:t xml:space="preserve">, ocena tego, czy jest on decydujący będzie zależała od </w:t>
      </w:r>
      <w:r w:rsidR="00DD0EF0">
        <w:t>siły</w:t>
      </w:r>
      <w:r w:rsidR="00DD0EF0" w:rsidRPr="003E0C66">
        <w:t xml:space="preserve"> </w:t>
      </w:r>
      <w:r w:rsidR="00DA1236">
        <w:t>potwierdzającego</w:t>
      </w:r>
      <w:r w:rsidR="00DA1236" w:rsidRPr="003E0C66">
        <w:t xml:space="preserve"> </w:t>
      </w:r>
      <w:r w:rsidR="006844C1" w:rsidRPr="003E0C66">
        <w:t xml:space="preserve">go dowodu; im silniejszy dowód popierający, tym mniej prawdopodobne, że dowód z zeznań nieobecnego świadka będzie traktowany jako decydujący </w:t>
      </w:r>
      <w:r w:rsidR="00E05B22" w:rsidRPr="003E0C66">
        <w:t>(ibid</w:t>
      </w:r>
      <w:r w:rsidR="00E05B22" w:rsidRPr="003E0C66">
        <w:rPr>
          <w:i/>
        </w:rPr>
        <w:t>.</w:t>
      </w:r>
      <w:r w:rsidR="00E05B22" w:rsidRPr="003E0C66">
        <w:t>, § 131)</w:t>
      </w:r>
      <w:r w:rsidR="00E05B22" w:rsidRPr="003E0C66">
        <w:rPr>
          <w:rFonts w:ascii="Times New Roman" w:eastAsia="Times New Roman" w:hAnsi="Times New Roman" w:cs="Times New Roman"/>
          <w:szCs w:val="20"/>
          <w:lang w:eastAsia="en-GB"/>
        </w:rPr>
        <w:t>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124</w:t>
      </w:r>
      <w:r w:rsidRPr="003E0C66">
        <w:fldChar w:fldCharType="end"/>
      </w:r>
      <w:r w:rsidR="00E05B22" w:rsidRPr="003E0C66">
        <w:t>.</w:t>
      </w:r>
      <w:r w:rsidR="007B0BDF" w:rsidRPr="003E0C66">
        <w:t xml:space="preserve"> Ponieważ zadaniem Trybunału nie jest </w:t>
      </w:r>
      <w:r w:rsidR="00DA1236">
        <w:t>działanie</w:t>
      </w:r>
      <w:r w:rsidR="00DA1236" w:rsidRPr="003E0C66">
        <w:t xml:space="preserve"> </w:t>
      </w:r>
      <w:r w:rsidR="007B0BDF" w:rsidRPr="003E0C66">
        <w:t>jako czwarta instancja (</w:t>
      </w:r>
      <w:r w:rsidR="000F246B" w:rsidRPr="003E0C66">
        <w:t>zobacz</w:t>
      </w:r>
      <w:r w:rsidR="00E05B22" w:rsidRPr="003E0C66">
        <w:t> </w:t>
      </w:r>
      <w:proofErr w:type="spellStart"/>
      <w:r w:rsidR="00E05B22" w:rsidRPr="003E0C66">
        <w:rPr>
          <w:i/>
        </w:rPr>
        <w:t>Nikolitsas</w:t>
      </w:r>
      <w:proofErr w:type="spellEnd"/>
      <w:r w:rsidR="00E05B22" w:rsidRPr="003E0C66">
        <w:rPr>
          <w:snapToGrid w:val="0"/>
        </w:rPr>
        <w:t xml:space="preserve">, </w:t>
      </w:r>
      <w:r w:rsidR="00DA1236">
        <w:t>cytowany powyżej</w:t>
      </w:r>
      <w:r w:rsidR="00E05B22" w:rsidRPr="003E0C66">
        <w:rPr>
          <w:snapToGrid w:val="0"/>
        </w:rPr>
        <w:t>, § 30),</w:t>
      </w:r>
      <w:r w:rsidR="007B0BDF" w:rsidRPr="003E0C66">
        <w:rPr>
          <w:snapToGrid w:val="0"/>
        </w:rPr>
        <w:t xml:space="preserve"> </w:t>
      </w:r>
      <w:r w:rsidR="00D653D7" w:rsidRPr="003E0C66">
        <w:rPr>
          <w:snapToGrid w:val="0"/>
        </w:rPr>
        <w:t xml:space="preserve">to punktem wyjścia </w:t>
      </w:r>
      <w:r w:rsidR="00D653D7" w:rsidRPr="003E0C66">
        <w:rPr>
          <w:snapToGrid w:val="0"/>
        </w:rPr>
        <w:lastRenderedPageBreak/>
        <w:t>dla podjęcia decyzji, czy skaz</w:t>
      </w:r>
      <w:r w:rsidR="0032373E" w:rsidRPr="003E0C66">
        <w:rPr>
          <w:snapToGrid w:val="0"/>
        </w:rPr>
        <w:t>anie oskarżonego opierało się</w:t>
      </w:r>
      <w:r w:rsidR="00D653D7" w:rsidRPr="003E0C66">
        <w:rPr>
          <w:snapToGrid w:val="0"/>
        </w:rPr>
        <w:t xml:space="preserve"> jedynie lub w sposób </w:t>
      </w:r>
      <w:r w:rsidR="00DA1236">
        <w:rPr>
          <w:snapToGrid w:val="0"/>
        </w:rPr>
        <w:t>decydujący</w:t>
      </w:r>
      <w:r w:rsidR="00DA1236" w:rsidRPr="003E0C66">
        <w:rPr>
          <w:snapToGrid w:val="0"/>
        </w:rPr>
        <w:t xml:space="preserve"> </w:t>
      </w:r>
      <w:r w:rsidR="00D653D7" w:rsidRPr="003E0C66">
        <w:rPr>
          <w:snapToGrid w:val="0"/>
        </w:rPr>
        <w:t>na</w:t>
      </w:r>
      <w:r w:rsidR="00FB3A21" w:rsidRPr="003E0C66">
        <w:rPr>
          <w:snapToGrid w:val="0"/>
        </w:rPr>
        <w:t xml:space="preserve"> zeznaniach </w:t>
      </w:r>
      <w:r w:rsidR="00DA1236">
        <w:rPr>
          <w:snapToGrid w:val="0"/>
        </w:rPr>
        <w:t>nieobecnego świadka</w:t>
      </w:r>
      <w:r w:rsidR="00FB3A21" w:rsidRPr="003E0C66">
        <w:rPr>
          <w:snapToGrid w:val="0"/>
        </w:rPr>
        <w:t xml:space="preserve"> są orzeczenia sądów krajowych (zobacz </w:t>
      </w:r>
      <w:proofErr w:type="spellStart"/>
      <w:r w:rsidR="00E05B22" w:rsidRPr="003E0C66">
        <w:rPr>
          <w:i/>
        </w:rPr>
        <w:t>Beggs</w:t>
      </w:r>
      <w:proofErr w:type="spellEnd"/>
      <w:r w:rsidR="00E05B22" w:rsidRPr="003E0C66">
        <w:t xml:space="preserve">, </w:t>
      </w:r>
      <w:r w:rsidR="00DA1236">
        <w:t>cytowany powyżej</w:t>
      </w:r>
      <w:r w:rsidR="00E05B22" w:rsidRPr="003E0C66">
        <w:rPr>
          <w:snapToGrid w:val="0"/>
        </w:rPr>
        <w:t xml:space="preserve"> § 156; </w:t>
      </w:r>
      <w:r w:rsidR="00E05B22" w:rsidRPr="003E0C66">
        <w:rPr>
          <w:i/>
        </w:rPr>
        <w:t>Kostecki</w:t>
      </w:r>
      <w:r w:rsidR="00E05B22" w:rsidRPr="003E0C66">
        <w:t xml:space="preserve">, </w:t>
      </w:r>
      <w:r w:rsidR="00DA1236">
        <w:t>cytowany powyżej,</w:t>
      </w:r>
      <w:r w:rsidR="00FB3A21" w:rsidRPr="003E0C66">
        <w:rPr>
          <w:snapToGrid w:val="0"/>
        </w:rPr>
        <w:t xml:space="preserve"> § 67 oraz </w:t>
      </w:r>
      <w:proofErr w:type="spellStart"/>
      <w:r w:rsidR="00E05B22" w:rsidRPr="003E0C66">
        <w:rPr>
          <w:i/>
        </w:rPr>
        <w:t>Horncastle</w:t>
      </w:r>
      <w:proofErr w:type="spellEnd"/>
      <w:r w:rsidR="00E05B22" w:rsidRPr="003E0C66">
        <w:t xml:space="preserve">, </w:t>
      </w:r>
      <w:r w:rsidR="00DA1236">
        <w:t>cytowany powyżej,</w:t>
      </w:r>
      <w:r w:rsidR="00E05B22" w:rsidRPr="003E0C66">
        <w:rPr>
          <w:snapToGrid w:val="0"/>
        </w:rPr>
        <w:t xml:space="preserve"> §§ 141 </w:t>
      </w:r>
      <w:r w:rsidR="00DA1236">
        <w:rPr>
          <w:snapToGrid w:val="0"/>
        </w:rPr>
        <w:t>i</w:t>
      </w:r>
      <w:r w:rsidR="00DA1236" w:rsidRPr="003E0C66">
        <w:rPr>
          <w:snapToGrid w:val="0"/>
        </w:rPr>
        <w:t xml:space="preserve"> </w:t>
      </w:r>
      <w:r w:rsidR="00E05B22" w:rsidRPr="003E0C66">
        <w:rPr>
          <w:snapToGrid w:val="0"/>
        </w:rPr>
        <w:t xml:space="preserve">150). </w:t>
      </w:r>
      <w:r w:rsidR="00FB3A21" w:rsidRPr="003E0C66">
        <w:rPr>
          <w:snapToGrid w:val="0"/>
        </w:rPr>
        <w:t xml:space="preserve">Trybunał musi </w:t>
      </w:r>
      <w:r w:rsidR="00DB2F78">
        <w:rPr>
          <w:snapToGrid w:val="0"/>
        </w:rPr>
        <w:t>przeanalizować</w:t>
      </w:r>
      <w:r w:rsidR="00FB3A21" w:rsidRPr="003E0C66">
        <w:rPr>
          <w:snapToGrid w:val="0"/>
        </w:rPr>
        <w:t xml:space="preserve"> oceny sądów krajowych w ś</w:t>
      </w:r>
      <w:r w:rsidR="00681C2C">
        <w:rPr>
          <w:snapToGrid w:val="0"/>
        </w:rPr>
        <w:t>wietle znaczenia, jakie nadał „jedynemu’’ i „</w:t>
      </w:r>
      <w:r w:rsidR="00DB2F78">
        <w:rPr>
          <w:snapToGrid w:val="0"/>
        </w:rPr>
        <w:t>decydującemu</w:t>
      </w:r>
      <w:r w:rsidR="00681C2C">
        <w:rPr>
          <w:snapToGrid w:val="0"/>
        </w:rPr>
        <w:t>”</w:t>
      </w:r>
      <w:r w:rsidR="00DB2F78" w:rsidRPr="003E0C66">
        <w:rPr>
          <w:snapToGrid w:val="0"/>
        </w:rPr>
        <w:t xml:space="preserve"> </w:t>
      </w:r>
      <w:r w:rsidR="00DB2F78">
        <w:rPr>
          <w:snapToGrid w:val="0"/>
        </w:rPr>
        <w:t>dowodowi</w:t>
      </w:r>
      <w:r w:rsidR="00DB2F78" w:rsidRPr="003E0C66">
        <w:rPr>
          <w:snapToGrid w:val="0"/>
        </w:rPr>
        <w:t xml:space="preserve"> </w:t>
      </w:r>
      <w:r w:rsidR="00FB3A21" w:rsidRPr="003E0C66">
        <w:rPr>
          <w:snapToGrid w:val="0"/>
        </w:rPr>
        <w:t>i upewnić się</w:t>
      </w:r>
      <w:r w:rsidR="00DB2F78">
        <w:rPr>
          <w:snapToGrid w:val="0"/>
        </w:rPr>
        <w:t>,</w:t>
      </w:r>
      <w:r w:rsidR="00FB3A21" w:rsidRPr="003E0C66">
        <w:rPr>
          <w:snapToGrid w:val="0"/>
        </w:rPr>
        <w:t xml:space="preserve"> czy ocena wagi dowodu dokonana przez sąd krajowy </w:t>
      </w:r>
      <w:r w:rsidR="00DB2F78">
        <w:rPr>
          <w:snapToGrid w:val="0"/>
        </w:rPr>
        <w:t>była</w:t>
      </w:r>
      <w:r w:rsidR="00DB2F78" w:rsidRPr="003E0C66">
        <w:rPr>
          <w:snapToGrid w:val="0"/>
        </w:rPr>
        <w:t xml:space="preserve"> </w:t>
      </w:r>
      <w:r w:rsidR="00DB2F78">
        <w:rPr>
          <w:snapToGrid w:val="0"/>
        </w:rPr>
        <w:t>nie do przyjęcia</w:t>
      </w:r>
      <w:r w:rsidR="00DB2F78" w:rsidRPr="003E0C66">
        <w:rPr>
          <w:snapToGrid w:val="0"/>
        </w:rPr>
        <w:t xml:space="preserve"> </w:t>
      </w:r>
      <w:r w:rsidR="00DB2F78">
        <w:rPr>
          <w:snapToGrid w:val="0"/>
        </w:rPr>
        <w:t>albo</w:t>
      </w:r>
      <w:r w:rsidR="00DB2F78" w:rsidRPr="003E0C66">
        <w:rPr>
          <w:snapToGrid w:val="0"/>
        </w:rPr>
        <w:t xml:space="preserve"> </w:t>
      </w:r>
      <w:r w:rsidR="00FB3A21" w:rsidRPr="003E0C66">
        <w:rPr>
          <w:snapToGrid w:val="0"/>
        </w:rPr>
        <w:t xml:space="preserve">arbitralna </w:t>
      </w:r>
      <w:r w:rsidR="00FB3A21" w:rsidRPr="003E0C66">
        <w:rPr>
          <w:rFonts w:ascii="Times New Roman" w:hAnsi="Times New Roman"/>
        </w:rPr>
        <w:t>(porównaj</w:t>
      </w:r>
      <w:r w:rsidR="00E05B22" w:rsidRPr="003E0C66">
        <w:rPr>
          <w:rFonts w:ascii="Times New Roman" w:hAnsi="Times New Roman"/>
        </w:rPr>
        <w:t xml:space="preserve">, </w:t>
      </w:r>
      <w:r w:rsidR="00FB3A21" w:rsidRPr="003E0C66">
        <w:rPr>
          <w:rFonts w:ascii="Times New Roman" w:hAnsi="Times New Roman"/>
        </w:rPr>
        <w:t>na przykład</w:t>
      </w:r>
      <w:r w:rsidR="00E05B22" w:rsidRPr="003E0C66">
        <w:rPr>
          <w:rFonts w:ascii="Times New Roman" w:hAnsi="Times New Roman"/>
        </w:rPr>
        <w:t xml:space="preserve">, </w:t>
      </w:r>
      <w:proofErr w:type="spellStart"/>
      <w:r w:rsidR="00E05B22" w:rsidRPr="003E0C66">
        <w:rPr>
          <w:rFonts w:ascii="Times New Roman" w:hAnsi="Times New Roman"/>
          <w:i/>
        </w:rPr>
        <w:t>McGlynn</w:t>
      </w:r>
      <w:proofErr w:type="spellEnd"/>
      <w:r w:rsidR="00E05B22" w:rsidRPr="003E0C66">
        <w:rPr>
          <w:rFonts w:ascii="Times New Roman" w:hAnsi="Times New Roman"/>
          <w:i/>
        </w:rPr>
        <w:t xml:space="preserve"> </w:t>
      </w:r>
      <w:r w:rsidR="00FB3A21" w:rsidRPr="003E0C66">
        <w:rPr>
          <w:rFonts w:ascii="Times New Roman" w:hAnsi="Times New Roman"/>
          <w:i/>
        </w:rPr>
        <w:t>przeciwko Wielkiej Brytanii</w:t>
      </w:r>
      <w:r w:rsidR="00FB3A21" w:rsidRPr="003E0C66">
        <w:rPr>
          <w:rFonts w:ascii="Times New Roman" w:hAnsi="Times New Roman"/>
        </w:rPr>
        <w:t xml:space="preserve"> (</w:t>
      </w:r>
      <w:proofErr w:type="spellStart"/>
      <w:r w:rsidR="00FB3A21" w:rsidRPr="003E0C66">
        <w:rPr>
          <w:rFonts w:ascii="Times New Roman" w:hAnsi="Times New Roman"/>
        </w:rPr>
        <w:t>dec</w:t>
      </w:r>
      <w:proofErr w:type="spellEnd"/>
      <w:r w:rsidR="00FB3A21" w:rsidRPr="003E0C66">
        <w:rPr>
          <w:rFonts w:ascii="Times New Roman" w:hAnsi="Times New Roman"/>
        </w:rPr>
        <w:t xml:space="preserve">.), </w:t>
      </w:r>
      <w:r w:rsidR="00F749AE" w:rsidRPr="003E0C66">
        <w:rPr>
          <w:rFonts w:ascii="Times New Roman" w:hAnsi="Times New Roman"/>
        </w:rPr>
        <w:t>nr</w:t>
      </w:r>
      <w:r w:rsidR="00E05B22" w:rsidRPr="003E0C66">
        <w:rPr>
          <w:rFonts w:ascii="Times New Roman" w:hAnsi="Times New Roman"/>
        </w:rPr>
        <w:t> 40612/11, § 23, 16 </w:t>
      </w:r>
      <w:r w:rsidR="0032373E" w:rsidRPr="003E0C66">
        <w:rPr>
          <w:rFonts w:ascii="Times New Roman" w:hAnsi="Times New Roman"/>
        </w:rPr>
        <w:t>paź</w:t>
      </w:r>
      <w:r w:rsidR="00FB3A21" w:rsidRPr="003E0C66">
        <w:rPr>
          <w:rFonts w:ascii="Times New Roman" w:hAnsi="Times New Roman"/>
        </w:rPr>
        <w:t>dziernika</w:t>
      </w:r>
      <w:r w:rsidR="00E05B22" w:rsidRPr="003E0C66">
        <w:rPr>
          <w:rFonts w:ascii="Times New Roman" w:hAnsi="Times New Roman"/>
        </w:rPr>
        <w:t xml:space="preserve"> 2012</w:t>
      </w:r>
      <w:r w:rsidR="00DB2F78">
        <w:rPr>
          <w:rFonts w:ascii="Times New Roman" w:hAnsi="Times New Roman"/>
        </w:rPr>
        <w:t xml:space="preserve"> roku</w:t>
      </w:r>
      <w:r w:rsidR="00E05B22" w:rsidRPr="003E0C66">
        <w:rPr>
          <w:rFonts w:ascii="Times New Roman" w:hAnsi="Times New Roman"/>
        </w:rPr>
        <w:t xml:space="preserve"> </w:t>
      </w:r>
      <w:r w:rsidR="0032373E" w:rsidRPr="003E0C66">
        <w:rPr>
          <w:rFonts w:ascii="Times New Roman" w:hAnsi="Times New Roman"/>
        </w:rPr>
        <w:t>oraz</w:t>
      </w:r>
      <w:r w:rsidR="00E05B22" w:rsidRPr="003E0C66">
        <w:rPr>
          <w:rFonts w:ascii="Times New Roman" w:hAnsi="Times New Roman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Garofolo</w:t>
      </w:r>
      <w:proofErr w:type="spellEnd"/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DB2F78">
        <w:rPr>
          <w:rFonts w:ascii="Times New Roman" w:eastAsia="Calibri" w:hAnsi="Times New Roman" w:cs="Times New Roman"/>
          <w:szCs w:val="24"/>
        </w:rPr>
        <w:t>cytowany powyżej,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§§ 52-53</w:t>
      </w:r>
      <w:r w:rsidR="00E05B22" w:rsidRPr="003E0C66">
        <w:rPr>
          <w:rFonts w:ascii="Times New Roman" w:hAnsi="Times New Roman"/>
        </w:rPr>
        <w:t xml:space="preserve">). </w:t>
      </w:r>
      <w:r w:rsidR="00DB2F78">
        <w:rPr>
          <w:rFonts w:ascii="Times New Roman" w:hAnsi="Times New Roman"/>
        </w:rPr>
        <w:t>Trybunał</w:t>
      </w:r>
      <w:r w:rsidR="00D63343" w:rsidRPr="003E0C66">
        <w:rPr>
          <w:rFonts w:ascii="Times New Roman" w:hAnsi="Times New Roman"/>
        </w:rPr>
        <w:t xml:space="preserve"> </w:t>
      </w:r>
      <w:r w:rsidR="00DB2F78">
        <w:rPr>
          <w:rFonts w:ascii="Times New Roman" w:hAnsi="Times New Roman"/>
        </w:rPr>
        <w:t>m</w:t>
      </w:r>
      <w:r w:rsidR="00FB3A21" w:rsidRPr="003E0C66">
        <w:rPr>
          <w:rFonts w:ascii="Times New Roman" w:hAnsi="Times New Roman"/>
        </w:rPr>
        <w:t xml:space="preserve">usi </w:t>
      </w:r>
      <w:r w:rsidR="00DB2F78">
        <w:rPr>
          <w:rFonts w:ascii="Times New Roman" w:hAnsi="Times New Roman"/>
        </w:rPr>
        <w:t xml:space="preserve">następnie </w:t>
      </w:r>
      <w:r w:rsidR="00FB3A21" w:rsidRPr="003E0C66">
        <w:rPr>
          <w:rFonts w:ascii="Times New Roman" w:hAnsi="Times New Roman"/>
        </w:rPr>
        <w:t>dokonać własnej oceny</w:t>
      </w:r>
      <w:r w:rsidR="00D63343" w:rsidRPr="003E0C66">
        <w:rPr>
          <w:rFonts w:ascii="Times New Roman" w:hAnsi="Times New Roman"/>
        </w:rPr>
        <w:t xml:space="preserve"> wagi </w:t>
      </w:r>
      <w:r w:rsidR="00DB2F78">
        <w:rPr>
          <w:rFonts w:ascii="Times New Roman" w:hAnsi="Times New Roman"/>
        </w:rPr>
        <w:t>dowodu</w:t>
      </w:r>
      <w:r w:rsidR="00DB2F78" w:rsidRPr="003E0C66">
        <w:rPr>
          <w:rFonts w:ascii="Times New Roman" w:hAnsi="Times New Roman"/>
        </w:rPr>
        <w:t xml:space="preserve"> przedstawion</w:t>
      </w:r>
      <w:r w:rsidR="00DB2F78">
        <w:rPr>
          <w:rFonts w:ascii="Times New Roman" w:hAnsi="Times New Roman"/>
        </w:rPr>
        <w:t>ego</w:t>
      </w:r>
      <w:r w:rsidR="00DB2F78" w:rsidRPr="003E0C66">
        <w:rPr>
          <w:rFonts w:ascii="Times New Roman" w:hAnsi="Times New Roman"/>
        </w:rPr>
        <w:t xml:space="preserve"> </w:t>
      </w:r>
      <w:r w:rsidR="00D63343" w:rsidRPr="003E0C66">
        <w:rPr>
          <w:rFonts w:ascii="Times New Roman" w:hAnsi="Times New Roman"/>
        </w:rPr>
        <w:t>przez nieobecn</w:t>
      </w:r>
      <w:r w:rsidR="00DB2F78">
        <w:rPr>
          <w:rFonts w:ascii="Times New Roman" w:hAnsi="Times New Roman"/>
        </w:rPr>
        <w:t>ego</w:t>
      </w:r>
      <w:r w:rsidR="00D63343" w:rsidRPr="003E0C66">
        <w:rPr>
          <w:rFonts w:ascii="Times New Roman" w:hAnsi="Times New Roman"/>
        </w:rPr>
        <w:t xml:space="preserve"> świadk</w:t>
      </w:r>
      <w:r w:rsidR="00DB2F78">
        <w:rPr>
          <w:rFonts w:ascii="Times New Roman" w:hAnsi="Times New Roman"/>
        </w:rPr>
        <w:t>a</w:t>
      </w:r>
      <w:r w:rsidR="00D63343" w:rsidRPr="003E0C66">
        <w:rPr>
          <w:rFonts w:ascii="Times New Roman" w:hAnsi="Times New Roman"/>
        </w:rPr>
        <w:t>, jeżeli sądy krajowe nie wskazały swojego stanowiska</w:t>
      </w:r>
      <w:r w:rsidR="00DB2F78">
        <w:rPr>
          <w:rFonts w:ascii="Times New Roman" w:hAnsi="Times New Roman"/>
        </w:rPr>
        <w:t xml:space="preserve"> w tej kwestii</w:t>
      </w:r>
      <w:r w:rsidR="00D63343" w:rsidRPr="003E0C66">
        <w:rPr>
          <w:rFonts w:ascii="Times New Roman" w:hAnsi="Times New Roman"/>
        </w:rPr>
        <w:t xml:space="preserve"> lub </w:t>
      </w:r>
      <w:r w:rsidR="00DB2F78">
        <w:rPr>
          <w:rFonts w:ascii="Times New Roman" w:hAnsi="Times New Roman"/>
        </w:rPr>
        <w:t xml:space="preserve">jeśli </w:t>
      </w:r>
      <w:r w:rsidR="00D63343" w:rsidRPr="003E0C66">
        <w:rPr>
          <w:rFonts w:ascii="Times New Roman" w:hAnsi="Times New Roman"/>
        </w:rPr>
        <w:t>nie jest ono jasne</w:t>
      </w:r>
      <w:r w:rsidR="00FB3A21" w:rsidRPr="003E0C66">
        <w:rPr>
          <w:rFonts w:ascii="Times New Roman" w:hAnsi="Times New Roman"/>
        </w:rPr>
        <w:t xml:space="preserve"> </w:t>
      </w:r>
      <w:r w:rsidR="00D63343" w:rsidRPr="003E0C66">
        <w:rPr>
          <w:rFonts w:ascii="Times New Roman" w:hAnsi="Times New Roman"/>
        </w:rPr>
        <w:t>(porównaj</w:t>
      </w:r>
      <w:r w:rsidR="00E05B22" w:rsidRPr="003E0C66">
        <w:rPr>
          <w:rFonts w:ascii="Times New Roman" w:hAnsi="Times New Roman"/>
        </w:rPr>
        <w:t xml:space="preserve">, </w:t>
      </w:r>
      <w:r w:rsidR="00D63343" w:rsidRPr="003E0C66">
        <w:rPr>
          <w:rFonts w:ascii="Times New Roman" w:hAnsi="Times New Roman"/>
        </w:rPr>
        <w:t xml:space="preserve">na </w:t>
      </w:r>
      <w:r w:rsidR="000F246B" w:rsidRPr="003E0C66">
        <w:rPr>
          <w:rFonts w:ascii="Times New Roman" w:hAnsi="Times New Roman"/>
        </w:rPr>
        <w:t>przykład</w:t>
      </w:r>
      <w:r w:rsidR="00E05B22" w:rsidRPr="003E0C66">
        <w:rPr>
          <w:rFonts w:ascii="Times New Roman" w:hAnsi="Times New Roman"/>
        </w:rPr>
        <w:t xml:space="preserve">, </w:t>
      </w:r>
      <w:r w:rsidR="00E05B22" w:rsidRPr="003E0C66">
        <w:rPr>
          <w:rFonts w:ascii="Times New Roman" w:eastAsia="Calibri" w:hAnsi="Times New Roman" w:cs="Times New Roman"/>
          <w:i/>
        </w:rPr>
        <w:t>Fąfrowicz</w:t>
      </w:r>
      <w:r w:rsidR="00E05B22" w:rsidRPr="003E0C66">
        <w:rPr>
          <w:rFonts w:ascii="Times New Roman" w:eastAsia="Calibri" w:hAnsi="Times New Roman" w:cs="Times New Roman"/>
        </w:rPr>
        <w:t xml:space="preserve">, </w:t>
      </w:r>
      <w:r w:rsidR="00DB2F78">
        <w:rPr>
          <w:rFonts w:ascii="Times New Roman" w:eastAsia="Calibri" w:hAnsi="Times New Roman" w:cs="Times New Roman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  <w:szCs w:val="24"/>
        </w:rPr>
        <w:t>, § 58</w:t>
      </w:r>
      <w:r w:rsidR="00E05B22" w:rsidRPr="003E0C66">
        <w:rPr>
          <w:rFonts w:ascii="Times New Roman" w:hAnsi="Times New Roman"/>
        </w:rPr>
        <w:t xml:space="preserve">; </w:t>
      </w:r>
      <w:proofErr w:type="spellStart"/>
      <w:r w:rsidR="00E05B22" w:rsidRPr="003E0C66">
        <w:rPr>
          <w:i/>
        </w:rPr>
        <w:t>Pichugin</w:t>
      </w:r>
      <w:proofErr w:type="spellEnd"/>
      <w:r w:rsidR="00E05B22" w:rsidRPr="003E0C66">
        <w:rPr>
          <w:i/>
        </w:rPr>
        <w:t xml:space="preserve"> </w:t>
      </w:r>
      <w:r w:rsidR="00D63343" w:rsidRPr="003E0C66">
        <w:rPr>
          <w:i/>
        </w:rPr>
        <w:t>przeciwko Rosji</w:t>
      </w:r>
      <w:r w:rsidR="00D63343" w:rsidRPr="003E0C66">
        <w:t xml:space="preserve">, </w:t>
      </w:r>
      <w:r w:rsidR="00F749AE" w:rsidRPr="003E0C66">
        <w:t>nr</w:t>
      </w:r>
      <w:r w:rsidR="00E05B22" w:rsidRPr="003E0C66">
        <w:t xml:space="preserve"> 38623/03, §§ 196-200, 23 </w:t>
      </w:r>
      <w:r w:rsidR="00D63343" w:rsidRPr="003E0C66">
        <w:t xml:space="preserve">października </w:t>
      </w:r>
      <w:r w:rsidR="00E05B22" w:rsidRPr="003E0C66">
        <w:t>2012</w:t>
      </w:r>
      <w:r w:rsidR="00DB2F78">
        <w:t xml:space="preserve"> roku</w:t>
      </w:r>
      <w:r w:rsidR="00E05B22" w:rsidRPr="003E0C66">
        <w:t xml:space="preserve">; </w:t>
      </w:r>
      <w:proofErr w:type="spellStart"/>
      <w:r w:rsidR="00E05B22" w:rsidRPr="003E0C66">
        <w:rPr>
          <w:i/>
        </w:rPr>
        <w:t>Tseber</w:t>
      </w:r>
      <w:proofErr w:type="spellEnd"/>
      <w:r w:rsidR="00E05B22" w:rsidRPr="003E0C66">
        <w:t xml:space="preserve">, </w:t>
      </w:r>
      <w:r w:rsidR="00DB2F78">
        <w:t>cytowany powyżej,</w:t>
      </w:r>
      <w:r w:rsidR="00D63343" w:rsidRPr="003E0C66">
        <w:rPr>
          <w:snapToGrid w:val="0"/>
        </w:rPr>
        <w:t xml:space="preserve"> §§ 54-56 oraz</w:t>
      </w:r>
      <w:r w:rsidR="00E05B22" w:rsidRPr="003E0C66">
        <w:rPr>
          <w:snapToGrid w:val="0"/>
        </w:rPr>
        <w:t xml:space="preserve"> </w:t>
      </w:r>
      <w:proofErr w:type="spellStart"/>
      <w:r w:rsidR="00E05B22" w:rsidRPr="003E0C66">
        <w:rPr>
          <w:i/>
        </w:rPr>
        <w:t>Nikolitsas</w:t>
      </w:r>
      <w:proofErr w:type="spellEnd"/>
      <w:r w:rsidR="00E05B22" w:rsidRPr="003E0C66">
        <w:rPr>
          <w:snapToGrid w:val="0"/>
        </w:rPr>
        <w:t xml:space="preserve">, </w:t>
      </w:r>
      <w:r w:rsidR="00DB2F78">
        <w:t>cytowany powyżej,</w:t>
      </w:r>
      <w:r w:rsidR="00E05B22" w:rsidRPr="003E0C66">
        <w:rPr>
          <w:snapToGrid w:val="0"/>
        </w:rPr>
        <w:t xml:space="preserve"> § 36</w:t>
      </w:r>
      <w:r w:rsidR="00E05B22" w:rsidRPr="003E0C66">
        <w:rPr>
          <w:rFonts w:ascii="Times New Roman" w:hAnsi="Times New Roman"/>
        </w:rPr>
        <w:t>).</w:t>
      </w:r>
    </w:p>
    <w:p w:rsidR="00E05B22" w:rsidRPr="003E0C66" w:rsidRDefault="00E05B22" w:rsidP="00BC0CE7">
      <w:pPr>
        <w:pStyle w:val="ECHRHeading5"/>
      </w:pPr>
      <w:r w:rsidRPr="003E0C66">
        <w:t>(iii)  </w:t>
      </w:r>
      <w:r w:rsidR="00D653D7" w:rsidRPr="003E0C66">
        <w:t>Czy wyst</w:t>
      </w:r>
      <w:r w:rsidR="000F246B">
        <w:t>ąpiły właściwe czynniki wyrówn</w:t>
      </w:r>
      <w:r w:rsidR="00D653D7" w:rsidRPr="003E0C66">
        <w:t xml:space="preserve">ujące mające na celu rekompensatę utrudnień, z którymi musiała zmierzyć się obrona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125</w:t>
      </w:r>
      <w:r w:rsidRPr="003E0C66">
        <w:fldChar w:fldCharType="end"/>
      </w:r>
      <w:r w:rsidR="00B96E3F" w:rsidRPr="003E0C66">
        <w:t xml:space="preserve">. W odniesieniu do kwestii, czy wystąpiły odpowiednie czynniki wyrównawcze mające na celu rekompensatę utrudnień, </w:t>
      </w:r>
      <w:r w:rsidR="00B756BF">
        <w:t xml:space="preserve">z </w:t>
      </w:r>
      <w:r w:rsidR="00B96E3F" w:rsidRPr="003E0C66">
        <w:t xml:space="preserve">którymi musiała zmierzyć się obrona w rezultacie </w:t>
      </w:r>
      <w:r w:rsidR="00843708">
        <w:t>dopuszczenia</w:t>
      </w:r>
      <w:r w:rsidR="00843708" w:rsidRPr="003E0C66">
        <w:t xml:space="preserve"> </w:t>
      </w:r>
      <w:r w:rsidR="00B96E3F" w:rsidRPr="003E0C66">
        <w:t xml:space="preserve">niezweryfikowanego dowodu z zeznań </w:t>
      </w:r>
      <w:r w:rsidR="00843708">
        <w:t>świadka</w:t>
      </w:r>
      <w:r w:rsidR="00843708" w:rsidRPr="003E0C66">
        <w:t xml:space="preserve"> </w:t>
      </w:r>
      <w:r w:rsidR="00B96E3F" w:rsidRPr="003E0C66">
        <w:t xml:space="preserve">podczas </w:t>
      </w:r>
      <w:r w:rsidR="00843708">
        <w:t>rozprawy</w:t>
      </w:r>
      <w:r w:rsidR="00843708" w:rsidRPr="003E0C66">
        <w:t xml:space="preserve"> </w:t>
      </w:r>
      <w:r w:rsidR="00B96E3F" w:rsidRPr="003E0C66">
        <w:t xml:space="preserve">(trzeci etap </w:t>
      </w:r>
      <w:r w:rsidR="00843708">
        <w:t>testu</w:t>
      </w:r>
      <w:r w:rsidR="00843708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i/>
          <w:szCs w:val="20"/>
        </w:rPr>
        <w:t>Al-Khawaja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), </w:t>
      </w:r>
      <w:r w:rsidR="00B96E3F" w:rsidRPr="003E0C66">
        <w:rPr>
          <w:rFonts w:ascii="Times New Roman" w:eastAsia="Times New Roman" w:hAnsi="Times New Roman" w:cs="Times New Roman"/>
          <w:szCs w:val="20"/>
        </w:rPr>
        <w:t xml:space="preserve">Trybunał podkreśla, iż wyrównujące czynniki muszą zapewnić przeprowadzenie sprawiedliwej i rzetelnej oceny wiarygodności </w:t>
      </w:r>
      <w:r w:rsidR="00843708">
        <w:rPr>
          <w:rFonts w:ascii="Times New Roman" w:eastAsia="Times New Roman" w:hAnsi="Times New Roman" w:cs="Times New Roman"/>
          <w:szCs w:val="20"/>
        </w:rPr>
        <w:t xml:space="preserve">tego </w:t>
      </w:r>
      <w:r w:rsidR="00B96E3F" w:rsidRPr="003E0C66">
        <w:rPr>
          <w:rFonts w:ascii="Times New Roman" w:eastAsia="Times New Roman" w:hAnsi="Times New Roman" w:cs="Times New Roman"/>
          <w:szCs w:val="20"/>
        </w:rPr>
        <w:t>dowod</w:t>
      </w:r>
      <w:r w:rsidR="00843708">
        <w:rPr>
          <w:rFonts w:ascii="Times New Roman" w:eastAsia="Times New Roman" w:hAnsi="Times New Roman" w:cs="Times New Roman"/>
          <w:szCs w:val="20"/>
        </w:rPr>
        <w:t>u</w:t>
      </w:r>
      <w:r w:rsidR="00B96E3F" w:rsidRPr="003E0C66">
        <w:rPr>
          <w:rFonts w:ascii="Times New Roman" w:eastAsia="Times New Roman" w:hAnsi="Times New Roman" w:cs="Times New Roman"/>
          <w:szCs w:val="20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</w:rPr>
        <w:t>(</w:t>
      </w:r>
      <w:r w:rsidR="00B96E3F" w:rsidRPr="003E0C66">
        <w:t>zobacz</w:t>
      </w:r>
      <w:r w:rsidR="00E05B22" w:rsidRPr="003E0C66">
        <w:t xml:space="preserve"> </w:t>
      </w:r>
      <w:r w:rsidR="00E05B22" w:rsidRPr="003E0C66">
        <w:rPr>
          <w:i/>
        </w:rPr>
        <w:t xml:space="preserve">Al-Khawaja </w:t>
      </w:r>
      <w:r w:rsidR="00681C2C">
        <w:rPr>
          <w:i/>
        </w:rPr>
        <w:t>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843708">
        <w:t>cytowany powyżej</w:t>
      </w:r>
      <w:r w:rsidR="00E05B22" w:rsidRPr="003E0C66">
        <w:t xml:space="preserve">, </w:t>
      </w:r>
      <w:r w:rsidR="00E05B22" w:rsidRPr="003E0C66">
        <w:rPr>
          <w:rFonts w:ascii="Times New Roman" w:eastAsia="Times New Roman" w:hAnsi="Times New Roman" w:cs="Times New Roman"/>
          <w:szCs w:val="20"/>
        </w:rPr>
        <w:t>§ 147).</w:t>
      </w:r>
    </w:p>
    <w:p w:rsidR="00E05B22" w:rsidRPr="003E0C66" w:rsidRDefault="006B25B0" w:rsidP="00BC0CE7">
      <w:pPr>
        <w:pStyle w:val="ECHRPara"/>
        <w:rPr>
          <w:snapToGrid w:val="0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126</w:t>
      </w:r>
      <w:r w:rsidRPr="003E0C66">
        <w:fldChar w:fldCharType="end"/>
      </w:r>
      <w:r w:rsidR="00E05B22" w:rsidRPr="003E0C66">
        <w:t>.  </w:t>
      </w:r>
      <w:r w:rsidR="00B96E3F" w:rsidRPr="003E0C66">
        <w:t xml:space="preserve">Fakt, iż </w:t>
      </w:r>
      <w:r w:rsidR="00843708">
        <w:t>s</w:t>
      </w:r>
      <w:r w:rsidR="00B96E3F" w:rsidRPr="003E0C66">
        <w:t xml:space="preserve">ądy krajowe </w:t>
      </w:r>
      <w:r w:rsidR="00843708">
        <w:t>dopuściły</w:t>
      </w:r>
      <w:r w:rsidR="00843708" w:rsidRPr="003E0C66">
        <w:t xml:space="preserve"> </w:t>
      </w:r>
      <w:r w:rsidR="00445B8C" w:rsidRPr="003E0C66">
        <w:t>niezweryfikowan</w:t>
      </w:r>
      <w:r w:rsidR="00843708">
        <w:t>y</w:t>
      </w:r>
      <w:r w:rsidR="00445B8C" w:rsidRPr="003E0C66">
        <w:t xml:space="preserve"> dow</w:t>
      </w:r>
      <w:r w:rsidR="00843708">
        <w:t>ód</w:t>
      </w:r>
      <w:r w:rsidR="00445B8C" w:rsidRPr="003E0C66">
        <w:t xml:space="preserve"> z zeznań nieobecn</w:t>
      </w:r>
      <w:r w:rsidR="00843708">
        <w:t>ego</w:t>
      </w:r>
      <w:r w:rsidR="00445B8C" w:rsidRPr="003E0C66">
        <w:t xml:space="preserve"> świadk</w:t>
      </w:r>
      <w:r w:rsidR="00843708">
        <w:t>a</w:t>
      </w:r>
      <w:r w:rsidR="00445B8C" w:rsidRPr="003E0C66">
        <w:t xml:space="preserve"> ze szczególną </w:t>
      </w:r>
      <w:r w:rsidR="00843708">
        <w:t>rozwagą</w:t>
      </w:r>
      <w:r w:rsidR="00445B8C" w:rsidRPr="003E0C66">
        <w:t>, Trybunał potraktował jako ważn</w:t>
      </w:r>
      <w:r w:rsidR="00843708">
        <w:t>e</w:t>
      </w:r>
      <w:r w:rsidR="00445B8C" w:rsidRPr="003E0C66">
        <w:t xml:space="preserve"> </w:t>
      </w:r>
      <w:r w:rsidR="00843708">
        <w:t>zabezpieczenie</w:t>
      </w:r>
      <w:r w:rsidR="00843708" w:rsidRPr="003E0C66">
        <w:t xml:space="preserve"> </w:t>
      </w:r>
      <w:r w:rsidR="00E05B22" w:rsidRPr="003E0C66">
        <w:rPr>
          <w:rFonts w:ascii="Times New Roman" w:hAnsi="Times New Roman"/>
        </w:rPr>
        <w:t>(</w:t>
      </w:r>
      <w:r w:rsidR="00445B8C" w:rsidRPr="003E0C66">
        <w:rPr>
          <w:rFonts w:ascii="Times New Roman" w:hAnsi="Times New Roman"/>
        </w:rPr>
        <w:t>por.</w:t>
      </w:r>
      <w:r w:rsidR="00E05B22" w:rsidRPr="003E0C66">
        <w:rPr>
          <w:rFonts w:ascii="Times New Roman" w:hAnsi="Times New Roman"/>
        </w:rPr>
        <w:t xml:space="preserve"> </w:t>
      </w:r>
      <w:r w:rsidR="00E05B22" w:rsidRPr="003E0C66">
        <w:rPr>
          <w:i/>
        </w:rPr>
        <w:t xml:space="preserve">Al-Khawaja </w:t>
      </w:r>
      <w:r w:rsidR="00445B8C" w:rsidRPr="003E0C66">
        <w:rPr>
          <w:i/>
        </w:rPr>
        <w:t>i</w:t>
      </w:r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Tahery</w:t>
      </w:r>
      <w:r w:rsidR="00E05B22" w:rsidRPr="003E0C66">
        <w:t>,</w:t>
      </w:r>
      <w:r w:rsidR="00843708">
        <w:t>cytowany</w:t>
      </w:r>
      <w:proofErr w:type="spellEnd"/>
      <w:r w:rsidR="00843708">
        <w:t xml:space="preserve"> powyżej</w:t>
      </w:r>
      <w:r w:rsidR="00E05B22" w:rsidRPr="003E0C66">
        <w:t>, § 161</w:t>
      </w:r>
      <w:r w:rsidR="00E05B22" w:rsidRPr="003E0C66">
        <w:rPr>
          <w:rFonts w:ascii="Times New Roman" w:hAnsi="Times New Roman"/>
        </w:rPr>
        <w:t xml:space="preserve">; </w:t>
      </w:r>
      <w:r w:rsidR="00E05B22" w:rsidRPr="003E0C66">
        <w:rPr>
          <w:rFonts w:ascii="Times New Roman" w:eastAsia="Times New Roman" w:hAnsi="Times New Roman" w:cs="Times New Roman"/>
          <w:i/>
          <w:szCs w:val="24"/>
        </w:rPr>
        <w:t>Gani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, </w:t>
      </w:r>
      <w:r w:rsidR="00843708">
        <w:rPr>
          <w:rFonts w:ascii="Times New Roman" w:eastAsia="Times New Roman" w:hAnsi="Times New Roman" w:cs="Times New Roman"/>
          <w:szCs w:val="24"/>
        </w:rPr>
        <w:t>cytowany powyżej,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 § 48</w:t>
      </w:r>
      <w:r w:rsidR="00E05B22" w:rsidRPr="003E0C66">
        <w:rPr>
          <w:rFonts w:ascii="Times New Roman" w:hAnsi="Times New Roman"/>
        </w:rPr>
        <w:t xml:space="preserve"> </w:t>
      </w:r>
      <w:r w:rsidR="00445B8C" w:rsidRPr="003E0C66">
        <w:rPr>
          <w:rFonts w:ascii="Times New Roman" w:hAnsi="Times New Roman"/>
        </w:rPr>
        <w:t>oraz</w:t>
      </w:r>
      <w:r w:rsidR="00E05B22" w:rsidRPr="003E0C66">
        <w:rPr>
          <w:rFonts w:ascii="Times New Roman" w:hAnsi="Times New Roman"/>
        </w:rPr>
        <w:t xml:space="preserve"> </w:t>
      </w:r>
      <w:proofErr w:type="spellStart"/>
      <w:r w:rsidR="00E05B22" w:rsidRPr="003E0C66">
        <w:rPr>
          <w:i/>
        </w:rPr>
        <w:t>Brzuszczyński</w:t>
      </w:r>
      <w:proofErr w:type="spellEnd"/>
      <w:r w:rsidR="00E05B22" w:rsidRPr="003E0C66">
        <w:rPr>
          <w:i/>
        </w:rPr>
        <w:t xml:space="preserve"> </w:t>
      </w:r>
      <w:r w:rsidR="00445B8C" w:rsidRPr="003E0C66">
        <w:rPr>
          <w:i/>
        </w:rPr>
        <w:t>przeciwko Polsce</w:t>
      </w:r>
      <w:r w:rsidR="00445B8C" w:rsidRPr="003E0C66">
        <w:t xml:space="preserve">, </w:t>
      </w:r>
      <w:r w:rsidR="00F749AE" w:rsidRPr="003E0C66">
        <w:t>nr</w:t>
      </w:r>
      <w:r w:rsidR="00E05B22" w:rsidRPr="003E0C66">
        <w:t xml:space="preserve"> 23789/09</w:t>
      </w:r>
      <w:r w:rsidR="0032373E" w:rsidRPr="003E0C66">
        <w:rPr>
          <w:snapToGrid w:val="0"/>
        </w:rPr>
        <w:t>, §§</w:t>
      </w:r>
      <w:r w:rsidR="00E05B22" w:rsidRPr="003E0C66">
        <w:rPr>
          <w:snapToGrid w:val="0"/>
        </w:rPr>
        <w:t> 85</w:t>
      </w:r>
      <w:r w:rsidR="00E05B22" w:rsidRPr="003E0C66">
        <w:rPr>
          <w:snapToGrid w:val="0"/>
        </w:rPr>
        <w:noBreakHyphen/>
        <w:t>86, 17 </w:t>
      </w:r>
      <w:r w:rsidR="0032373E" w:rsidRPr="003E0C66">
        <w:rPr>
          <w:snapToGrid w:val="0"/>
        </w:rPr>
        <w:t>września</w:t>
      </w:r>
      <w:r w:rsidR="00E05B22" w:rsidRPr="003E0C66">
        <w:rPr>
          <w:snapToGrid w:val="0"/>
        </w:rPr>
        <w:t xml:space="preserve"> 2013</w:t>
      </w:r>
      <w:r w:rsidR="00843708">
        <w:rPr>
          <w:snapToGrid w:val="0"/>
        </w:rPr>
        <w:t xml:space="preserve"> roku</w:t>
      </w:r>
      <w:r w:rsidR="00E05B22" w:rsidRPr="003E0C66">
        <w:rPr>
          <w:snapToGrid w:val="0"/>
        </w:rPr>
        <w:t>).</w:t>
      </w:r>
      <w:r w:rsidR="00445B8C" w:rsidRPr="003E0C66">
        <w:rPr>
          <w:snapToGrid w:val="0"/>
        </w:rPr>
        <w:t xml:space="preserve"> Sądy </w:t>
      </w:r>
      <w:r w:rsidR="00C86F21">
        <w:rPr>
          <w:snapToGrid w:val="0"/>
        </w:rPr>
        <w:t>musiały wykazać</w:t>
      </w:r>
      <w:r w:rsidR="00445B8C" w:rsidRPr="003E0C66">
        <w:rPr>
          <w:snapToGrid w:val="0"/>
        </w:rPr>
        <w:t xml:space="preserve">, </w:t>
      </w:r>
      <w:r w:rsidR="00681C2C">
        <w:rPr>
          <w:snapToGrid w:val="0"/>
        </w:rPr>
        <w:t xml:space="preserve">że </w:t>
      </w:r>
      <w:r w:rsidR="00445B8C" w:rsidRPr="003E0C66">
        <w:rPr>
          <w:snapToGrid w:val="0"/>
        </w:rPr>
        <w:t>zdawa</w:t>
      </w:r>
      <w:r w:rsidR="00C86F21">
        <w:rPr>
          <w:snapToGrid w:val="0"/>
        </w:rPr>
        <w:t>ły</w:t>
      </w:r>
      <w:r w:rsidR="00445B8C" w:rsidRPr="003E0C66">
        <w:rPr>
          <w:snapToGrid w:val="0"/>
        </w:rPr>
        <w:t xml:space="preserve"> sobie sprawę</w:t>
      </w:r>
      <w:r w:rsidR="0032373E" w:rsidRPr="003E0C66">
        <w:rPr>
          <w:snapToGrid w:val="0"/>
        </w:rPr>
        <w:t>,</w:t>
      </w:r>
      <w:r w:rsidR="00445B8C" w:rsidRPr="003E0C66">
        <w:rPr>
          <w:snapToGrid w:val="0"/>
        </w:rPr>
        <w:t xml:space="preserve"> że zeznania nieobecn</w:t>
      </w:r>
      <w:r w:rsidR="00C86F21">
        <w:rPr>
          <w:snapToGrid w:val="0"/>
        </w:rPr>
        <w:t>ego</w:t>
      </w:r>
      <w:r w:rsidR="00445B8C" w:rsidRPr="003E0C66">
        <w:rPr>
          <w:snapToGrid w:val="0"/>
        </w:rPr>
        <w:t xml:space="preserve"> świadk</w:t>
      </w:r>
      <w:r w:rsidR="00C86F21">
        <w:rPr>
          <w:snapToGrid w:val="0"/>
        </w:rPr>
        <w:t>a</w:t>
      </w:r>
      <w:r w:rsidR="00445B8C" w:rsidRPr="003E0C66">
        <w:rPr>
          <w:snapToGrid w:val="0"/>
        </w:rPr>
        <w:t xml:space="preserve"> </w:t>
      </w:r>
      <w:r w:rsidR="00C86F21">
        <w:rPr>
          <w:snapToGrid w:val="0"/>
        </w:rPr>
        <w:t>są mniejszej wagi</w:t>
      </w:r>
      <w:r w:rsidR="00445B8C" w:rsidRPr="003E0C66">
        <w:rPr>
          <w:snapToGrid w:val="0"/>
        </w:rPr>
        <w:t xml:space="preserve"> (porównaj</w:t>
      </w:r>
      <w:r w:rsidR="00E05B22" w:rsidRPr="003E0C66">
        <w:rPr>
          <w:snapToGrid w:val="0"/>
        </w:rPr>
        <w:t xml:space="preserve">, </w:t>
      </w:r>
      <w:r w:rsidR="0032373E" w:rsidRPr="003E0C66">
        <w:rPr>
          <w:snapToGrid w:val="0"/>
        </w:rPr>
        <w:t>na przykła</w:t>
      </w:r>
      <w:r w:rsidR="00445B8C" w:rsidRPr="003E0C66">
        <w:rPr>
          <w:snapToGrid w:val="0"/>
        </w:rPr>
        <w:t>d</w:t>
      </w:r>
      <w:r w:rsidR="00E05B22" w:rsidRPr="003E0C66">
        <w:rPr>
          <w:snapToGrid w:val="0"/>
        </w:rPr>
        <w:t xml:space="preserve">, </w:t>
      </w:r>
      <w:r w:rsidR="00E05B22" w:rsidRPr="003E0C66">
        <w:rPr>
          <w:i/>
        </w:rPr>
        <w:t xml:space="preserve">Al-Khawaja </w:t>
      </w:r>
      <w:r w:rsidR="0032373E" w:rsidRPr="003E0C66">
        <w:rPr>
          <w:i/>
        </w:rPr>
        <w:t>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C86F21">
        <w:t>cytowany powyżej,</w:t>
      </w:r>
      <w:r w:rsidR="00E05B22" w:rsidRPr="003E0C66">
        <w:t xml:space="preserve"> § 157 </w:t>
      </w:r>
      <w:r w:rsidR="00445B8C" w:rsidRPr="003E0C66">
        <w:t>oraz</w:t>
      </w:r>
      <w:r w:rsidR="00E05B22" w:rsidRPr="003E0C66">
        <w:t xml:space="preserve"> </w:t>
      </w:r>
      <w:proofErr w:type="spellStart"/>
      <w:r w:rsidR="00E05B22" w:rsidRPr="003E0C66">
        <w:rPr>
          <w:i/>
          <w:snapToGrid w:val="0"/>
        </w:rPr>
        <w:t>Bobeş</w:t>
      </w:r>
      <w:proofErr w:type="spellEnd"/>
      <w:r w:rsidR="00E05B22" w:rsidRPr="003E0C66">
        <w:rPr>
          <w:snapToGrid w:val="0"/>
        </w:rPr>
        <w:t xml:space="preserve">, </w:t>
      </w:r>
      <w:r w:rsidR="00C86F21">
        <w:rPr>
          <w:snapToGrid w:val="0"/>
        </w:rPr>
        <w:t>cytowany powyżej,</w:t>
      </w:r>
      <w:r w:rsidR="00E05B22" w:rsidRPr="003E0C66">
        <w:rPr>
          <w:snapToGrid w:val="0"/>
        </w:rPr>
        <w:t xml:space="preserve"> § 46). </w:t>
      </w:r>
      <w:r w:rsidR="00445B8C" w:rsidRPr="003E0C66">
        <w:rPr>
          <w:snapToGrid w:val="0"/>
        </w:rPr>
        <w:t xml:space="preserve">Trybunał </w:t>
      </w:r>
      <w:r w:rsidR="00C86F21">
        <w:rPr>
          <w:snapToGrid w:val="0"/>
        </w:rPr>
        <w:t>brał</w:t>
      </w:r>
      <w:r w:rsidR="00C86F21" w:rsidRPr="003E0C66">
        <w:rPr>
          <w:snapToGrid w:val="0"/>
        </w:rPr>
        <w:t xml:space="preserve"> </w:t>
      </w:r>
      <w:r w:rsidR="00445B8C" w:rsidRPr="003E0C66">
        <w:rPr>
          <w:snapToGrid w:val="0"/>
        </w:rPr>
        <w:t xml:space="preserve">pod uwagę, w tym kontekście, </w:t>
      </w:r>
      <w:r w:rsidR="00C86F21">
        <w:rPr>
          <w:snapToGrid w:val="0"/>
        </w:rPr>
        <w:t>czy</w:t>
      </w:r>
      <w:r w:rsidR="00C86F21" w:rsidRPr="003E0C66">
        <w:rPr>
          <w:snapToGrid w:val="0"/>
        </w:rPr>
        <w:t xml:space="preserve"> </w:t>
      </w:r>
      <w:r w:rsidR="00445B8C" w:rsidRPr="003E0C66">
        <w:rPr>
          <w:snapToGrid w:val="0"/>
        </w:rPr>
        <w:t>sądy krajowe dostarczyły szczegółowe uzasadnienie</w:t>
      </w:r>
      <w:r w:rsidR="00C86F21">
        <w:rPr>
          <w:snapToGrid w:val="0"/>
        </w:rPr>
        <w:t xml:space="preserve"> co do tego,</w:t>
      </w:r>
      <w:r w:rsidR="00445B8C" w:rsidRPr="003E0C66">
        <w:rPr>
          <w:snapToGrid w:val="0"/>
        </w:rPr>
        <w:t xml:space="preserve"> dlaczego uznały </w:t>
      </w:r>
      <w:r w:rsidR="00C86F21">
        <w:rPr>
          <w:snapToGrid w:val="0"/>
        </w:rPr>
        <w:t>ten</w:t>
      </w:r>
      <w:r w:rsidR="00C86F21" w:rsidRPr="003E0C66">
        <w:rPr>
          <w:snapToGrid w:val="0"/>
        </w:rPr>
        <w:t xml:space="preserve"> </w:t>
      </w:r>
      <w:r w:rsidR="00445B8C" w:rsidRPr="003E0C66">
        <w:rPr>
          <w:snapToGrid w:val="0"/>
        </w:rPr>
        <w:t>dow</w:t>
      </w:r>
      <w:r w:rsidR="00C86F21">
        <w:rPr>
          <w:snapToGrid w:val="0"/>
        </w:rPr>
        <w:t>ód</w:t>
      </w:r>
      <w:r w:rsidR="00445B8C" w:rsidRPr="003E0C66">
        <w:rPr>
          <w:snapToGrid w:val="0"/>
        </w:rPr>
        <w:t xml:space="preserve"> za wiarygodn</w:t>
      </w:r>
      <w:r w:rsidR="00C86F21">
        <w:rPr>
          <w:snapToGrid w:val="0"/>
        </w:rPr>
        <w:t>y</w:t>
      </w:r>
      <w:r w:rsidR="00445B8C" w:rsidRPr="003E0C66">
        <w:rPr>
          <w:snapToGrid w:val="0"/>
        </w:rPr>
        <w:t xml:space="preserve">, mając również na uwadze inne dostępne dowody </w:t>
      </w:r>
      <w:r w:rsidR="00E05B22" w:rsidRPr="003E0C66">
        <w:rPr>
          <w:snapToGrid w:val="0"/>
        </w:rPr>
        <w:t>(</w:t>
      </w:r>
      <w:r w:rsidR="00445B8C" w:rsidRPr="003E0C66">
        <w:rPr>
          <w:snapToGrid w:val="0"/>
        </w:rPr>
        <w:t>zobacz</w:t>
      </w:r>
      <w:r w:rsidR="00E05B22" w:rsidRPr="003E0C66">
        <w:rPr>
          <w:snapToGrid w:val="0"/>
        </w:rPr>
        <w:t> </w:t>
      </w:r>
      <w:proofErr w:type="spellStart"/>
      <w:r w:rsidR="00E05B22" w:rsidRPr="003E0C66">
        <w:rPr>
          <w:rFonts w:ascii="Times New Roman" w:eastAsia="Calibri" w:hAnsi="Times New Roman" w:cs="Times New Roman"/>
          <w:i/>
        </w:rPr>
        <w:t>Brzuszczyński</w:t>
      </w:r>
      <w:proofErr w:type="spellEnd"/>
      <w:r w:rsidR="00E05B22" w:rsidRPr="003E0C66">
        <w:rPr>
          <w:rFonts w:ascii="Times New Roman" w:eastAsia="Calibri" w:hAnsi="Times New Roman" w:cs="Times New Roman"/>
        </w:rPr>
        <w:t xml:space="preserve">, </w:t>
      </w:r>
      <w:r w:rsidR="00C86F21">
        <w:rPr>
          <w:rFonts w:ascii="Times New Roman" w:eastAsia="Calibri" w:hAnsi="Times New Roman" w:cs="Times New Roman"/>
        </w:rPr>
        <w:t>cytowany powyżej,</w:t>
      </w:r>
      <w:r w:rsidR="00445B8C" w:rsidRPr="003E0C66">
        <w:rPr>
          <w:rFonts w:ascii="Times New Roman" w:eastAsia="Calibri" w:hAnsi="Times New Roman" w:cs="Times New Roman"/>
          <w:snapToGrid w:val="0"/>
        </w:rPr>
        <w:t xml:space="preserve"> §§ 85-86 i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89; </w:t>
      </w:r>
      <w:proofErr w:type="spellStart"/>
      <w:r w:rsidR="00E05B22" w:rsidRPr="003E0C66">
        <w:rPr>
          <w:i/>
        </w:rPr>
        <w:t>Prăjină</w:t>
      </w:r>
      <w:proofErr w:type="spellEnd"/>
      <w:r w:rsidR="00E05B22" w:rsidRPr="003E0C66">
        <w:t xml:space="preserve">, </w:t>
      </w:r>
      <w:r w:rsidR="00C86F21">
        <w:t>cytowany powyżej,</w:t>
      </w:r>
      <w:r w:rsidR="00E05B22" w:rsidRPr="003E0C66">
        <w:rPr>
          <w:snapToGrid w:val="0"/>
        </w:rPr>
        <w:t xml:space="preserve"> § 59 </w:t>
      </w:r>
      <w:r w:rsidR="00C479F9" w:rsidRPr="003E0C66">
        <w:rPr>
          <w:rFonts w:ascii="Times New Roman" w:eastAsia="Calibri" w:hAnsi="Times New Roman" w:cs="Times New Roman"/>
          <w:szCs w:val="24"/>
        </w:rPr>
        <w:t>oraz</w:t>
      </w:r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Nikolitsas</w:t>
      </w:r>
      <w:proofErr w:type="spellEnd"/>
      <w:r w:rsidR="00E05B22" w:rsidRPr="003E0C66">
        <w:rPr>
          <w:snapToGrid w:val="0"/>
        </w:rPr>
        <w:t xml:space="preserve">, </w:t>
      </w:r>
      <w:r w:rsidR="00C86F21">
        <w:t>cytowany powyżej,</w:t>
      </w:r>
      <w:r w:rsidR="00E05B22" w:rsidRPr="003E0C66">
        <w:rPr>
          <w:snapToGrid w:val="0"/>
        </w:rPr>
        <w:t xml:space="preserve"> § 37). </w:t>
      </w:r>
      <w:r w:rsidR="003843D2" w:rsidRPr="003E0C66">
        <w:rPr>
          <w:snapToGrid w:val="0"/>
        </w:rPr>
        <w:t xml:space="preserve">Podobnie </w:t>
      </w:r>
      <w:r w:rsidR="00681C2C">
        <w:rPr>
          <w:snapToGrid w:val="0"/>
        </w:rPr>
        <w:t>wzięto</w:t>
      </w:r>
      <w:r w:rsidR="006F1C9B">
        <w:rPr>
          <w:snapToGrid w:val="0"/>
        </w:rPr>
        <w:t xml:space="preserve"> pod uwagę</w:t>
      </w:r>
      <w:r w:rsidR="00C97406" w:rsidRPr="003E0C66">
        <w:rPr>
          <w:snapToGrid w:val="0"/>
        </w:rPr>
        <w:t xml:space="preserve"> </w:t>
      </w:r>
      <w:r w:rsidR="003843D2" w:rsidRPr="003E0C66">
        <w:rPr>
          <w:snapToGrid w:val="0"/>
        </w:rPr>
        <w:t xml:space="preserve">wszelkie wskazówki </w:t>
      </w:r>
      <w:r w:rsidR="006F1C9B">
        <w:rPr>
          <w:snapToGrid w:val="0"/>
        </w:rPr>
        <w:t>przedstawione przez sędziego orzekającego,</w:t>
      </w:r>
      <w:r w:rsidR="003843D2" w:rsidRPr="003E0C66">
        <w:rPr>
          <w:snapToGrid w:val="0"/>
        </w:rPr>
        <w:t xml:space="preserve"> </w:t>
      </w:r>
      <w:r w:rsidR="00C86F21">
        <w:rPr>
          <w:snapToGrid w:val="0"/>
        </w:rPr>
        <w:t>co do podejścia do</w:t>
      </w:r>
      <w:r w:rsidR="00C86F21" w:rsidRPr="003E0C66">
        <w:rPr>
          <w:snapToGrid w:val="0"/>
        </w:rPr>
        <w:t xml:space="preserve"> </w:t>
      </w:r>
      <w:r w:rsidR="00B44992" w:rsidRPr="003E0C66">
        <w:rPr>
          <w:snapToGrid w:val="0"/>
        </w:rPr>
        <w:t>dowodów z zeznań nieobecnych świadków</w:t>
      </w:r>
      <w:r w:rsidR="003843D2" w:rsidRPr="003E0C66">
        <w:rPr>
          <w:snapToGrid w:val="0"/>
        </w:rPr>
        <w:t xml:space="preserve"> </w:t>
      </w:r>
      <w:r w:rsidR="00E05B22" w:rsidRPr="003E0C66">
        <w:rPr>
          <w:snapToGrid w:val="0"/>
        </w:rPr>
        <w:t>(</w:t>
      </w:r>
      <w:r w:rsidR="00B44992" w:rsidRPr="003E0C66">
        <w:rPr>
          <w:snapToGrid w:val="0"/>
        </w:rPr>
        <w:t>zobacz</w:t>
      </w:r>
      <w:r w:rsidR="00E05B22" w:rsidRPr="003E0C66">
        <w:rPr>
          <w:snapToGrid w:val="0"/>
        </w:rPr>
        <w:t xml:space="preserve">, </w:t>
      </w:r>
      <w:r w:rsidR="00B44992" w:rsidRPr="003E0C66">
        <w:rPr>
          <w:snapToGrid w:val="0"/>
        </w:rPr>
        <w:t>na przykład</w:t>
      </w:r>
      <w:r w:rsidR="00E05B22" w:rsidRPr="003E0C66">
        <w:rPr>
          <w:snapToGrid w:val="0"/>
        </w:rPr>
        <w:t xml:space="preserve">,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Sellick</w:t>
      </w:r>
      <w:proofErr w:type="spellEnd"/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 </w:t>
      </w:r>
      <w:r w:rsidR="00D461EB" w:rsidRPr="003E0C66">
        <w:rPr>
          <w:rFonts w:ascii="Times New Roman" w:eastAsia="Calibri" w:hAnsi="Times New Roman" w:cs="Times New Roman"/>
          <w:i/>
          <w:snapToGrid w:val="0"/>
        </w:rPr>
        <w:t>i</w:t>
      </w:r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 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Sellick</w:t>
      </w:r>
      <w:proofErr w:type="spellEnd"/>
      <w:r w:rsidR="00E05B22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C86F21">
        <w:rPr>
          <w:rFonts w:ascii="Times New Roman" w:eastAsia="Calibri" w:hAnsi="Times New Roman" w:cs="Times New Roman"/>
          <w:snapToGrid w:val="0"/>
        </w:rPr>
        <w:t>cytowany powyżej,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§ 55</w:t>
      </w:r>
      <w:r w:rsidR="00E05B22" w:rsidRPr="003E0C66">
        <w:rPr>
          <w:snapToGrid w:val="0"/>
        </w:rPr>
        <w:t>).</w:t>
      </w:r>
    </w:p>
    <w:p w:rsidR="00E05B22" w:rsidRPr="003E0C66" w:rsidRDefault="006B25B0" w:rsidP="00BC0CE7">
      <w:pPr>
        <w:pStyle w:val="ECHRPara"/>
        <w:rPr>
          <w:rFonts w:ascii="Times New Roman" w:eastAsia="Calibri" w:hAnsi="Times New Roman" w:cs="Times New Roman"/>
          <w:szCs w:val="24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127</w:t>
      </w:r>
      <w:r w:rsidRPr="003E0C66">
        <w:fldChar w:fldCharType="end"/>
      </w:r>
      <w:r w:rsidR="00E05B22" w:rsidRPr="003E0C66">
        <w:t>.  </w:t>
      </w:r>
      <w:r w:rsidR="00B44992" w:rsidRPr="003E0C66">
        <w:t>Dodatkową gwarancją</w:t>
      </w:r>
      <w:r w:rsidR="00681C2C">
        <w:t>,</w:t>
      </w:r>
      <w:r w:rsidR="00B96E3F" w:rsidRPr="003E0C66">
        <w:t xml:space="preserve"> w </w:t>
      </w:r>
      <w:r w:rsidR="006F1C9B">
        <w:t>tym kontekście</w:t>
      </w:r>
      <w:r w:rsidR="00681C2C">
        <w:t>,</w:t>
      </w:r>
      <w:r w:rsidR="00B44992" w:rsidRPr="003E0C66">
        <w:t xml:space="preserve"> może być przedstawienie podczas rozprawy nagrania </w:t>
      </w:r>
      <w:r w:rsidR="00681C2C">
        <w:t>w</w:t>
      </w:r>
      <w:r w:rsidR="00B44992" w:rsidRPr="003E0C66">
        <w:t xml:space="preserve">ideo </w:t>
      </w:r>
      <w:r w:rsidR="006F1C9B">
        <w:t xml:space="preserve">z przesłuchania nieobecnych świadków </w:t>
      </w:r>
      <w:r w:rsidR="00B44992" w:rsidRPr="003E0C66">
        <w:lastRenderedPageBreak/>
        <w:t xml:space="preserve">sporządzonego na etapie dochodzenia, </w:t>
      </w:r>
      <w:r w:rsidR="006F1C9B">
        <w:t>w celu umożliwienia</w:t>
      </w:r>
      <w:r w:rsidR="00B44992" w:rsidRPr="003E0C66">
        <w:t xml:space="preserve"> sądowi, prokuraturze i obronie zaobserwowa</w:t>
      </w:r>
      <w:r w:rsidR="006F1C9B">
        <w:t>nia</w:t>
      </w:r>
      <w:r w:rsidR="00B44992" w:rsidRPr="003E0C66">
        <w:t xml:space="preserve"> w jaki sposób zachowywa</w:t>
      </w:r>
      <w:r w:rsidR="006F1C9B">
        <w:t>li</w:t>
      </w:r>
      <w:r w:rsidR="00B44992" w:rsidRPr="003E0C66">
        <w:t xml:space="preserve"> się </w:t>
      </w:r>
      <w:r w:rsidR="006F1C9B">
        <w:t>świadkowie</w:t>
      </w:r>
      <w:r w:rsidR="006F1C9B" w:rsidRPr="003E0C66">
        <w:t xml:space="preserve"> </w:t>
      </w:r>
      <w:r w:rsidR="00B44992" w:rsidRPr="003E0C66">
        <w:t xml:space="preserve">podczas składania zeznań oraz wypracowania własnego wrażenia </w:t>
      </w:r>
      <w:r w:rsidR="006F1C9B">
        <w:t xml:space="preserve">co do </w:t>
      </w:r>
      <w:r w:rsidR="00B44992" w:rsidRPr="003E0C66">
        <w:t xml:space="preserve">wiarygodności danego świadka </w:t>
      </w:r>
      <w:r w:rsidR="00E05B22" w:rsidRPr="003E0C66">
        <w:rPr>
          <w:rFonts w:ascii="Times New Roman" w:eastAsia="Calibri" w:hAnsi="Times New Roman" w:cs="Times New Roman"/>
          <w:szCs w:val="24"/>
        </w:rPr>
        <w:t>(</w:t>
      </w:r>
      <w:r w:rsidR="00B44992" w:rsidRPr="003E0C66">
        <w:rPr>
          <w:rFonts w:ascii="Times New Roman" w:eastAsia="Calibri" w:hAnsi="Times New Roman" w:cs="Times New Roman"/>
          <w:szCs w:val="24"/>
        </w:rPr>
        <w:t xml:space="preserve">zobacz </w:t>
      </w:r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A.G. </w:t>
      </w:r>
      <w:r w:rsidR="00B44992" w:rsidRPr="003E0C66">
        <w:rPr>
          <w:rFonts w:ascii="Times New Roman" w:eastAsia="Calibri" w:hAnsi="Times New Roman" w:cs="Times New Roman"/>
          <w:i/>
          <w:snapToGrid w:val="0"/>
        </w:rPr>
        <w:t>przeciwko Szwecji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6F1C9B">
        <w:rPr>
          <w:rFonts w:ascii="Times New Roman" w:eastAsia="Calibri" w:hAnsi="Times New Roman" w:cs="Times New Roman"/>
          <w:snapToGrid w:val="0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>;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E05B22" w:rsidRPr="003E0C66">
        <w:rPr>
          <w:i/>
        </w:rPr>
        <w:t xml:space="preserve">Chmura </w:t>
      </w:r>
      <w:r w:rsidR="00B44992" w:rsidRPr="003E0C66">
        <w:rPr>
          <w:i/>
        </w:rPr>
        <w:t>przeciwko Polce</w:t>
      </w:r>
      <w:r w:rsidR="00B44992" w:rsidRPr="003E0C66">
        <w:t xml:space="preserve">, </w:t>
      </w:r>
      <w:r w:rsidR="00F749AE" w:rsidRPr="003E0C66">
        <w:t>nr</w:t>
      </w:r>
      <w:r w:rsidR="00E05B22" w:rsidRPr="003E0C66">
        <w:t> 18</w:t>
      </w:r>
      <w:r w:rsidR="00B44992" w:rsidRPr="003E0C66">
        <w:t>475/05, § 50, 3 kwietnia</w:t>
      </w:r>
      <w:r w:rsidR="00E05B22" w:rsidRPr="003E0C66">
        <w:t xml:space="preserve"> 2012</w:t>
      </w:r>
      <w:r w:rsidR="006F1C9B">
        <w:t xml:space="preserve"> roku</w:t>
      </w:r>
      <w:r w:rsidR="00E05B22" w:rsidRPr="003E0C66">
        <w:rPr>
          <w:rFonts w:ascii="Times New Roman" w:eastAsia="Calibri" w:hAnsi="Times New Roman" w:cs="Times New Roman"/>
          <w:snapToGrid w:val="0"/>
          <w:szCs w:val="24"/>
        </w:rPr>
        <w:t>;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E05B22" w:rsidRPr="003E0C66">
        <w:rPr>
          <w:rFonts w:ascii="Times New Roman" w:eastAsia="Calibri" w:hAnsi="Times New Roman" w:cs="Times New Roman"/>
          <w:i/>
          <w:szCs w:val="24"/>
        </w:rPr>
        <w:t xml:space="preserve">D.T. </w:t>
      </w:r>
      <w:r w:rsidR="00B44992" w:rsidRPr="003E0C66">
        <w:rPr>
          <w:rFonts w:ascii="Times New Roman" w:eastAsia="Calibri" w:hAnsi="Times New Roman" w:cs="Times New Roman"/>
          <w:i/>
          <w:szCs w:val="24"/>
        </w:rPr>
        <w:t>przeciwko Holandii</w:t>
      </w:r>
      <w:r w:rsidR="00B44992" w:rsidRPr="003E0C66">
        <w:rPr>
          <w:rFonts w:ascii="Times New Roman" w:eastAsia="Calibri" w:hAnsi="Times New Roman" w:cs="Times New Roman"/>
          <w:szCs w:val="24"/>
        </w:rPr>
        <w:t xml:space="preserve"> (</w:t>
      </w:r>
      <w:proofErr w:type="spellStart"/>
      <w:r w:rsidR="00B44992" w:rsidRPr="003E0C66">
        <w:rPr>
          <w:rFonts w:ascii="Times New Roman" w:eastAsia="Calibri" w:hAnsi="Times New Roman" w:cs="Times New Roman"/>
          <w:szCs w:val="24"/>
        </w:rPr>
        <w:t>dec</w:t>
      </w:r>
      <w:proofErr w:type="spellEnd"/>
      <w:r w:rsidR="00B44992" w:rsidRPr="003E0C66">
        <w:rPr>
          <w:rFonts w:ascii="Times New Roman" w:eastAsia="Calibri" w:hAnsi="Times New Roman" w:cs="Times New Roman"/>
          <w:szCs w:val="24"/>
        </w:rPr>
        <w:t xml:space="preserve">.), </w:t>
      </w:r>
      <w:r w:rsidR="00F749AE" w:rsidRPr="003E0C66">
        <w:rPr>
          <w:rFonts w:ascii="Times New Roman" w:eastAsia="Calibri" w:hAnsi="Times New Roman" w:cs="Times New Roman"/>
          <w:szCs w:val="24"/>
        </w:rPr>
        <w:t>nr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25307/10, § 50, 2 </w:t>
      </w:r>
      <w:r w:rsidR="00B44992" w:rsidRPr="003E0C66">
        <w:rPr>
          <w:rFonts w:ascii="Times New Roman" w:eastAsia="Calibri" w:hAnsi="Times New Roman" w:cs="Times New Roman"/>
          <w:szCs w:val="24"/>
        </w:rPr>
        <w:t>kwietnia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2013</w:t>
      </w:r>
      <w:r w:rsidR="006F1C9B">
        <w:rPr>
          <w:rFonts w:ascii="Times New Roman" w:eastAsia="Calibri" w:hAnsi="Times New Roman" w:cs="Times New Roman"/>
          <w:szCs w:val="24"/>
        </w:rPr>
        <w:t xml:space="preserve"> roku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;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Yevgeniy</w:t>
      </w:r>
      <w:proofErr w:type="spellEnd"/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Ivanov</w:t>
      </w:r>
      <w:proofErr w:type="spellEnd"/>
      <w:r w:rsidR="00E05B22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6F1C9B">
        <w:rPr>
          <w:rFonts w:ascii="Times New Roman" w:eastAsia="Calibri" w:hAnsi="Times New Roman" w:cs="Times New Roman"/>
          <w:snapToGrid w:val="0"/>
        </w:rPr>
        <w:t>cytowany powyżej,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§ 49; </w:t>
      </w:r>
      <w:r w:rsidR="00E05B22" w:rsidRPr="003E0C66">
        <w:rPr>
          <w:i/>
        </w:rPr>
        <w:t xml:space="preserve">Rosin </w:t>
      </w:r>
      <w:r w:rsidR="00B44992" w:rsidRPr="003E0C66">
        <w:rPr>
          <w:i/>
        </w:rPr>
        <w:t>przeciwko Estonii</w:t>
      </w:r>
      <w:r w:rsidR="00B44992" w:rsidRPr="003E0C66">
        <w:t xml:space="preserve">, </w:t>
      </w:r>
      <w:r w:rsidR="00F749AE" w:rsidRPr="003E0C66">
        <w:t>nr</w:t>
      </w:r>
      <w:r w:rsidR="00E05B22" w:rsidRPr="003E0C66">
        <w:t xml:space="preserve"> 26540/08</w:t>
      </w:r>
      <w:r w:rsidR="00E05B22" w:rsidRPr="003E0C66">
        <w:rPr>
          <w:snapToGrid w:val="0"/>
        </w:rPr>
        <w:t>, § 62, 19  </w:t>
      </w:r>
      <w:r w:rsidR="00B44992" w:rsidRPr="003E0C66">
        <w:t xml:space="preserve">grudnia </w:t>
      </w:r>
      <w:r w:rsidR="00E05B22" w:rsidRPr="003E0C66">
        <w:rPr>
          <w:snapToGrid w:val="0"/>
        </w:rPr>
        <w:t xml:space="preserve"> 2013</w:t>
      </w:r>
      <w:r w:rsidR="006F1C9B">
        <w:rPr>
          <w:snapToGrid w:val="0"/>
        </w:rPr>
        <w:t xml:space="preserve"> roku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B44992" w:rsidRPr="003E0C66">
        <w:rPr>
          <w:rFonts w:ascii="Times New Roman" w:eastAsia="Calibri" w:hAnsi="Times New Roman" w:cs="Times New Roman"/>
          <w:szCs w:val="24"/>
        </w:rPr>
        <w:t xml:space="preserve">oraz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Gonzáles</w:t>
      </w:r>
      <w:proofErr w:type="spellEnd"/>
      <w:r w:rsidR="00E05B22" w:rsidRPr="003E0C66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Nájera</w:t>
      </w:r>
      <w:proofErr w:type="spellEnd"/>
      <w:r w:rsidR="00E05B22" w:rsidRPr="003E0C66">
        <w:rPr>
          <w:rFonts w:ascii="Times New Roman" w:eastAsia="Calibri" w:hAnsi="Times New Roman" w:cs="Times New Roman"/>
          <w:i/>
          <w:szCs w:val="24"/>
        </w:rPr>
        <w:t xml:space="preserve"> </w:t>
      </w:r>
      <w:r w:rsidR="00B44992" w:rsidRPr="003E0C66">
        <w:rPr>
          <w:rFonts w:ascii="Times New Roman" w:eastAsia="Calibri" w:hAnsi="Times New Roman" w:cs="Times New Roman"/>
          <w:i/>
          <w:szCs w:val="24"/>
        </w:rPr>
        <w:t xml:space="preserve">przeciwko </w:t>
      </w:r>
      <w:proofErr w:type="spellStart"/>
      <w:r w:rsidR="00B44992" w:rsidRPr="003E0C66">
        <w:rPr>
          <w:rFonts w:ascii="Times New Roman" w:eastAsia="Calibri" w:hAnsi="Times New Roman" w:cs="Times New Roman"/>
          <w:i/>
          <w:szCs w:val="24"/>
        </w:rPr>
        <w:t>Hiszanii</w:t>
      </w:r>
      <w:proofErr w:type="spellEnd"/>
      <w:r w:rsidR="00B44992" w:rsidRPr="003E0C66">
        <w:rPr>
          <w:rFonts w:ascii="Times New Roman" w:eastAsia="Calibri" w:hAnsi="Times New Roman" w:cs="Times New Roman"/>
          <w:szCs w:val="24"/>
        </w:rPr>
        <w:t xml:space="preserve"> (</w:t>
      </w:r>
      <w:proofErr w:type="spellStart"/>
      <w:r w:rsidR="00B44992" w:rsidRPr="003E0C66">
        <w:rPr>
          <w:rFonts w:ascii="Times New Roman" w:eastAsia="Calibri" w:hAnsi="Times New Roman" w:cs="Times New Roman"/>
          <w:szCs w:val="24"/>
        </w:rPr>
        <w:t>dec</w:t>
      </w:r>
      <w:proofErr w:type="spellEnd"/>
      <w:r w:rsidR="00B44992" w:rsidRPr="003E0C66">
        <w:rPr>
          <w:rFonts w:ascii="Times New Roman" w:eastAsia="Calibri" w:hAnsi="Times New Roman" w:cs="Times New Roman"/>
          <w:szCs w:val="24"/>
        </w:rPr>
        <w:t xml:space="preserve">.), </w:t>
      </w:r>
      <w:r w:rsidR="00F749AE" w:rsidRPr="003E0C66">
        <w:rPr>
          <w:rFonts w:ascii="Times New Roman" w:eastAsia="Calibri" w:hAnsi="Times New Roman" w:cs="Times New Roman"/>
          <w:szCs w:val="24"/>
        </w:rPr>
        <w:t>nr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61047/13, §  54, 11 </w:t>
      </w:r>
      <w:r w:rsidR="00B44992" w:rsidRPr="003E0C66">
        <w:rPr>
          <w:rFonts w:ascii="Times New Roman" w:eastAsia="Calibri" w:hAnsi="Times New Roman" w:cs="Times New Roman"/>
          <w:szCs w:val="24"/>
        </w:rPr>
        <w:t>lut</w:t>
      </w:r>
      <w:r w:rsidR="006F1C9B">
        <w:rPr>
          <w:rFonts w:ascii="Times New Roman" w:eastAsia="Calibri" w:hAnsi="Times New Roman" w:cs="Times New Roman"/>
          <w:szCs w:val="24"/>
        </w:rPr>
        <w:t>ego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2014</w:t>
      </w:r>
      <w:r w:rsidR="006F1C9B">
        <w:rPr>
          <w:rFonts w:ascii="Times New Roman" w:eastAsia="Calibri" w:hAnsi="Times New Roman" w:cs="Times New Roman"/>
          <w:szCs w:val="24"/>
        </w:rPr>
        <w:t xml:space="preserve"> roku</w:t>
      </w:r>
      <w:r w:rsidR="00E05B22" w:rsidRPr="003E0C66">
        <w:rPr>
          <w:rFonts w:ascii="Times New Roman" w:eastAsia="Calibri" w:hAnsi="Times New Roman" w:cs="Times New Roman"/>
          <w:szCs w:val="24"/>
        </w:rPr>
        <w:t>).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128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</w:t>
      </w:r>
      <w:r w:rsidR="00B44992" w:rsidRPr="003E0C66">
        <w:rPr>
          <w:rFonts w:ascii="Times New Roman" w:hAnsi="Times New Roman"/>
        </w:rPr>
        <w:t xml:space="preserve"> </w:t>
      </w:r>
      <w:r w:rsidR="00FC33C4">
        <w:rPr>
          <w:rFonts w:ascii="Times New Roman" w:hAnsi="Times New Roman"/>
        </w:rPr>
        <w:t>Kolejnym znaczącym zabezpieczeniem</w:t>
      </w:r>
      <w:r w:rsidR="00452019" w:rsidRPr="003E0C66">
        <w:rPr>
          <w:rFonts w:ascii="Times New Roman" w:hAnsi="Times New Roman"/>
        </w:rPr>
        <w:t xml:space="preserve"> jest dostępność</w:t>
      </w:r>
      <w:r w:rsidR="00B44992" w:rsidRPr="003E0C66">
        <w:rPr>
          <w:rFonts w:ascii="Times New Roman" w:hAnsi="Times New Roman"/>
        </w:rPr>
        <w:t xml:space="preserve"> w trakcie procesu</w:t>
      </w:r>
      <w:r w:rsidR="00452019" w:rsidRPr="003E0C66">
        <w:rPr>
          <w:rFonts w:ascii="Times New Roman" w:hAnsi="Times New Roman"/>
        </w:rPr>
        <w:t xml:space="preserve"> dodatkowych dowodów </w:t>
      </w:r>
      <w:r w:rsidR="00FC33C4">
        <w:rPr>
          <w:rFonts w:ascii="Times New Roman" w:hAnsi="Times New Roman"/>
        </w:rPr>
        <w:t>potwierdzających</w:t>
      </w:r>
      <w:r w:rsidR="00FC33C4" w:rsidRPr="003E0C66">
        <w:rPr>
          <w:rFonts w:ascii="Times New Roman" w:hAnsi="Times New Roman"/>
        </w:rPr>
        <w:t xml:space="preserve"> </w:t>
      </w:r>
      <w:r w:rsidR="00452019" w:rsidRPr="003E0C66">
        <w:rPr>
          <w:rFonts w:ascii="Times New Roman" w:hAnsi="Times New Roman"/>
        </w:rPr>
        <w:t>niezweryfikowane zeznania świadków (zobacz</w:t>
      </w:r>
      <w:r w:rsidR="00E05B22" w:rsidRPr="003E0C66">
        <w:rPr>
          <w:rFonts w:ascii="Times New Roman" w:hAnsi="Times New Roman"/>
        </w:rPr>
        <w:t xml:space="preserve">, </w:t>
      </w:r>
      <w:r w:rsidR="00452019" w:rsidRPr="00681C2C">
        <w:rPr>
          <w:rFonts w:ascii="Times New Roman" w:hAnsi="Times New Roman"/>
        </w:rPr>
        <w:t>między innymi</w:t>
      </w:r>
      <w:r w:rsidR="00E05B22" w:rsidRPr="00681C2C">
        <w:rPr>
          <w:rFonts w:ascii="Times New Roman" w:hAnsi="Times New Roman"/>
        </w:rPr>
        <w:t>,</w:t>
      </w:r>
      <w:r w:rsidR="00E05B22" w:rsidRPr="003E0C66">
        <w:rPr>
          <w:rFonts w:ascii="Times New Roman" w:hAnsi="Times New Roman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Sică</w:t>
      </w:r>
      <w:proofErr w:type="spellEnd"/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</w:t>
      </w:r>
      <w:r w:rsidR="00452019" w:rsidRPr="003E0C66">
        <w:rPr>
          <w:rFonts w:ascii="Times New Roman" w:eastAsia="Calibri" w:hAnsi="Times New Roman" w:cs="Times New Roman"/>
          <w:i/>
          <w:snapToGrid w:val="0"/>
        </w:rPr>
        <w:t>przeciwko Rumunii</w:t>
      </w:r>
      <w:r w:rsidR="00452019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F749AE" w:rsidRPr="003E0C66">
        <w:rPr>
          <w:rFonts w:ascii="Times New Roman" w:eastAsia="Calibri" w:hAnsi="Times New Roman" w:cs="Times New Roman"/>
          <w:snapToGrid w:val="0"/>
        </w:rPr>
        <w:t>nr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12036/05, §§ 76-77, 9 </w:t>
      </w:r>
      <w:r w:rsidR="00452019" w:rsidRPr="003E0C66">
        <w:rPr>
          <w:rFonts w:ascii="Times New Roman" w:eastAsia="Calibri" w:hAnsi="Times New Roman" w:cs="Times New Roman"/>
          <w:snapToGrid w:val="0"/>
        </w:rPr>
        <w:t>lipca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2013</w:t>
      </w:r>
      <w:r w:rsidR="00D920C4">
        <w:rPr>
          <w:rFonts w:ascii="Times New Roman" w:eastAsia="Calibri" w:hAnsi="Times New Roman" w:cs="Times New Roman"/>
          <w:snapToGrid w:val="0"/>
        </w:rPr>
        <w:t xml:space="preserve"> roku</w:t>
      </w:r>
      <w:r w:rsidR="00E05B22" w:rsidRPr="003E0C66">
        <w:rPr>
          <w:rFonts w:ascii="Times New Roman" w:hAnsi="Times New Roman"/>
        </w:rPr>
        <w:t xml:space="preserve">; </w:t>
      </w:r>
      <w:proofErr w:type="spellStart"/>
      <w:r w:rsidR="00E05B22" w:rsidRPr="003E0C66">
        <w:rPr>
          <w:rFonts w:ascii="Times New Roman" w:eastAsia="Calibri" w:hAnsi="Times New Roman" w:cs="Times New Roman"/>
          <w:i/>
        </w:rPr>
        <w:t>Brzuszczyński</w:t>
      </w:r>
      <w:proofErr w:type="spellEnd"/>
      <w:r w:rsidR="00E05B22" w:rsidRPr="003E0C66">
        <w:rPr>
          <w:rFonts w:ascii="Times New Roman" w:eastAsia="Calibri" w:hAnsi="Times New Roman" w:cs="Times New Roman"/>
        </w:rPr>
        <w:t xml:space="preserve">, </w:t>
      </w:r>
      <w:r w:rsidR="00D920C4">
        <w:rPr>
          <w:rFonts w:ascii="Times New Roman" w:eastAsia="Calibri" w:hAnsi="Times New Roman" w:cs="Times New Roman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, § 87 </w:t>
      </w:r>
      <w:r w:rsidR="00452019" w:rsidRPr="003E0C66">
        <w:rPr>
          <w:rFonts w:ascii="Times New Roman" w:eastAsia="Calibri" w:hAnsi="Times New Roman" w:cs="Times New Roman"/>
          <w:snapToGrid w:val="0"/>
        </w:rPr>
        <w:t>oraz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="00E05B22" w:rsidRPr="003E0C66">
        <w:rPr>
          <w:i/>
        </w:rPr>
        <w:t>Prăjină</w:t>
      </w:r>
      <w:proofErr w:type="spellEnd"/>
      <w:r w:rsidR="00E05B22" w:rsidRPr="003E0C66">
        <w:t xml:space="preserve">, </w:t>
      </w:r>
      <w:r w:rsidR="00D920C4">
        <w:t>cytowany powyżej</w:t>
      </w:r>
      <w:r w:rsidR="00E05B22" w:rsidRPr="003E0C66">
        <w:rPr>
          <w:snapToGrid w:val="0"/>
        </w:rPr>
        <w:t xml:space="preserve">, §§ 58 </w:t>
      </w:r>
      <w:r w:rsidR="00452019" w:rsidRPr="003E0C66">
        <w:rPr>
          <w:snapToGrid w:val="0"/>
        </w:rPr>
        <w:t>i</w:t>
      </w:r>
      <w:r w:rsidR="00E05B22" w:rsidRPr="003E0C66">
        <w:rPr>
          <w:snapToGrid w:val="0"/>
        </w:rPr>
        <w:t xml:space="preserve"> 60</w:t>
      </w:r>
      <w:r w:rsidR="00E05B22" w:rsidRPr="003E0C66">
        <w:rPr>
          <w:rFonts w:ascii="Times New Roman" w:hAnsi="Times New Roman"/>
        </w:rPr>
        <w:t>).</w:t>
      </w:r>
      <w:r w:rsidR="00644A40" w:rsidRPr="003E0C66">
        <w:rPr>
          <w:rFonts w:ascii="Times New Roman" w:hAnsi="Times New Roman"/>
        </w:rPr>
        <w:t xml:space="preserve"> Takie dowody mogą obejmować, między innymi, zeznania złożone podczas rozprawy przez osoby, którym </w:t>
      </w:r>
      <w:r w:rsidR="00D920C4">
        <w:rPr>
          <w:rFonts w:ascii="Times New Roman" w:hAnsi="Times New Roman"/>
        </w:rPr>
        <w:t>nieobecny świadek</w:t>
      </w:r>
      <w:r w:rsidR="00D920C4" w:rsidRPr="003E0C66">
        <w:rPr>
          <w:rFonts w:ascii="Times New Roman" w:hAnsi="Times New Roman"/>
        </w:rPr>
        <w:t xml:space="preserve"> </w:t>
      </w:r>
      <w:r w:rsidR="00644A40" w:rsidRPr="003E0C66">
        <w:rPr>
          <w:rFonts w:ascii="Times New Roman" w:hAnsi="Times New Roman"/>
        </w:rPr>
        <w:t xml:space="preserve">opowiedział o zdarzeniu </w:t>
      </w:r>
      <w:r w:rsidR="00D920C4">
        <w:rPr>
          <w:rFonts w:ascii="Times New Roman" w:hAnsi="Times New Roman"/>
        </w:rPr>
        <w:t>natychmiast po tym, gdy miało ono miejsce</w:t>
      </w:r>
      <w:r w:rsidR="00E05B22" w:rsidRPr="003E0C66">
        <w:rPr>
          <w:rFonts w:ascii="Times New Roman" w:hAnsi="Times New Roman"/>
        </w:rPr>
        <w:t xml:space="preserve"> </w:t>
      </w:r>
      <w:r w:rsidR="00E05B22" w:rsidRPr="003E0C66">
        <w:t>(</w:t>
      </w:r>
      <w:r w:rsidR="00644A40" w:rsidRPr="003E0C66">
        <w:t>zobacz</w:t>
      </w:r>
      <w:r w:rsidR="00E05B22" w:rsidRPr="003E0C66">
        <w:t xml:space="preserve"> </w:t>
      </w:r>
      <w:r w:rsidR="00E05B22" w:rsidRPr="003E0C66">
        <w:rPr>
          <w:rFonts w:ascii="Times New Roman" w:eastAsia="Times New Roman" w:hAnsi="Times New Roman" w:cs="Times New Roman"/>
          <w:i/>
          <w:szCs w:val="20"/>
        </w:rPr>
        <w:t xml:space="preserve">Al-Khawaja </w:t>
      </w:r>
      <w:r w:rsidR="00644A40" w:rsidRPr="003E0C66">
        <w:rPr>
          <w:rFonts w:ascii="Times New Roman" w:eastAsia="Times New Roman" w:hAnsi="Times New Roman" w:cs="Times New Roman"/>
          <w:i/>
          <w:szCs w:val="20"/>
        </w:rPr>
        <w:t>i</w:t>
      </w:r>
      <w:r w:rsidR="00E05B22" w:rsidRPr="003E0C66">
        <w:rPr>
          <w:rFonts w:ascii="Times New Roman" w:eastAsia="Times New Roman" w:hAnsi="Times New Roman" w:cs="Times New Roman"/>
          <w:i/>
          <w:szCs w:val="20"/>
        </w:rPr>
        <w:t xml:space="preserve"> Tahery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, </w:t>
      </w:r>
      <w:r w:rsidR="00D920C4">
        <w:rPr>
          <w:rFonts w:ascii="Times New Roman" w:eastAsia="Times New Roman" w:hAnsi="Times New Roman" w:cs="Times New Roman"/>
          <w:szCs w:val="20"/>
        </w:rPr>
        <w:t>cytowany powyżej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, § 156; </w:t>
      </w:r>
      <w:proofErr w:type="spellStart"/>
      <w:r w:rsidR="00E05B22" w:rsidRPr="003E0C66">
        <w:rPr>
          <w:rFonts w:ascii="Times New Roman" w:hAnsi="Times New Roman"/>
          <w:i/>
        </w:rPr>
        <w:t>McGlynn</w:t>
      </w:r>
      <w:proofErr w:type="spellEnd"/>
      <w:r w:rsidR="00E05B22" w:rsidRPr="003E0C66">
        <w:rPr>
          <w:rFonts w:ascii="Times New Roman" w:hAnsi="Times New Roman"/>
        </w:rPr>
        <w:t xml:space="preserve">, </w:t>
      </w:r>
      <w:r w:rsidR="00D920C4">
        <w:rPr>
          <w:rFonts w:ascii="Times New Roman" w:hAnsi="Times New Roman"/>
        </w:rPr>
        <w:t>cytowany powyżej</w:t>
      </w:r>
      <w:r w:rsidR="00E05B22" w:rsidRPr="003E0C66">
        <w:rPr>
          <w:rFonts w:ascii="Times New Roman" w:hAnsi="Times New Roman"/>
        </w:rPr>
        <w:t>, § 24</w:t>
      </w:r>
      <w:r w:rsidR="00E05B22" w:rsidRPr="003E0C66">
        <w:rPr>
          <w:rFonts w:ascii="Times New Roman" w:eastAsia="Times New Roman" w:hAnsi="Times New Roman" w:cs="Times New Roman"/>
          <w:szCs w:val="20"/>
        </w:rPr>
        <w:t xml:space="preserve">; </w:t>
      </w:r>
      <w:r w:rsidR="00E05B22" w:rsidRPr="003E0C66">
        <w:rPr>
          <w:rFonts w:ascii="Times New Roman" w:eastAsia="Calibri" w:hAnsi="Times New Roman" w:cs="Times New Roman"/>
          <w:i/>
          <w:szCs w:val="24"/>
        </w:rPr>
        <w:t xml:space="preserve">D.T. </w:t>
      </w:r>
      <w:r w:rsidR="00644A40" w:rsidRPr="003E0C66">
        <w:rPr>
          <w:rFonts w:ascii="Times New Roman" w:eastAsia="Calibri" w:hAnsi="Times New Roman" w:cs="Times New Roman"/>
          <w:i/>
          <w:szCs w:val="24"/>
        </w:rPr>
        <w:t>przeciwko Holandii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D920C4">
        <w:rPr>
          <w:rFonts w:ascii="Times New Roman" w:eastAsia="Calibri" w:hAnsi="Times New Roman" w:cs="Times New Roman"/>
          <w:szCs w:val="24"/>
        </w:rPr>
        <w:t>cytowany powyżej,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 § 50 oraz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Gonzáles</w:t>
      </w:r>
      <w:proofErr w:type="spellEnd"/>
      <w:r w:rsidR="00E05B22" w:rsidRPr="003E0C66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Nájera</w:t>
      </w:r>
      <w:proofErr w:type="spellEnd"/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D920C4">
        <w:rPr>
          <w:rFonts w:ascii="Times New Roman" w:eastAsia="Calibri" w:hAnsi="Times New Roman" w:cs="Times New Roman"/>
          <w:szCs w:val="24"/>
        </w:rPr>
        <w:t>cytowany powyżej,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§ 55), 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inne faktyczne dowody </w:t>
      </w:r>
      <w:r w:rsidR="00D920C4">
        <w:rPr>
          <w:rFonts w:ascii="Times New Roman" w:eastAsia="Calibri" w:hAnsi="Times New Roman" w:cs="Times New Roman"/>
          <w:szCs w:val="24"/>
        </w:rPr>
        <w:t>uzyskane</w:t>
      </w:r>
      <w:r w:rsidR="00D920C4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D920C4">
        <w:rPr>
          <w:rFonts w:ascii="Times New Roman" w:eastAsia="Calibri" w:hAnsi="Times New Roman" w:cs="Times New Roman"/>
          <w:szCs w:val="24"/>
        </w:rPr>
        <w:t>odnośnie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 do przestępstwa, w tym </w:t>
      </w:r>
      <w:r w:rsidR="00D920C4">
        <w:rPr>
          <w:rFonts w:ascii="Times New Roman" w:eastAsia="Calibri" w:hAnsi="Times New Roman" w:cs="Times New Roman"/>
          <w:szCs w:val="24"/>
        </w:rPr>
        <w:t>wyniki ekspertyzy sądowej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 (zobacz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D920C4">
        <w:rPr>
          <w:rFonts w:ascii="Times New Roman" w:eastAsia="Calibri" w:hAnsi="Times New Roman" w:cs="Times New Roman"/>
          <w:szCs w:val="24"/>
        </w:rPr>
        <w:t>na przykład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="00E05B22" w:rsidRPr="003E0C66">
        <w:rPr>
          <w:rFonts w:ascii="Times New Roman" w:hAnsi="Times New Roman"/>
          <w:i/>
        </w:rPr>
        <w:t>McGlynn</w:t>
      </w:r>
      <w:proofErr w:type="spellEnd"/>
      <w:r w:rsidR="00E05B22" w:rsidRPr="003E0C66">
        <w:rPr>
          <w:rFonts w:ascii="Times New Roman" w:hAnsi="Times New Roman"/>
        </w:rPr>
        <w:t xml:space="preserve">, </w:t>
      </w:r>
      <w:r w:rsidR="00D920C4">
        <w:rPr>
          <w:rFonts w:ascii="Times New Roman" w:hAnsi="Times New Roman"/>
        </w:rPr>
        <w:t>cytowany powyżej</w:t>
      </w:r>
      <w:r w:rsidR="00E05B22" w:rsidRPr="003E0C66">
        <w:rPr>
          <w:rFonts w:ascii="Times New Roman" w:hAnsi="Times New Roman"/>
        </w:rPr>
        <w:t>, § 24 (</w:t>
      </w:r>
      <w:r w:rsidR="00644A40" w:rsidRPr="003E0C66">
        <w:rPr>
          <w:rFonts w:ascii="Times New Roman" w:hAnsi="Times New Roman"/>
        </w:rPr>
        <w:t>dowody z DNA</w:t>
      </w:r>
      <w:r w:rsidR="00E05B22" w:rsidRPr="003E0C66">
        <w:rPr>
          <w:rFonts w:ascii="Times New Roman" w:eastAsia="Calibri" w:hAnsi="Times New Roman" w:cs="Times New Roman"/>
          <w:szCs w:val="24"/>
        </w:rPr>
        <w:t>)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 lub opinie ekspertów dotyczące obrażeń poniesionych przez </w:t>
      </w:r>
      <w:r w:rsidR="00D920C4">
        <w:rPr>
          <w:rFonts w:ascii="Times New Roman" w:eastAsia="Calibri" w:hAnsi="Times New Roman" w:cs="Times New Roman"/>
          <w:szCs w:val="24"/>
        </w:rPr>
        <w:t>pokrzywdzonych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 czy ich wiarygodności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(</w:t>
      </w:r>
      <w:r w:rsidR="00644A40" w:rsidRPr="003E0C66">
        <w:rPr>
          <w:rFonts w:ascii="Times New Roman" w:eastAsia="Calibri" w:hAnsi="Times New Roman" w:cs="Times New Roman"/>
          <w:szCs w:val="24"/>
        </w:rPr>
        <w:t>porównaj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i/>
          <w:szCs w:val="24"/>
        </w:rPr>
        <w:t>Gani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, </w:t>
      </w:r>
      <w:r w:rsidR="00D920C4">
        <w:rPr>
          <w:rFonts w:ascii="Times New Roman" w:eastAsia="Times New Roman" w:hAnsi="Times New Roman" w:cs="Times New Roman"/>
          <w:szCs w:val="24"/>
        </w:rPr>
        <w:t>cytowany powyżej</w:t>
      </w:r>
      <w:r w:rsidR="00E05B22" w:rsidRPr="003E0C66">
        <w:rPr>
          <w:rFonts w:ascii="Times New Roman" w:eastAsia="Times New Roman" w:hAnsi="Times New Roman" w:cs="Times New Roman"/>
          <w:szCs w:val="24"/>
        </w:rPr>
        <w:t>, § 48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;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Gonzáles</w:t>
      </w:r>
      <w:proofErr w:type="spellEnd"/>
      <w:r w:rsidR="00E05B22" w:rsidRPr="003E0C66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Nájera</w:t>
      </w:r>
      <w:proofErr w:type="spellEnd"/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D920C4">
        <w:rPr>
          <w:rFonts w:ascii="Times New Roman" w:eastAsia="Calibri" w:hAnsi="Times New Roman" w:cs="Times New Roman"/>
          <w:szCs w:val="24"/>
        </w:rPr>
        <w:t>cytowany powyżej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, § 56 </w:t>
      </w:r>
      <w:r w:rsidR="00644A40" w:rsidRPr="003E0C66">
        <w:rPr>
          <w:rFonts w:ascii="Times New Roman" w:eastAsia="Calibri" w:hAnsi="Times New Roman" w:cs="Times New Roman"/>
          <w:szCs w:val="24"/>
        </w:rPr>
        <w:t>oraz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E05B22" w:rsidRPr="003E0C66">
        <w:rPr>
          <w:i/>
        </w:rPr>
        <w:t>Rosin</w:t>
      </w:r>
      <w:r w:rsidR="00E05B22" w:rsidRPr="003E0C66">
        <w:t xml:space="preserve">, </w:t>
      </w:r>
      <w:r w:rsidR="00D920C4">
        <w:t>cytowany powyżej</w:t>
      </w:r>
      <w:r w:rsidR="00E05B22" w:rsidRPr="003E0C66">
        <w:rPr>
          <w:snapToGrid w:val="0"/>
        </w:rPr>
        <w:t>, § 61</w:t>
      </w:r>
      <w:r w:rsidR="00E05B22" w:rsidRPr="003E0C66">
        <w:rPr>
          <w:rFonts w:ascii="Times New Roman" w:eastAsia="Calibri" w:hAnsi="Times New Roman" w:cs="Times New Roman"/>
          <w:szCs w:val="24"/>
        </w:rPr>
        <w:t>).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 Trybunał uznał ponadto za ważny czynnik popierający </w:t>
      </w:r>
      <w:r w:rsidR="005C45B7">
        <w:rPr>
          <w:rFonts w:ascii="Times New Roman" w:eastAsia="Calibri" w:hAnsi="Times New Roman" w:cs="Times New Roman"/>
          <w:szCs w:val="24"/>
        </w:rPr>
        <w:t>dowód</w:t>
      </w:r>
      <w:r w:rsidR="005C45B7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z zeznań </w:t>
      </w:r>
      <w:r w:rsidR="005C45B7" w:rsidRPr="003E0C66">
        <w:rPr>
          <w:rFonts w:ascii="Times New Roman" w:eastAsia="Calibri" w:hAnsi="Times New Roman" w:cs="Times New Roman"/>
          <w:szCs w:val="24"/>
        </w:rPr>
        <w:t>nieobecn</w:t>
      </w:r>
      <w:r w:rsidR="005C45B7">
        <w:rPr>
          <w:rFonts w:ascii="Times New Roman" w:eastAsia="Calibri" w:hAnsi="Times New Roman" w:cs="Times New Roman"/>
          <w:szCs w:val="24"/>
        </w:rPr>
        <w:t>ego</w:t>
      </w:r>
      <w:r w:rsidR="005C45B7" w:rsidRPr="003E0C66">
        <w:rPr>
          <w:rFonts w:ascii="Times New Roman" w:eastAsia="Calibri" w:hAnsi="Times New Roman" w:cs="Times New Roman"/>
          <w:szCs w:val="24"/>
        </w:rPr>
        <w:t xml:space="preserve"> świadk</w:t>
      </w:r>
      <w:r w:rsidR="005C45B7">
        <w:rPr>
          <w:rFonts w:ascii="Times New Roman" w:eastAsia="Calibri" w:hAnsi="Times New Roman" w:cs="Times New Roman"/>
          <w:szCs w:val="24"/>
        </w:rPr>
        <w:t>a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 fakt, iż istniały silne podobieństwa pomiędzy opisem </w:t>
      </w:r>
      <w:r w:rsidR="005C45B7">
        <w:rPr>
          <w:rFonts w:ascii="Times New Roman" w:eastAsia="Calibri" w:hAnsi="Times New Roman" w:cs="Times New Roman"/>
          <w:szCs w:val="24"/>
        </w:rPr>
        <w:t xml:space="preserve">przez świadka zarzucanego 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przestępstwa </w:t>
      </w:r>
      <w:r w:rsidR="005C45B7">
        <w:rPr>
          <w:rFonts w:ascii="Times New Roman" w:eastAsia="Calibri" w:hAnsi="Times New Roman" w:cs="Times New Roman"/>
          <w:szCs w:val="24"/>
        </w:rPr>
        <w:t xml:space="preserve">popełnionego na jego szkodę, a opisem przedstawionym </w:t>
      </w:r>
      <w:r w:rsidR="00644A40" w:rsidRPr="003E0C66">
        <w:rPr>
          <w:rFonts w:ascii="Times New Roman" w:eastAsia="Calibri" w:hAnsi="Times New Roman" w:cs="Times New Roman"/>
          <w:szCs w:val="24"/>
        </w:rPr>
        <w:t xml:space="preserve">przez </w:t>
      </w:r>
      <w:r w:rsidR="00B1543F" w:rsidRPr="003E0C66">
        <w:rPr>
          <w:rFonts w:ascii="Times New Roman" w:eastAsia="Calibri" w:hAnsi="Times New Roman" w:cs="Times New Roman"/>
          <w:szCs w:val="24"/>
        </w:rPr>
        <w:t>innego świadka</w:t>
      </w:r>
      <w:r w:rsidR="005C45B7">
        <w:rPr>
          <w:rFonts w:ascii="Times New Roman" w:eastAsia="Calibri" w:hAnsi="Times New Roman" w:cs="Times New Roman"/>
          <w:szCs w:val="24"/>
        </w:rPr>
        <w:t>, przy czym nie ma dowodu, że świadkowie działali w zmowie</w:t>
      </w:r>
      <w:r w:rsidR="00B1543F" w:rsidRPr="003E0C66">
        <w:rPr>
          <w:rFonts w:ascii="Times New Roman" w:eastAsia="Calibri" w:hAnsi="Times New Roman" w:cs="Times New Roman"/>
          <w:szCs w:val="24"/>
        </w:rPr>
        <w:t>. Ma to jeszcze większe znaczenie</w:t>
      </w:r>
      <w:r w:rsidR="00341FB7">
        <w:rPr>
          <w:rFonts w:ascii="Times New Roman" w:eastAsia="Calibri" w:hAnsi="Times New Roman" w:cs="Times New Roman"/>
          <w:szCs w:val="24"/>
        </w:rPr>
        <w:t>,</w:t>
      </w:r>
      <w:r w:rsidR="00B1543F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9E7ABD">
        <w:rPr>
          <w:rFonts w:ascii="Times New Roman" w:eastAsia="Calibri" w:hAnsi="Times New Roman" w:cs="Times New Roman"/>
          <w:szCs w:val="24"/>
        </w:rPr>
        <w:t>jeśli</w:t>
      </w:r>
      <w:r w:rsidR="00B1543F" w:rsidRPr="003E0C66">
        <w:rPr>
          <w:rFonts w:ascii="Times New Roman" w:eastAsia="Calibri" w:hAnsi="Times New Roman" w:cs="Times New Roman"/>
          <w:szCs w:val="24"/>
        </w:rPr>
        <w:t xml:space="preserve"> ten ostatni świadek złożył swoje zeznania na rozprawie, a jego wiarygodność została zbadana poprzez przesłuchanie </w:t>
      </w:r>
      <w:r w:rsidR="009E7ABD">
        <w:rPr>
          <w:rFonts w:ascii="Times New Roman" w:eastAsia="Calibri" w:hAnsi="Times New Roman" w:cs="Times New Roman"/>
          <w:szCs w:val="24"/>
        </w:rPr>
        <w:t xml:space="preserve">krzyżowe </w:t>
      </w:r>
      <w:r w:rsidR="00B1543F" w:rsidRPr="003E0C66">
        <w:rPr>
          <w:rFonts w:ascii="Times New Roman" w:eastAsia="Calibri" w:hAnsi="Times New Roman" w:cs="Times New Roman"/>
          <w:szCs w:val="24"/>
        </w:rPr>
        <w:t>(porównaj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E05B22" w:rsidRPr="003E0C66">
        <w:rPr>
          <w:i/>
        </w:rPr>
        <w:t xml:space="preserve">Al-Khawaja </w:t>
      </w:r>
      <w:r w:rsidR="00B1543F" w:rsidRPr="003E0C66">
        <w:rPr>
          <w:i/>
        </w:rPr>
        <w:t>i</w:t>
      </w:r>
      <w:r w:rsidR="00E05B22" w:rsidRPr="003E0C66">
        <w:rPr>
          <w:i/>
        </w:rPr>
        <w:t xml:space="preserve"> Tahery</w:t>
      </w:r>
      <w:r w:rsidR="00E05B22" w:rsidRPr="003E0C66">
        <w:t xml:space="preserve">, </w:t>
      </w:r>
      <w:r w:rsidR="009E7ABD">
        <w:t>cytowany powyżej</w:t>
      </w:r>
      <w:r w:rsidR="00E05B22" w:rsidRPr="003E0C66">
        <w:t>, § 156</w:t>
      </w:r>
      <w:r w:rsidR="00E05B22" w:rsidRPr="003E0C66">
        <w:rPr>
          <w:rFonts w:ascii="Times New Roman" w:eastAsia="Times New Roman" w:hAnsi="Times New Roman" w:cs="Times New Roman"/>
          <w:szCs w:val="20"/>
        </w:rPr>
        <w:t>).</w:t>
      </w:r>
    </w:p>
    <w:p w:rsidR="00E05B22" w:rsidRPr="003E0C66" w:rsidRDefault="006B25B0" w:rsidP="00BC0CE7">
      <w:pPr>
        <w:pStyle w:val="ECHRPara"/>
        <w:rPr>
          <w:i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129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</w:t>
      </w:r>
      <w:r w:rsidR="0084481C" w:rsidRPr="003E0C66">
        <w:rPr>
          <w:rFonts w:ascii="Times New Roman" w:hAnsi="Times New Roman"/>
        </w:rPr>
        <w:t xml:space="preserve"> Ponadto w </w:t>
      </w:r>
      <w:r w:rsidR="009E7ABD">
        <w:rPr>
          <w:rFonts w:ascii="Times New Roman" w:hAnsi="Times New Roman"/>
        </w:rPr>
        <w:t>sprawach</w:t>
      </w:r>
      <w:r w:rsidR="0084481C" w:rsidRPr="003E0C66">
        <w:rPr>
          <w:rFonts w:ascii="Times New Roman" w:hAnsi="Times New Roman"/>
        </w:rPr>
        <w:t>, w których świadek jest nieobecn</w:t>
      </w:r>
      <w:r w:rsidR="009E7ABD">
        <w:rPr>
          <w:rFonts w:ascii="Times New Roman" w:hAnsi="Times New Roman"/>
        </w:rPr>
        <w:t>y</w:t>
      </w:r>
      <w:r w:rsidR="0084481C" w:rsidRPr="003E0C66">
        <w:rPr>
          <w:rFonts w:ascii="Times New Roman" w:hAnsi="Times New Roman"/>
        </w:rPr>
        <w:t xml:space="preserve"> i nie może zostać przesłuchany podczas rozprawy, istotnym zabezpieczeniem jest możliwość</w:t>
      </w:r>
      <w:r w:rsidR="009E7ABD">
        <w:rPr>
          <w:rFonts w:ascii="Times New Roman" w:hAnsi="Times New Roman"/>
        </w:rPr>
        <w:t xml:space="preserve"> zadania pytań świadkowi przez obronę </w:t>
      </w:r>
      <w:r w:rsidR="0084481C" w:rsidRPr="003E0C66">
        <w:rPr>
          <w:rFonts w:ascii="Times New Roman" w:hAnsi="Times New Roman"/>
        </w:rPr>
        <w:t>pośrednio, na przykład na piśmie, w toku postępowania</w:t>
      </w:r>
      <w:r w:rsidR="0084481C" w:rsidRPr="003E0C66">
        <w:rPr>
          <w:rFonts w:ascii="Times New Roman" w:eastAsia="Calibri" w:hAnsi="Times New Roman" w:cs="Times New Roman"/>
          <w:szCs w:val="24"/>
        </w:rPr>
        <w:t xml:space="preserve"> (zobacz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Yevgeniy</w:t>
      </w:r>
      <w:proofErr w:type="spellEnd"/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Ivanov</w:t>
      </w:r>
      <w:proofErr w:type="spellEnd"/>
      <w:r w:rsidR="00E05B22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9E7ABD">
        <w:rPr>
          <w:rFonts w:ascii="Times New Roman" w:eastAsia="Calibri" w:hAnsi="Times New Roman" w:cs="Times New Roman"/>
          <w:snapToGrid w:val="0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, § 49 </w:t>
      </w:r>
      <w:r w:rsidR="009E7ABD">
        <w:rPr>
          <w:rFonts w:ascii="Times New Roman" w:eastAsia="Calibri" w:hAnsi="Times New Roman" w:cs="Times New Roman"/>
          <w:snapToGrid w:val="0"/>
        </w:rPr>
        <w:t>i</w:t>
      </w:r>
      <w:r w:rsidR="009E7ABD" w:rsidRPr="003E0C66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="00E05B22" w:rsidRPr="003E0C66">
        <w:rPr>
          <w:i/>
        </w:rPr>
        <w:t>Scholer</w:t>
      </w:r>
      <w:proofErr w:type="spellEnd"/>
      <w:r w:rsidR="0084481C" w:rsidRPr="003E0C66">
        <w:rPr>
          <w:i/>
          <w:snapToGrid w:val="0"/>
        </w:rPr>
        <w:t xml:space="preserve"> przeciwko Niemcom</w:t>
      </w:r>
      <w:r w:rsidR="00E05B22" w:rsidRPr="003E0C66">
        <w:rPr>
          <w:snapToGrid w:val="0"/>
        </w:rPr>
        <w:t xml:space="preserve">, </w:t>
      </w:r>
      <w:r w:rsidR="00F749AE" w:rsidRPr="003E0C66">
        <w:t>nr</w:t>
      </w:r>
      <w:r w:rsidR="00E05B22" w:rsidRPr="003E0C66">
        <w:t xml:space="preserve"> 14212/10</w:t>
      </w:r>
      <w:r w:rsidR="00E05B22" w:rsidRPr="003E0C66">
        <w:rPr>
          <w:snapToGrid w:val="0"/>
        </w:rPr>
        <w:t xml:space="preserve">, § 60, 18 </w:t>
      </w:r>
      <w:r w:rsidR="0084481C" w:rsidRPr="003E0C66">
        <w:rPr>
          <w:snapToGrid w:val="0"/>
        </w:rPr>
        <w:t xml:space="preserve">grudnia </w:t>
      </w:r>
      <w:r w:rsidR="00E05B22" w:rsidRPr="003E0C66">
        <w:rPr>
          <w:snapToGrid w:val="0"/>
        </w:rPr>
        <w:t>2014</w:t>
      </w:r>
      <w:r w:rsidR="009E7ABD">
        <w:rPr>
          <w:snapToGrid w:val="0"/>
        </w:rPr>
        <w:t xml:space="preserve"> roku</w:t>
      </w:r>
      <w:r w:rsidR="00E05B22" w:rsidRPr="003E0C66">
        <w:rPr>
          <w:rFonts w:ascii="Times New Roman" w:eastAsia="Calibri" w:hAnsi="Times New Roman" w:cs="Times New Roman"/>
          <w:szCs w:val="24"/>
        </w:rPr>
        <w:t>).</w:t>
      </w:r>
    </w:p>
    <w:p w:rsidR="00E05B22" w:rsidRPr="003E0C66" w:rsidRDefault="006B25B0" w:rsidP="00F749AE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130</w:t>
      </w:r>
      <w:r w:rsidRPr="003E0C66">
        <w:fldChar w:fldCharType="end"/>
      </w:r>
      <w:r w:rsidR="00E05B22" w:rsidRPr="003E0C66">
        <w:t>. </w:t>
      </w:r>
      <w:r w:rsidR="0084481C" w:rsidRPr="003E0C66">
        <w:t>Kolejnym ważnym zabezpie</w:t>
      </w:r>
      <w:r w:rsidR="00F749AE" w:rsidRPr="003E0C66">
        <w:t xml:space="preserve">czeniem </w:t>
      </w:r>
      <w:r w:rsidR="009E7ABD">
        <w:t>wyrównującym trudności</w:t>
      </w:r>
      <w:r w:rsidR="0084481C" w:rsidRPr="003E0C66">
        <w:t xml:space="preserve">, z którymi musiała zmierzyć się obrona w rezultacie dopuszczenia </w:t>
      </w:r>
      <w:r w:rsidR="009E7ABD" w:rsidRPr="003E0C66">
        <w:t>niezweryfikowan</w:t>
      </w:r>
      <w:r w:rsidR="009E7ABD">
        <w:t>ego</w:t>
      </w:r>
      <w:r w:rsidR="009E7ABD" w:rsidRPr="003E0C66">
        <w:t xml:space="preserve"> </w:t>
      </w:r>
      <w:r w:rsidR="0084481C" w:rsidRPr="003E0C66">
        <w:t>dowod</w:t>
      </w:r>
      <w:r w:rsidR="009E7ABD">
        <w:t>u</w:t>
      </w:r>
      <w:r w:rsidR="0084481C" w:rsidRPr="003E0C66">
        <w:t xml:space="preserve"> z zeznań świadk</w:t>
      </w:r>
      <w:r w:rsidR="009E7ABD">
        <w:t>a</w:t>
      </w:r>
      <w:r w:rsidR="0084481C" w:rsidRPr="003E0C66">
        <w:t xml:space="preserve"> podczas procesu, jest </w:t>
      </w:r>
      <w:r w:rsidR="00D606FC" w:rsidRPr="003E0C66">
        <w:t>danie oskarżonemu lub jego obrońcy możliwości przesłuchania świadk</w:t>
      </w:r>
      <w:r w:rsidR="009E7ABD">
        <w:t>a</w:t>
      </w:r>
      <w:r w:rsidR="00D606FC" w:rsidRPr="003E0C66">
        <w:t xml:space="preserve"> na etapie dochodzenia (zobacz</w:t>
      </w:r>
      <w:r w:rsidR="00E05B22" w:rsidRPr="003E0C66">
        <w:t xml:space="preserve">, </w:t>
      </w:r>
      <w:r w:rsidR="009E7ABD" w:rsidRPr="00341FB7">
        <w:t>między innymi</w:t>
      </w:r>
      <w:r w:rsidR="00E05B22" w:rsidRPr="00341FB7">
        <w:t>,</w:t>
      </w:r>
      <w:r w:rsidR="00E05B22" w:rsidRPr="003E0C66">
        <w:t xml:space="preserve"> </w:t>
      </w:r>
      <w:r w:rsidR="00E05B22" w:rsidRPr="003E0C66">
        <w:rPr>
          <w:rFonts w:ascii="Times New Roman" w:eastAsia="Calibri" w:hAnsi="Times New Roman" w:cs="Times New Roman"/>
          <w:i/>
          <w:snapToGrid w:val="0"/>
        </w:rPr>
        <w:t xml:space="preserve">A.G. </w:t>
      </w:r>
      <w:r w:rsidR="00D606FC" w:rsidRPr="003E0C66">
        <w:rPr>
          <w:rFonts w:ascii="Times New Roman" w:eastAsia="Calibri" w:hAnsi="Times New Roman" w:cs="Times New Roman"/>
          <w:i/>
          <w:snapToGrid w:val="0"/>
        </w:rPr>
        <w:t>przeciwko Szwecji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9E7ABD">
        <w:rPr>
          <w:rFonts w:ascii="Times New Roman" w:eastAsia="Calibri" w:hAnsi="Times New Roman" w:cs="Times New Roman"/>
          <w:snapToGrid w:val="0"/>
        </w:rPr>
        <w:t xml:space="preserve">cytowany </w:t>
      </w:r>
      <w:r w:rsidR="009E7ABD">
        <w:rPr>
          <w:rFonts w:ascii="Times New Roman" w:eastAsia="Calibri" w:hAnsi="Times New Roman" w:cs="Times New Roman"/>
          <w:snapToGrid w:val="0"/>
        </w:rPr>
        <w:lastRenderedPageBreak/>
        <w:t>powyżej</w:t>
      </w:r>
      <w:r w:rsidR="00E05B22" w:rsidRPr="003E0C66">
        <w:t xml:space="preserve">; </w:t>
      </w:r>
      <w:r w:rsidR="00E05B22" w:rsidRPr="003E0C66">
        <w:rPr>
          <w:rFonts w:ascii="Times New Roman" w:eastAsia="Times New Roman" w:hAnsi="Times New Roman" w:cs="Times New Roman"/>
          <w:i/>
          <w:szCs w:val="24"/>
        </w:rPr>
        <w:t>Gani</w:t>
      </w:r>
      <w:r w:rsidR="00E05B22" w:rsidRPr="003E0C66">
        <w:rPr>
          <w:rFonts w:ascii="Times New Roman" w:eastAsia="Times New Roman" w:hAnsi="Times New Roman" w:cs="Times New Roman"/>
          <w:szCs w:val="24"/>
        </w:rPr>
        <w:t xml:space="preserve">, </w:t>
      </w:r>
      <w:r w:rsidR="009E7ABD">
        <w:rPr>
          <w:rFonts w:ascii="Times New Roman" w:eastAsia="Times New Roman" w:hAnsi="Times New Roman" w:cs="Times New Roman"/>
          <w:szCs w:val="24"/>
        </w:rPr>
        <w:t>cytowany powyżej</w:t>
      </w:r>
      <w:r w:rsidR="00E05B22" w:rsidRPr="003E0C66">
        <w:rPr>
          <w:rFonts w:ascii="Times New Roman" w:eastAsia="Times New Roman" w:hAnsi="Times New Roman" w:cs="Times New Roman"/>
          <w:szCs w:val="24"/>
        </w:rPr>
        <w:t>, § 48</w:t>
      </w:r>
      <w:r w:rsidR="00D606FC" w:rsidRPr="003E0C66">
        <w:t xml:space="preserve"> oraz</w:t>
      </w:r>
      <w:r w:rsidR="00E05B22" w:rsidRPr="003E0C66"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Şandru</w:t>
      </w:r>
      <w:proofErr w:type="spellEnd"/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9E7ABD">
        <w:rPr>
          <w:rFonts w:ascii="Times New Roman" w:eastAsia="Calibri" w:hAnsi="Times New Roman" w:cs="Times New Roman"/>
          <w:szCs w:val="24"/>
        </w:rPr>
        <w:t>cytowany powyżej</w:t>
      </w:r>
      <w:r w:rsidR="00E05B22" w:rsidRPr="003E0C66">
        <w:rPr>
          <w:rFonts w:ascii="Times New Roman" w:eastAsia="Calibri" w:hAnsi="Times New Roman" w:cs="Times New Roman"/>
          <w:szCs w:val="24"/>
        </w:rPr>
        <w:t>, § 67</w:t>
      </w:r>
      <w:r w:rsidR="00E05B22" w:rsidRPr="003E0C66">
        <w:t>).</w:t>
      </w:r>
      <w:r w:rsidR="00D606FC" w:rsidRPr="003E0C66">
        <w:t xml:space="preserve"> </w:t>
      </w:r>
      <w:r w:rsidR="00886A3D" w:rsidRPr="003E0C66">
        <w:t>Trybunał stwierdził w tym kontekście, ż</w:t>
      </w:r>
      <w:r w:rsidR="009E7ABD">
        <w:t>e</w:t>
      </w:r>
      <w:r w:rsidR="00886A3D" w:rsidRPr="003E0C66">
        <w:t xml:space="preserve"> </w:t>
      </w:r>
      <w:r w:rsidR="009E7ABD">
        <w:t>gdy</w:t>
      </w:r>
      <w:r w:rsidR="009E7ABD" w:rsidRPr="003E0C66">
        <w:t xml:space="preserve"> </w:t>
      </w:r>
      <w:r w:rsidR="00D124BF" w:rsidRPr="003E0C66">
        <w:t>organy śledcze</w:t>
      </w:r>
      <w:r w:rsidR="007304CA" w:rsidRPr="003E0C66">
        <w:t xml:space="preserve"> już na etapie dochodzenia miały na uwadze fakt, iż </w:t>
      </w:r>
      <w:r w:rsidR="009E7ABD">
        <w:t>świadek</w:t>
      </w:r>
      <w:r w:rsidR="009E7ABD" w:rsidRPr="003E0C66">
        <w:t xml:space="preserve"> </w:t>
      </w:r>
      <w:r w:rsidR="007304CA" w:rsidRPr="003E0C66">
        <w:t>nie zostan</w:t>
      </w:r>
      <w:r w:rsidR="009E7ABD">
        <w:t>ie</w:t>
      </w:r>
      <w:r w:rsidR="007304CA" w:rsidRPr="003E0C66">
        <w:t xml:space="preserve"> przesłuchan</w:t>
      </w:r>
      <w:r w:rsidR="009E7ABD">
        <w:t>y</w:t>
      </w:r>
      <w:r w:rsidR="007304CA" w:rsidRPr="003E0C66">
        <w:t xml:space="preserve"> podczas rozprawy, koniecznym było zapewnienie obronie możliwości przesłuchania </w:t>
      </w:r>
      <w:r w:rsidR="00944E77">
        <w:t>pokrzywdzonego</w:t>
      </w:r>
      <w:r w:rsidR="00944E77" w:rsidRPr="003E0C66">
        <w:t xml:space="preserve"> </w:t>
      </w:r>
      <w:r w:rsidR="007304CA" w:rsidRPr="003E0C66">
        <w:t xml:space="preserve">na </w:t>
      </w:r>
      <w:r w:rsidR="005230A4" w:rsidRPr="003E0C66">
        <w:t xml:space="preserve">tym etapie </w:t>
      </w:r>
      <w:r w:rsidR="00E05B22" w:rsidRPr="003E0C66">
        <w:t>(</w:t>
      </w:r>
      <w:r w:rsidR="005230A4" w:rsidRPr="003E0C66">
        <w:t>zobacz</w:t>
      </w:r>
      <w:r w:rsidR="00E05B22" w:rsidRPr="003E0C66">
        <w:t xml:space="preserve"> </w:t>
      </w:r>
      <w:r w:rsidR="00E05B22" w:rsidRPr="003E0C66">
        <w:rPr>
          <w:i/>
        </w:rPr>
        <w:t>Rosin</w:t>
      </w:r>
      <w:r w:rsidR="00E05B22" w:rsidRPr="003E0C66">
        <w:t xml:space="preserve">, </w:t>
      </w:r>
      <w:r w:rsidR="00944E77">
        <w:t>cytowany powyżej</w:t>
      </w:r>
      <w:r w:rsidR="00E05B22" w:rsidRPr="003E0C66">
        <w:t xml:space="preserve">, §§ 57 </w:t>
      </w:r>
      <w:r w:rsidR="005230A4" w:rsidRPr="003E0C66">
        <w:t>i nast</w:t>
      </w:r>
      <w:r w:rsidR="00E05B22" w:rsidRPr="003E0C66">
        <w:t xml:space="preserve">., </w:t>
      </w:r>
      <w:r w:rsidR="005230A4" w:rsidRPr="003E0C66">
        <w:t>w szczególności</w:t>
      </w:r>
      <w:r w:rsidR="00E05B22" w:rsidRPr="003E0C66">
        <w:t xml:space="preserve"> §§ 57 </w:t>
      </w:r>
      <w:r w:rsidR="005230A4" w:rsidRPr="003E0C66">
        <w:t>i</w:t>
      </w:r>
      <w:r w:rsidR="00E05B22" w:rsidRPr="003E0C66">
        <w:t xml:space="preserve"> 60 </w:t>
      </w:r>
      <w:r w:rsidR="005230A4" w:rsidRPr="003E0C66">
        <w:t>oraz</w:t>
      </w:r>
      <w:r w:rsidR="00E05B22" w:rsidRPr="003E0C66">
        <w:t xml:space="preserve"> </w:t>
      </w:r>
      <w:proofErr w:type="spellStart"/>
      <w:r w:rsidR="00E05B22" w:rsidRPr="003E0C66">
        <w:rPr>
          <w:i/>
        </w:rPr>
        <w:t>Vronchenko</w:t>
      </w:r>
      <w:proofErr w:type="spellEnd"/>
      <w:r w:rsidR="00E05B22" w:rsidRPr="003E0C66">
        <w:t xml:space="preserve">, </w:t>
      </w:r>
      <w:r w:rsidR="00944E77">
        <w:t>cytowany powyżej</w:t>
      </w:r>
      <w:r w:rsidR="005230A4" w:rsidRPr="003E0C66">
        <w:t>, §§ 61 i</w:t>
      </w:r>
      <w:r w:rsidR="00E05B22" w:rsidRPr="003E0C66">
        <w:t xml:space="preserve"> 63,</w:t>
      </w:r>
      <w:r w:rsidR="005230A4" w:rsidRPr="003E0C66">
        <w:t xml:space="preserve"> dotyczące nieobecności podczas rozprawy małoletnich ofiar przestępstw seksualnych, ze względu na dobro dzieci</w:t>
      </w:r>
      <w:r w:rsidR="00E05B22" w:rsidRPr="003E0C66">
        <w:t xml:space="preserve"> </w:t>
      </w:r>
      <w:r w:rsidR="005230A4" w:rsidRPr="003E0C66">
        <w:t>oraz dla porównania</w:t>
      </w:r>
      <w:r w:rsidR="00E05B22" w:rsidRPr="003E0C66"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Aigner</w:t>
      </w:r>
      <w:proofErr w:type="spellEnd"/>
      <w:r w:rsidR="00E05B22" w:rsidRPr="003E0C66">
        <w:rPr>
          <w:rFonts w:ascii="Times New Roman" w:eastAsia="Calibri" w:hAnsi="Times New Roman" w:cs="Times New Roman"/>
          <w:i/>
          <w:szCs w:val="24"/>
        </w:rPr>
        <w:t xml:space="preserve"> </w:t>
      </w:r>
      <w:r w:rsidR="005230A4" w:rsidRPr="003E0C66">
        <w:rPr>
          <w:rFonts w:ascii="Times New Roman" w:eastAsia="Calibri" w:hAnsi="Times New Roman" w:cs="Times New Roman"/>
          <w:i/>
          <w:szCs w:val="24"/>
        </w:rPr>
        <w:t>przeciwko</w:t>
      </w:r>
      <w:r w:rsidR="00E05B22" w:rsidRPr="003E0C66">
        <w:rPr>
          <w:rFonts w:ascii="Times New Roman" w:eastAsia="Calibri" w:hAnsi="Times New Roman" w:cs="Times New Roman"/>
          <w:i/>
          <w:szCs w:val="24"/>
        </w:rPr>
        <w:t xml:space="preserve"> Austri</w:t>
      </w:r>
      <w:r w:rsidR="00944E77">
        <w:rPr>
          <w:rFonts w:ascii="Times New Roman" w:eastAsia="Calibri" w:hAnsi="Times New Roman" w:cs="Times New Roman"/>
          <w:i/>
          <w:szCs w:val="24"/>
        </w:rPr>
        <w:t>i</w:t>
      </w:r>
      <w:r w:rsidR="005230A4" w:rsidRPr="003E0C66">
        <w:rPr>
          <w:rFonts w:ascii="Times New Roman" w:eastAsia="Calibri" w:hAnsi="Times New Roman" w:cs="Times New Roman"/>
          <w:szCs w:val="24"/>
        </w:rPr>
        <w:t>, nr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28328/03, §§ 41-42, 10 </w:t>
      </w:r>
      <w:r w:rsidR="005230A4" w:rsidRPr="003E0C66">
        <w:rPr>
          <w:rFonts w:ascii="Times New Roman" w:eastAsia="Calibri" w:hAnsi="Times New Roman" w:cs="Times New Roman"/>
          <w:szCs w:val="24"/>
        </w:rPr>
        <w:t>maja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2012</w:t>
      </w:r>
      <w:r w:rsidR="00944E77">
        <w:rPr>
          <w:rFonts w:ascii="Times New Roman" w:eastAsia="Calibri" w:hAnsi="Times New Roman" w:cs="Times New Roman"/>
          <w:szCs w:val="24"/>
        </w:rPr>
        <w:t xml:space="preserve"> roku</w:t>
      </w:r>
      <w:r w:rsidR="00944E77">
        <w:t xml:space="preserve"> i</w:t>
      </w:r>
      <w:r w:rsidR="00E05B22" w:rsidRPr="003E0C66">
        <w:t xml:space="preserve"> </w:t>
      </w:r>
      <w:proofErr w:type="spellStart"/>
      <w:r w:rsidR="00E05B22" w:rsidRPr="003E0C66">
        <w:rPr>
          <w:i/>
        </w:rPr>
        <w:t>Trampevski</w:t>
      </w:r>
      <w:proofErr w:type="spellEnd"/>
      <w:r w:rsidR="00E05B22" w:rsidRPr="003E0C66">
        <w:t xml:space="preserve">, </w:t>
      </w:r>
      <w:r w:rsidR="00944E77">
        <w:t>cytowany powyżej</w:t>
      </w:r>
      <w:r w:rsidR="00E05B22" w:rsidRPr="003E0C66">
        <w:t>, § 45).</w:t>
      </w:r>
      <w:r w:rsidR="005230A4" w:rsidRPr="003E0C66">
        <w:t xml:space="preserve"> Takie przedprocesowe przesłuchania są często stosowane w celu uniknięcia </w:t>
      </w:r>
      <w:r w:rsidR="002747D2" w:rsidRPr="003E0C66">
        <w:t xml:space="preserve">ryzyka, iż kluczowy świadek </w:t>
      </w:r>
      <w:r w:rsidR="00D72D9E" w:rsidRPr="003E0C66">
        <w:t xml:space="preserve">podczas rozprawy </w:t>
      </w:r>
      <w:r w:rsidR="000964AC" w:rsidRPr="003E0C66">
        <w:t xml:space="preserve">nie będzie </w:t>
      </w:r>
      <w:r w:rsidR="00944E77">
        <w:t>mógł złożyć</w:t>
      </w:r>
      <w:r w:rsidR="000964AC" w:rsidRPr="003E0C66">
        <w:t xml:space="preserve"> zeznań (zobacz</w:t>
      </w:r>
      <w:r w:rsidR="00E05B22" w:rsidRPr="003E0C66">
        <w:t xml:space="preserve"> </w:t>
      </w:r>
      <w:r w:rsidR="00E05B22" w:rsidRPr="003E0C66">
        <w:rPr>
          <w:i/>
        </w:rPr>
        <w:t>Chmura</w:t>
      </w:r>
      <w:r w:rsidR="00E05B22" w:rsidRPr="003E0C66">
        <w:t xml:space="preserve">, </w:t>
      </w:r>
      <w:r w:rsidR="00944E77">
        <w:t>cytowany powyżej</w:t>
      </w:r>
      <w:r w:rsidR="00E05B22" w:rsidRPr="003E0C66">
        <w:t>, § 51).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131</w:t>
      </w:r>
      <w:r w:rsidRPr="003E0C66">
        <w:fldChar w:fldCharType="end"/>
      </w:r>
      <w:r w:rsidR="00E05B22" w:rsidRPr="003E0C66">
        <w:t>. </w:t>
      </w:r>
      <w:r w:rsidR="00944E77">
        <w:t>Oskarżony</w:t>
      </w:r>
      <w:r w:rsidR="00944E77" w:rsidRPr="003E0C66">
        <w:t xml:space="preserve"> </w:t>
      </w:r>
      <w:r w:rsidR="004546AD" w:rsidRPr="003E0C66">
        <w:t xml:space="preserve">musi ponadto mieć możliwość </w:t>
      </w:r>
      <w:r w:rsidR="00411876" w:rsidRPr="003E0C66">
        <w:t>przedstawieni</w:t>
      </w:r>
      <w:r w:rsidR="00944E77">
        <w:t>a</w:t>
      </w:r>
      <w:r w:rsidR="00411876" w:rsidRPr="003E0C66">
        <w:t xml:space="preserve"> swojej </w:t>
      </w:r>
      <w:r w:rsidR="00944E77">
        <w:t xml:space="preserve">własnej </w:t>
      </w:r>
      <w:r w:rsidR="00411876" w:rsidRPr="003E0C66">
        <w:t>wer</w:t>
      </w:r>
      <w:r w:rsidR="000964AC" w:rsidRPr="003E0C66">
        <w:t>sji wydarzeń oraz przedstawienia</w:t>
      </w:r>
      <w:r w:rsidR="00411876" w:rsidRPr="003E0C66">
        <w:t xml:space="preserve"> uwag co do </w:t>
      </w:r>
      <w:r w:rsidR="00D171AE" w:rsidRPr="003E0C66">
        <w:t xml:space="preserve">wiarygodności </w:t>
      </w:r>
      <w:r w:rsidR="00944E77" w:rsidRPr="003E0C66">
        <w:t>nieobecn</w:t>
      </w:r>
      <w:r w:rsidR="00944E77">
        <w:t>ego</w:t>
      </w:r>
      <w:r w:rsidR="00944E77" w:rsidRPr="003E0C66">
        <w:t xml:space="preserve"> </w:t>
      </w:r>
      <w:r w:rsidR="00D171AE" w:rsidRPr="003E0C66">
        <w:t>świadk</w:t>
      </w:r>
      <w:r w:rsidR="00944E77">
        <w:t>a</w:t>
      </w:r>
      <w:r w:rsidR="00D171AE" w:rsidRPr="003E0C66">
        <w:t>, wskazując wszelkie niespójności czy sprzeczności z zeznaniami innych świadków</w:t>
      </w:r>
      <w:r w:rsidR="00D171AE" w:rsidRPr="003E0C66">
        <w:rPr>
          <w:rFonts w:ascii="Times New Roman" w:eastAsia="Calibri" w:hAnsi="Times New Roman" w:cs="Times New Roman"/>
          <w:szCs w:val="24"/>
        </w:rPr>
        <w:t xml:space="preserve"> (zobacz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Aigner</w:t>
      </w:r>
      <w:proofErr w:type="spellEnd"/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944E77">
        <w:rPr>
          <w:rFonts w:ascii="Times New Roman" w:eastAsia="Calibri" w:hAnsi="Times New Roman" w:cs="Times New Roman"/>
          <w:szCs w:val="24"/>
        </w:rPr>
        <w:t>cytowany powyżej</w:t>
      </w:r>
      <w:r w:rsidR="00E05B22" w:rsidRPr="003E0C66">
        <w:rPr>
          <w:rFonts w:ascii="Times New Roman" w:eastAsia="Calibri" w:hAnsi="Times New Roman" w:cs="Times New Roman"/>
          <w:szCs w:val="24"/>
        </w:rPr>
        <w:t>, § 43;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</w:t>
      </w:r>
      <w:r w:rsidR="00E05B22" w:rsidRPr="003E0C66">
        <w:rPr>
          <w:rFonts w:ascii="Times New Roman" w:eastAsia="Calibri" w:hAnsi="Times New Roman" w:cs="Times New Roman"/>
          <w:i/>
          <w:snapToGrid w:val="0"/>
        </w:rPr>
        <w:t>D.T.</w:t>
      </w:r>
      <w:r w:rsidR="00D171AE" w:rsidRPr="003E0C66">
        <w:rPr>
          <w:rFonts w:ascii="Times New Roman" w:eastAsia="Calibri" w:hAnsi="Times New Roman" w:cs="Times New Roman"/>
          <w:i/>
          <w:snapToGrid w:val="0"/>
        </w:rPr>
        <w:t xml:space="preserve"> przeciwko Holandii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944E77">
        <w:rPr>
          <w:rFonts w:ascii="Times New Roman" w:eastAsia="Calibri" w:hAnsi="Times New Roman" w:cs="Times New Roman"/>
          <w:snapToGrid w:val="0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>,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§ 50;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Garofolo</w:t>
      </w:r>
      <w:proofErr w:type="spellEnd"/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944E77">
        <w:rPr>
          <w:rFonts w:ascii="Times New Roman" w:eastAsia="Calibri" w:hAnsi="Times New Roman" w:cs="Times New Roman"/>
          <w:szCs w:val="24"/>
        </w:rPr>
        <w:t>cytowany powyżej</w:t>
      </w:r>
      <w:r w:rsidR="00E05B22" w:rsidRPr="003E0C66">
        <w:rPr>
          <w:rFonts w:ascii="Times New Roman" w:eastAsia="Calibri" w:hAnsi="Times New Roman" w:cs="Times New Roman"/>
          <w:szCs w:val="24"/>
        </w:rPr>
        <w:t>, § 56</w:t>
      </w:r>
      <w:r w:rsidR="00D171AE" w:rsidRPr="003E0C66">
        <w:rPr>
          <w:rFonts w:ascii="Times New Roman" w:eastAsia="Calibri" w:hAnsi="Times New Roman" w:cs="Times New Roman"/>
        </w:rPr>
        <w:t xml:space="preserve"> oraz</w:t>
      </w:r>
      <w:r w:rsidR="00E05B22" w:rsidRPr="003E0C66">
        <w:rPr>
          <w:rFonts w:ascii="Times New Roman" w:eastAsia="Calibri" w:hAnsi="Times New Roman" w:cs="Times New Roman"/>
        </w:rPr>
        <w:t xml:space="preserve"> </w:t>
      </w:r>
      <w:r w:rsidR="00E05B22" w:rsidRPr="003E0C66">
        <w:rPr>
          <w:rFonts w:ascii="Times New Roman" w:eastAsia="Calibri" w:hAnsi="Times New Roman" w:cs="Times New Roman"/>
          <w:i/>
        </w:rPr>
        <w:t>Gani</w:t>
      </w:r>
      <w:r w:rsidR="00E05B22" w:rsidRPr="003E0C66">
        <w:rPr>
          <w:rFonts w:ascii="Times New Roman" w:eastAsia="Calibri" w:hAnsi="Times New Roman" w:cs="Times New Roman"/>
        </w:rPr>
        <w:t xml:space="preserve">, </w:t>
      </w:r>
      <w:r w:rsidR="00944E77">
        <w:rPr>
          <w:rFonts w:ascii="Times New Roman" w:eastAsia="Calibri" w:hAnsi="Times New Roman" w:cs="Times New Roman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>, § 48</w:t>
      </w:r>
      <w:r w:rsidR="00E05B22" w:rsidRPr="003E0C66">
        <w:rPr>
          <w:rFonts w:ascii="Times New Roman" w:eastAsia="Calibri" w:hAnsi="Times New Roman" w:cs="Times New Roman"/>
          <w:szCs w:val="24"/>
        </w:rPr>
        <w:t>).</w:t>
      </w:r>
      <w:r w:rsidR="00D171AE" w:rsidRPr="003E0C66">
        <w:rPr>
          <w:rFonts w:ascii="Times New Roman" w:eastAsia="Calibri" w:hAnsi="Times New Roman" w:cs="Times New Roman"/>
          <w:szCs w:val="24"/>
        </w:rPr>
        <w:t xml:space="preserve"> Jeśli tożsamość świadka znana jest </w:t>
      </w:r>
      <w:r w:rsidR="00944E77">
        <w:rPr>
          <w:rFonts w:ascii="Times New Roman" w:eastAsia="Calibri" w:hAnsi="Times New Roman" w:cs="Times New Roman"/>
          <w:szCs w:val="24"/>
        </w:rPr>
        <w:t>obronie</w:t>
      </w:r>
      <w:r w:rsidR="00D171AE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944E77">
        <w:rPr>
          <w:rFonts w:ascii="Times New Roman" w:eastAsia="Calibri" w:hAnsi="Times New Roman" w:cs="Times New Roman"/>
          <w:szCs w:val="24"/>
        </w:rPr>
        <w:t>może ona</w:t>
      </w:r>
      <w:r w:rsidR="00D171AE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944E77" w:rsidRPr="003E0C66">
        <w:rPr>
          <w:rFonts w:ascii="Times New Roman" w:eastAsia="Calibri" w:hAnsi="Times New Roman" w:cs="Times New Roman"/>
          <w:szCs w:val="24"/>
        </w:rPr>
        <w:t>zidentyfikowa</w:t>
      </w:r>
      <w:r w:rsidR="00944E77">
        <w:rPr>
          <w:rFonts w:ascii="Times New Roman" w:eastAsia="Calibri" w:hAnsi="Times New Roman" w:cs="Times New Roman"/>
          <w:szCs w:val="24"/>
        </w:rPr>
        <w:t>ć</w:t>
      </w:r>
      <w:r w:rsidR="00944E77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D171AE" w:rsidRPr="003E0C66">
        <w:rPr>
          <w:rFonts w:ascii="Times New Roman" w:eastAsia="Calibri" w:hAnsi="Times New Roman" w:cs="Times New Roman"/>
          <w:szCs w:val="24"/>
        </w:rPr>
        <w:t xml:space="preserve">i </w:t>
      </w:r>
      <w:r w:rsidR="00944E77" w:rsidRPr="003E0C66">
        <w:rPr>
          <w:rFonts w:ascii="Times New Roman" w:eastAsia="Calibri" w:hAnsi="Times New Roman" w:cs="Times New Roman"/>
          <w:szCs w:val="24"/>
        </w:rPr>
        <w:t>zbada</w:t>
      </w:r>
      <w:r w:rsidR="00944E77">
        <w:rPr>
          <w:rFonts w:ascii="Times New Roman" w:eastAsia="Calibri" w:hAnsi="Times New Roman" w:cs="Times New Roman"/>
          <w:szCs w:val="24"/>
        </w:rPr>
        <w:t>ć</w:t>
      </w:r>
      <w:r w:rsidR="00944E77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957637" w:rsidRPr="003E0C66">
        <w:rPr>
          <w:rFonts w:ascii="Times New Roman" w:eastAsia="Calibri" w:hAnsi="Times New Roman" w:cs="Times New Roman"/>
          <w:szCs w:val="24"/>
        </w:rPr>
        <w:t>motyw</w:t>
      </w:r>
      <w:r w:rsidR="00944E77">
        <w:rPr>
          <w:rFonts w:ascii="Times New Roman" w:eastAsia="Calibri" w:hAnsi="Times New Roman" w:cs="Times New Roman"/>
          <w:szCs w:val="24"/>
        </w:rPr>
        <w:t>y</w:t>
      </w:r>
      <w:r w:rsidR="00957637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944E77">
        <w:rPr>
          <w:rFonts w:ascii="Times New Roman" w:eastAsia="Calibri" w:hAnsi="Times New Roman" w:cs="Times New Roman"/>
          <w:szCs w:val="24"/>
        </w:rPr>
        <w:t>mogące</w:t>
      </w:r>
      <w:r w:rsidR="00B9050A">
        <w:rPr>
          <w:rFonts w:ascii="Times New Roman" w:eastAsia="Calibri" w:hAnsi="Times New Roman" w:cs="Times New Roman"/>
          <w:szCs w:val="24"/>
        </w:rPr>
        <w:t xml:space="preserve"> skłaniać świadka do kłamstwa</w:t>
      </w:r>
      <w:r w:rsidR="00135281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B9050A">
        <w:rPr>
          <w:rFonts w:ascii="Times New Roman" w:eastAsia="Calibri" w:hAnsi="Times New Roman" w:cs="Times New Roman"/>
          <w:szCs w:val="24"/>
        </w:rPr>
        <w:t>i stąd może efektywnie kwestionować</w:t>
      </w:r>
      <w:r w:rsidR="00874D53" w:rsidRPr="003E0C66">
        <w:rPr>
          <w:rFonts w:ascii="Times New Roman" w:eastAsia="Calibri" w:hAnsi="Times New Roman" w:cs="Times New Roman"/>
          <w:szCs w:val="24"/>
        </w:rPr>
        <w:t xml:space="preserve"> jego wiarygodnoś</w:t>
      </w:r>
      <w:r w:rsidR="00B9050A">
        <w:rPr>
          <w:rFonts w:ascii="Times New Roman" w:eastAsia="Calibri" w:hAnsi="Times New Roman" w:cs="Times New Roman"/>
          <w:szCs w:val="24"/>
        </w:rPr>
        <w:t>ć</w:t>
      </w:r>
      <w:r w:rsidR="00874D53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5139B2" w:rsidRPr="003E0C66">
        <w:rPr>
          <w:rFonts w:ascii="Times New Roman" w:eastAsia="Calibri" w:hAnsi="Times New Roman" w:cs="Times New Roman"/>
          <w:szCs w:val="24"/>
        </w:rPr>
        <w:t xml:space="preserve">chociaż w mniejszym stopniu </w:t>
      </w:r>
      <w:r w:rsidR="008F0446" w:rsidRPr="003E0C66">
        <w:rPr>
          <w:rFonts w:ascii="Times New Roman" w:eastAsia="Calibri" w:hAnsi="Times New Roman" w:cs="Times New Roman"/>
          <w:szCs w:val="24"/>
        </w:rPr>
        <w:t>niż przy bezpośredniej konfrontacji</w:t>
      </w:r>
      <w:r w:rsidR="00D171AE" w:rsidRPr="003E0C66">
        <w:rPr>
          <w:rFonts w:ascii="Times New Roman" w:eastAsia="Calibri" w:hAnsi="Times New Roman" w:cs="Times New Roman"/>
          <w:szCs w:val="24"/>
        </w:rPr>
        <w:t xml:space="preserve"> </w:t>
      </w:r>
      <w:r w:rsidR="008F0446" w:rsidRPr="003E0C66">
        <w:rPr>
          <w:rFonts w:ascii="Times New Roman" w:eastAsia="Calibri" w:hAnsi="Times New Roman" w:cs="Times New Roman"/>
          <w:szCs w:val="24"/>
        </w:rPr>
        <w:t>(zobacz</w:t>
      </w:r>
      <w:r w:rsidR="00E05B22" w:rsidRPr="003E0C66">
        <w:rPr>
          <w:rFonts w:ascii="Times New Roman" w:eastAsia="Calibri" w:hAnsi="Times New Roman" w:cs="Times New Roman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</w:rPr>
        <w:t>Tseber</w:t>
      </w:r>
      <w:proofErr w:type="spellEnd"/>
      <w:r w:rsidR="00E05B22" w:rsidRPr="003E0C66">
        <w:rPr>
          <w:rFonts w:ascii="Times New Roman" w:eastAsia="Calibri" w:hAnsi="Times New Roman" w:cs="Times New Roman"/>
        </w:rPr>
        <w:t xml:space="preserve">, </w:t>
      </w:r>
      <w:r w:rsidR="00B9050A">
        <w:rPr>
          <w:rFonts w:ascii="Times New Roman" w:eastAsia="Calibri" w:hAnsi="Times New Roman" w:cs="Times New Roman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>, § 63;</w:t>
      </w:r>
      <w:r w:rsidR="00E05B22" w:rsidRPr="003E0C6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zCs w:val="24"/>
        </w:rPr>
        <w:t>Garofolo</w:t>
      </w:r>
      <w:proofErr w:type="spellEnd"/>
      <w:r w:rsidR="00E05B22" w:rsidRPr="003E0C66">
        <w:rPr>
          <w:rFonts w:ascii="Times New Roman" w:eastAsia="Calibri" w:hAnsi="Times New Roman" w:cs="Times New Roman"/>
          <w:szCs w:val="24"/>
        </w:rPr>
        <w:t xml:space="preserve">, </w:t>
      </w:r>
      <w:r w:rsidR="00B9050A">
        <w:rPr>
          <w:rFonts w:ascii="Times New Roman" w:eastAsia="Calibri" w:hAnsi="Times New Roman" w:cs="Times New Roman"/>
          <w:szCs w:val="24"/>
        </w:rPr>
        <w:t>cytowany powyżej</w:t>
      </w:r>
      <w:r w:rsidR="00E05B22" w:rsidRPr="003E0C66">
        <w:rPr>
          <w:rFonts w:ascii="Times New Roman" w:eastAsia="Calibri" w:hAnsi="Times New Roman" w:cs="Times New Roman"/>
          <w:szCs w:val="24"/>
        </w:rPr>
        <w:t>, § 56</w:t>
      </w:r>
      <w:r w:rsidR="00E05B22" w:rsidRPr="003E0C66">
        <w:rPr>
          <w:rFonts w:ascii="Times New Roman" w:eastAsia="Calibri" w:hAnsi="Times New Roman" w:cs="Times New Roman"/>
        </w:rPr>
        <w:t>;</w:t>
      </w:r>
      <w:r w:rsidR="00E05B22" w:rsidRPr="003E0C66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="00E05B22" w:rsidRPr="003E0C66">
        <w:rPr>
          <w:rFonts w:ascii="Times New Roman" w:eastAsia="Calibri" w:hAnsi="Times New Roman" w:cs="Times New Roman"/>
          <w:i/>
          <w:snapToGrid w:val="0"/>
        </w:rPr>
        <w:t>Sică</w:t>
      </w:r>
      <w:proofErr w:type="spellEnd"/>
      <w:r w:rsidR="00E05B22" w:rsidRPr="003E0C66">
        <w:rPr>
          <w:rFonts w:ascii="Times New Roman" w:eastAsia="Calibri" w:hAnsi="Times New Roman" w:cs="Times New Roman"/>
          <w:snapToGrid w:val="0"/>
        </w:rPr>
        <w:t xml:space="preserve">, </w:t>
      </w:r>
      <w:r w:rsidR="00B9050A">
        <w:rPr>
          <w:rFonts w:ascii="Times New Roman" w:eastAsia="Calibri" w:hAnsi="Times New Roman" w:cs="Times New Roman"/>
          <w:snapToGrid w:val="0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>, § 73</w:t>
      </w:r>
      <w:r w:rsidR="00E05B22" w:rsidRPr="003E0C66">
        <w:rPr>
          <w:rFonts w:ascii="Times New Roman" w:eastAsia="Calibri" w:hAnsi="Times New Roman" w:cs="Times New Roman"/>
        </w:rPr>
        <w:t xml:space="preserve"> </w:t>
      </w:r>
      <w:r w:rsidR="008F0446" w:rsidRPr="003E0C66">
        <w:rPr>
          <w:rFonts w:ascii="Times New Roman" w:eastAsia="Calibri" w:hAnsi="Times New Roman" w:cs="Times New Roman"/>
        </w:rPr>
        <w:t xml:space="preserve">oraz </w:t>
      </w:r>
      <w:proofErr w:type="spellStart"/>
      <w:r w:rsidR="00E05B22" w:rsidRPr="003E0C66">
        <w:rPr>
          <w:rFonts w:ascii="Times New Roman" w:eastAsia="Calibri" w:hAnsi="Times New Roman" w:cs="Times New Roman"/>
          <w:i/>
        </w:rPr>
        <w:t>Brzuszczyński</w:t>
      </w:r>
      <w:proofErr w:type="spellEnd"/>
      <w:r w:rsidR="00E05B22" w:rsidRPr="003E0C66">
        <w:rPr>
          <w:rFonts w:ascii="Times New Roman" w:eastAsia="Calibri" w:hAnsi="Times New Roman" w:cs="Times New Roman"/>
        </w:rPr>
        <w:t xml:space="preserve">, </w:t>
      </w:r>
      <w:r w:rsidR="00B9050A">
        <w:rPr>
          <w:rFonts w:ascii="Times New Roman" w:eastAsia="Calibri" w:hAnsi="Times New Roman" w:cs="Times New Roman"/>
        </w:rPr>
        <w:t>cytowany powyżej</w:t>
      </w:r>
      <w:r w:rsidR="00E05B22" w:rsidRPr="003E0C66">
        <w:rPr>
          <w:rFonts w:ascii="Times New Roman" w:eastAsia="Calibri" w:hAnsi="Times New Roman" w:cs="Times New Roman"/>
          <w:snapToGrid w:val="0"/>
        </w:rPr>
        <w:t>, § 88</w:t>
      </w:r>
      <w:r w:rsidR="00E05B22" w:rsidRPr="003E0C66">
        <w:rPr>
          <w:rFonts w:ascii="Times New Roman" w:eastAsia="Calibri" w:hAnsi="Times New Roman" w:cs="Times New Roman"/>
          <w:szCs w:val="24"/>
        </w:rPr>
        <w:t>).</w:t>
      </w:r>
    </w:p>
    <w:p w:rsidR="00E05B22" w:rsidRPr="003E0C66" w:rsidRDefault="00E05B22" w:rsidP="00BC0CE7">
      <w:pPr>
        <w:pStyle w:val="ECHRHeading3"/>
      </w:pPr>
      <w:r w:rsidRPr="003E0C66">
        <w:t>2.</w:t>
      </w:r>
      <w:r w:rsidR="008F0446" w:rsidRPr="003E0C66">
        <w:t xml:space="preserve"> Zastosowanie tych zasad do niniejszej</w:t>
      </w:r>
      <w:r w:rsidR="000964AC" w:rsidRPr="003E0C66">
        <w:t xml:space="preserve"> sprawy</w:t>
      </w:r>
      <w:r w:rsidR="008F0446" w:rsidRPr="003E0C66">
        <w:t xml:space="preserve"> </w:t>
      </w:r>
    </w:p>
    <w:p w:rsidR="00E05B22" w:rsidRPr="003E0C66" w:rsidRDefault="00E05B22" w:rsidP="00BC0CE7">
      <w:pPr>
        <w:pStyle w:val="ECHRHeading4"/>
      </w:pPr>
      <w:r w:rsidRPr="003E0C66">
        <w:t>(a)  </w:t>
      </w:r>
      <w:r w:rsidR="008F0446" w:rsidRPr="003E0C66">
        <w:t xml:space="preserve">Czy wystąpił </w:t>
      </w:r>
      <w:r w:rsidR="00AB1742">
        <w:t>ważny</w:t>
      </w:r>
      <w:r w:rsidR="00AB1742" w:rsidRPr="003E0C66">
        <w:t xml:space="preserve"> </w:t>
      </w:r>
      <w:r w:rsidR="008F0446" w:rsidRPr="003E0C66">
        <w:t xml:space="preserve">powód usprawiedliwiający </w:t>
      </w:r>
      <w:r w:rsidR="00AB1742">
        <w:t>niestawiennictwo</w:t>
      </w:r>
      <w:r w:rsidR="00AB1742" w:rsidRPr="003E0C66">
        <w:t xml:space="preserve"> </w:t>
      </w:r>
      <w:r w:rsidR="008F0446" w:rsidRPr="003E0C66">
        <w:t xml:space="preserve">świadków O. i P. </w:t>
      </w:r>
      <w:r w:rsidR="00AB1742">
        <w:t>na rozprawie</w:t>
      </w:r>
      <w:r w:rsidR="008F0446" w:rsidRPr="003E0C66">
        <w:t xml:space="preserve">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132</w:t>
      </w:r>
      <w:r w:rsidRPr="003E0C66">
        <w:fldChar w:fldCharType="end"/>
      </w:r>
      <w:r w:rsidR="00E05B22" w:rsidRPr="003E0C66">
        <w:t>. </w:t>
      </w:r>
      <w:r w:rsidR="008F0446" w:rsidRPr="003E0C66">
        <w:t xml:space="preserve">W niniejszej sprawie Trybunał powinien zbadać, w pierwszej kolejności, czy </w:t>
      </w:r>
      <w:r w:rsidR="002E75D7" w:rsidRPr="003E0C66">
        <w:t xml:space="preserve">z punktu widzenia sądu orzekającego, </w:t>
      </w:r>
      <w:r w:rsidR="008F0446" w:rsidRPr="003E0C66">
        <w:t xml:space="preserve">zaistniał </w:t>
      </w:r>
      <w:r w:rsidR="00AB1742">
        <w:t>ważny</w:t>
      </w:r>
      <w:r w:rsidR="00AB1742" w:rsidRPr="003E0C66">
        <w:t xml:space="preserve"> </w:t>
      </w:r>
      <w:r w:rsidR="008F0446" w:rsidRPr="003E0C66">
        <w:t xml:space="preserve">powód </w:t>
      </w:r>
      <w:r w:rsidR="00FA437F" w:rsidRPr="003E0C66">
        <w:t xml:space="preserve">usprawiedliwiający </w:t>
      </w:r>
      <w:r w:rsidR="00AB1742">
        <w:t>niestawiennictwo</w:t>
      </w:r>
      <w:r w:rsidR="00AB1742" w:rsidRPr="003E0C66">
        <w:t xml:space="preserve"> </w:t>
      </w:r>
      <w:r w:rsidR="00FA437F" w:rsidRPr="003E0C66">
        <w:t xml:space="preserve">świadków </w:t>
      </w:r>
      <w:r w:rsidR="00057259" w:rsidRPr="003E0C66">
        <w:t xml:space="preserve">oskarżenia O. i P. </w:t>
      </w:r>
      <w:r w:rsidR="00AB1742">
        <w:t>na rozprawie</w:t>
      </w:r>
      <w:r w:rsidR="002E75D7" w:rsidRPr="003E0C66">
        <w:t xml:space="preserve"> </w:t>
      </w:r>
      <w:r w:rsidR="00297222" w:rsidRPr="003E0C66">
        <w:t xml:space="preserve">oraz, w rezultacie, </w:t>
      </w:r>
      <w:r w:rsidR="00AB1742">
        <w:t>ważny</w:t>
      </w:r>
      <w:r w:rsidR="00AB1742" w:rsidRPr="003E0C66">
        <w:t xml:space="preserve"> </w:t>
      </w:r>
      <w:r w:rsidR="00126968" w:rsidRPr="003E0C66">
        <w:t xml:space="preserve">powód lub </w:t>
      </w:r>
      <w:r w:rsidR="00AB1742">
        <w:t>uzasadnienie</w:t>
      </w:r>
      <w:r w:rsidR="00AB1742" w:rsidRPr="003E0C66">
        <w:t xml:space="preserve"> </w:t>
      </w:r>
      <w:r w:rsidR="00AB1742">
        <w:t>dopuszczenia przez sąd</w:t>
      </w:r>
      <w:r w:rsidR="00AB1742" w:rsidRPr="003E0C66">
        <w:t xml:space="preserve"> </w:t>
      </w:r>
      <w:r w:rsidR="00463BC3" w:rsidRPr="003E0C66">
        <w:t xml:space="preserve">niezweryfikowanych zeznań nieobecnych świadków jako dowodu (zobacz paragraf 119 powyżej). </w:t>
      </w:r>
      <w:r w:rsidR="00E05B22" w:rsidRPr="003E0C66">
        <w:rPr>
          <w:rFonts w:ascii="Times New Roman" w:hAnsi="Times New Roman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133</w:t>
      </w:r>
      <w:r w:rsidRPr="003E0C66">
        <w:fldChar w:fldCharType="end"/>
      </w:r>
      <w:r w:rsidR="00E05B22" w:rsidRPr="003E0C66">
        <w:t>. </w:t>
      </w:r>
      <w:r w:rsidR="00FE250F" w:rsidRPr="003E0C66">
        <w:t>Przy ustalaniu</w:t>
      </w:r>
      <w:r w:rsidR="00341FB7">
        <w:t>,</w:t>
      </w:r>
      <w:r w:rsidR="00FE250F" w:rsidRPr="003E0C66">
        <w:t xml:space="preserve"> czy Sąd Okręgowy miał </w:t>
      </w:r>
      <w:r w:rsidR="00937603">
        <w:t>ważne</w:t>
      </w:r>
      <w:r w:rsidR="00937603" w:rsidRPr="003E0C66">
        <w:t xml:space="preserve"> </w:t>
      </w:r>
      <w:r w:rsidR="00FE250F" w:rsidRPr="003E0C66">
        <w:t>faktyczne lub prawne podstawy</w:t>
      </w:r>
      <w:r w:rsidR="007E6FCC" w:rsidRPr="003E0C66">
        <w:t>,</w:t>
      </w:r>
      <w:r w:rsidR="00FE250F" w:rsidRPr="003E0C66">
        <w:t xml:space="preserve"> </w:t>
      </w:r>
      <w:r w:rsidR="00B86315" w:rsidRPr="003E0C66">
        <w:t xml:space="preserve">aby nie zapewnić </w:t>
      </w:r>
      <w:r w:rsidR="005A0503" w:rsidRPr="003E0C66">
        <w:t xml:space="preserve">obecności świadków </w:t>
      </w:r>
      <w:r w:rsidR="007E6FCC" w:rsidRPr="003E0C66">
        <w:t>podczas rozpraw</w:t>
      </w:r>
      <w:r w:rsidR="00341FB7">
        <w:t>y</w:t>
      </w:r>
      <w:r w:rsidR="007E6FCC" w:rsidRPr="003E0C66">
        <w:t xml:space="preserve">, na wstępie Trybunał pragnie zauważyć, </w:t>
      </w:r>
      <w:r w:rsidR="00341FB7">
        <w:t>że</w:t>
      </w:r>
      <w:r w:rsidR="007E6FCC" w:rsidRPr="003E0C66">
        <w:t xml:space="preserve"> jak słusznie wspomniał skarżący, Sąd Okręgowy nie zaakceptował </w:t>
      </w:r>
      <w:r w:rsidR="002E75D7" w:rsidRPr="003E0C66">
        <w:t>zaświadczeń o stanie</w:t>
      </w:r>
      <w:r w:rsidR="007E6FCC" w:rsidRPr="003E0C66">
        <w:t xml:space="preserve"> zdrowia świadków czy strachu jako usprawiedliwienia </w:t>
      </w:r>
      <w:r w:rsidR="00937603">
        <w:t>ich niestawiennictwa na rozprawie.</w:t>
      </w:r>
    </w:p>
    <w:p w:rsidR="00E05B22" w:rsidRPr="003E0C66" w:rsidRDefault="006B25B0" w:rsidP="00A94B14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134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</w:t>
      </w:r>
      <w:r w:rsidR="00DA7813" w:rsidRPr="003E0C66">
        <w:rPr>
          <w:rFonts w:ascii="Times New Roman" w:hAnsi="Times New Roman"/>
        </w:rPr>
        <w:t xml:space="preserve"> </w:t>
      </w:r>
      <w:r w:rsidR="00A0091A" w:rsidRPr="003E0C66">
        <w:rPr>
          <w:rFonts w:ascii="Times New Roman" w:hAnsi="Times New Roman"/>
        </w:rPr>
        <w:t xml:space="preserve">Świadczy o tym fakt, iż </w:t>
      </w:r>
      <w:r w:rsidR="00F839D9" w:rsidRPr="003E0C66">
        <w:rPr>
          <w:rFonts w:ascii="Times New Roman" w:hAnsi="Times New Roman"/>
        </w:rPr>
        <w:t xml:space="preserve">Sąd Okręgowy, </w:t>
      </w:r>
      <w:r w:rsidR="00331C1A">
        <w:rPr>
          <w:rFonts w:ascii="Times New Roman" w:hAnsi="Times New Roman"/>
        </w:rPr>
        <w:t>pismem</w:t>
      </w:r>
      <w:r w:rsidR="00331C1A" w:rsidRPr="003E0C66">
        <w:rPr>
          <w:rFonts w:ascii="Times New Roman" w:hAnsi="Times New Roman"/>
        </w:rPr>
        <w:t xml:space="preserve"> </w:t>
      </w:r>
      <w:r w:rsidR="00F839D9" w:rsidRPr="003E0C66">
        <w:rPr>
          <w:rFonts w:ascii="Times New Roman" w:hAnsi="Times New Roman"/>
        </w:rPr>
        <w:t xml:space="preserve">z </w:t>
      </w:r>
      <w:r w:rsidR="00331C1A">
        <w:rPr>
          <w:rFonts w:ascii="Times New Roman" w:hAnsi="Times New Roman"/>
        </w:rPr>
        <w:t xml:space="preserve">dnia </w:t>
      </w:r>
      <w:r w:rsidR="00F839D9" w:rsidRPr="003E0C66">
        <w:rPr>
          <w:rFonts w:ascii="Times New Roman" w:hAnsi="Times New Roman"/>
        </w:rPr>
        <w:t xml:space="preserve">29 sierpnia 2007 roku, zwrócił się do świadków przebywających na Łotwie </w:t>
      </w:r>
      <w:r w:rsidR="00A82A33" w:rsidRPr="003E0C66">
        <w:rPr>
          <w:rFonts w:ascii="Times New Roman" w:hAnsi="Times New Roman"/>
        </w:rPr>
        <w:t xml:space="preserve">aby </w:t>
      </w:r>
      <w:r w:rsidR="00331C1A">
        <w:rPr>
          <w:rFonts w:ascii="Times New Roman" w:hAnsi="Times New Roman"/>
        </w:rPr>
        <w:t>stawiły</w:t>
      </w:r>
      <w:r w:rsidR="00331C1A" w:rsidRPr="003E0C66">
        <w:rPr>
          <w:rFonts w:ascii="Times New Roman" w:hAnsi="Times New Roman"/>
        </w:rPr>
        <w:t xml:space="preserve"> </w:t>
      </w:r>
      <w:r w:rsidR="00A82A33" w:rsidRPr="003E0C66">
        <w:rPr>
          <w:rFonts w:ascii="Times New Roman" w:hAnsi="Times New Roman"/>
        </w:rPr>
        <w:lastRenderedPageBreak/>
        <w:t xml:space="preserve">się </w:t>
      </w:r>
      <w:r w:rsidR="00190F34" w:rsidRPr="003E0C66">
        <w:rPr>
          <w:rFonts w:ascii="Times New Roman" w:hAnsi="Times New Roman"/>
        </w:rPr>
        <w:t xml:space="preserve">na rozprawie </w:t>
      </w:r>
      <w:r w:rsidR="00FC350C" w:rsidRPr="003E0C66">
        <w:rPr>
          <w:rFonts w:ascii="Times New Roman" w:hAnsi="Times New Roman"/>
        </w:rPr>
        <w:t>mimo, ż</w:t>
      </w:r>
      <w:r w:rsidR="00331C1A">
        <w:rPr>
          <w:rFonts w:ascii="Times New Roman" w:hAnsi="Times New Roman"/>
        </w:rPr>
        <w:t>e</w:t>
      </w:r>
      <w:r w:rsidR="00FC350C" w:rsidRPr="003E0C66">
        <w:rPr>
          <w:rFonts w:ascii="Times New Roman" w:hAnsi="Times New Roman"/>
        </w:rPr>
        <w:t xml:space="preserve"> </w:t>
      </w:r>
      <w:r w:rsidR="00587E33" w:rsidRPr="003E0C66">
        <w:rPr>
          <w:rFonts w:ascii="Times New Roman" w:hAnsi="Times New Roman"/>
        </w:rPr>
        <w:t xml:space="preserve">wcześniej </w:t>
      </w:r>
      <w:r w:rsidR="00331C1A">
        <w:rPr>
          <w:rFonts w:ascii="Times New Roman" w:hAnsi="Times New Roman"/>
        </w:rPr>
        <w:t>odmówiły</w:t>
      </w:r>
      <w:r w:rsidR="00035B85" w:rsidRPr="003E0C66">
        <w:rPr>
          <w:rFonts w:ascii="Times New Roman" w:hAnsi="Times New Roman"/>
        </w:rPr>
        <w:t xml:space="preserve"> </w:t>
      </w:r>
      <w:r w:rsidR="00331C1A">
        <w:rPr>
          <w:rFonts w:ascii="Times New Roman" w:hAnsi="Times New Roman"/>
        </w:rPr>
        <w:t>stawienia się na wezwanie sądu</w:t>
      </w:r>
      <w:r w:rsidR="001612DD" w:rsidRPr="003E0C66">
        <w:rPr>
          <w:rFonts w:ascii="Times New Roman" w:hAnsi="Times New Roman"/>
        </w:rPr>
        <w:t xml:space="preserve"> przedstawiając zaświadczenia lekarskie </w:t>
      </w:r>
      <w:r w:rsidR="00331C1A">
        <w:rPr>
          <w:rFonts w:ascii="Times New Roman" w:hAnsi="Times New Roman"/>
        </w:rPr>
        <w:t>wskazujące</w:t>
      </w:r>
      <w:r w:rsidR="001612DD" w:rsidRPr="003E0C66">
        <w:rPr>
          <w:rFonts w:ascii="Times New Roman" w:hAnsi="Times New Roman"/>
        </w:rPr>
        <w:t>, ż</w:t>
      </w:r>
      <w:r w:rsidR="00331C1A">
        <w:rPr>
          <w:rFonts w:ascii="Times New Roman" w:hAnsi="Times New Roman"/>
        </w:rPr>
        <w:t>e</w:t>
      </w:r>
      <w:r w:rsidR="001612DD" w:rsidRPr="003E0C66">
        <w:rPr>
          <w:rFonts w:ascii="Times New Roman" w:hAnsi="Times New Roman"/>
        </w:rPr>
        <w:t xml:space="preserve"> </w:t>
      </w:r>
      <w:r w:rsidR="00331C1A">
        <w:rPr>
          <w:rFonts w:ascii="Times New Roman" w:hAnsi="Times New Roman"/>
        </w:rPr>
        <w:t>znajdowały się</w:t>
      </w:r>
      <w:r w:rsidR="00331C1A" w:rsidRPr="003E0C66">
        <w:rPr>
          <w:rFonts w:ascii="Times New Roman" w:hAnsi="Times New Roman"/>
        </w:rPr>
        <w:t xml:space="preserve"> </w:t>
      </w:r>
      <w:r w:rsidR="001612DD" w:rsidRPr="003E0C66">
        <w:rPr>
          <w:rFonts w:ascii="Times New Roman" w:hAnsi="Times New Roman"/>
        </w:rPr>
        <w:t>w niestabilnym posttraumatycznym stanie emocjonalnym i psyc</w:t>
      </w:r>
      <w:r w:rsidR="002E75D7" w:rsidRPr="003E0C66">
        <w:rPr>
          <w:rFonts w:ascii="Times New Roman" w:hAnsi="Times New Roman"/>
        </w:rPr>
        <w:t>hicznym</w:t>
      </w:r>
      <w:r w:rsidR="00084CB9" w:rsidRPr="003E0C66">
        <w:rPr>
          <w:rFonts w:ascii="Times New Roman" w:hAnsi="Times New Roman"/>
        </w:rPr>
        <w:t xml:space="preserve"> (zobacz paragrafy 23-24 powyżej). Ponadto, w związku z odwołaniem przesłuchania przez </w:t>
      </w:r>
      <w:r w:rsidR="00331C1A">
        <w:rPr>
          <w:rFonts w:ascii="Times New Roman" w:hAnsi="Times New Roman"/>
        </w:rPr>
        <w:t>s</w:t>
      </w:r>
      <w:r w:rsidR="00084CB9" w:rsidRPr="003E0C66">
        <w:rPr>
          <w:rFonts w:ascii="Times New Roman" w:hAnsi="Times New Roman"/>
        </w:rPr>
        <w:t xml:space="preserve">ąd łotewski, </w:t>
      </w:r>
      <w:r w:rsidR="00331C1A">
        <w:rPr>
          <w:rFonts w:ascii="Times New Roman" w:hAnsi="Times New Roman"/>
        </w:rPr>
        <w:t>przed którym</w:t>
      </w:r>
      <w:r w:rsidR="00331C1A" w:rsidRPr="003E0C66">
        <w:rPr>
          <w:rFonts w:ascii="Times New Roman" w:hAnsi="Times New Roman"/>
        </w:rPr>
        <w:t xml:space="preserve"> </w:t>
      </w:r>
      <w:r w:rsidR="00084CB9" w:rsidRPr="003E0C66">
        <w:rPr>
          <w:rFonts w:ascii="Times New Roman" w:hAnsi="Times New Roman"/>
        </w:rPr>
        <w:t>świadkowie</w:t>
      </w:r>
      <w:r w:rsidR="00A94B14" w:rsidRPr="003E0C66">
        <w:rPr>
          <w:rFonts w:ascii="Times New Roman" w:hAnsi="Times New Roman"/>
        </w:rPr>
        <w:t xml:space="preserve"> ponownie</w:t>
      </w:r>
      <w:r w:rsidR="00084CB9" w:rsidRPr="003E0C66">
        <w:rPr>
          <w:rFonts w:ascii="Times New Roman" w:hAnsi="Times New Roman"/>
        </w:rPr>
        <w:t xml:space="preserve"> </w:t>
      </w:r>
      <w:r w:rsidR="00A94B14" w:rsidRPr="003E0C66">
        <w:rPr>
          <w:rFonts w:ascii="Times New Roman" w:hAnsi="Times New Roman"/>
        </w:rPr>
        <w:t>przedłoży</w:t>
      </w:r>
      <w:r w:rsidR="00331C1A">
        <w:rPr>
          <w:rFonts w:ascii="Times New Roman" w:hAnsi="Times New Roman"/>
        </w:rPr>
        <w:t>ły</w:t>
      </w:r>
      <w:r w:rsidR="00A94B14" w:rsidRPr="003E0C66">
        <w:rPr>
          <w:rFonts w:ascii="Times New Roman" w:hAnsi="Times New Roman"/>
        </w:rPr>
        <w:t xml:space="preserve"> zaświadczenia lekarskie </w:t>
      </w:r>
      <w:r w:rsidR="00331C1A">
        <w:rPr>
          <w:rFonts w:ascii="Times New Roman" w:hAnsi="Times New Roman"/>
        </w:rPr>
        <w:t>wskazujące</w:t>
      </w:r>
      <w:r w:rsidR="00A94B14" w:rsidRPr="003E0C66">
        <w:rPr>
          <w:rFonts w:ascii="Times New Roman" w:hAnsi="Times New Roman"/>
        </w:rPr>
        <w:t>, ż</w:t>
      </w:r>
      <w:r w:rsidR="00331C1A">
        <w:rPr>
          <w:rFonts w:ascii="Times New Roman" w:hAnsi="Times New Roman"/>
        </w:rPr>
        <w:t>e</w:t>
      </w:r>
      <w:r w:rsidR="00A94B14" w:rsidRPr="003E0C66">
        <w:rPr>
          <w:rFonts w:ascii="Times New Roman" w:hAnsi="Times New Roman"/>
        </w:rPr>
        <w:t xml:space="preserve"> wciąż cierpią na posttraumatyczne zaburzenia, Sąd Okręgowy wskazał </w:t>
      </w:r>
      <w:r w:rsidR="00331C1A">
        <w:rPr>
          <w:rFonts w:ascii="Times New Roman" w:hAnsi="Times New Roman"/>
        </w:rPr>
        <w:t>s</w:t>
      </w:r>
      <w:r w:rsidR="00A94B14" w:rsidRPr="003E0C66">
        <w:rPr>
          <w:rFonts w:ascii="Times New Roman" w:hAnsi="Times New Roman"/>
        </w:rPr>
        <w:t>ądowi łotewskiemu, iż</w:t>
      </w:r>
      <w:r w:rsidR="00331C1A">
        <w:rPr>
          <w:rFonts w:ascii="Times New Roman" w:hAnsi="Times New Roman"/>
        </w:rPr>
        <w:t xml:space="preserve"> - </w:t>
      </w:r>
      <w:r w:rsidR="00A94B14" w:rsidRPr="003E0C66">
        <w:rPr>
          <w:rFonts w:ascii="Times New Roman" w:hAnsi="Times New Roman"/>
        </w:rPr>
        <w:t>zgodnie ze standardami niemieckiego postępowania karnego</w:t>
      </w:r>
      <w:r w:rsidR="00331C1A">
        <w:rPr>
          <w:rFonts w:ascii="Times New Roman" w:hAnsi="Times New Roman"/>
        </w:rPr>
        <w:t xml:space="preserve"> -</w:t>
      </w:r>
      <w:r w:rsidR="00A94B14" w:rsidRPr="003E0C66">
        <w:rPr>
          <w:rFonts w:ascii="Times New Roman" w:hAnsi="Times New Roman"/>
        </w:rPr>
        <w:t xml:space="preserve"> świadkowie nie</w:t>
      </w:r>
      <w:r w:rsidR="00F749AE" w:rsidRPr="003E0C66">
        <w:rPr>
          <w:rFonts w:ascii="Times New Roman" w:hAnsi="Times New Roman"/>
        </w:rPr>
        <w:t>wystarczająco</w:t>
      </w:r>
      <w:r w:rsidR="00A94B14" w:rsidRPr="003E0C66">
        <w:rPr>
          <w:rFonts w:ascii="Times New Roman" w:hAnsi="Times New Roman"/>
        </w:rPr>
        <w:t xml:space="preserve"> uzasadni</w:t>
      </w:r>
      <w:r w:rsidR="00331C1A">
        <w:rPr>
          <w:rFonts w:ascii="Times New Roman" w:hAnsi="Times New Roman"/>
        </w:rPr>
        <w:t>ły</w:t>
      </w:r>
      <w:r w:rsidR="00A94B14" w:rsidRPr="003E0C66">
        <w:rPr>
          <w:rFonts w:ascii="Times New Roman" w:hAnsi="Times New Roman"/>
        </w:rPr>
        <w:t xml:space="preserve"> odmowę </w:t>
      </w:r>
      <w:r w:rsidR="00331C1A">
        <w:rPr>
          <w:rFonts w:ascii="Times New Roman" w:hAnsi="Times New Roman"/>
        </w:rPr>
        <w:t>zeznań</w:t>
      </w:r>
      <w:r w:rsidR="00A94B14" w:rsidRPr="003E0C66">
        <w:rPr>
          <w:rFonts w:ascii="Times New Roman" w:hAnsi="Times New Roman"/>
        </w:rPr>
        <w:t xml:space="preserve">. Sąd Okręgowy zasugerował </w:t>
      </w:r>
      <w:r w:rsidR="00331C1A">
        <w:rPr>
          <w:rFonts w:ascii="Times New Roman" w:hAnsi="Times New Roman"/>
        </w:rPr>
        <w:t>s</w:t>
      </w:r>
      <w:r w:rsidR="00A94B14" w:rsidRPr="003E0C66">
        <w:rPr>
          <w:rFonts w:ascii="Times New Roman" w:hAnsi="Times New Roman"/>
        </w:rPr>
        <w:t xml:space="preserve">ądowi łotewskiemu, </w:t>
      </w:r>
      <w:r w:rsidR="00341FB7">
        <w:rPr>
          <w:rFonts w:ascii="Times New Roman" w:hAnsi="Times New Roman"/>
        </w:rPr>
        <w:t>żeby</w:t>
      </w:r>
      <w:r w:rsidR="00A94B14" w:rsidRPr="003E0C66">
        <w:rPr>
          <w:rFonts w:ascii="Times New Roman" w:hAnsi="Times New Roman"/>
        </w:rPr>
        <w:t xml:space="preserve"> ten zbadał stan zdrowia świadków i ich możliwość uczestnictwa w przesłuchaniu </w:t>
      </w:r>
      <w:r w:rsidR="00331C1A">
        <w:rPr>
          <w:rFonts w:ascii="Times New Roman" w:hAnsi="Times New Roman"/>
        </w:rPr>
        <w:t>przez</w:t>
      </w:r>
      <w:r w:rsidR="00A94B14" w:rsidRPr="003E0C66">
        <w:rPr>
          <w:rFonts w:ascii="Times New Roman" w:hAnsi="Times New Roman"/>
        </w:rPr>
        <w:t xml:space="preserve"> lekarza publicznego lub alternatywnie zmusił kobiety do uczestnictwa w przesłuchaniu na Łotwie. Sąd łotewski nie odpowiedział na te sugestie (zobacz paragrafy 26-27 powyżej).  </w:t>
      </w:r>
    </w:p>
    <w:p w:rsidR="00E05B22" w:rsidRPr="003E0C66" w:rsidRDefault="006B25B0" w:rsidP="00F749AE">
      <w:pPr>
        <w:pStyle w:val="ECHRPara"/>
        <w:rPr>
          <w:rFonts w:ascii="Times New Roman" w:hAnsi="Times New Roman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135</w:t>
      </w:r>
      <w:r w:rsidRPr="003E0C66">
        <w:fldChar w:fldCharType="end"/>
      </w:r>
      <w:r w:rsidR="00E05B22" w:rsidRPr="003E0C66">
        <w:t>.</w:t>
      </w:r>
      <w:r w:rsidR="002E75D7" w:rsidRPr="003E0C66">
        <w:t xml:space="preserve"> Dopiero po</w:t>
      </w:r>
      <w:r w:rsidR="003725D1" w:rsidRPr="003E0C66">
        <w:t xml:space="preserve"> </w:t>
      </w:r>
      <w:r w:rsidR="00F55B56">
        <w:t xml:space="preserve">tych </w:t>
      </w:r>
      <w:r w:rsidR="003725D1" w:rsidRPr="003E0C66">
        <w:t xml:space="preserve">próbach przesłuchania świadków osobiście, które </w:t>
      </w:r>
      <w:r w:rsidR="00F55B56">
        <w:t>okazały się daremne,</w:t>
      </w:r>
      <w:r w:rsidR="003725D1" w:rsidRPr="003E0C66">
        <w:t xml:space="preserve"> Sąd Okręgowy stwierdził, </w:t>
      </w:r>
      <w:r w:rsidR="00F55B56">
        <w:t>że wystąpiły</w:t>
      </w:r>
      <w:r w:rsidR="003725D1" w:rsidRPr="003E0C66">
        <w:t xml:space="preserve"> przeszkody nie do pokonania </w:t>
      </w:r>
      <w:r w:rsidR="00F55B56">
        <w:t>co do ich przesłuchania w najbliższej przyszłości</w:t>
      </w:r>
      <w:r w:rsidR="00E05B22" w:rsidRPr="003E0C66">
        <w:rPr>
          <w:rFonts w:ascii="Times New Roman" w:hAnsi="Times New Roman"/>
        </w:rPr>
        <w:t>.</w:t>
      </w:r>
      <w:r w:rsidR="003725D1" w:rsidRPr="003E0C66">
        <w:rPr>
          <w:rFonts w:ascii="Times New Roman" w:hAnsi="Times New Roman"/>
        </w:rPr>
        <w:t xml:space="preserve"> </w:t>
      </w:r>
      <w:r w:rsidR="00F55B56">
        <w:rPr>
          <w:rFonts w:ascii="Times New Roman" w:hAnsi="Times New Roman"/>
        </w:rPr>
        <w:t xml:space="preserve">Dlatego </w:t>
      </w:r>
      <w:r w:rsidR="003725D1" w:rsidRPr="003E0C66">
        <w:rPr>
          <w:rFonts w:ascii="Times New Roman" w:hAnsi="Times New Roman"/>
        </w:rPr>
        <w:t>Sąd Okręgowy, powołując się na Artykuł 251</w:t>
      </w:r>
      <w:r w:rsidR="00164C78" w:rsidRPr="003E0C66">
        <w:rPr>
          <w:rFonts w:ascii="Times New Roman" w:hAnsi="Times New Roman"/>
        </w:rPr>
        <w:t xml:space="preserve"> §</w:t>
      </w:r>
      <w:r w:rsidR="00F55B56" w:rsidRPr="003E0C66">
        <w:rPr>
          <w:rFonts w:ascii="Times New Roman" w:hAnsi="Times New Roman"/>
        </w:rPr>
        <w:t>§</w:t>
      </w:r>
      <w:r w:rsidR="00F55B56">
        <w:rPr>
          <w:rFonts w:ascii="Times New Roman" w:hAnsi="Times New Roman"/>
        </w:rPr>
        <w:t xml:space="preserve"> </w:t>
      </w:r>
      <w:r w:rsidR="00164C78" w:rsidRPr="003E0C66">
        <w:rPr>
          <w:rFonts w:ascii="Times New Roman" w:hAnsi="Times New Roman"/>
        </w:rPr>
        <w:t>1 (2) i 2 (</w:t>
      </w:r>
      <w:r w:rsidR="00191C02" w:rsidRPr="003E0C66">
        <w:rPr>
          <w:rFonts w:ascii="Times New Roman" w:hAnsi="Times New Roman"/>
        </w:rPr>
        <w:t xml:space="preserve">1) Kodeksu </w:t>
      </w:r>
      <w:r w:rsidR="00F55B56">
        <w:rPr>
          <w:rFonts w:ascii="Times New Roman" w:hAnsi="Times New Roman"/>
        </w:rPr>
        <w:t>p</w:t>
      </w:r>
      <w:r w:rsidR="00191C02" w:rsidRPr="003E0C66">
        <w:rPr>
          <w:rFonts w:ascii="Times New Roman" w:hAnsi="Times New Roman"/>
        </w:rPr>
        <w:t xml:space="preserve">ostępowania </w:t>
      </w:r>
      <w:r w:rsidR="00F55B56">
        <w:rPr>
          <w:rFonts w:ascii="Times New Roman" w:hAnsi="Times New Roman"/>
        </w:rPr>
        <w:t>k</w:t>
      </w:r>
      <w:r w:rsidR="00191C02" w:rsidRPr="003E0C66">
        <w:rPr>
          <w:rFonts w:ascii="Times New Roman" w:hAnsi="Times New Roman"/>
        </w:rPr>
        <w:t xml:space="preserve">arnego, dopuścił protokoły z </w:t>
      </w:r>
      <w:r w:rsidR="00205EB3" w:rsidRPr="003E0C66">
        <w:rPr>
          <w:rFonts w:ascii="Times New Roman" w:hAnsi="Times New Roman"/>
        </w:rPr>
        <w:t xml:space="preserve">przesłuchań świadków na etapie dochodzenia </w:t>
      </w:r>
      <w:r w:rsidR="00BD1BFF" w:rsidRPr="003E0C66">
        <w:rPr>
          <w:rFonts w:ascii="Times New Roman" w:hAnsi="Times New Roman"/>
        </w:rPr>
        <w:t>jako dowody w sprawie (zobacz paragraf 28 powyżej). Powodem podjęcia takiego kroku przez Sąd Okręgowy</w:t>
      </w:r>
      <w:r w:rsidR="0007361D" w:rsidRPr="003E0C66">
        <w:rPr>
          <w:rFonts w:ascii="Times New Roman" w:hAnsi="Times New Roman"/>
        </w:rPr>
        <w:t xml:space="preserve"> była nieosiągalność </w:t>
      </w:r>
      <w:r w:rsidR="000B6653" w:rsidRPr="003E0C66">
        <w:rPr>
          <w:rFonts w:ascii="Times New Roman" w:hAnsi="Times New Roman"/>
        </w:rPr>
        <w:t xml:space="preserve">świadków przez sąd orzekający, który nie miał wystarczających </w:t>
      </w:r>
      <w:r w:rsidR="00F55B56">
        <w:rPr>
          <w:rFonts w:ascii="Times New Roman" w:hAnsi="Times New Roman"/>
        </w:rPr>
        <w:t>uprawnień do zmuszenia</w:t>
      </w:r>
      <w:r w:rsidR="000B6653" w:rsidRPr="003E0C66">
        <w:rPr>
          <w:rFonts w:ascii="Times New Roman" w:hAnsi="Times New Roman"/>
        </w:rPr>
        <w:t xml:space="preserve"> </w:t>
      </w:r>
      <w:r w:rsidR="00F55B56">
        <w:rPr>
          <w:rFonts w:ascii="Times New Roman" w:hAnsi="Times New Roman"/>
        </w:rPr>
        <w:t>świadków</w:t>
      </w:r>
      <w:r w:rsidR="000B6653" w:rsidRPr="003E0C66">
        <w:rPr>
          <w:rFonts w:ascii="Times New Roman" w:hAnsi="Times New Roman"/>
        </w:rPr>
        <w:t xml:space="preserve"> do </w:t>
      </w:r>
      <w:r w:rsidR="00F55B56">
        <w:rPr>
          <w:rFonts w:ascii="Times New Roman" w:hAnsi="Times New Roman"/>
        </w:rPr>
        <w:t>stawienia</w:t>
      </w:r>
      <w:r w:rsidR="00F55B56" w:rsidRPr="003E0C66">
        <w:rPr>
          <w:rFonts w:ascii="Times New Roman" w:hAnsi="Times New Roman"/>
        </w:rPr>
        <w:t xml:space="preserve"> </w:t>
      </w:r>
      <w:r w:rsidR="000B6653" w:rsidRPr="003E0C66">
        <w:rPr>
          <w:rFonts w:ascii="Times New Roman" w:hAnsi="Times New Roman"/>
        </w:rPr>
        <w:t xml:space="preserve">się na rozprawie </w:t>
      </w:r>
      <w:r w:rsidR="003F5735" w:rsidRPr="003E0C66">
        <w:rPr>
          <w:rFonts w:ascii="Times New Roman" w:hAnsi="Times New Roman"/>
        </w:rPr>
        <w:t xml:space="preserve">(tzn. </w:t>
      </w:r>
      <w:r w:rsidR="00F55B56">
        <w:rPr>
          <w:rFonts w:ascii="Times New Roman" w:hAnsi="Times New Roman"/>
        </w:rPr>
        <w:t>p</w:t>
      </w:r>
      <w:r w:rsidR="003F5735" w:rsidRPr="003E0C66">
        <w:rPr>
          <w:rFonts w:ascii="Times New Roman" w:hAnsi="Times New Roman"/>
        </w:rPr>
        <w:t xml:space="preserve">odstawy prawnej </w:t>
      </w:r>
      <w:r w:rsidR="00F55B56">
        <w:rPr>
          <w:rFonts w:ascii="Times New Roman" w:hAnsi="Times New Roman"/>
        </w:rPr>
        <w:t>lub</w:t>
      </w:r>
      <w:r w:rsidR="00F55B56" w:rsidRPr="003E0C66">
        <w:rPr>
          <w:rFonts w:ascii="Times New Roman" w:hAnsi="Times New Roman"/>
        </w:rPr>
        <w:t xml:space="preserve"> </w:t>
      </w:r>
      <w:r w:rsidR="003F5735" w:rsidRPr="003E0C66">
        <w:rPr>
          <w:rFonts w:ascii="Times New Roman" w:hAnsi="Times New Roman"/>
        </w:rPr>
        <w:t xml:space="preserve">proceduralnej), a nie ich stan zdrowia czy strach (istotny lub faktyczny powód). </w:t>
      </w:r>
      <w:r w:rsidR="00E05B22" w:rsidRPr="003E0C66">
        <w:rPr>
          <w:rFonts w:ascii="Times New Roman" w:hAnsi="Times New Roman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136</w:t>
      </w:r>
      <w:r w:rsidRPr="003E0C66">
        <w:fldChar w:fldCharType="end"/>
      </w:r>
      <w:r w:rsidR="00E05B22" w:rsidRPr="003E0C66">
        <w:t>.  </w:t>
      </w:r>
      <w:r w:rsidR="003F5735" w:rsidRPr="003E0C66">
        <w:t xml:space="preserve">Zgodnie z wymogami w sprawach dotyczących nieobecności świadków oskarżenia </w:t>
      </w:r>
      <w:r w:rsidR="00D230B4" w:rsidRPr="003E0C66">
        <w:t>ze względu na ich nieosiągalność, Trybunał musi przeanalizować, czy sąd krajowy podjął wszelkie możliwe działania w celu zapewnienia obecności świadków (zobacz paragraf 120 powyżej)</w:t>
      </w:r>
      <w:r w:rsidR="000E3A4E" w:rsidRPr="003E0C66">
        <w:t>. Trybunał zauważa</w:t>
      </w:r>
      <w:r w:rsidR="00984837" w:rsidRPr="00984837">
        <w:t xml:space="preserve"> </w:t>
      </w:r>
      <w:r w:rsidR="00984837" w:rsidRPr="003E0C66">
        <w:t>w tym względzie</w:t>
      </w:r>
      <w:r w:rsidR="000E3A4E" w:rsidRPr="003E0C66">
        <w:t>, ż</w:t>
      </w:r>
      <w:r w:rsidR="00984837">
        <w:t>e</w:t>
      </w:r>
      <w:r w:rsidR="000E3A4E" w:rsidRPr="003E0C66">
        <w:t xml:space="preserve"> Sąd </w:t>
      </w:r>
      <w:r w:rsidR="00984837">
        <w:t xml:space="preserve">Okręgowy </w:t>
      </w:r>
      <w:r w:rsidR="00E4413F" w:rsidRPr="003E0C66">
        <w:t xml:space="preserve">podjął </w:t>
      </w:r>
      <w:r w:rsidR="00AD2010" w:rsidRPr="003E0C66">
        <w:t xml:space="preserve">znaczące pozytywne kroki w celu umożliwienia obronie, samemu </w:t>
      </w:r>
      <w:r w:rsidR="00984837">
        <w:t>s</w:t>
      </w:r>
      <w:r w:rsidR="00AD2010" w:rsidRPr="003E0C66">
        <w:t>ądowi oraz prokuraturze przesłuchanie świadków O. i P.</w:t>
      </w:r>
      <w:r w:rsidR="003F5735" w:rsidRPr="003E0C66">
        <w:t xml:space="preserve">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137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AD2010" w:rsidRPr="003E0C66">
        <w:rPr>
          <w:rFonts w:ascii="Times New Roman" w:hAnsi="Times New Roman"/>
        </w:rPr>
        <w:t xml:space="preserve">Sąd Okręgowy </w:t>
      </w:r>
      <w:r w:rsidR="00984837">
        <w:rPr>
          <w:rFonts w:ascii="Times New Roman" w:hAnsi="Times New Roman"/>
        </w:rPr>
        <w:t>krytycznie ocenił</w:t>
      </w:r>
      <w:r w:rsidR="00984837" w:rsidRPr="003E0C66">
        <w:rPr>
          <w:rFonts w:ascii="Times New Roman" w:hAnsi="Times New Roman"/>
        </w:rPr>
        <w:t xml:space="preserve"> </w:t>
      </w:r>
      <w:r w:rsidR="00AD2010" w:rsidRPr="003E0C66">
        <w:rPr>
          <w:rFonts w:ascii="Times New Roman" w:hAnsi="Times New Roman"/>
        </w:rPr>
        <w:t xml:space="preserve">powody, które przedstawił każdy ze świadków, odmowy </w:t>
      </w:r>
      <w:r w:rsidR="00984837">
        <w:rPr>
          <w:rFonts w:ascii="Times New Roman" w:hAnsi="Times New Roman"/>
        </w:rPr>
        <w:t>złożenia zeznań</w:t>
      </w:r>
      <w:r w:rsidR="00984837" w:rsidRPr="003E0C66">
        <w:rPr>
          <w:rFonts w:ascii="Times New Roman" w:hAnsi="Times New Roman"/>
        </w:rPr>
        <w:t xml:space="preserve"> </w:t>
      </w:r>
      <w:r w:rsidR="00123298" w:rsidRPr="003E0C66">
        <w:rPr>
          <w:rFonts w:ascii="Times New Roman" w:hAnsi="Times New Roman"/>
        </w:rPr>
        <w:t xml:space="preserve">podczas rozprawy w Niemczech, </w:t>
      </w:r>
      <w:r w:rsidR="00984837">
        <w:rPr>
          <w:rFonts w:ascii="Times New Roman" w:hAnsi="Times New Roman"/>
        </w:rPr>
        <w:t>określone w</w:t>
      </w:r>
      <w:r w:rsidR="00123298" w:rsidRPr="003E0C66">
        <w:rPr>
          <w:rFonts w:ascii="Times New Roman" w:hAnsi="Times New Roman"/>
        </w:rPr>
        <w:t xml:space="preserve"> </w:t>
      </w:r>
      <w:r w:rsidR="00984837">
        <w:rPr>
          <w:rFonts w:ascii="Times New Roman" w:hAnsi="Times New Roman"/>
        </w:rPr>
        <w:t>przedłożonych</w:t>
      </w:r>
      <w:r w:rsidR="00984837" w:rsidRPr="003E0C66">
        <w:rPr>
          <w:rFonts w:ascii="Times New Roman" w:hAnsi="Times New Roman"/>
        </w:rPr>
        <w:t xml:space="preserve"> </w:t>
      </w:r>
      <w:r w:rsidR="00123298" w:rsidRPr="003E0C66">
        <w:rPr>
          <w:rFonts w:ascii="Times New Roman" w:hAnsi="Times New Roman"/>
        </w:rPr>
        <w:t>zaświadcze</w:t>
      </w:r>
      <w:r w:rsidR="00984837">
        <w:rPr>
          <w:rFonts w:ascii="Times New Roman" w:hAnsi="Times New Roman"/>
        </w:rPr>
        <w:t>niach</w:t>
      </w:r>
      <w:r w:rsidR="00123298" w:rsidRPr="003E0C66">
        <w:rPr>
          <w:rFonts w:ascii="Times New Roman" w:hAnsi="Times New Roman"/>
        </w:rPr>
        <w:t xml:space="preserve"> lekarskich</w:t>
      </w:r>
      <w:r w:rsidR="00984837">
        <w:rPr>
          <w:rFonts w:ascii="Times New Roman" w:hAnsi="Times New Roman"/>
        </w:rPr>
        <w:t xml:space="preserve"> i</w:t>
      </w:r>
      <w:r w:rsidR="001B7F24" w:rsidRPr="003E0C66">
        <w:rPr>
          <w:rFonts w:ascii="Times New Roman" w:hAnsi="Times New Roman"/>
        </w:rPr>
        <w:t xml:space="preserve"> </w:t>
      </w:r>
      <w:r w:rsidR="00984837">
        <w:rPr>
          <w:rFonts w:ascii="Times New Roman" w:hAnsi="Times New Roman"/>
        </w:rPr>
        <w:t>uznając, jak wskazano powyżej,</w:t>
      </w:r>
      <w:r w:rsidR="00984837" w:rsidRPr="003E0C66">
        <w:rPr>
          <w:rFonts w:ascii="Times New Roman" w:hAnsi="Times New Roman"/>
        </w:rPr>
        <w:t xml:space="preserve"> </w:t>
      </w:r>
      <w:r w:rsidR="00481A0A" w:rsidRPr="003E0C66">
        <w:rPr>
          <w:rFonts w:ascii="Times New Roman" w:hAnsi="Times New Roman"/>
        </w:rPr>
        <w:t>te powody za niewystarczają</w:t>
      </w:r>
      <w:r w:rsidR="006A536E" w:rsidRPr="003E0C66">
        <w:rPr>
          <w:rFonts w:ascii="Times New Roman" w:hAnsi="Times New Roman"/>
        </w:rPr>
        <w:t>ce do uzasadnienia nieobecności</w:t>
      </w:r>
      <w:r w:rsidR="00123298" w:rsidRPr="003E0C66">
        <w:rPr>
          <w:rFonts w:ascii="Times New Roman" w:hAnsi="Times New Roman"/>
        </w:rPr>
        <w:t xml:space="preserve"> </w:t>
      </w:r>
      <w:r w:rsidR="00481A0A" w:rsidRPr="003E0C66">
        <w:rPr>
          <w:rFonts w:ascii="Times New Roman" w:hAnsi="Times New Roman"/>
        </w:rPr>
        <w:t xml:space="preserve">świadków, skontaktował się ze świadkami indywidualnie </w:t>
      </w:r>
      <w:r w:rsidR="00984837">
        <w:rPr>
          <w:rFonts w:ascii="Times New Roman" w:hAnsi="Times New Roman"/>
        </w:rPr>
        <w:t>proponując</w:t>
      </w:r>
      <w:r w:rsidR="00481A0A" w:rsidRPr="003E0C66">
        <w:rPr>
          <w:rFonts w:ascii="Times New Roman" w:hAnsi="Times New Roman"/>
        </w:rPr>
        <w:t xml:space="preserve"> im różne opcje </w:t>
      </w:r>
      <w:r w:rsidR="00984837">
        <w:rPr>
          <w:rFonts w:ascii="Times New Roman" w:hAnsi="Times New Roman"/>
        </w:rPr>
        <w:t>w celu</w:t>
      </w:r>
      <w:r w:rsidR="00984837" w:rsidRPr="003E0C66">
        <w:rPr>
          <w:rFonts w:ascii="Times New Roman" w:hAnsi="Times New Roman"/>
        </w:rPr>
        <w:t xml:space="preserve"> </w:t>
      </w:r>
      <w:r w:rsidR="00481A0A" w:rsidRPr="003E0C66">
        <w:rPr>
          <w:rFonts w:ascii="Times New Roman" w:hAnsi="Times New Roman"/>
        </w:rPr>
        <w:t>złożenia zeznań</w:t>
      </w:r>
      <w:r w:rsidR="00984837">
        <w:rPr>
          <w:rFonts w:ascii="Times New Roman" w:hAnsi="Times New Roman"/>
        </w:rPr>
        <w:t xml:space="preserve"> przed sądem</w:t>
      </w:r>
      <w:r w:rsidR="00F83FFA" w:rsidRPr="003E0C66">
        <w:rPr>
          <w:rFonts w:ascii="Times New Roman" w:hAnsi="Times New Roman"/>
        </w:rPr>
        <w:t xml:space="preserve">, które świadkowie odrzucili. </w:t>
      </w:r>
      <w:r w:rsidR="00481A0A" w:rsidRPr="003E0C66">
        <w:rPr>
          <w:rFonts w:ascii="Times New Roman" w:hAnsi="Times New Roman"/>
        </w:rPr>
        <w:t xml:space="preserve"> </w:t>
      </w:r>
    </w:p>
    <w:p w:rsidR="006D5EE1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138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B645B5" w:rsidRPr="003E0C66">
        <w:rPr>
          <w:rFonts w:ascii="Times New Roman" w:hAnsi="Times New Roman"/>
        </w:rPr>
        <w:t>Następnie Sąd Okręgowy</w:t>
      </w:r>
      <w:r w:rsidR="00E3412D" w:rsidRPr="003E0C66">
        <w:rPr>
          <w:rFonts w:ascii="Times New Roman" w:hAnsi="Times New Roman"/>
        </w:rPr>
        <w:t xml:space="preserve"> skorzystał z międzynarodowej pomocy prawnej i poprosił, aby świadkowie </w:t>
      </w:r>
      <w:r w:rsidR="000970A3" w:rsidRPr="003E0C66">
        <w:rPr>
          <w:rFonts w:ascii="Times New Roman" w:hAnsi="Times New Roman"/>
        </w:rPr>
        <w:t xml:space="preserve">zostali wezwani do stawiennictwa przed sądem łotewskim </w:t>
      </w:r>
      <w:r w:rsidR="006D5EE1" w:rsidRPr="003E0C66">
        <w:rPr>
          <w:rFonts w:ascii="Times New Roman" w:hAnsi="Times New Roman"/>
        </w:rPr>
        <w:t xml:space="preserve">w celu </w:t>
      </w:r>
      <w:r w:rsidR="00172D04">
        <w:rPr>
          <w:rFonts w:ascii="Times New Roman" w:hAnsi="Times New Roman"/>
        </w:rPr>
        <w:t xml:space="preserve">ich </w:t>
      </w:r>
      <w:r w:rsidR="006D5EE1" w:rsidRPr="003E0C66">
        <w:rPr>
          <w:rFonts w:ascii="Times New Roman" w:hAnsi="Times New Roman"/>
        </w:rPr>
        <w:t xml:space="preserve">przesłuchania za pośrednictwem łącza wideo przez </w:t>
      </w:r>
      <w:r w:rsidR="00172D04">
        <w:rPr>
          <w:rFonts w:ascii="Times New Roman" w:hAnsi="Times New Roman"/>
        </w:rPr>
        <w:t>s</w:t>
      </w:r>
      <w:r w:rsidR="006D5EE1" w:rsidRPr="003E0C66">
        <w:rPr>
          <w:rFonts w:ascii="Times New Roman" w:hAnsi="Times New Roman"/>
        </w:rPr>
        <w:t>ędziego</w:t>
      </w:r>
      <w:r w:rsidR="00172D04">
        <w:rPr>
          <w:rFonts w:ascii="Times New Roman" w:hAnsi="Times New Roman"/>
        </w:rPr>
        <w:t xml:space="preserve"> przewodniczącego z</w:t>
      </w:r>
      <w:r w:rsidR="006D5EE1" w:rsidRPr="003E0C66">
        <w:rPr>
          <w:rFonts w:ascii="Times New Roman" w:hAnsi="Times New Roman"/>
        </w:rPr>
        <w:t xml:space="preserve"> Sądu Okręgowego i umożliwi</w:t>
      </w:r>
      <w:r w:rsidR="00172D04">
        <w:rPr>
          <w:rFonts w:ascii="Times New Roman" w:hAnsi="Times New Roman"/>
        </w:rPr>
        <w:t>enia</w:t>
      </w:r>
      <w:r w:rsidR="006D5EE1" w:rsidRPr="003E0C66">
        <w:rPr>
          <w:rFonts w:ascii="Times New Roman" w:hAnsi="Times New Roman"/>
        </w:rPr>
        <w:t xml:space="preserve"> obronie </w:t>
      </w:r>
      <w:r w:rsidR="00172D04">
        <w:rPr>
          <w:rFonts w:ascii="Times New Roman" w:hAnsi="Times New Roman"/>
        </w:rPr>
        <w:t xml:space="preserve">ich </w:t>
      </w:r>
      <w:r w:rsidR="006D5EE1" w:rsidRPr="003E0C66">
        <w:rPr>
          <w:rFonts w:ascii="Times New Roman" w:hAnsi="Times New Roman"/>
        </w:rPr>
        <w:t>przesłuchani</w:t>
      </w:r>
      <w:r w:rsidR="00172D04">
        <w:rPr>
          <w:rFonts w:ascii="Times New Roman" w:hAnsi="Times New Roman"/>
        </w:rPr>
        <w:t>a</w:t>
      </w:r>
      <w:r w:rsidR="006D5EE1" w:rsidRPr="003E0C66">
        <w:rPr>
          <w:rFonts w:ascii="Times New Roman" w:hAnsi="Times New Roman"/>
        </w:rPr>
        <w:t xml:space="preserve">. </w:t>
      </w:r>
      <w:r w:rsidR="00B77047" w:rsidRPr="003E0C66">
        <w:rPr>
          <w:rFonts w:ascii="Times New Roman" w:hAnsi="Times New Roman"/>
        </w:rPr>
        <w:t xml:space="preserve">Jednakże przesłuchanie zostało odwołane przez </w:t>
      </w:r>
      <w:r w:rsidR="006D1758" w:rsidRPr="003E0C66">
        <w:rPr>
          <w:rFonts w:ascii="Times New Roman" w:hAnsi="Times New Roman"/>
        </w:rPr>
        <w:lastRenderedPageBreak/>
        <w:t xml:space="preserve">sąd łotewski, który </w:t>
      </w:r>
      <w:r w:rsidR="00172D04">
        <w:rPr>
          <w:rFonts w:ascii="Times New Roman" w:hAnsi="Times New Roman"/>
        </w:rPr>
        <w:t>zaakceptował</w:t>
      </w:r>
      <w:r w:rsidR="00172D04" w:rsidRPr="003E0C66">
        <w:rPr>
          <w:rFonts w:ascii="Times New Roman" w:hAnsi="Times New Roman"/>
        </w:rPr>
        <w:t xml:space="preserve"> </w:t>
      </w:r>
      <w:r w:rsidR="006D1758" w:rsidRPr="003E0C66">
        <w:rPr>
          <w:rFonts w:ascii="Times New Roman" w:hAnsi="Times New Roman"/>
        </w:rPr>
        <w:t xml:space="preserve">odmowę składania zeznań na podstawie </w:t>
      </w:r>
      <w:r w:rsidR="002C4C07" w:rsidRPr="003E0C66">
        <w:rPr>
          <w:rFonts w:ascii="Times New Roman" w:hAnsi="Times New Roman"/>
        </w:rPr>
        <w:t xml:space="preserve">zaświadczeń lekarskich, które </w:t>
      </w:r>
      <w:r w:rsidR="00172D04">
        <w:rPr>
          <w:rFonts w:ascii="Times New Roman" w:hAnsi="Times New Roman"/>
        </w:rPr>
        <w:t>świadkowie przedstawili</w:t>
      </w:r>
      <w:r w:rsidR="002C4C07" w:rsidRPr="003E0C66">
        <w:rPr>
          <w:rFonts w:ascii="Times New Roman" w:hAnsi="Times New Roman"/>
        </w:rPr>
        <w:t xml:space="preserve">. Sąd Okręgowy, ponownie </w:t>
      </w:r>
      <w:r w:rsidR="00172D04">
        <w:rPr>
          <w:rFonts w:ascii="Times New Roman" w:hAnsi="Times New Roman"/>
        </w:rPr>
        <w:t>krytycznie ocenił</w:t>
      </w:r>
      <w:r w:rsidR="00172D04" w:rsidRPr="003E0C66">
        <w:rPr>
          <w:rFonts w:ascii="Times New Roman" w:hAnsi="Times New Roman"/>
        </w:rPr>
        <w:t xml:space="preserve"> </w:t>
      </w:r>
      <w:r w:rsidR="002C4C07" w:rsidRPr="003E0C66">
        <w:rPr>
          <w:rFonts w:ascii="Times New Roman" w:hAnsi="Times New Roman"/>
        </w:rPr>
        <w:t>powody uniemożliwiające wzięcie udziału świadków</w:t>
      </w:r>
      <w:r w:rsidR="00FF2843" w:rsidRPr="003E0C66">
        <w:rPr>
          <w:rFonts w:ascii="Times New Roman" w:hAnsi="Times New Roman"/>
        </w:rPr>
        <w:t xml:space="preserve"> w procesie</w:t>
      </w:r>
      <w:r w:rsidR="00172D04">
        <w:rPr>
          <w:rFonts w:ascii="Times New Roman" w:hAnsi="Times New Roman"/>
        </w:rPr>
        <w:t xml:space="preserve"> i -</w:t>
      </w:r>
      <w:r w:rsidR="00FF2843" w:rsidRPr="003E0C66">
        <w:rPr>
          <w:rFonts w:ascii="Times New Roman" w:hAnsi="Times New Roman"/>
        </w:rPr>
        <w:t xml:space="preserve"> jak </w:t>
      </w:r>
      <w:r w:rsidR="00172D04">
        <w:rPr>
          <w:rFonts w:ascii="Times New Roman" w:hAnsi="Times New Roman"/>
        </w:rPr>
        <w:t>wskazano</w:t>
      </w:r>
      <w:r w:rsidR="00172D04" w:rsidRPr="003E0C66">
        <w:rPr>
          <w:rFonts w:ascii="Times New Roman" w:hAnsi="Times New Roman"/>
        </w:rPr>
        <w:t xml:space="preserve"> </w:t>
      </w:r>
      <w:r w:rsidR="00FF2843" w:rsidRPr="003E0C66">
        <w:rPr>
          <w:rFonts w:ascii="Times New Roman" w:hAnsi="Times New Roman"/>
        </w:rPr>
        <w:t>powy</w:t>
      </w:r>
      <w:r w:rsidR="000B48D0" w:rsidRPr="003E0C66">
        <w:rPr>
          <w:rFonts w:ascii="Times New Roman" w:hAnsi="Times New Roman"/>
        </w:rPr>
        <w:t>żej</w:t>
      </w:r>
      <w:r w:rsidR="00172D04">
        <w:rPr>
          <w:rFonts w:ascii="Times New Roman" w:hAnsi="Times New Roman"/>
        </w:rPr>
        <w:t xml:space="preserve"> -</w:t>
      </w:r>
      <w:r w:rsidR="000B48D0" w:rsidRPr="003E0C66">
        <w:rPr>
          <w:rFonts w:ascii="Times New Roman" w:hAnsi="Times New Roman"/>
        </w:rPr>
        <w:t xml:space="preserve"> </w:t>
      </w:r>
      <w:r w:rsidR="00172D04">
        <w:rPr>
          <w:rFonts w:ascii="Times New Roman" w:hAnsi="Times New Roman"/>
        </w:rPr>
        <w:t>zasugerował</w:t>
      </w:r>
      <w:r w:rsidR="000B48D0" w:rsidRPr="003E0C66">
        <w:rPr>
          <w:rFonts w:ascii="Times New Roman" w:hAnsi="Times New Roman"/>
        </w:rPr>
        <w:t xml:space="preserve"> nawet sądowi </w:t>
      </w:r>
      <w:r w:rsidR="00FF2843" w:rsidRPr="003E0C66">
        <w:rPr>
          <w:rFonts w:ascii="Times New Roman" w:hAnsi="Times New Roman"/>
        </w:rPr>
        <w:t>łotewskiemu</w:t>
      </w:r>
      <w:r w:rsidR="000B48D0" w:rsidRPr="003E0C66">
        <w:rPr>
          <w:rFonts w:ascii="Times New Roman" w:hAnsi="Times New Roman"/>
        </w:rPr>
        <w:t xml:space="preserve"> przebadanie stanu zdrowia świadków przez lekarza publicznego lub zmuszenie świadków do wzięcia udziału w przesłuchaniu, na </w:t>
      </w:r>
      <w:r w:rsidR="00172D04">
        <w:rPr>
          <w:rFonts w:ascii="Times New Roman" w:hAnsi="Times New Roman"/>
        </w:rPr>
        <w:t xml:space="preserve">które to </w:t>
      </w:r>
      <w:r w:rsidR="000B48D0" w:rsidRPr="003E0C66">
        <w:rPr>
          <w:rFonts w:ascii="Times New Roman" w:hAnsi="Times New Roman"/>
        </w:rPr>
        <w:t>sugestie nie uzyskano żadnej odpowiedzi</w:t>
      </w:r>
      <w:r w:rsidR="006D5EE1" w:rsidRPr="003E0C66">
        <w:rPr>
          <w:rFonts w:ascii="Times New Roman" w:hAnsi="Times New Roman"/>
        </w:rPr>
        <w:t xml:space="preserve"> </w:t>
      </w:r>
      <w:r w:rsidR="000B48D0" w:rsidRPr="003E0C66">
        <w:rPr>
          <w:rFonts w:ascii="Times New Roman" w:hAnsi="Times New Roman"/>
        </w:rPr>
        <w:t xml:space="preserve">(zobacz, </w:t>
      </w:r>
      <w:r w:rsidR="00172D04">
        <w:rPr>
          <w:rFonts w:ascii="Times New Roman" w:hAnsi="Times New Roman"/>
        </w:rPr>
        <w:t xml:space="preserve">co do szczegółów, </w:t>
      </w:r>
      <w:r w:rsidR="000B48D0" w:rsidRPr="003E0C66">
        <w:rPr>
          <w:rFonts w:ascii="Times New Roman" w:hAnsi="Times New Roman"/>
        </w:rPr>
        <w:t>paragrafy 23-27 powyżej).</w:t>
      </w:r>
    </w:p>
    <w:p w:rsidR="00E05B22" w:rsidRPr="003E0C66" w:rsidRDefault="006B25B0" w:rsidP="00BD43AC">
      <w:pPr>
        <w:pStyle w:val="ECHRPara"/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139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0B48D0" w:rsidRPr="003E0C66">
        <w:rPr>
          <w:rFonts w:ascii="Times New Roman" w:hAnsi="Times New Roman"/>
        </w:rPr>
        <w:t>W świ</w:t>
      </w:r>
      <w:r w:rsidR="00A477CC" w:rsidRPr="003E0C66">
        <w:rPr>
          <w:rFonts w:ascii="Times New Roman" w:hAnsi="Times New Roman"/>
        </w:rPr>
        <w:t>etle tych czynników Wielka Izba</w:t>
      </w:r>
      <w:r w:rsidR="005142A8">
        <w:rPr>
          <w:rFonts w:ascii="Times New Roman" w:hAnsi="Times New Roman"/>
        </w:rPr>
        <w:t>,</w:t>
      </w:r>
      <w:r w:rsidR="000B48D0" w:rsidRPr="003E0C66">
        <w:rPr>
          <w:rFonts w:ascii="Times New Roman" w:hAnsi="Times New Roman"/>
        </w:rPr>
        <w:t xml:space="preserve"> podzielając opinię </w:t>
      </w:r>
      <w:r w:rsidR="00F44119" w:rsidRPr="003E0C66">
        <w:rPr>
          <w:rFonts w:ascii="Times New Roman" w:hAnsi="Times New Roman"/>
        </w:rPr>
        <w:t>Izby w tym zakresie, stwierdza, iż Sąd Okręgowy po</w:t>
      </w:r>
      <w:r w:rsidR="00F96143" w:rsidRPr="003E0C66">
        <w:rPr>
          <w:rFonts w:ascii="Times New Roman" w:hAnsi="Times New Roman"/>
        </w:rPr>
        <w:t xml:space="preserve">djął wszelkie możliwe działania mieszczące się w </w:t>
      </w:r>
      <w:r w:rsidR="005142A8">
        <w:rPr>
          <w:rFonts w:ascii="Times New Roman" w:hAnsi="Times New Roman"/>
        </w:rPr>
        <w:t xml:space="preserve">istniejących </w:t>
      </w:r>
      <w:r w:rsidR="00F96143" w:rsidRPr="003E0C66">
        <w:rPr>
          <w:rFonts w:ascii="Times New Roman" w:hAnsi="Times New Roman"/>
        </w:rPr>
        <w:t xml:space="preserve">ramach prawnych (zobacz paragrafy 64-66) </w:t>
      </w:r>
      <w:r w:rsidR="005142A8">
        <w:rPr>
          <w:rFonts w:ascii="Times New Roman" w:hAnsi="Times New Roman"/>
        </w:rPr>
        <w:t>w</w:t>
      </w:r>
      <w:r w:rsidR="00F96143" w:rsidRPr="003E0C66">
        <w:rPr>
          <w:rFonts w:ascii="Times New Roman" w:hAnsi="Times New Roman"/>
        </w:rPr>
        <w:t xml:space="preserve"> celu zapewnieni</w:t>
      </w:r>
      <w:r w:rsidR="005142A8">
        <w:rPr>
          <w:rFonts w:ascii="Times New Roman" w:hAnsi="Times New Roman"/>
        </w:rPr>
        <w:t>a</w:t>
      </w:r>
      <w:r w:rsidR="00F96143" w:rsidRPr="003E0C66">
        <w:rPr>
          <w:rFonts w:ascii="Times New Roman" w:hAnsi="Times New Roman"/>
        </w:rPr>
        <w:t xml:space="preserve"> obecności świadków O. i P. Nie </w:t>
      </w:r>
      <w:r w:rsidR="005142A8">
        <w:rPr>
          <w:rFonts w:ascii="Times New Roman" w:hAnsi="Times New Roman"/>
        </w:rPr>
        <w:t>dysponował</w:t>
      </w:r>
      <w:r w:rsidR="005142A8" w:rsidRPr="003E0C66">
        <w:rPr>
          <w:rFonts w:ascii="Times New Roman" w:hAnsi="Times New Roman"/>
        </w:rPr>
        <w:t xml:space="preserve"> </w:t>
      </w:r>
      <w:r w:rsidR="00A477CC" w:rsidRPr="003E0C66">
        <w:rPr>
          <w:rFonts w:ascii="Times New Roman" w:hAnsi="Times New Roman"/>
        </w:rPr>
        <w:t>inn</w:t>
      </w:r>
      <w:r w:rsidR="005142A8">
        <w:rPr>
          <w:rFonts w:ascii="Times New Roman" w:hAnsi="Times New Roman"/>
        </w:rPr>
        <w:t>ymi</w:t>
      </w:r>
      <w:r w:rsidR="00A477CC" w:rsidRPr="003E0C66">
        <w:rPr>
          <w:rFonts w:ascii="Times New Roman" w:hAnsi="Times New Roman"/>
        </w:rPr>
        <w:t xml:space="preserve"> </w:t>
      </w:r>
      <w:r w:rsidR="005142A8">
        <w:rPr>
          <w:rFonts w:ascii="Times New Roman" w:hAnsi="Times New Roman"/>
        </w:rPr>
        <w:t>rozsądnymi</w:t>
      </w:r>
      <w:r w:rsidR="00600B16" w:rsidRPr="003E0C66">
        <w:rPr>
          <w:rFonts w:ascii="Times New Roman" w:hAnsi="Times New Roman"/>
        </w:rPr>
        <w:t xml:space="preserve"> środk</w:t>
      </w:r>
      <w:r w:rsidR="005142A8">
        <w:rPr>
          <w:rFonts w:ascii="Times New Roman" w:hAnsi="Times New Roman"/>
        </w:rPr>
        <w:t>ami</w:t>
      </w:r>
      <w:r w:rsidR="00600B16" w:rsidRPr="003E0C66">
        <w:rPr>
          <w:rFonts w:ascii="Times New Roman" w:hAnsi="Times New Roman"/>
        </w:rPr>
        <w:t xml:space="preserve"> prawn</w:t>
      </w:r>
      <w:r w:rsidR="005142A8">
        <w:rPr>
          <w:rFonts w:ascii="Times New Roman" w:hAnsi="Times New Roman"/>
        </w:rPr>
        <w:t>ymi w ramach swojej jurysdykcji</w:t>
      </w:r>
      <w:r w:rsidR="00A477CC" w:rsidRPr="003E0C66">
        <w:rPr>
          <w:rFonts w:ascii="Times New Roman" w:hAnsi="Times New Roman"/>
        </w:rPr>
        <w:t xml:space="preserve">, na </w:t>
      </w:r>
      <w:r w:rsidR="005142A8">
        <w:rPr>
          <w:rFonts w:ascii="Times New Roman" w:hAnsi="Times New Roman"/>
        </w:rPr>
        <w:t>terytorium</w:t>
      </w:r>
      <w:r w:rsidR="005142A8" w:rsidRPr="003E0C66">
        <w:rPr>
          <w:rFonts w:ascii="Times New Roman" w:hAnsi="Times New Roman"/>
        </w:rPr>
        <w:t xml:space="preserve"> </w:t>
      </w:r>
      <w:r w:rsidR="00A477CC" w:rsidRPr="003E0C66">
        <w:rPr>
          <w:rFonts w:ascii="Times New Roman" w:hAnsi="Times New Roman"/>
        </w:rPr>
        <w:t xml:space="preserve">Niemiec, aby zapewnić obecność O. i P., obywatelek łotewskich przebywających w </w:t>
      </w:r>
      <w:r w:rsidR="005142A8">
        <w:rPr>
          <w:rFonts w:ascii="Times New Roman" w:hAnsi="Times New Roman"/>
        </w:rPr>
        <w:t>ich</w:t>
      </w:r>
      <w:r w:rsidR="005142A8" w:rsidRPr="003E0C66">
        <w:rPr>
          <w:rFonts w:ascii="Times New Roman" w:hAnsi="Times New Roman"/>
        </w:rPr>
        <w:t xml:space="preserve"> </w:t>
      </w:r>
      <w:r w:rsidR="00A477CC" w:rsidRPr="003E0C66">
        <w:rPr>
          <w:rFonts w:ascii="Times New Roman" w:hAnsi="Times New Roman"/>
        </w:rPr>
        <w:t>kraju</w:t>
      </w:r>
      <w:r w:rsidR="005142A8">
        <w:rPr>
          <w:rFonts w:ascii="Times New Roman" w:hAnsi="Times New Roman"/>
        </w:rPr>
        <w:t xml:space="preserve"> ojczystym</w:t>
      </w:r>
      <w:r w:rsidR="00A477CC" w:rsidRPr="003E0C66">
        <w:rPr>
          <w:rFonts w:ascii="Times New Roman" w:hAnsi="Times New Roman"/>
        </w:rPr>
        <w:t xml:space="preserve">, na rozprawie. Trybunał uważa w szczególności, </w:t>
      </w:r>
      <w:r w:rsidR="00341FB7">
        <w:rPr>
          <w:rFonts w:ascii="Times New Roman" w:hAnsi="Times New Roman"/>
        </w:rPr>
        <w:t>że</w:t>
      </w:r>
      <w:r w:rsidR="00A477CC" w:rsidRPr="003E0C66">
        <w:rPr>
          <w:rFonts w:ascii="Times New Roman" w:hAnsi="Times New Roman"/>
        </w:rPr>
        <w:t xml:space="preserve"> nic nie wskazuje</w:t>
      </w:r>
      <w:r w:rsidR="00126FAD" w:rsidRPr="003E0C66">
        <w:rPr>
          <w:rFonts w:ascii="Times New Roman" w:hAnsi="Times New Roman"/>
        </w:rPr>
        <w:t xml:space="preserve"> na</w:t>
      </w:r>
      <w:r w:rsidR="00A477CC" w:rsidRPr="003E0C66">
        <w:rPr>
          <w:rFonts w:ascii="Times New Roman" w:hAnsi="Times New Roman"/>
        </w:rPr>
        <w:t xml:space="preserve"> to, iż </w:t>
      </w:r>
      <w:r w:rsidR="005142A8">
        <w:rPr>
          <w:rFonts w:ascii="Times New Roman" w:hAnsi="Times New Roman"/>
        </w:rPr>
        <w:t>s</w:t>
      </w:r>
      <w:r w:rsidR="00A477CC" w:rsidRPr="003E0C66">
        <w:rPr>
          <w:rFonts w:ascii="Times New Roman" w:hAnsi="Times New Roman"/>
        </w:rPr>
        <w:t xml:space="preserve">ąd </w:t>
      </w:r>
      <w:r w:rsidR="004D62F5" w:rsidRPr="003E0C66">
        <w:rPr>
          <w:rFonts w:ascii="Times New Roman" w:hAnsi="Times New Roman"/>
        </w:rPr>
        <w:t>mógłby w rozsądnym terminie przesłuchać świadków</w:t>
      </w:r>
      <w:r w:rsidR="00BD43AC" w:rsidRPr="003E0C66">
        <w:rPr>
          <w:rFonts w:ascii="Times New Roman" w:hAnsi="Times New Roman"/>
        </w:rPr>
        <w:t xml:space="preserve">, </w:t>
      </w:r>
      <w:r w:rsidR="005142A8">
        <w:rPr>
          <w:rFonts w:ascii="Times New Roman" w:hAnsi="Times New Roman"/>
        </w:rPr>
        <w:t>w następstwie</w:t>
      </w:r>
      <w:r w:rsidR="00BD43AC" w:rsidRPr="003E0C66">
        <w:rPr>
          <w:rFonts w:ascii="Times New Roman" w:hAnsi="Times New Roman"/>
        </w:rPr>
        <w:t xml:space="preserve"> dwustronnych negocjacji  z Republiką Łotewską na szczeblu politycznym, jak zaproponował skarżący. Zgodnie z zasadą </w:t>
      </w:r>
      <w:proofErr w:type="spellStart"/>
      <w:r w:rsidR="00E05B22" w:rsidRPr="003E0C66">
        <w:rPr>
          <w:i/>
        </w:rPr>
        <w:t>impossibilium</w:t>
      </w:r>
      <w:proofErr w:type="spellEnd"/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nulla</w:t>
      </w:r>
      <w:proofErr w:type="spellEnd"/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est</w:t>
      </w:r>
      <w:proofErr w:type="spellEnd"/>
      <w:r w:rsidR="00E05B22" w:rsidRPr="003E0C66">
        <w:rPr>
          <w:i/>
        </w:rPr>
        <w:t xml:space="preserve"> </w:t>
      </w:r>
      <w:proofErr w:type="spellStart"/>
      <w:r w:rsidR="00E05B22" w:rsidRPr="003E0C66">
        <w:rPr>
          <w:i/>
        </w:rPr>
        <w:t>obligatio</w:t>
      </w:r>
      <w:proofErr w:type="spellEnd"/>
      <w:r w:rsidR="00E05B22" w:rsidRPr="003E0C66">
        <w:t xml:space="preserve"> </w:t>
      </w:r>
      <w:r w:rsidR="00BD43AC" w:rsidRPr="003E0C66">
        <w:t>nieobecności</w:t>
      </w:r>
      <w:r w:rsidR="005142A8">
        <w:t>ą</w:t>
      </w:r>
      <w:r w:rsidR="00BD43AC" w:rsidRPr="003E0C66">
        <w:t xml:space="preserve"> świadków nie można </w:t>
      </w:r>
      <w:r w:rsidR="005142A8">
        <w:t>obciążać</w:t>
      </w:r>
      <w:r w:rsidR="005142A8" w:rsidRPr="003E0C66">
        <w:t xml:space="preserve"> </w:t>
      </w:r>
      <w:r w:rsidR="005142A8">
        <w:t>sądów krajowych</w:t>
      </w:r>
      <w:r w:rsidR="00BD43AC" w:rsidRPr="003E0C66">
        <w:t xml:space="preserve">. 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140</w:t>
      </w:r>
      <w:r w:rsidRPr="003E0C66">
        <w:fldChar w:fldCharType="end"/>
      </w:r>
      <w:r w:rsidR="00E05B22" w:rsidRPr="003E0C66">
        <w:t>. </w:t>
      </w:r>
      <w:r w:rsidR="00BD43AC" w:rsidRPr="003E0C66">
        <w:t>W związku z tym</w:t>
      </w:r>
      <w:r w:rsidR="005142A8">
        <w:t>,</w:t>
      </w:r>
      <w:r w:rsidR="00BD43AC" w:rsidRPr="003E0C66">
        <w:t xml:space="preserve"> z punktu widzenia Trybunału, zaistniał </w:t>
      </w:r>
      <w:r w:rsidR="005142A8">
        <w:t>ważny</w:t>
      </w:r>
      <w:r w:rsidR="005142A8" w:rsidRPr="003E0C66">
        <w:t xml:space="preserve"> </w:t>
      </w:r>
      <w:r w:rsidR="00BD43AC" w:rsidRPr="003E0C66">
        <w:t>powód</w:t>
      </w:r>
      <w:r w:rsidR="005142A8">
        <w:t xml:space="preserve"> nieobecności</w:t>
      </w:r>
      <w:r w:rsidR="00BD43AC" w:rsidRPr="003E0C66">
        <w:t xml:space="preserve"> świadków O. i P. na rozprawie oraz w rezultacie </w:t>
      </w:r>
      <w:r w:rsidR="005142A8">
        <w:t xml:space="preserve">ważny </w:t>
      </w:r>
      <w:r w:rsidR="00BD43AC" w:rsidRPr="003E0C66">
        <w:t xml:space="preserve">powód </w:t>
      </w:r>
      <w:r w:rsidR="005142A8">
        <w:t>dopuszczenia</w:t>
      </w:r>
      <w:r w:rsidR="00BD43AC" w:rsidRPr="003E0C66">
        <w:t xml:space="preserve"> zeznań złożonych na policji oraz przed sędzią </w:t>
      </w:r>
      <w:r w:rsidR="005B3072">
        <w:t>śledczym</w:t>
      </w:r>
      <w:r w:rsidR="00BD43AC" w:rsidRPr="003E0C66">
        <w:t xml:space="preserve"> </w:t>
      </w:r>
      <w:r w:rsidR="00341FB7">
        <w:t>na etapie przed</w:t>
      </w:r>
      <w:r w:rsidR="005B3072" w:rsidRPr="003E0C66">
        <w:t xml:space="preserve">procesowym </w:t>
      </w:r>
      <w:r w:rsidR="00BD43AC" w:rsidRPr="003E0C66">
        <w:t xml:space="preserve">jako </w:t>
      </w:r>
      <w:r w:rsidR="005B3072">
        <w:t>dowodu w sprawie</w:t>
      </w:r>
      <w:r w:rsidR="00BD43AC" w:rsidRPr="003E0C66">
        <w:t xml:space="preserve">.    </w:t>
      </w:r>
      <w:r w:rsidR="00E05B22" w:rsidRPr="003E0C66">
        <w:t> </w:t>
      </w:r>
    </w:p>
    <w:p w:rsidR="00E05B22" w:rsidRPr="003E0C66" w:rsidRDefault="00E05B22" w:rsidP="00BC0CE7">
      <w:pPr>
        <w:pStyle w:val="ECHRHeading4"/>
      </w:pPr>
      <w:r w:rsidRPr="003E0C66">
        <w:t>(b)  </w:t>
      </w:r>
      <w:r w:rsidR="00BD43AC" w:rsidRPr="003E0C66">
        <w:t xml:space="preserve">Czy dowód z zeznań nieobecnych świadków </w:t>
      </w:r>
      <w:r w:rsidR="008D5265" w:rsidRPr="003E0C66">
        <w:t xml:space="preserve">był jedyną lub </w:t>
      </w:r>
      <w:r w:rsidR="005B3072">
        <w:t>decydującą</w:t>
      </w:r>
      <w:r w:rsidR="005B3072" w:rsidRPr="003E0C66">
        <w:t xml:space="preserve"> </w:t>
      </w:r>
      <w:r w:rsidR="008D5265" w:rsidRPr="003E0C66">
        <w:t xml:space="preserve">podstawą skazania oskarżonego </w:t>
      </w:r>
      <w:r w:rsidR="006D6999" w:rsidRPr="003E0C66">
        <w:t xml:space="preserve">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141</w:t>
      </w:r>
      <w:r w:rsidRPr="003E0C66">
        <w:fldChar w:fldCharType="end"/>
      </w:r>
      <w:r w:rsidR="00E05B22" w:rsidRPr="003E0C66">
        <w:t>.</w:t>
      </w:r>
      <w:r w:rsidR="008D5265" w:rsidRPr="003E0C66">
        <w:t xml:space="preserve"> Określając wagę dowodów z zeznań nieobecnych świadków</w:t>
      </w:r>
      <w:r w:rsidR="0097297E" w:rsidRPr="003E0C66">
        <w:t>, a zwłaszcza</w:t>
      </w:r>
      <w:r w:rsidR="00C93901" w:rsidRPr="003E0C66">
        <w:t xml:space="preserve"> to</w:t>
      </w:r>
      <w:r w:rsidR="0004732A">
        <w:t>,</w:t>
      </w:r>
      <w:r w:rsidR="00C93901" w:rsidRPr="003E0C66">
        <w:t xml:space="preserve"> czy dowody złożone przez świadków były jedyną lub decydującą podstawą skazania </w:t>
      </w:r>
      <w:r w:rsidR="00BA1A69">
        <w:t>skarżącego</w:t>
      </w:r>
      <w:r w:rsidR="00C93901" w:rsidRPr="003E0C66">
        <w:t>, Trybunał uw</w:t>
      </w:r>
      <w:r w:rsidR="00FE4C5E" w:rsidRPr="003E0C66">
        <w:t xml:space="preserve">zględnił w pierwszej kolejności ustalenia sądów krajowych. Trybunał zauważa, iż Sąd Okręgowy </w:t>
      </w:r>
      <w:r w:rsidR="00F821E9" w:rsidRPr="003E0C66">
        <w:t xml:space="preserve">uznał świadków O. i P. za kluczowych świadków oskarżenia </w:t>
      </w:r>
      <w:r w:rsidR="00E05B22" w:rsidRPr="003E0C66">
        <w:rPr>
          <w:rFonts w:ascii="Times New Roman" w:hAnsi="Times New Roman"/>
        </w:rPr>
        <w:t>(</w:t>
      </w:r>
      <w:r w:rsidR="00E05B22" w:rsidRPr="003E0C66">
        <w:rPr>
          <w:rFonts w:ascii="Times New Roman" w:hAnsi="Times New Roman"/>
          <w:i/>
        </w:rPr>
        <w:t>“</w:t>
      </w:r>
      <w:proofErr w:type="spellStart"/>
      <w:r w:rsidR="00E05B22" w:rsidRPr="003E0C66">
        <w:rPr>
          <w:rFonts w:ascii="Times New Roman" w:hAnsi="Times New Roman"/>
          <w:i/>
        </w:rPr>
        <w:t>maßgebliche</w:t>
      </w:r>
      <w:proofErr w:type="spellEnd"/>
      <w:r w:rsidR="00E05B22" w:rsidRPr="003E0C66">
        <w:rPr>
          <w:rFonts w:ascii="Times New Roman" w:hAnsi="Times New Roman" w:cs="Times New Roman"/>
          <w:i/>
        </w:rPr>
        <w:t>[n]</w:t>
      </w:r>
      <w:r w:rsidR="00E05B22" w:rsidRPr="003E0C66">
        <w:rPr>
          <w:rFonts w:ascii="Times New Roman" w:hAnsi="Times New Roman"/>
          <w:i/>
        </w:rPr>
        <w:t xml:space="preserve"> </w:t>
      </w:r>
      <w:proofErr w:type="spellStart"/>
      <w:r w:rsidR="00E05B22" w:rsidRPr="003E0C66">
        <w:rPr>
          <w:rFonts w:ascii="Times New Roman" w:hAnsi="Times New Roman"/>
          <w:i/>
        </w:rPr>
        <w:t>Belastungszeuginnen</w:t>
      </w:r>
      <w:proofErr w:type="spellEnd"/>
      <w:r w:rsidR="00E05B22" w:rsidRPr="003E0C66">
        <w:rPr>
          <w:rFonts w:ascii="Times New Roman" w:hAnsi="Times New Roman"/>
          <w:i/>
        </w:rPr>
        <w:t>”</w:t>
      </w:r>
      <w:r w:rsidR="00E05B22" w:rsidRPr="003E0C66">
        <w:rPr>
          <w:rFonts w:ascii="Times New Roman" w:hAnsi="Times New Roman"/>
        </w:rPr>
        <w:t>),</w:t>
      </w:r>
      <w:r w:rsidR="00F821E9" w:rsidRPr="003E0C66">
        <w:rPr>
          <w:rFonts w:ascii="Times New Roman" w:hAnsi="Times New Roman"/>
        </w:rPr>
        <w:t xml:space="preserve"> </w:t>
      </w:r>
      <w:r w:rsidR="00BA1A69">
        <w:rPr>
          <w:rFonts w:ascii="Times New Roman" w:hAnsi="Times New Roman"/>
        </w:rPr>
        <w:t>ale odwołując się do innych</w:t>
      </w:r>
      <w:r w:rsidR="00F821E9" w:rsidRPr="003E0C66">
        <w:rPr>
          <w:rFonts w:ascii="Times New Roman" w:hAnsi="Times New Roman"/>
        </w:rPr>
        <w:t xml:space="preserve"> dostępnych dowod</w:t>
      </w:r>
      <w:r w:rsidR="00BA1A69">
        <w:rPr>
          <w:rFonts w:ascii="Times New Roman" w:hAnsi="Times New Roman"/>
        </w:rPr>
        <w:t>ów</w:t>
      </w:r>
      <w:r w:rsidR="00F821E9" w:rsidRPr="003E0C66">
        <w:rPr>
          <w:rFonts w:ascii="Times New Roman" w:hAnsi="Times New Roman"/>
        </w:rPr>
        <w:t xml:space="preserve"> </w:t>
      </w:r>
      <w:r w:rsidR="00E05B22" w:rsidRPr="003E0C66">
        <w:rPr>
          <w:rFonts w:ascii="Times New Roman" w:hAnsi="Times New Roman"/>
        </w:rPr>
        <w:t>(</w:t>
      </w:r>
      <w:r w:rsidR="00F821E9" w:rsidRPr="003E0C66">
        <w:rPr>
          <w:rFonts w:ascii="Times New Roman" w:hAnsi="Times New Roman"/>
        </w:rPr>
        <w:t>zobacz paragrafy 32 i</w:t>
      </w:r>
      <w:r w:rsidR="00E05B22" w:rsidRPr="003E0C66">
        <w:rPr>
          <w:rFonts w:ascii="Times New Roman" w:hAnsi="Times New Roman"/>
        </w:rPr>
        <w:t xml:space="preserve"> 36 </w:t>
      </w:r>
      <w:r w:rsidR="00F821E9" w:rsidRPr="003E0C66">
        <w:rPr>
          <w:rFonts w:ascii="Times New Roman" w:hAnsi="Times New Roman"/>
        </w:rPr>
        <w:t>powyżej</w:t>
      </w:r>
      <w:r w:rsidR="00E05B22" w:rsidRPr="003E0C66">
        <w:rPr>
          <w:rFonts w:ascii="Times New Roman" w:hAnsi="Times New Roman"/>
        </w:rPr>
        <w:t>).</w:t>
      </w:r>
      <w:r w:rsidR="00F821E9" w:rsidRPr="003E0C66">
        <w:rPr>
          <w:rFonts w:ascii="Times New Roman" w:hAnsi="Times New Roman"/>
        </w:rPr>
        <w:t xml:space="preserve"> Federalny Trybunał Sprawiedliwości</w:t>
      </w:r>
      <w:r w:rsidR="00623547" w:rsidRPr="003E0C66">
        <w:rPr>
          <w:rFonts w:ascii="Times New Roman" w:hAnsi="Times New Roman"/>
        </w:rPr>
        <w:t xml:space="preserve">, </w:t>
      </w:r>
      <w:r w:rsidR="00FD467C">
        <w:rPr>
          <w:rFonts w:ascii="Times New Roman" w:hAnsi="Times New Roman"/>
        </w:rPr>
        <w:t xml:space="preserve">w swojej części, </w:t>
      </w:r>
      <w:r w:rsidR="00623547" w:rsidRPr="003E0C66">
        <w:rPr>
          <w:rFonts w:ascii="Times New Roman" w:hAnsi="Times New Roman"/>
        </w:rPr>
        <w:t>oddalając</w:t>
      </w:r>
      <w:r w:rsidR="00F821E9" w:rsidRPr="003E0C66">
        <w:rPr>
          <w:rFonts w:ascii="Times New Roman" w:hAnsi="Times New Roman"/>
        </w:rPr>
        <w:t xml:space="preserve"> </w:t>
      </w:r>
      <w:r w:rsidR="00FD467C">
        <w:rPr>
          <w:rFonts w:ascii="Times New Roman" w:hAnsi="Times New Roman"/>
        </w:rPr>
        <w:t>apelację</w:t>
      </w:r>
      <w:r w:rsidR="00FD467C" w:rsidRPr="003E0C66">
        <w:rPr>
          <w:rFonts w:ascii="Times New Roman" w:hAnsi="Times New Roman"/>
        </w:rPr>
        <w:t xml:space="preserve"> </w:t>
      </w:r>
      <w:r w:rsidR="00623547" w:rsidRPr="003E0C66">
        <w:rPr>
          <w:rFonts w:ascii="Times New Roman" w:hAnsi="Times New Roman"/>
        </w:rPr>
        <w:t xml:space="preserve">skarżącego odniósł się do </w:t>
      </w:r>
      <w:r w:rsidR="00BE2031" w:rsidRPr="003E0C66">
        <w:rPr>
          <w:rFonts w:ascii="Times New Roman" w:hAnsi="Times New Roman"/>
        </w:rPr>
        <w:t>uzasadnienia</w:t>
      </w:r>
      <w:r w:rsidR="00FD467C">
        <w:rPr>
          <w:rFonts w:ascii="Times New Roman" w:hAnsi="Times New Roman"/>
        </w:rPr>
        <w:t xml:space="preserve"> przedstawionego przez</w:t>
      </w:r>
      <w:r w:rsidR="00BE2031" w:rsidRPr="003E0C66">
        <w:rPr>
          <w:rFonts w:ascii="Times New Roman" w:hAnsi="Times New Roman"/>
        </w:rPr>
        <w:t xml:space="preserve"> Fede</w:t>
      </w:r>
      <w:r w:rsidR="009A0ADF" w:rsidRPr="003E0C66">
        <w:rPr>
          <w:rFonts w:ascii="Times New Roman" w:hAnsi="Times New Roman"/>
        </w:rPr>
        <w:t>ralnego Prokuratora Generalnego</w:t>
      </w:r>
      <w:r w:rsidR="00FD467C">
        <w:rPr>
          <w:rFonts w:ascii="Times New Roman" w:hAnsi="Times New Roman"/>
        </w:rPr>
        <w:t xml:space="preserve"> przed tym trybunałem</w:t>
      </w:r>
      <w:r w:rsidR="009A0ADF" w:rsidRPr="003E0C66">
        <w:rPr>
          <w:rFonts w:ascii="Times New Roman" w:hAnsi="Times New Roman"/>
        </w:rPr>
        <w:t xml:space="preserve">. Ten ostatni </w:t>
      </w:r>
      <w:r w:rsidR="00FD467C">
        <w:rPr>
          <w:rFonts w:ascii="Times New Roman" w:hAnsi="Times New Roman"/>
        </w:rPr>
        <w:t>stwierdził</w:t>
      </w:r>
      <w:r w:rsidR="009A0ADF" w:rsidRPr="003E0C66">
        <w:rPr>
          <w:rFonts w:ascii="Times New Roman" w:hAnsi="Times New Roman"/>
        </w:rPr>
        <w:t xml:space="preserve">, iż </w:t>
      </w:r>
      <w:r w:rsidR="00FD467C">
        <w:rPr>
          <w:rFonts w:ascii="Times New Roman" w:hAnsi="Times New Roman"/>
        </w:rPr>
        <w:t xml:space="preserve">przedmiotowe </w:t>
      </w:r>
      <w:r w:rsidR="009A0ADF" w:rsidRPr="003E0C66">
        <w:rPr>
          <w:rFonts w:ascii="Times New Roman" w:hAnsi="Times New Roman"/>
        </w:rPr>
        <w:t>zeznania świadków nie były ani jedyną, ani decydującą podstawą skazania</w:t>
      </w:r>
      <w:r w:rsidR="004F5777" w:rsidRPr="003E0C66">
        <w:rPr>
          <w:rFonts w:ascii="Times New Roman" w:hAnsi="Times New Roman"/>
        </w:rPr>
        <w:t xml:space="preserve">, ponieważ Sąd Okręgowy oparł </w:t>
      </w:r>
      <w:r w:rsidR="004A472E" w:rsidRPr="003E0C66">
        <w:rPr>
          <w:rFonts w:ascii="Times New Roman" w:hAnsi="Times New Roman"/>
        </w:rPr>
        <w:t xml:space="preserve">swoje ustalenia na </w:t>
      </w:r>
      <w:r w:rsidR="00165F0E" w:rsidRPr="003E0C66">
        <w:rPr>
          <w:rFonts w:ascii="Times New Roman" w:hAnsi="Times New Roman"/>
        </w:rPr>
        <w:t xml:space="preserve">innych istotnych dowodach (zobacz paragraf 49 </w:t>
      </w:r>
      <w:r w:rsidR="00710192" w:rsidRPr="003E0C66">
        <w:rPr>
          <w:rFonts w:ascii="Times New Roman" w:hAnsi="Times New Roman"/>
        </w:rPr>
        <w:t>powyżej</w:t>
      </w:r>
      <w:r w:rsidR="00165F0E" w:rsidRPr="003E0C66">
        <w:rPr>
          <w:rFonts w:ascii="Times New Roman" w:hAnsi="Times New Roman"/>
        </w:rPr>
        <w:t>).</w:t>
      </w:r>
      <w:r w:rsidR="009A0ADF" w:rsidRPr="003E0C66">
        <w:rPr>
          <w:rFonts w:ascii="Times New Roman" w:hAnsi="Times New Roman"/>
        </w:rPr>
        <w:t xml:space="preserve">  </w:t>
      </w:r>
    </w:p>
    <w:p w:rsidR="004F3065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142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C93901" w:rsidRPr="003E0C66">
        <w:rPr>
          <w:rFonts w:ascii="Times New Roman" w:hAnsi="Times New Roman"/>
        </w:rPr>
        <w:t>Trybunał stwierd</w:t>
      </w:r>
      <w:r w:rsidR="003B47D8" w:rsidRPr="003E0C66">
        <w:rPr>
          <w:rFonts w:ascii="Times New Roman" w:hAnsi="Times New Roman"/>
        </w:rPr>
        <w:t>ził, ż</w:t>
      </w:r>
      <w:r w:rsidR="00FD467C">
        <w:rPr>
          <w:rFonts w:ascii="Times New Roman" w:hAnsi="Times New Roman"/>
        </w:rPr>
        <w:t>e</w:t>
      </w:r>
      <w:r w:rsidR="003B47D8" w:rsidRPr="003E0C66">
        <w:rPr>
          <w:rFonts w:ascii="Times New Roman" w:hAnsi="Times New Roman"/>
        </w:rPr>
        <w:t xml:space="preserve"> sądy krajowe, które nie uważały zeznań </w:t>
      </w:r>
      <w:r w:rsidR="00C95B99" w:rsidRPr="003E0C66">
        <w:rPr>
          <w:rFonts w:ascii="Times New Roman" w:hAnsi="Times New Roman"/>
        </w:rPr>
        <w:t>świadków O. i P. za wyłączny (można powiedzieć, jedyny) dowód przeciwko skarżącemu, nie wskazały wyraźnie</w:t>
      </w:r>
      <w:r w:rsidR="00710192" w:rsidRPr="003E0C66">
        <w:rPr>
          <w:rFonts w:ascii="Times New Roman" w:hAnsi="Times New Roman"/>
        </w:rPr>
        <w:t xml:space="preserve"> czy </w:t>
      </w:r>
      <w:r w:rsidR="00E3053F" w:rsidRPr="003E0C66">
        <w:rPr>
          <w:rFonts w:ascii="Times New Roman" w:hAnsi="Times New Roman"/>
        </w:rPr>
        <w:t xml:space="preserve">uznały wspomniane zeznania za </w:t>
      </w:r>
      <w:r w:rsidR="00FD467C" w:rsidRPr="003E0C66">
        <w:rPr>
          <w:rFonts w:ascii="Times New Roman" w:hAnsi="Times New Roman"/>
        </w:rPr>
        <w:t xml:space="preserve">dowód </w:t>
      </w:r>
      <w:r w:rsidR="00FD467C">
        <w:rPr>
          <w:rFonts w:ascii="Times New Roman" w:hAnsi="Times New Roman"/>
        </w:rPr>
        <w:t>„decydujący”</w:t>
      </w:r>
      <w:r w:rsidR="001D75E9" w:rsidRPr="003E0C66">
        <w:rPr>
          <w:rFonts w:ascii="Times New Roman" w:hAnsi="Times New Roman"/>
        </w:rPr>
        <w:t xml:space="preserve">, </w:t>
      </w:r>
      <w:r w:rsidR="00FD467C">
        <w:rPr>
          <w:rFonts w:ascii="Times New Roman" w:hAnsi="Times New Roman"/>
        </w:rPr>
        <w:t>zdefiniowany</w:t>
      </w:r>
      <w:r w:rsidR="001D75E9" w:rsidRPr="003E0C66">
        <w:rPr>
          <w:rFonts w:ascii="Times New Roman" w:hAnsi="Times New Roman"/>
        </w:rPr>
        <w:t xml:space="preserve"> </w:t>
      </w:r>
      <w:r w:rsidR="00FD467C">
        <w:rPr>
          <w:rFonts w:ascii="Times New Roman" w:hAnsi="Times New Roman"/>
        </w:rPr>
        <w:t xml:space="preserve"> </w:t>
      </w:r>
      <w:r w:rsidR="001D75E9" w:rsidRPr="003E0C66">
        <w:rPr>
          <w:rFonts w:ascii="Times New Roman" w:hAnsi="Times New Roman"/>
        </w:rPr>
        <w:t xml:space="preserve">w wyroku </w:t>
      </w:r>
      <w:r w:rsidR="00FD467C" w:rsidRPr="003E0C66">
        <w:rPr>
          <w:rFonts w:ascii="Times New Roman" w:hAnsi="Times New Roman"/>
        </w:rPr>
        <w:t xml:space="preserve">Trybunału </w:t>
      </w:r>
      <w:r w:rsidR="001D75E9" w:rsidRPr="003E0C66">
        <w:rPr>
          <w:rFonts w:ascii="Times New Roman" w:hAnsi="Times New Roman"/>
        </w:rPr>
        <w:t xml:space="preserve">w </w:t>
      </w:r>
      <w:r w:rsidR="001D75E9" w:rsidRPr="003E0C66">
        <w:rPr>
          <w:rFonts w:ascii="Times New Roman" w:hAnsi="Times New Roman"/>
        </w:rPr>
        <w:lastRenderedPageBreak/>
        <w:t xml:space="preserve">sprawie </w:t>
      </w:r>
      <w:r w:rsidR="001D75E9" w:rsidRPr="003E0C66">
        <w:rPr>
          <w:rFonts w:ascii="Times New Roman" w:hAnsi="Times New Roman"/>
          <w:i/>
        </w:rPr>
        <w:t>Al-Khawaja i</w:t>
      </w:r>
      <w:r w:rsidR="00E05B22" w:rsidRPr="003E0C66">
        <w:rPr>
          <w:rFonts w:ascii="Times New Roman" w:hAnsi="Times New Roman"/>
          <w:i/>
        </w:rPr>
        <w:t xml:space="preserve"> Tahery</w:t>
      </w:r>
      <w:r w:rsidR="00E05B22" w:rsidRPr="003E0C66">
        <w:rPr>
          <w:rFonts w:ascii="Times New Roman" w:hAnsi="Times New Roman"/>
        </w:rPr>
        <w:t xml:space="preserve"> (</w:t>
      </w:r>
      <w:r w:rsidR="001D75E9" w:rsidRPr="003E0C66">
        <w:rPr>
          <w:rFonts w:ascii="Times New Roman" w:hAnsi="Times New Roman"/>
        </w:rPr>
        <w:t xml:space="preserve">który </w:t>
      </w:r>
      <w:r w:rsidR="000442E7">
        <w:rPr>
          <w:rFonts w:ascii="Times New Roman" w:hAnsi="Times New Roman"/>
        </w:rPr>
        <w:t xml:space="preserve">to wyrok </w:t>
      </w:r>
      <w:r w:rsidR="001D75E9" w:rsidRPr="003E0C66">
        <w:rPr>
          <w:rFonts w:ascii="Times New Roman" w:hAnsi="Times New Roman"/>
        </w:rPr>
        <w:t xml:space="preserve">został wydany </w:t>
      </w:r>
      <w:r w:rsidR="00B20A41" w:rsidRPr="003E0C66">
        <w:rPr>
          <w:rFonts w:ascii="Times New Roman" w:hAnsi="Times New Roman"/>
        </w:rPr>
        <w:t xml:space="preserve">po </w:t>
      </w:r>
      <w:r w:rsidR="00FD467C">
        <w:rPr>
          <w:rFonts w:ascii="Times New Roman" w:hAnsi="Times New Roman"/>
        </w:rPr>
        <w:t>orzeczeniach</w:t>
      </w:r>
      <w:r w:rsidR="00FD467C" w:rsidRPr="003E0C66">
        <w:rPr>
          <w:rFonts w:ascii="Times New Roman" w:hAnsi="Times New Roman"/>
        </w:rPr>
        <w:t xml:space="preserve"> </w:t>
      </w:r>
      <w:r w:rsidR="00B20A41" w:rsidRPr="003E0C66">
        <w:rPr>
          <w:rFonts w:ascii="Times New Roman" w:hAnsi="Times New Roman"/>
        </w:rPr>
        <w:t>sądów krajowych w niniejszej sprawie)</w:t>
      </w:r>
      <w:r w:rsidR="00370BD5" w:rsidRPr="003E0C66">
        <w:rPr>
          <w:rFonts w:ascii="Times New Roman" w:hAnsi="Times New Roman"/>
        </w:rPr>
        <w:t>, to znaczy</w:t>
      </w:r>
      <w:r w:rsidR="00FD467C">
        <w:rPr>
          <w:rFonts w:ascii="Times New Roman" w:hAnsi="Times New Roman"/>
        </w:rPr>
        <w:t xml:space="preserve"> dowód o takim znaczeniu</w:t>
      </w:r>
      <w:r w:rsidR="00370BD5" w:rsidRPr="003E0C66">
        <w:rPr>
          <w:rFonts w:ascii="Times New Roman" w:hAnsi="Times New Roman"/>
        </w:rPr>
        <w:t xml:space="preserve">, </w:t>
      </w:r>
      <w:r w:rsidR="00FD467C">
        <w:rPr>
          <w:rFonts w:ascii="Times New Roman" w:hAnsi="Times New Roman"/>
        </w:rPr>
        <w:t>że</w:t>
      </w:r>
      <w:r w:rsidR="00370BD5" w:rsidRPr="003E0C66">
        <w:rPr>
          <w:rFonts w:ascii="Times New Roman" w:hAnsi="Times New Roman"/>
        </w:rPr>
        <w:t xml:space="preserve"> mógł </w:t>
      </w:r>
      <w:r w:rsidR="00FD467C">
        <w:rPr>
          <w:rFonts w:ascii="Times New Roman" w:hAnsi="Times New Roman"/>
        </w:rPr>
        <w:t>być</w:t>
      </w:r>
      <w:r w:rsidR="00FD467C" w:rsidRPr="003E0C66">
        <w:rPr>
          <w:rFonts w:ascii="Times New Roman" w:hAnsi="Times New Roman"/>
        </w:rPr>
        <w:t xml:space="preserve"> </w:t>
      </w:r>
      <w:r w:rsidR="00370BD5" w:rsidRPr="003E0C66">
        <w:rPr>
          <w:rFonts w:ascii="Times New Roman" w:hAnsi="Times New Roman"/>
        </w:rPr>
        <w:t>decydując</w:t>
      </w:r>
      <w:r w:rsidR="00FD467C">
        <w:rPr>
          <w:rFonts w:ascii="Times New Roman" w:hAnsi="Times New Roman"/>
        </w:rPr>
        <w:t>y</w:t>
      </w:r>
      <w:r w:rsidR="00370BD5" w:rsidRPr="003E0C66">
        <w:rPr>
          <w:rFonts w:ascii="Times New Roman" w:hAnsi="Times New Roman"/>
        </w:rPr>
        <w:t xml:space="preserve"> dla wyniku sprawy (zobacz paragraf 123 powyżej). </w:t>
      </w:r>
      <w:r w:rsidR="00FD467C">
        <w:rPr>
          <w:rFonts w:ascii="Times New Roman" w:hAnsi="Times New Roman"/>
        </w:rPr>
        <w:t>Sklasyfikowanie</w:t>
      </w:r>
      <w:r w:rsidR="00FD467C" w:rsidRPr="003E0C66">
        <w:rPr>
          <w:rFonts w:ascii="Times New Roman" w:hAnsi="Times New Roman"/>
        </w:rPr>
        <w:t xml:space="preserve"> </w:t>
      </w:r>
      <w:r w:rsidR="00370BD5" w:rsidRPr="003E0C66">
        <w:rPr>
          <w:rFonts w:ascii="Times New Roman" w:hAnsi="Times New Roman"/>
        </w:rPr>
        <w:t xml:space="preserve">przez Sąd Okręgowy świadków jako </w:t>
      </w:r>
      <w:r w:rsidR="000442E7">
        <w:rPr>
          <w:rFonts w:ascii="Times New Roman" w:hAnsi="Times New Roman"/>
        </w:rPr>
        <w:t>„</w:t>
      </w:r>
      <w:proofErr w:type="spellStart"/>
      <w:r w:rsidR="00E05B22" w:rsidRPr="003E0C66">
        <w:rPr>
          <w:rFonts w:ascii="Times New Roman" w:hAnsi="Times New Roman"/>
          <w:i/>
        </w:rPr>
        <w:t>maßgeblich</w:t>
      </w:r>
      <w:proofErr w:type="spellEnd"/>
      <w:r w:rsidR="00E05B22" w:rsidRPr="003E0C66">
        <w:rPr>
          <w:rFonts w:ascii="Times New Roman" w:hAnsi="Times New Roman"/>
        </w:rPr>
        <w:t>” (</w:t>
      </w:r>
      <w:r w:rsidR="00370BD5" w:rsidRPr="003E0C66">
        <w:rPr>
          <w:rFonts w:ascii="Times New Roman" w:hAnsi="Times New Roman"/>
        </w:rPr>
        <w:t xml:space="preserve">co oprócz </w:t>
      </w:r>
      <w:r w:rsidR="000442E7">
        <w:rPr>
          <w:rFonts w:ascii="Times New Roman" w:hAnsi="Times New Roman"/>
        </w:rPr>
        <w:t>„</w:t>
      </w:r>
      <w:r w:rsidR="00370BD5" w:rsidRPr="003E0C66">
        <w:rPr>
          <w:rFonts w:ascii="Times New Roman" w:hAnsi="Times New Roman"/>
        </w:rPr>
        <w:t>kluczowy’’, może równi</w:t>
      </w:r>
      <w:r w:rsidR="000442E7">
        <w:rPr>
          <w:rFonts w:ascii="Times New Roman" w:hAnsi="Times New Roman"/>
        </w:rPr>
        <w:t>eż zostać przetłumaczone jako ‘”</w:t>
      </w:r>
      <w:r w:rsidR="0004732A">
        <w:rPr>
          <w:rFonts w:ascii="Times New Roman" w:hAnsi="Times New Roman"/>
        </w:rPr>
        <w:t>ważny’’, „znaczący’’ lub „</w:t>
      </w:r>
      <w:r w:rsidR="00370BD5" w:rsidRPr="003E0C66">
        <w:rPr>
          <w:rFonts w:ascii="Times New Roman" w:hAnsi="Times New Roman"/>
        </w:rPr>
        <w:t xml:space="preserve">decydujący’’), nie jest w tym zakresie jednoznaczne. Ponadto </w:t>
      </w:r>
      <w:r w:rsidR="00646DB9">
        <w:rPr>
          <w:rFonts w:ascii="Times New Roman" w:hAnsi="Times New Roman"/>
        </w:rPr>
        <w:t>generalne odwołanie się</w:t>
      </w:r>
      <w:r w:rsidR="00646DB9" w:rsidRPr="003E0C66">
        <w:rPr>
          <w:rFonts w:ascii="Times New Roman" w:hAnsi="Times New Roman"/>
        </w:rPr>
        <w:t xml:space="preserve"> </w:t>
      </w:r>
      <w:r w:rsidR="00370BD5" w:rsidRPr="003E0C66">
        <w:rPr>
          <w:rFonts w:ascii="Times New Roman" w:hAnsi="Times New Roman"/>
        </w:rPr>
        <w:t xml:space="preserve">Federalnego Trybunału Sprawiedliwości </w:t>
      </w:r>
      <w:r w:rsidR="00432C7E" w:rsidRPr="003E0C66">
        <w:rPr>
          <w:rFonts w:ascii="Times New Roman" w:hAnsi="Times New Roman"/>
        </w:rPr>
        <w:t xml:space="preserve">do </w:t>
      </w:r>
      <w:r w:rsidR="00646DB9">
        <w:rPr>
          <w:rFonts w:ascii="Times New Roman" w:hAnsi="Times New Roman"/>
        </w:rPr>
        <w:t>uzasadnienia przedstawionego przez</w:t>
      </w:r>
      <w:r w:rsidR="00646DB9" w:rsidRPr="003E0C66">
        <w:rPr>
          <w:rFonts w:ascii="Times New Roman" w:hAnsi="Times New Roman"/>
        </w:rPr>
        <w:t xml:space="preserve"> </w:t>
      </w:r>
      <w:r w:rsidR="00432C7E" w:rsidRPr="003E0C66">
        <w:rPr>
          <w:rFonts w:ascii="Times New Roman" w:hAnsi="Times New Roman"/>
        </w:rPr>
        <w:t>Federalnego Prokuratora Generalnego zaprzecza</w:t>
      </w:r>
      <w:r w:rsidR="00646DB9">
        <w:rPr>
          <w:rFonts w:ascii="Times New Roman" w:hAnsi="Times New Roman"/>
        </w:rPr>
        <w:t>jące temu, że</w:t>
      </w:r>
      <w:r w:rsidR="00432C7E" w:rsidRPr="003E0C66">
        <w:rPr>
          <w:rFonts w:ascii="Times New Roman" w:hAnsi="Times New Roman"/>
        </w:rPr>
        <w:t xml:space="preserve"> </w:t>
      </w:r>
      <w:r w:rsidR="00645696" w:rsidRPr="003E0C66">
        <w:rPr>
          <w:rFonts w:ascii="Times New Roman" w:hAnsi="Times New Roman"/>
        </w:rPr>
        <w:t xml:space="preserve">zeznania </w:t>
      </w:r>
      <w:r w:rsidR="00646DB9">
        <w:rPr>
          <w:rFonts w:ascii="Times New Roman" w:hAnsi="Times New Roman"/>
        </w:rPr>
        <w:t>pokrzywdzonych</w:t>
      </w:r>
      <w:r w:rsidR="00646DB9" w:rsidRPr="003E0C66">
        <w:rPr>
          <w:rFonts w:ascii="Times New Roman" w:hAnsi="Times New Roman"/>
        </w:rPr>
        <w:t xml:space="preserve"> </w:t>
      </w:r>
      <w:r w:rsidR="00645696" w:rsidRPr="003E0C66">
        <w:rPr>
          <w:rFonts w:ascii="Times New Roman" w:hAnsi="Times New Roman"/>
        </w:rPr>
        <w:t xml:space="preserve">były jedynymi i </w:t>
      </w:r>
      <w:r w:rsidR="00646DB9">
        <w:rPr>
          <w:rFonts w:ascii="Times New Roman" w:hAnsi="Times New Roman"/>
        </w:rPr>
        <w:t>decydującymi</w:t>
      </w:r>
      <w:r w:rsidR="00646DB9" w:rsidRPr="003E0C66">
        <w:rPr>
          <w:rFonts w:ascii="Times New Roman" w:hAnsi="Times New Roman"/>
        </w:rPr>
        <w:t xml:space="preserve"> </w:t>
      </w:r>
      <w:r w:rsidR="00645696" w:rsidRPr="003E0C66">
        <w:rPr>
          <w:rFonts w:ascii="Times New Roman" w:hAnsi="Times New Roman"/>
        </w:rPr>
        <w:t xml:space="preserve">podstawami </w:t>
      </w:r>
      <w:r w:rsidR="00C823D6" w:rsidRPr="003E0C66">
        <w:rPr>
          <w:rFonts w:ascii="Times New Roman" w:hAnsi="Times New Roman"/>
        </w:rPr>
        <w:t xml:space="preserve">skazania skarżącego (zobacz paragraf 49 powyżej), nie może </w:t>
      </w:r>
      <w:r w:rsidR="009111E5" w:rsidRPr="003E0C66">
        <w:rPr>
          <w:rFonts w:ascii="Times New Roman" w:hAnsi="Times New Roman"/>
        </w:rPr>
        <w:t>być</w:t>
      </w:r>
      <w:r w:rsidR="007A72B3" w:rsidRPr="003E0C66">
        <w:rPr>
          <w:rFonts w:ascii="Times New Roman" w:hAnsi="Times New Roman"/>
        </w:rPr>
        <w:t xml:space="preserve"> </w:t>
      </w:r>
      <w:r w:rsidR="0038387E" w:rsidRPr="003E0C66">
        <w:rPr>
          <w:rFonts w:ascii="Times New Roman" w:hAnsi="Times New Roman"/>
        </w:rPr>
        <w:t xml:space="preserve">jednak rozumiane </w:t>
      </w:r>
      <w:r w:rsidR="00646DB9">
        <w:rPr>
          <w:rFonts w:ascii="Times New Roman" w:hAnsi="Times New Roman"/>
        </w:rPr>
        <w:t xml:space="preserve">jako oznaczające, że </w:t>
      </w:r>
      <w:r w:rsidR="004F3065" w:rsidRPr="003E0C66">
        <w:rPr>
          <w:rFonts w:ascii="Times New Roman" w:hAnsi="Times New Roman"/>
        </w:rPr>
        <w:t xml:space="preserve">sąd </w:t>
      </w:r>
      <w:r w:rsidR="00646DB9">
        <w:rPr>
          <w:rFonts w:ascii="Times New Roman" w:hAnsi="Times New Roman"/>
        </w:rPr>
        <w:t>wyraził aprobatę dla</w:t>
      </w:r>
      <w:r w:rsidR="00646DB9" w:rsidRPr="003E0C66">
        <w:rPr>
          <w:rFonts w:ascii="Times New Roman" w:hAnsi="Times New Roman"/>
        </w:rPr>
        <w:t xml:space="preserve"> </w:t>
      </w:r>
      <w:r w:rsidR="004F3065" w:rsidRPr="003E0C66">
        <w:rPr>
          <w:rFonts w:ascii="Times New Roman" w:hAnsi="Times New Roman"/>
        </w:rPr>
        <w:t>każd</w:t>
      </w:r>
      <w:r w:rsidR="00646DB9">
        <w:rPr>
          <w:rFonts w:ascii="Times New Roman" w:hAnsi="Times New Roman"/>
        </w:rPr>
        <w:t>ego</w:t>
      </w:r>
      <w:r w:rsidR="004F3065" w:rsidRPr="003E0C66">
        <w:rPr>
          <w:rFonts w:ascii="Times New Roman" w:hAnsi="Times New Roman"/>
        </w:rPr>
        <w:t xml:space="preserve"> argument</w:t>
      </w:r>
      <w:r w:rsidR="00646DB9">
        <w:rPr>
          <w:rFonts w:ascii="Times New Roman" w:hAnsi="Times New Roman"/>
        </w:rPr>
        <w:t>u</w:t>
      </w:r>
      <w:r w:rsidR="004F3065" w:rsidRPr="003E0C66">
        <w:rPr>
          <w:rFonts w:ascii="Times New Roman" w:hAnsi="Times New Roman"/>
        </w:rPr>
        <w:t xml:space="preserve"> prokuratora.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143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C95B99" w:rsidRPr="003E0C66">
        <w:rPr>
          <w:rFonts w:ascii="Times New Roman" w:hAnsi="Times New Roman"/>
        </w:rPr>
        <w:t>Przy dokonywaniu własnej oceny wagi dowodu z zeznań świadk</w:t>
      </w:r>
      <w:r w:rsidR="00A3172A">
        <w:rPr>
          <w:rFonts w:ascii="Times New Roman" w:hAnsi="Times New Roman"/>
        </w:rPr>
        <w:t>a</w:t>
      </w:r>
      <w:r w:rsidR="00C95B99" w:rsidRPr="003E0C66">
        <w:rPr>
          <w:rFonts w:ascii="Times New Roman" w:hAnsi="Times New Roman"/>
        </w:rPr>
        <w:t xml:space="preserve">, w </w:t>
      </w:r>
      <w:r w:rsidR="00AE1326" w:rsidRPr="003E0C66">
        <w:rPr>
          <w:rFonts w:ascii="Times New Roman" w:hAnsi="Times New Roman"/>
        </w:rPr>
        <w:t xml:space="preserve">świetle ustaleń sądów krajowych, Trybunał musi wziąć pod uwagę </w:t>
      </w:r>
      <w:r w:rsidR="00A3172A">
        <w:rPr>
          <w:rFonts w:ascii="Times New Roman" w:hAnsi="Times New Roman"/>
        </w:rPr>
        <w:t>wagę</w:t>
      </w:r>
      <w:r w:rsidR="00A3172A" w:rsidRPr="003E0C66">
        <w:rPr>
          <w:rFonts w:ascii="Times New Roman" w:hAnsi="Times New Roman"/>
        </w:rPr>
        <w:t xml:space="preserve"> </w:t>
      </w:r>
      <w:r w:rsidR="008A0AF5" w:rsidRPr="003E0C66">
        <w:rPr>
          <w:rFonts w:ascii="Times New Roman" w:hAnsi="Times New Roman"/>
        </w:rPr>
        <w:t>dodatkowych</w:t>
      </w:r>
      <w:r w:rsidR="00AF658F" w:rsidRPr="003E0C66">
        <w:rPr>
          <w:rFonts w:ascii="Times New Roman" w:hAnsi="Times New Roman"/>
        </w:rPr>
        <w:t xml:space="preserve"> dostępnych</w:t>
      </w:r>
      <w:r w:rsidR="008A0AF5" w:rsidRPr="003E0C66">
        <w:rPr>
          <w:rFonts w:ascii="Times New Roman" w:hAnsi="Times New Roman"/>
        </w:rPr>
        <w:t xml:space="preserve"> dowodów</w:t>
      </w:r>
      <w:r w:rsidR="00AF658F" w:rsidRPr="003E0C66">
        <w:rPr>
          <w:rFonts w:ascii="Times New Roman" w:hAnsi="Times New Roman"/>
        </w:rPr>
        <w:t xml:space="preserve"> obciążających (zobacz paragra</w:t>
      </w:r>
      <w:r w:rsidR="0004732A">
        <w:rPr>
          <w:rFonts w:ascii="Times New Roman" w:hAnsi="Times New Roman"/>
        </w:rPr>
        <w:t>f 123 powyżej). Trybunał zauważa</w:t>
      </w:r>
      <w:r w:rsidR="00AF658F" w:rsidRPr="003E0C66">
        <w:rPr>
          <w:rFonts w:ascii="Times New Roman" w:hAnsi="Times New Roman"/>
        </w:rPr>
        <w:t xml:space="preserve">, </w:t>
      </w:r>
      <w:r w:rsidR="0004732A">
        <w:rPr>
          <w:rFonts w:ascii="Times New Roman" w:hAnsi="Times New Roman"/>
        </w:rPr>
        <w:t>że</w:t>
      </w:r>
      <w:r w:rsidR="00AF658F" w:rsidRPr="003E0C66">
        <w:rPr>
          <w:rFonts w:ascii="Times New Roman" w:hAnsi="Times New Roman"/>
        </w:rPr>
        <w:t xml:space="preserve"> Sąd Okręgowy </w:t>
      </w:r>
      <w:r w:rsidR="00A3172A">
        <w:rPr>
          <w:rFonts w:ascii="Times New Roman" w:hAnsi="Times New Roman"/>
        </w:rPr>
        <w:t>dysponował</w:t>
      </w:r>
      <w:r w:rsidR="00A3172A" w:rsidRPr="003E0C66">
        <w:rPr>
          <w:rFonts w:ascii="Times New Roman" w:hAnsi="Times New Roman"/>
        </w:rPr>
        <w:t xml:space="preserve"> </w:t>
      </w:r>
      <w:r w:rsidR="00CC4FAE" w:rsidRPr="003E0C66">
        <w:rPr>
          <w:rFonts w:ascii="Times New Roman" w:hAnsi="Times New Roman"/>
        </w:rPr>
        <w:t>dalsz</w:t>
      </w:r>
      <w:r w:rsidR="00A3172A">
        <w:rPr>
          <w:rFonts w:ascii="Times New Roman" w:hAnsi="Times New Roman"/>
        </w:rPr>
        <w:t>ymi</w:t>
      </w:r>
      <w:r w:rsidR="00CC4FAE" w:rsidRPr="003E0C66">
        <w:rPr>
          <w:rFonts w:ascii="Times New Roman" w:hAnsi="Times New Roman"/>
        </w:rPr>
        <w:t xml:space="preserve"> dowod</w:t>
      </w:r>
      <w:r w:rsidR="00A3172A">
        <w:rPr>
          <w:rFonts w:ascii="Times New Roman" w:hAnsi="Times New Roman"/>
        </w:rPr>
        <w:t>ami</w:t>
      </w:r>
      <w:r w:rsidR="00CC4FAE" w:rsidRPr="003E0C66">
        <w:rPr>
          <w:rFonts w:ascii="Times New Roman" w:hAnsi="Times New Roman"/>
        </w:rPr>
        <w:t xml:space="preserve"> dotycząc</w:t>
      </w:r>
      <w:r w:rsidR="00A3172A">
        <w:rPr>
          <w:rFonts w:ascii="Times New Roman" w:hAnsi="Times New Roman"/>
        </w:rPr>
        <w:t>ymi</w:t>
      </w:r>
      <w:r w:rsidR="00CC4FAE" w:rsidRPr="003E0C66">
        <w:rPr>
          <w:rFonts w:ascii="Times New Roman" w:hAnsi="Times New Roman"/>
        </w:rPr>
        <w:t xml:space="preserve"> przestępstwa: </w:t>
      </w:r>
      <w:r w:rsidR="00A3172A">
        <w:rPr>
          <w:rFonts w:ascii="Times New Roman" w:hAnsi="Times New Roman"/>
        </w:rPr>
        <w:t>zeznaniami „ze słyszenia”</w:t>
      </w:r>
      <w:r w:rsidR="00CC4FAE" w:rsidRPr="003E0C66">
        <w:rPr>
          <w:rFonts w:ascii="Times New Roman" w:hAnsi="Times New Roman"/>
        </w:rPr>
        <w:t xml:space="preserve"> sąsiadk</w:t>
      </w:r>
      <w:r w:rsidR="00A3172A">
        <w:rPr>
          <w:rFonts w:ascii="Times New Roman" w:hAnsi="Times New Roman"/>
        </w:rPr>
        <w:t>i</w:t>
      </w:r>
      <w:r w:rsidR="00CC4FAE" w:rsidRPr="003E0C66">
        <w:rPr>
          <w:rFonts w:ascii="Times New Roman" w:hAnsi="Times New Roman"/>
        </w:rPr>
        <w:t xml:space="preserve"> świadków</w:t>
      </w:r>
      <w:r w:rsidR="00F61CBB" w:rsidRPr="003E0C66">
        <w:rPr>
          <w:rFonts w:ascii="Times New Roman" w:hAnsi="Times New Roman"/>
        </w:rPr>
        <w:t xml:space="preserve"> E. oraz ich przyjaciółk</w:t>
      </w:r>
      <w:r w:rsidR="00A3172A">
        <w:rPr>
          <w:rFonts w:ascii="Times New Roman" w:hAnsi="Times New Roman"/>
        </w:rPr>
        <w:t>i</w:t>
      </w:r>
      <w:r w:rsidR="00F61CBB" w:rsidRPr="003E0C66">
        <w:rPr>
          <w:rFonts w:ascii="Times New Roman" w:hAnsi="Times New Roman"/>
        </w:rPr>
        <w:t xml:space="preserve"> L.</w:t>
      </w:r>
      <w:r w:rsidR="00A3172A">
        <w:rPr>
          <w:rFonts w:ascii="Times New Roman" w:hAnsi="Times New Roman"/>
        </w:rPr>
        <w:t>, złożonymi</w:t>
      </w:r>
      <w:r w:rsidR="008C30F2" w:rsidRPr="003E0C66">
        <w:rPr>
          <w:rFonts w:ascii="Times New Roman" w:hAnsi="Times New Roman"/>
        </w:rPr>
        <w:t xml:space="preserve"> podczas rozprawy</w:t>
      </w:r>
      <w:r w:rsidR="00A3172A">
        <w:rPr>
          <w:rFonts w:ascii="Times New Roman" w:hAnsi="Times New Roman"/>
        </w:rPr>
        <w:t xml:space="preserve"> i</w:t>
      </w:r>
      <w:r w:rsidR="008C30F2" w:rsidRPr="003E0C66">
        <w:rPr>
          <w:rFonts w:ascii="Times New Roman" w:hAnsi="Times New Roman"/>
        </w:rPr>
        <w:t xml:space="preserve"> dotycząc</w:t>
      </w:r>
      <w:r w:rsidR="00A3172A">
        <w:rPr>
          <w:rFonts w:ascii="Times New Roman" w:hAnsi="Times New Roman"/>
        </w:rPr>
        <w:t>ymi</w:t>
      </w:r>
      <w:r w:rsidR="008C30F2" w:rsidRPr="003E0C66">
        <w:rPr>
          <w:rFonts w:ascii="Times New Roman" w:hAnsi="Times New Roman"/>
        </w:rPr>
        <w:t xml:space="preserve"> tego</w:t>
      </w:r>
      <w:r w:rsidR="00A3172A">
        <w:rPr>
          <w:rFonts w:ascii="Times New Roman" w:hAnsi="Times New Roman"/>
        </w:rPr>
        <w:t>,</w:t>
      </w:r>
      <w:r w:rsidR="008C30F2" w:rsidRPr="003E0C66">
        <w:rPr>
          <w:rFonts w:ascii="Times New Roman" w:hAnsi="Times New Roman"/>
        </w:rPr>
        <w:t xml:space="preserve"> co powiedziały im O. i P. na temat wydarzeń z 3 lutego 2007 roku; </w:t>
      </w:r>
      <w:r w:rsidR="00A3172A">
        <w:rPr>
          <w:rFonts w:ascii="Times New Roman" w:hAnsi="Times New Roman"/>
        </w:rPr>
        <w:t xml:space="preserve">przyznaniem samego skarżącego </w:t>
      </w:r>
      <w:r w:rsidR="008C30F2" w:rsidRPr="003E0C66">
        <w:rPr>
          <w:rFonts w:ascii="Times New Roman" w:hAnsi="Times New Roman"/>
        </w:rPr>
        <w:t>podczas rozprawy, iż był w mieszkaniu O. i P. w danym czasie oraz wyskoczył z balkonu</w:t>
      </w:r>
      <w:r w:rsidR="00A3172A">
        <w:rPr>
          <w:rFonts w:ascii="Times New Roman" w:hAnsi="Times New Roman"/>
        </w:rPr>
        <w:t>,</w:t>
      </w:r>
      <w:r w:rsidR="008C30F2" w:rsidRPr="003E0C66">
        <w:rPr>
          <w:rFonts w:ascii="Times New Roman" w:hAnsi="Times New Roman"/>
        </w:rPr>
        <w:t xml:space="preserve"> aby podążyć za P.; dan</w:t>
      </w:r>
      <w:r w:rsidR="00A3172A">
        <w:rPr>
          <w:rFonts w:ascii="Times New Roman" w:hAnsi="Times New Roman"/>
        </w:rPr>
        <w:t>ymi</w:t>
      </w:r>
      <w:r w:rsidR="008C30F2" w:rsidRPr="003E0C66">
        <w:rPr>
          <w:rFonts w:ascii="Times New Roman" w:hAnsi="Times New Roman"/>
        </w:rPr>
        <w:t xml:space="preserve"> geograficzn</w:t>
      </w:r>
      <w:r w:rsidR="00A3172A">
        <w:rPr>
          <w:rFonts w:ascii="Times New Roman" w:hAnsi="Times New Roman"/>
        </w:rPr>
        <w:t>ymi</w:t>
      </w:r>
      <w:r w:rsidR="008C30F2" w:rsidRPr="003E0C66">
        <w:rPr>
          <w:rFonts w:ascii="Times New Roman" w:hAnsi="Times New Roman"/>
        </w:rPr>
        <w:t xml:space="preserve"> i nagrania</w:t>
      </w:r>
      <w:r w:rsidR="00A3172A">
        <w:rPr>
          <w:rFonts w:ascii="Times New Roman" w:hAnsi="Times New Roman"/>
        </w:rPr>
        <w:t>mi</w:t>
      </w:r>
      <w:r w:rsidR="008C30F2" w:rsidRPr="003E0C66">
        <w:rPr>
          <w:rFonts w:ascii="Times New Roman" w:hAnsi="Times New Roman"/>
        </w:rPr>
        <w:t xml:space="preserve"> dwóch rozmów przez telefon komórkowy pomiędzy sk</w:t>
      </w:r>
      <w:r w:rsidR="00904E3D" w:rsidRPr="003E0C66">
        <w:rPr>
          <w:rFonts w:ascii="Times New Roman" w:hAnsi="Times New Roman"/>
        </w:rPr>
        <w:t>arżącym i jednym ze wspólników przeprowadzonych w czasie, w</w:t>
      </w:r>
      <w:r w:rsidR="00812BE5" w:rsidRPr="003E0C66">
        <w:rPr>
          <w:rFonts w:ascii="Times New Roman" w:hAnsi="Times New Roman"/>
        </w:rPr>
        <w:t xml:space="preserve"> którym popełniono przestępstwo, które wykazały</w:t>
      </w:r>
      <w:r w:rsidR="00D45E20">
        <w:rPr>
          <w:rFonts w:ascii="Times New Roman" w:hAnsi="Times New Roman"/>
        </w:rPr>
        <w:t>, że</w:t>
      </w:r>
      <w:r w:rsidR="00812BE5" w:rsidRPr="003E0C66">
        <w:rPr>
          <w:rFonts w:ascii="Times New Roman" w:hAnsi="Times New Roman"/>
        </w:rPr>
        <w:t xml:space="preserve"> skarżący był obecny w mieszkaniu w momencie popełnienia przestępstwa oraz że wyskoczył z balkonu w celu złapania jednej z uciekających kobiet; dan</w:t>
      </w:r>
      <w:r w:rsidR="00D45E20">
        <w:rPr>
          <w:rFonts w:ascii="Times New Roman" w:hAnsi="Times New Roman"/>
        </w:rPr>
        <w:t>ymi</w:t>
      </w:r>
      <w:r w:rsidR="00812BE5" w:rsidRPr="003E0C66">
        <w:rPr>
          <w:rFonts w:ascii="Times New Roman" w:hAnsi="Times New Roman"/>
        </w:rPr>
        <w:t xml:space="preserve"> GPS</w:t>
      </w:r>
      <w:r w:rsidR="00D45E20">
        <w:rPr>
          <w:rFonts w:ascii="Times New Roman" w:hAnsi="Times New Roman"/>
        </w:rPr>
        <w:t>.</w:t>
      </w:r>
      <w:r w:rsidR="00812BE5" w:rsidRPr="003E0C66">
        <w:rPr>
          <w:rFonts w:ascii="Times New Roman" w:hAnsi="Times New Roman"/>
        </w:rPr>
        <w:t xml:space="preserve"> ujawniając</w:t>
      </w:r>
      <w:r w:rsidR="00D45E20">
        <w:rPr>
          <w:rFonts w:ascii="Times New Roman" w:hAnsi="Times New Roman"/>
        </w:rPr>
        <w:t>ymi</w:t>
      </w:r>
      <w:r w:rsidR="00812BE5" w:rsidRPr="003E0C66">
        <w:rPr>
          <w:rFonts w:ascii="Times New Roman" w:hAnsi="Times New Roman"/>
        </w:rPr>
        <w:t>, iż samochód jednego ze wspólników skarżącego był zaparkowany niedaleko mieszkania świadków w danym czasie oraz, wreszcie, dowod</w:t>
      </w:r>
      <w:r w:rsidR="00D45E20">
        <w:rPr>
          <w:rFonts w:ascii="Times New Roman" w:hAnsi="Times New Roman"/>
        </w:rPr>
        <w:t>ami</w:t>
      </w:r>
      <w:r w:rsidR="00812BE5" w:rsidRPr="003E0C66">
        <w:rPr>
          <w:rFonts w:ascii="Times New Roman" w:hAnsi="Times New Roman"/>
        </w:rPr>
        <w:t xml:space="preserve"> dotycząc</w:t>
      </w:r>
      <w:r w:rsidR="00D45E20">
        <w:rPr>
          <w:rFonts w:ascii="Times New Roman" w:hAnsi="Times New Roman"/>
        </w:rPr>
        <w:t>ymi</w:t>
      </w:r>
      <w:r w:rsidR="00812BE5" w:rsidRPr="003E0C66">
        <w:rPr>
          <w:rFonts w:ascii="Times New Roman" w:hAnsi="Times New Roman"/>
        </w:rPr>
        <w:t xml:space="preserve"> przestępstwa popełnionego w Kassel 14 października 2006 roku przez skarżącego i jego wspólnika.  </w:t>
      </w:r>
      <w:r w:rsidR="008C30F2" w:rsidRPr="003E0C66">
        <w:rPr>
          <w:rFonts w:ascii="Times New Roman" w:hAnsi="Times New Roman"/>
        </w:rPr>
        <w:t xml:space="preserve"> </w:t>
      </w:r>
      <w:r w:rsidR="00AF658F" w:rsidRPr="003E0C66">
        <w:rPr>
          <w:rFonts w:ascii="Times New Roman" w:hAnsi="Times New Roman"/>
        </w:rPr>
        <w:t xml:space="preserve"> </w:t>
      </w:r>
      <w:r w:rsidR="008A0AF5" w:rsidRPr="003E0C66">
        <w:rPr>
          <w:rFonts w:ascii="Times New Roman" w:hAnsi="Times New Roman"/>
        </w:rPr>
        <w:t xml:space="preserve"> </w:t>
      </w:r>
      <w:r w:rsidR="00C95B99" w:rsidRPr="003E0C66">
        <w:rPr>
          <w:rFonts w:ascii="Times New Roman" w:hAnsi="Times New Roman"/>
        </w:rPr>
        <w:t xml:space="preserve"> </w:t>
      </w:r>
      <w:r w:rsidR="00E05B22" w:rsidRPr="003E0C66">
        <w:rPr>
          <w:rFonts w:ascii="Times New Roman" w:hAnsi="Times New Roman"/>
        </w:rPr>
        <w:t> </w:t>
      </w:r>
    </w:p>
    <w:p w:rsidR="00E05B22" w:rsidRPr="003E0C66" w:rsidRDefault="006B25B0" w:rsidP="00812BE5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144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</w:t>
      </w:r>
      <w:r w:rsidR="00812BE5" w:rsidRPr="003E0C66">
        <w:rPr>
          <w:rFonts w:ascii="Times New Roman" w:hAnsi="Times New Roman"/>
        </w:rPr>
        <w:t xml:space="preserve"> Trybunał biorąc pod uwagę te elementy dowodowe, nie może nie zauważyć, iż O. i P. były jedynymi naocznymi świadkami </w:t>
      </w:r>
      <w:r w:rsidR="003774BB">
        <w:rPr>
          <w:rFonts w:ascii="Times New Roman" w:hAnsi="Times New Roman"/>
        </w:rPr>
        <w:t>przedmiotowego</w:t>
      </w:r>
      <w:r w:rsidR="003774BB" w:rsidRPr="003E0C66">
        <w:rPr>
          <w:rFonts w:ascii="Times New Roman" w:hAnsi="Times New Roman"/>
        </w:rPr>
        <w:t xml:space="preserve"> </w:t>
      </w:r>
      <w:r w:rsidR="00812BE5" w:rsidRPr="003E0C66">
        <w:rPr>
          <w:rFonts w:ascii="Times New Roman" w:hAnsi="Times New Roman"/>
        </w:rPr>
        <w:t xml:space="preserve">przestępstwa. Inne dostępne </w:t>
      </w:r>
      <w:r w:rsidR="003C2659" w:rsidRPr="003E0C66">
        <w:rPr>
          <w:rFonts w:ascii="Times New Roman" w:hAnsi="Times New Roman"/>
        </w:rPr>
        <w:t xml:space="preserve">sądowi </w:t>
      </w:r>
      <w:r w:rsidR="00812BE5" w:rsidRPr="003E0C66">
        <w:rPr>
          <w:rFonts w:ascii="Times New Roman" w:hAnsi="Times New Roman"/>
        </w:rPr>
        <w:t>dowody</w:t>
      </w:r>
      <w:r w:rsidR="00817AEB" w:rsidRPr="003E0C66">
        <w:rPr>
          <w:rFonts w:ascii="Times New Roman" w:hAnsi="Times New Roman"/>
        </w:rPr>
        <w:t xml:space="preserve"> były jedynie dowodami </w:t>
      </w:r>
      <w:r w:rsidR="003774BB">
        <w:rPr>
          <w:rFonts w:ascii="Times New Roman" w:hAnsi="Times New Roman"/>
        </w:rPr>
        <w:t>„ze słyszenia”</w:t>
      </w:r>
      <w:r w:rsidR="003774BB" w:rsidRPr="003E0C66">
        <w:rPr>
          <w:rFonts w:ascii="Times New Roman" w:hAnsi="Times New Roman"/>
        </w:rPr>
        <w:t xml:space="preserve"> </w:t>
      </w:r>
      <w:r w:rsidR="003C2659" w:rsidRPr="003E0C66">
        <w:rPr>
          <w:rFonts w:ascii="Times New Roman" w:hAnsi="Times New Roman"/>
        </w:rPr>
        <w:t xml:space="preserve">lub </w:t>
      </w:r>
      <w:r w:rsidR="009255B1">
        <w:rPr>
          <w:rFonts w:ascii="Times New Roman" w:hAnsi="Times New Roman"/>
        </w:rPr>
        <w:t>tylko poszlakowymi</w:t>
      </w:r>
      <w:r w:rsidR="009255B1" w:rsidRPr="003E0C66">
        <w:rPr>
          <w:rFonts w:ascii="Times New Roman" w:hAnsi="Times New Roman"/>
        </w:rPr>
        <w:t xml:space="preserve"> </w:t>
      </w:r>
      <w:r w:rsidR="0044397A" w:rsidRPr="003E0C66">
        <w:rPr>
          <w:rFonts w:ascii="Times New Roman" w:hAnsi="Times New Roman"/>
        </w:rPr>
        <w:t>dowodami technicznymi</w:t>
      </w:r>
      <w:r w:rsidR="009255B1">
        <w:rPr>
          <w:rFonts w:ascii="Times New Roman" w:hAnsi="Times New Roman"/>
        </w:rPr>
        <w:t xml:space="preserve"> i innymi</w:t>
      </w:r>
      <w:r w:rsidR="00817AEB" w:rsidRPr="003E0C66">
        <w:rPr>
          <w:rFonts w:ascii="Times New Roman" w:hAnsi="Times New Roman"/>
        </w:rPr>
        <w:t>,</w:t>
      </w:r>
      <w:r w:rsidR="009255B1">
        <w:rPr>
          <w:rFonts w:ascii="Times New Roman" w:hAnsi="Times New Roman"/>
        </w:rPr>
        <w:t xml:space="preserve"> które</w:t>
      </w:r>
      <w:r w:rsidR="00817AEB" w:rsidRPr="003E0C66">
        <w:rPr>
          <w:rFonts w:ascii="Times New Roman" w:hAnsi="Times New Roman"/>
        </w:rPr>
        <w:t xml:space="preserve"> nie były rozstrzygające co do kwestii kradzieży i wymuszenia</w:t>
      </w:r>
      <w:r w:rsidR="009255B1">
        <w:rPr>
          <w:rFonts w:ascii="Times New Roman" w:hAnsi="Times New Roman"/>
        </w:rPr>
        <w:t xml:space="preserve"> jako takich</w:t>
      </w:r>
      <w:r w:rsidR="00817AEB" w:rsidRPr="003E0C66">
        <w:rPr>
          <w:rFonts w:ascii="Times New Roman" w:hAnsi="Times New Roman"/>
        </w:rPr>
        <w:t xml:space="preserve">. W świetle tych elementów Trybunał </w:t>
      </w:r>
      <w:r w:rsidR="009255B1">
        <w:rPr>
          <w:rFonts w:ascii="Times New Roman" w:hAnsi="Times New Roman"/>
        </w:rPr>
        <w:t>uznaje</w:t>
      </w:r>
      <w:r w:rsidR="00817AEB" w:rsidRPr="003E0C66">
        <w:rPr>
          <w:rFonts w:ascii="Times New Roman" w:hAnsi="Times New Roman"/>
        </w:rPr>
        <w:t>, iż dowód z ze</w:t>
      </w:r>
      <w:r w:rsidR="0004732A">
        <w:rPr>
          <w:rFonts w:ascii="Times New Roman" w:hAnsi="Times New Roman"/>
        </w:rPr>
        <w:t>znań nieobecnych świadków był „</w:t>
      </w:r>
      <w:r w:rsidR="00817AEB" w:rsidRPr="003E0C66">
        <w:rPr>
          <w:rFonts w:ascii="Times New Roman" w:hAnsi="Times New Roman"/>
        </w:rPr>
        <w:t>decy</w:t>
      </w:r>
      <w:r w:rsidR="009255B1">
        <w:rPr>
          <w:rFonts w:ascii="Times New Roman" w:hAnsi="Times New Roman"/>
        </w:rPr>
        <w:t>dujący”</w:t>
      </w:r>
      <w:r w:rsidR="00817AEB" w:rsidRPr="003E0C66">
        <w:rPr>
          <w:rFonts w:ascii="Times New Roman" w:hAnsi="Times New Roman"/>
        </w:rPr>
        <w:t xml:space="preserve">, to znaczy </w:t>
      </w:r>
      <w:r w:rsidR="009255B1">
        <w:rPr>
          <w:rFonts w:ascii="Times New Roman" w:hAnsi="Times New Roman"/>
        </w:rPr>
        <w:t>rozstrzygający o</w:t>
      </w:r>
      <w:r w:rsidR="009255B1" w:rsidRPr="003E0C66">
        <w:rPr>
          <w:rFonts w:ascii="Times New Roman" w:hAnsi="Times New Roman"/>
        </w:rPr>
        <w:t xml:space="preserve"> </w:t>
      </w:r>
      <w:r w:rsidR="00817AEB" w:rsidRPr="003E0C66">
        <w:rPr>
          <w:rFonts w:ascii="Times New Roman" w:hAnsi="Times New Roman"/>
        </w:rPr>
        <w:t>skazani</w:t>
      </w:r>
      <w:r w:rsidR="009255B1">
        <w:rPr>
          <w:rFonts w:ascii="Times New Roman" w:hAnsi="Times New Roman"/>
        </w:rPr>
        <w:t>u</w:t>
      </w:r>
      <w:r w:rsidR="00817AEB" w:rsidRPr="003E0C66">
        <w:rPr>
          <w:rFonts w:ascii="Times New Roman" w:hAnsi="Times New Roman"/>
        </w:rPr>
        <w:t xml:space="preserve"> </w:t>
      </w:r>
      <w:r w:rsidR="009255B1">
        <w:rPr>
          <w:rFonts w:ascii="Times New Roman" w:hAnsi="Times New Roman"/>
        </w:rPr>
        <w:t>skarżącego</w:t>
      </w:r>
      <w:r w:rsidR="00E05B22" w:rsidRPr="003E0C66">
        <w:rPr>
          <w:rFonts w:ascii="Times New Roman" w:hAnsi="Times New Roman"/>
        </w:rPr>
        <w:t>.</w:t>
      </w:r>
    </w:p>
    <w:p w:rsidR="00E05B22" w:rsidRPr="003E0C66" w:rsidRDefault="00E05B22" w:rsidP="00BC0CE7">
      <w:pPr>
        <w:pStyle w:val="ECHRHeading4"/>
      </w:pPr>
      <w:r w:rsidRPr="003E0C66">
        <w:lastRenderedPageBreak/>
        <w:t>(c)  </w:t>
      </w:r>
      <w:r w:rsidR="00817AEB" w:rsidRPr="003E0C66">
        <w:t xml:space="preserve">Czy wystąpiły wystarczające środki wyrównawcze rekompensujące utrudnienia, z którymi musiała zmierzyć się obrona  </w:t>
      </w:r>
    </w:p>
    <w:p w:rsidR="00E05B22" w:rsidRPr="003E0C66" w:rsidRDefault="006B25B0" w:rsidP="00BC0CE7">
      <w:pPr>
        <w:pStyle w:val="ECHRPara"/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145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817AEB" w:rsidRPr="003E0C66">
        <w:rPr>
          <w:rFonts w:ascii="Times New Roman" w:hAnsi="Times New Roman"/>
        </w:rPr>
        <w:t xml:space="preserve">Trybunał musi </w:t>
      </w:r>
      <w:r w:rsidR="009255B1">
        <w:rPr>
          <w:rFonts w:ascii="Times New Roman" w:hAnsi="Times New Roman"/>
        </w:rPr>
        <w:t xml:space="preserve">następnie </w:t>
      </w:r>
      <w:r w:rsidR="00817AEB" w:rsidRPr="003E0C66">
        <w:rPr>
          <w:rFonts w:ascii="Times New Roman" w:hAnsi="Times New Roman"/>
        </w:rPr>
        <w:t xml:space="preserve">ustalić, </w:t>
      </w:r>
      <w:r w:rsidR="009255B1">
        <w:rPr>
          <w:rFonts w:ascii="Times New Roman" w:hAnsi="Times New Roman"/>
        </w:rPr>
        <w:t xml:space="preserve">w trzecim etapie badania, </w:t>
      </w:r>
      <w:r w:rsidR="00817AEB" w:rsidRPr="003E0C66">
        <w:rPr>
          <w:rFonts w:ascii="Times New Roman" w:hAnsi="Times New Roman"/>
        </w:rPr>
        <w:t xml:space="preserve">czy zaistniały wystarczające czynniki wyrównawcze rekompensujące utrudnienia, z którymi musiała zmierzyć się obrona na skutek </w:t>
      </w:r>
      <w:r w:rsidR="009255B1">
        <w:rPr>
          <w:rFonts w:ascii="Times New Roman" w:hAnsi="Times New Roman"/>
        </w:rPr>
        <w:t>dopuszczenia</w:t>
      </w:r>
      <w:r w:rsidR="009255B1" w:rsidRPr="003E0C66">
        <w:rPr>
          <w:rFonts w:ascii="Times New Roman" w:hAnsi="Times New Roman"/>
        </w:rPr>
        <w:t xml:space="preserve"> </w:t>
      </w:r>
      <w:r w:rsidR="00817AEB" w:rsidRPr="003E0C66">
        <w:rPr>
          <w:rFonts w:ascii="Times New Roman" w:hAnsi="Times New Roman"/>
        </w:rPr>
        <w:t>decydujących dowodów z zeznań nieobecnych świadków. Jak wskazano powyżej (zobacz paragrafy 125-131), w tym kontekście istotne są następujące elementy</w:t>
      </w:r>
      <w:r w:rsidR="00625E7E" w:rsidRPr="003E0C66">
        <w:rPr>
          <w:rFonts w:ascii="Times New Roman" w:hAnsi="Times New Roman"/>
        </w:rPr>
        <w:t xml:space="preserve">: podejście sądu orzekającego do niezweryfikowanych dowodów, dostępność i </w:t>
      </w:r>
      <w:r w:rsidR="009255B1">
        <w:rPr>
          <w:rFonts w:ascii="Times New Roman" w:hAnsi="Times New Roman"/>
        </w:rPr>
        <w:t>waga</w:t>
      </w:r>
      <w:r w:rsidR="009255B1" w:rsidRPr="003E0C66">
        <w:rPr>
          <w:rFonts w:ascii="Times New Roman" w:hAnsi="Times New Roman"/>
        </w:rPr>
        <w:t xml:space="preserve"> </w:t>
      </w:r>
      <w:r w:rsidR="009255B1">
        <w:rPr>
          <w:rFonts w:ascii="Times New Roman" w:hAnsi="Times New Roman"/>
        </w:rPr>
        <w:t xml:space="preserve">kolejnych </w:t>
      </w:r>
      <w:r w:rsidR="009255B1" w:rsidRPr="003E0C66">
        <w:rPr>
          <w:rFonts w:ascii="Times New Roman" w:hAnsi="Times New Roman"/>
        </w:rPr>
        <w:t xml:space="preserve">dowodów </w:t>
      </w:r>
      <w:r w:rsidR="00625E7E" w:rsidRPr="003E0C66">
        <w:rPr>
          <w:rFonts w:ascii="Times New Roman" w:hAnsi="Times New Roman"/>
        </w:rPr>
        <w:t>obciążając</w:t>
      </w:r>
      <w:r w:rsidR="009255B1">
        <w:rPr>
          <w:rFonts w:ascii="Times New Roman" w:hAnsi="Times New Roman"/>
        </w:rPr>
        <w:t>ych</w:t>
      </w:r>
      <w:r w:rsidR="00625E7E" w:rsidRPr="003E0C66">
        <w:rPr>
          <w:rFonts w:ascii="Times New Roman" w:hAnsi="Times New Roman"/>
        </w:rPr>
        <w:t xml:space="preserve"> oraz środki proceduralne</w:t>
      </w:r>
      <w:r w:rsidR="009255B1">
        <w:rPr>
          <w:rFonts w:ascii="Times New Roman" w:hAnsi="Times New Roman"/>
        </w:rPr>
        <w:t>,</w:t>
      </w:r>
      <w:r w:rsidR="00625E7E" w:rsidRPr="003E0C66">
        <w:rPr>
          <w:rFonts w:ascii="Times New Roman" w:hAnsi="Times New Roman"/>
        </w:rPr>
        <w:t xml:space="preserve"> podjęte w celu zrekompensowania braku możliwości bezpośredniego przesłuchania świadków podczas rozprawy.</w:t>
      </w:r>
      <w:r w:rsidR="00817AEB" w:rsidRPr="003E0C66">
        <w:rPr>
          <w:rFonts w:ascii="Times New Roman" w:hAnsi="Times New Roman"/>
        </w:rPr>
        <w:t xml:space="preserve"> </w:t>
      </w:r>
    </w:p>
    <w:p w:rsidR="00E05B22" w:rsidRPr="003E0C66" w:rsidRDefault="00E05B22" w:rsidP="00BC0CE7">
      <w:pPr>
        <w:pStyle w:val="ECHRHeading6"/>
      </w:pPr>
      <w:r w:rsidRPr="003E0C66">
        <w:rPr>
          <w:rFonts w:cstheme="minorHAnsi"/>
        </w:rPr>
        <w:t>(i</w:t>
      </w:r>
      <w:r w:rsidRPr="003E0C66">
        <w:t>) </w:t>
      </w:r>
      <w:r w:rsidR="00625E7E" w:rsidRPr="003E0C66">
        <w:t xml:space="preserve">Podejście sądu orzekającego do niezweryfikowanych dowodów  </w:t>
      </w:r>
      <w:r w:rsidRPr="003E0C66">
        <w:t> 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146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625E7E" w:rsidRPr="003E0C66">
        <w:rPr>
          <w:rFonts w:ascii="Times New Roman" w:hAnsi="Times New Roman"/>
        </w:rPr>
        <w:t xml:space="preserve">Jeśli chodzi o </w:t>
      </w:r>
      <w:r w:rsidR="00491974">
        <w:rPr>
          <w:rFonts w:ascii="Times New Roman" w:hAnsi="Times New Roman"/>
        </w:rPr>
        <w:t>traktowanie</w:t>
      </w:r>
      <w:r w:rsidR="00491974" w:rsidRPr="003E0C66">
        <w:rPr>
          <w:rFonts w:ascii="Times New Roman" w:hAnsi="Times New Roman"/>
        </w:rPr>
        <w:t xml:space="preserve"> </w:t>
      </w:r>
      <w:r w:rsidR="00625E7E" w:rsidRPr="003E0C66">
        <w:rPr>
          <w:rFonts w:ascii="Times New Roman" w:hAnsi="Times New Roman"/>
        </w:rPr>
        <w:t xml:space="preserve">przez sądy krajowe dowodu z zeznań nieobecnych świadków O. i P. Trybunał </w:t>
      </w:r>
      <w:r w:rsidR="000A480E" w:rsidRPr="003E0C66">
        <w:rPr>
          <w:rFonts w:ascii="Times New Roman" w:hAnsi="Times New Roman"/>
        </w:rPr>
        <w:t>stwierdza, ż</w:t>
      </w:r>
      <w:r w:rsidR="00491974">
        <w:rPr>
          <w:rFonts w:ascii="Times New Roman" w:hAnsi="Times New Roman"/>
        </w:rPr>
        <w:t>e</w:t>
      </w:r>
      <w:r w:rsidR="000A480E" w:rsidRPr="003E0C66">
        <w:rPr>
          <w:rFonts w:ascii="Times New Roman" w:hAnsi="Times New Roman"/>
        </w:rPr>
        <w:t xml:space="preserve"> </w:t>
      </w:r>
      <w:r w:rsidR="00515AFA" w:rsidRPr="003E0C66">
        <w:rPr>
          <w:rFonts w:ascii="Times New Roman" w:hAnsi="Times New Roman"/>
        </w:rPr>
        <w:t xml:space="preserve">Sąd Okręgowy dopuścił dowód z ostrożnością. W swoim wyroku wyraźnie zaznaczył, iż </w:t>
      </w:r>
      <w:r w:rsidR="001508C3" w:rsidRPr="003E0C66">
        <w:rPr>
          <w:rFonts w:ascii="Times New Roman" w:hAnsi="Times New Roman"/>
        </w:rPr>
        <w:t>był zobowiązany do zachowania szczególnej staranności w ocenie wiarygodności</w:t>
      </w:r>
      <w:r w:rsidR="00515AFA" w:rsidRPr="003E0C66">
        <w:rPr>
          <w:rFonts w:ascii="Times New Roman" w:hAnsi="Times New Roman"/>
        </w:rPr>
        <w:t xml:space="preserve"> </w:t>
      </w:r>
      <w:r w:rsidR="001508C3" w:rsidRPr="003E0C66">
        <w:rPr>
          <w:rFonts w:ascii="Times New Roman" w:hAnsi="Times New Roman"/>
        </w:rPr>
        <w:t xml:space="preserve">świadków, ponieważ ani sąd, ani obrona nie mieli możliwości przesłuchania i zaobserwowania </w:t>
      </w:r>
      <w:r w:rsidR="00491974">
        <w:rPr>
          <w:rFonts w:ascii="Times New Roman" w:hAnsi="Times New Roman"/>
        </w:rPr>
        <w:t>zachowania</w:t>
      </w:r>
      <w:r w:rsidR="00491974" w:rsidRPr="003E0C66">
        <w:rPr>
          <w:rFonts w:ascii="Times New Roman" w:hAnsi="Times New Roman"/>
        </w:rPr>
        <w:t xml:space="preserve"> </w:t>
      </w:r>
      <w:r w:rsidR="001508C3" w:rsidRPr="003E0C66">
        <w:rPr>
          <w:rFonts w:ascii="Times New Roman" w:hAnsi="Times New Roman"/>
        </w:rPr>
        <w:t xml:space="preserve">świadków.  </w:t>
      </w:r>
      <w:r w:rsidR="000A480E" w:rsidRPr="003E0C66">
        <w:rPr>
          <w:rFonts w:ascii="Times New Roman" w:hAnsi="Times New Roman"/>
        </w:rPr>
        <w:t xml:space="preserve"> </w:t>
      </w:r>
      <w:r w:rsidR="00625E7E" w:rsidRPr="003E0C66">
        <w:rPr>
          <w:rFonts w:ascii="Times New Roman" w:hAnsi="Times New Roman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147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1508C3" w:rsidRPr="003E0C66">
        <w:rPr>
          <w:rFonts w:ascii="Times New Roman" w:hAnsi="Times New Roman"/>
        </w:rPr>
        <w:t>Trybunał zauważył w tym kontekście, ż</w:t>
      </w:r>
      <w:r w:rsidR="00491974">
        <w:rPr>
          <w:rFonts w:ascii="Times New Roman" w:hAnsi="Times New Roman"/>
        </w:rPr>
        <w:t>e</w:t>
      </w:r>
      <w:r w:rsidR="001508C3" w:rsidRPr="003E0C66">
        <w:rPr>
          <w:rFonts w:ascii="Times New Roman" w:hAnsi="Times New Roman"/>
        </w:rPr>
        <w:t xml:space="preserve"> Sąd Okręgowy nie miał możliwości </w:t>
      </w:r>
      <w:r w:rsidR="00491974">
        <w:rPr>
          <w:rFonts w:ascii="Times New Roman" w:hAnsi="Times New Roman"/>
        </w:rPr>
        <w:t xml:space="preserve">obejrzenia </w:t>
      </w:r>
      <w:r w:rsidR="001508C3" w:rsidRPr="003E0C66">
        <w:rPr>
          <w:rFonts w:ascii="Times New Roman" w:hAnsi="Times New Roman"/>
        </w:rPr>
        <w:t xml:space="preserve">podczas rozprawy nagrania wideo z przesłuchania </w:t>
      </w:r>
      <w:r w:rsidR="00491974" w:rsidRPr="003E0C66">
        <w:rPr>
          <w:rFonts w:ascii="Times New Roman" w:hAnsi="Times New Roman"/>
        </w:rPr>
        <w:t>świadk</w:t>
      </w:r>
      <w:r w:rsidR="00491974">
        <w:rPr>
          <w:rFonts w:ascii="Times New Roman" w:hAnsi="Times New Roman"/>
        </w:rPr>
        <w:t>a</w:t>
      </w:r>
      <w:r w:rsidR="00491974" w:rsidRPr="003E0C66">
        <w:rPr>
          <w:rFonts w:ascii="Times New Roman" w:hAnsi="Times New Roman"/>
        </w:rPr>
        <w:t xml:space="preserve"> </w:t>
      </w:r>
      <w:r w:rsidR="001508C3" w:rsidRPr="003E0C66">
        <w:rPr>
          <w:rFonts w:ascii="Times New Roman" w:hAnsi="Times New Roman"/>
        </w:rPr>
        <w:t xml:space="preserve">przez sędziego </w:t>
      </w:r>
      <w:r w:rsidR="00491974">
        <w:rPr>
          <w:rFonts w:ascii="Times New Roman" w:hAnsi="Times New Roman"/>
        </w:rPr>
        <w:t>śledczego</w:t>
      </w:r>
      <w:r w:rsidR="001508C3" w:rsidRPr="003E0C66">
        <w:rPr>
          <w:rFonts w:ascii="Times New Roman" w:hAnsi="Times New Roman"/>
        </w:rPr>
        <w:t xml:space="preserve">, ponieważ takie nagranie nie zostało wykonane. Zauważa również, iż sądy orzekające w różnych systemach prawnych </w:t>
      </w:r>
      <w:r w:rsidR="00491974">
        <w:rPr>
          <w:rFonts w:ascii="Times New Roman" w:hAnsi="Times New Roman"/>
        </w:rPr>
        <w:t>mają taką</w:t>
      </w:r>
      <w:r w:rsidR="001508C3" w:rsidRPr="003E0C66">
        <w:rPr>
          <w:rFonts w:ascii="Times New Roman" w:hAnsi="Times New Roman"/>
        </w:rPr>
        <w:t xml:space="preserve"> możliwoś</w:t>
      </w:r>
      <w:r w:rsidR="00491974">
        <w:rPr>
          <w:rFonts w:ascii="Times New Roman" w:hAnsi="Times New Roman"/>
        </w:rPr>
        <w:t>ć</w:t>
      </w:r>
      <w:r w:rsidR="001508C3" w:rsidRPr="003E0C66">
        <w:rPr>
          <w:rFonts w:ascii="Times New Roman" w:hAnsi="Times New Roman"/>
        </w:rPr>
        <w:t xml:space="preserve"> (porównaj przykłady w paragrafie 127 powyżej)</w:t>
      </w:r>
      <w:r w:rsidR="00491974">
        <w:rPr>
          <w:rFonts w:ascii="Times New Roman" w:hAnsi="Times New Roman"/>
        </w:rPr>
        <w:t>,</w:t>
      </w:r>
      <w:r w:rsidR="001508C3" w:rsidRPr="003E0C66">
        <w:rPr>
          <w:rFonts w:ascii="Times New Roman" w:hAnsi="Times New Roman"/>
        </w:rPr>
        <w:t xml:space="preserve"> która pozwala im, jak również obronie i prokuraturze, obserwowa</w:t>
      </w:r>
      <w:r w:rsidR="00491974">
        <w:rPr>
          <w:rFonts w:ascii="Times New Roman" w:hAnsi="Times New Roman"/>
        </w:rPr>
        <w:t>nie</w:t>
      </w:r>
      <w:r w:rsidR="001508C3" w:rsidRPr="003E0C66">
        <w:rPr>
          <w:rFonts w:ascii="Times New Roman" w:hAnsi="Times New Roman"/>
        </w:rPr>
        <w:t xml:space="preserve"> zachowani</w:t>
      </w:r>
      <w:r w:rsidR="00491974">
        <w:rPr>
          <w:rFonts w:ascii="Times New Roman" w:hAnsi="Times New Roman"/>
        </w:rPr>
        <w:t>a</w:t>
      </w:r>
      <w:r w:rsidR="001508C3" w:rsidRPr="003E0C66">
        <w:rPr>
          <w:rFonts w:ascii="Times New Roman" w:hAnsi="Times New Roman"/>
        </w:rPr>
        <w:t xml:space="preserve"> świadka podczas przesłuchania oraz </w:t>
      </w:r>
      <w:r w:rsidR="00DB21D4" w:rsidRPr="003E0C66">
        <w:rPr>
          <w:rFonts w:ascii="Times New Roman" w:hAnsi="Times New Roman"/>
        </w:rPr>
        <w:t>oceni</w:t>
      </w:r>
      <w:r w:rsidR="00491974">
        <w:rPr>
          <w:rFonts w:ascii="Times New Roman" w:hAnsi="Times New Roman"/>
        </w:rPr>
        <w:t>enie</w:t>
      </w:r>
      <w:r w:rsidR="00DB21D4" w:rsidRPr="003E0C66">
        <w:rPr>
          <w:rFonts w:ascii="Times New Roman" w:hAnsi="Times New Roman"/>
        </w:rPr>
        <w:t xml:space="preserve"> </w:t>
      </w:r>
      <w:r w:rsidR="00491974" w:rsidRPr="003E0C66">
        <w:rPr>
          <w:rFonts w:ascii="Times New Roman" w:hAnsi="Times New Roman"/>
        </w:rPr>
        <w:t>wiarygodnoś</w:t>
      </w:r>
      <w:r w:rsidR="00491974">
        <w:rPr>
          <w:rFonts w:ascii="Times New Roman" w:hAnsi="Times New Roman"/>
        </w:rPr>
        <w:t xml:space="preserve">ci </w:t>
      </w:r>
      <w:r w:rsidR="00DB21D4" w:rsidRPr="003E0C66">
        <w:rPr>
          <w:rFonts w:ascii="Times New Roman" w:hAnsi="Times New Roman"/>
        </w:rPr>
        <w:t xml:space="preserve">świadka. </w:t>
      </w:r>
      <w:r w:rsidR="001508C3" w:rsidRPr="003E0C66">
        <w:rPr>
          <w:rFonts w:ascii="Times New Roman" w:hAnsi="Times New Roman"/>
        </w:rPr>
        <w:t xml:space="preserve">  </w:t>
      </w:r>
      <w:r w:rsidR="00E05B22" w:rsidRPr="003E0C66">
        <w:rPr>
          <w:rFonts w:ascii="Times New Roman" w:hAnsi="Times New Roman"/>
        </w:rPr>
        <w:t> </w:t>
      </w:r>
    </w:p>
    <w:p w:rsidR="0004732A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148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DB21D4" w:rsidRPr="003E0C66">
        <w:rPr>
          <w:rFonts w:ascii="Times New Roman" w:hAnsi="Times New Roman"/>
        </w:rPr>
        <w:t xml:space="preserve">Sąd Okręgowy, w swoim </w:t>
      </w:r>
      <w:r w:rsidR="0018461A">
        <w:rPr>
          <w:rFonts w:ascii="Times New Roman" w:hAnsi="Times New Roman"/>
        </w:rPr>
        <w:t>szczegółowo</w:t>
      </w:r>
      <w:r w:rsidR="0018461A" w:rsidRPr="003E0C66">
        <w:rPr>
          <w:rFonts w:ascii="Times New Roman" w:hAnsi="Times New Roman"/>
        </w:rPr>
        <w:t xml:space="preserve"> </w:t>
      </w:r>
      <w:r w:rsidR="00DB21D4" w:rsidRPr="003E0C66">
        <w:rPr>
          <w:rFonts w:ascii="Times New Roman" w:hAnsi="Times New Roman"/>
        </w:rPr>
        <w:t>u</w:t>
      </w:r>
      <w:r w:rsidR="00C3491B" w:rsidRPr="003E0C66">
        <w:rPr>
          <w:rFonts w:ascii="Times New Roman" w:hAnsi="Times New Roman"/>
        </w:rPr>
        <w:t xml:space="preserve">zasadnionym </w:t>
      </w:r>
      <w:r w:rsidR="0018461A">
        <w:rPr>
          <w:rFonts w:ascii="Times New Roman" w:hAnsi="Times New Roman"/>
        </w:rPr>
        <w:t>wyroku</w:t>
      </w:r>
      <w:r w:rsidR="00C3491B" w:rsidRPr="003E0C66">
        <w:rPr>
          <w:rFonts w:ascii="Times New Roman" w:hAnsi="Times New Roman"/>
        </w:rPr>
        <w:t>, wyraź</w:t>
      </w:r>
      <w:r w:rsidR="00DB21D4" w:rsidRPr="003E0C66">
        <w:rPr>
          <w:rFonts w:ascii="Times New Roman" w:hAnsi="Times New Roman"/>
        </w:rPr>
        <w:t>nie stwierdził, iż</w:t>
      </w:r>
      <w:r w:rsidR="00C3491B" w:rsidRPr="003E0C66">
        <w:rPr>
          <w:rFonts w:ascii="Times New Roman" w:hAnsi="Times New Roman"/>
        </w:rPr>
        <w:t xml:space="preserve"> zdawał sobie sprawę z faktu obniżonej wartości </w:t>
      </w:r>
      <w:r w:rsidR="00935BE7" w:rsidRPr="003E0C66">
        <w:rPr>
          <w:rFonts w:ascii="Times New Roman" w:hAnsi="Times New Roman"/>
        </w:rPr>
        <w:t xml:space="preserve">dowodowej niezweryfikowanych zeznań świadków. Porównał treść powtórzonych </w:t>
      </w:r>
      <w:r w:rsidR="0018461A">
        <w:rPr>
          <w:rFonts w:ascii="Times New Roman" w:hAnsi="Times New Roman"/>
        </w:rPr>
        <w:t>zeznań</w:t>
      </w:r>
      <w:r w:rsidR="0018461A" w:rsidRPr="003E0C66">
        <w:rPr>
          <w:rFonts w:ascii="Times New Roman" w:hAnsi="Times New Roman"/>
        </w:rPr>
        <w:t xml:space="preserve"> </w:t>
      </w:r>
      <w:r w:rsidR="00935BE7" w:rsidRPr="003E0C66">
        <w:rPr>
          <w:rFonts w:ascii="Times New Roman" w:hAnsi="Times New Roman"/>
        </w:rPr>
        <w:t xml:space="preserve">złożonych przez O. oraz P. na etapie dochodzenia i stwierdził, że świadkowie </w:t>
      </w:r>
      <w:r w:rsidR="0018461A">
        <w:rPr>
          <w:rFonts w:ascii="Times New Roman" w:hAnsi="Times New Roman"/>
        </w:rPr>
        <w:t>przedstawi</w:t>
      </w:r>
      <w:r w:rsidR="0004732A">
        <w:rPr>
          <w:rFonts w:ascii="Times New Roman" w:hAnsi="Times New Roman"/>
        </w:rPr>
        <w:t>ły</w:t>
      </w:r>
      <w:r w:rsidR="0018461A" w:rsidRPr="003E0C66">
        <w:rPr>
          <w:rFonts w:ascii="Times New Roman" w:hAnsi="Times New Roman"/>
        </w:rPr>
        <w:t xml:space="preserve"> </w:t>
      </w:r>
      <w:r w:rsidR="00935BE7" w:rsidRPr="003E0C66">
        <w:rPr>
          <w:rFonts w:ascii="Times New Roman" w:hAnsi="Times New Roman"/>
        </w:rPr>
        <w:t xml:space="preserve">szczegółowy i spójny opis okoliczności przestępstwa. Sąd orzekający uznał, </w:t>
      </w:r>
      <w:r w:rsidR="0004732A">
        <w:rPr>
          <w:rFonts w:ascii="Times New Roman" w:hAnsi="Times New Roman"/>
        </w:rPr>
        <w:t>że</w:t>
      </w:r>
      <w:r w:rsidR="00935BE7" w:rsidRPr="003E0C66">
        <w:rPr>
          <w:rFonts w:ascii="Times New Roman" w:hAnsi="Times New Roman"/>
        </w:rPr>
        <w:t xml:space="preserve"> drobne sprzeczności w </w:t>
      </w:r>
      <w:r w:rsidR="0018461A">
        <w:rPr>
          <w:rFonts w:ascii="Times New Roman" w:hAnsi="Times New Roman"/>
        </w:rPr>
        <w:t>zeznaniach</w:t>
      </w:r>
      <w:r w:rsidR="0018461A" w:rsidRPr="003E0C66">
        <w:rPr>
          <w:rFonts w:ascii="Times New Roman" w:hAnsi="Times New Roman"/>
        </w:rPr>
        <w:t xml:space="preserve"> </w:t>
      </w:r>
      <w:r w:rsidR="00935BE7" w:rsidRPr="003E0C66">
        <w:rPr>
          <w:rFonts w:ascii="Times New Roman" w:hAnsi="Times New Roman"/>
        </w:rPr>
        <w:t>świadków można wytłumaczyć ich obawą przybliżenia władzom tego</w:t>
      </w:r>
      <w:r w:rsidR="0004732A">
        <w:rPr>
          <w:rFonts w:ascii="Times New Roman" w:hAnsi="Times New Roman"/>
        </w:rPr>
        <w:t>,</w:t>
      </w:r>
      <w:r w:rsidR="00935BE7" w:rsidRPr="003E0C66">
        <w:rPr>
          <w:rFonts w:ascii="Times New Roman" w:hAnsi="Times New Roman"/>
        </w:rPr>
        <w:t xml:space="preserve"> czym </w:t>
      </w:r>
      <w:r w:rsidR="0018461A">
        <w:rPr>
          <w:rFonts w:ascii="Times New Roman" w:hAnsi="Times New Roman"/>
        </w:rPr>
        <w:t xml:space="preserve">zawodowo </w:t>
      </w:r>
      <w:r w:rsidR="00935BE7" w:rsidRPr="003E0C66">
        <w:rPr>
          <w:rFonts w:ascii="Times New Roman" w:hAnsi="Times New Roman"/>
        </w:rPr>
        <w:t xml:space="preserve">zajmowały </w:t>
      </w:r>
      <w:r w:rsidR="0018461A" w:rsidRPr="003E0C66">
        <w:rPr>
          <w:rFonts w:ascii="Times New Roman" w:hAnsi="Times New Roman"/>
        </w:rPr>
        <w:t xml:space="preserve">się </w:t>
      </w:r>
      <w:r w:rsidR="00935BE7" w:rsidRPr="003E0C66">
        <w:rPr>
          <w:rFonts w:ascii="Times New Roman" w:hAnsi="Times New Roman"/>
        </w:rPr>
        <w:t xml:space="preserve">kobiety. Ponadto </w:t>
      </w:r>
      <w:r w:rsidR="0018461A" w:rsidRPr="003E0C66">
        <w:rPr>
          <w:rFonts w:ascii="Times New Roman" w:hAnsi="Times New Roman"/>
        </w:rPr>
        <w:t>stwierdz</w:t>
      </w:r>
      <w:r w:rsidR="0018461A">
        <w:rPr>
          <w:rFonts w:ascii="Times New Roman" w:hAnsi="Times New Roman"/>
        </w:rPr>
        <w:t>ił</w:t>
      </w:r>
      <w:r w:rsidR="00935BE7" w:rsidRPr="003E0C66">
        <w:rPr>
          <w:rFonts w:ascii="Times New Roman" w:hAnsi="Times New Roman"/>
        </w:rPr>
        <w:t>, ż</w:t>
      </w:r>
      <w:r w:rsidR="0018461A">
        <w:rPr>
          <w:rFonts w:ascii="Times New Roman" w:hAnsi="Times New Roman"/>
        </w:rPr>
        <w:t>e</w:t>
      </w:r>
      <w:r w:rsidR="00935BE7" w:rsidRPr="003E0C66">
        <w:rPr>
          <w:rFonts w:ascii="Times New Roman" w:hAnsi="Times New Roman"/>
        </w:rPr>
        <w:t xml:space="preserve"> </w:t>
      </w:r>
      <w:r w:rsidR="0018461A">
        <w:rPr>
          <w:rFonts w:ascii="Times New Roman" w:hAnsi="Times New Roman"/>
        </w:rPr>
        <w:t>niemożność</w:t>
      </w:r>
      <w:r w:rsidR="00935BE7" w:rsidRPr="003E0C66">
        <w:rPr>
          <w:rFonts w:ascii="Times New Roman" w:hAnsi="Times New Roman"/>
        </w:rPr>
        <w:t xml:space="preserve"> </w:t>
      </w:r>
      <w:r w:rsidR="002B5D38" w:rsidRPr="003E0C66">
        <w:rPr>
          <w:rFonts w:ascii="Times New Roman" w:hAnsi="Times New Roman"/>
        </w:rPr>
        <w:t>zidentyfikowania skarżącego przez świadków w</w:t>
      </w:r>
      <w:r w:rsidR="0018461A">
        <w:rPr>
          <w:rFonts w:ascii="Times New Roman" w:hAnsi="Times New Roman"/>
        </w:rPr>
        <w:t>s</w:t>
      </w:r>
      <w:r w:rsidR="002B5D38" w:rsidRPr="003E0C66">
        <w:rPr>
          <w:rFonts w:ascii="Times New Roman" w:hAnsi="Times New Roman"/>
        </w:rPr>
        <w:t>kazał</w:t>
      </w:r>
      <w:r w:rsidR="0004732A">
        <w:rPr>
          <w:rFonts w:ascii="Times New Roman" w:hAnsi="Times New Roman"/>
        </w:rPr>
        <w:t>a</w:t>
      </w:r>
      <w:r w:rsidR="002B5D38" w:rsidRPr="003E0C66">
        <w:rPr>
          <w:rFonts w:ascii="Times New Roman" w:hAnsi="Times New Roman"/>
        </w:rPr>
        <w:t>, ż</w:t>
      </w:r>
      <w:r w:rsidR="0018461A">
        <w:rPr>
          <w:rFonts w:ascii="Times New Roman" w:hAnsi="Times New Roman"/>
        </w:rPr>
        <w:t>e</w:t>
      </w:r>
      <w:r w:rsidR="002B5D38" w:rsidRPr="003E0C66">
        <w:rPr>
          <w:rFonts w:ascii="Times New Roman" w:hAnsi="Times New Roman"/>
        </w:rPr>
        <w:t xml:space="preserve"> </w:t>
      </w:r>
      <w:r w:rsidR="0018461A">
        <w:rPr>
          <w:rFonts w:ascii="Times New Roman" w:hAnsi="Times New Roman"/>
        </w:rPr>
        <w:t>nie składały one zeznań</w:t>
      </w:r>
      <w:r w:rsidR="002B5D38" w:rsidRPr="003E0C66">
        <w:rPr>
          <w:rFonts w:ascii="Times New Roman" w:hAnsi="Times New Roman"/>
        </w:rPr>
        <w:t xml:space="preserve"> w celu obciążenia go.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149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2B5D38" w:rsidRPr="003E0C66">
        <w:rPr>
          <w:rFonts w:ascii="Times New Roman" w:hAnsi="Times New Roman"/>
        </w:rPr>
        <w:t>Trybunał p</w:t>
      </w:r>
      <w:r w:rsidR="004634B4" w:rsidRPr="003E0C66">
        <w:rPr>
          <w:rFonts w:ascii="Times New Roman" w:hAnsi="Times New Roman"/>
        </w:rPr>
        <w:t>onadto zauważa, ż</w:t>
      </w:r>
      <w:r w:rsidR="0018461A">
        <w:rPr>
          <w:rFonts w:ascii="Times New Roman" w:hAnsi="Times New Roman"/>
        </w:rPr>
        <w:t>e</w:t>
      </w:r>
      <w:r w:rsidR="004634B4" w:rsidRPr="003E0C66">
        <w:rPr>
          <w:rFonts w:ascii="Times New Roman" w:hAnsi="Times New Roman"/>
        </w:rPr>
        <w:t xml:space="preserve"> Sąd Okręgowy oceniając wiarygodność świadków uwzględnił również różne aspekty ich zachowania w odniesieniu d</w:t>
      </w:r>
      <w:r w:rsidR="007B3B32" w:rsidRPr="003E0C66">
        <w:rPr>
          <w:rFonts w:ascii="Times New Roman" w:hAnsi="Times New Roman"/>
        </w:rPr>
        <w:t xml:space="preserve">o ich zeznań. Wziął pod uwagę fakt, iż </w:t>
      </w:r>
      <w:r w:rsidR="003043C7" w:rsidRPr="003E0C66">
        <w:rPr>
          <w:rFonts w:ascii="Times New Roman" w:hAnsi="Times New Roman"/>
        </w:rPr>
        <w:t>kobiety nie zgłosiły przestępstwa policji zaraz po tym</w:t>
      </w:r>
      <w:r w:rsidR="0004732A">
        <w:rPr>
          <w:rFonts w:ascii="Times New Roman" w:hAnsi="Times New Roman"/>
        </w:rPr>
        <w:t>,</w:t>
      </w:r>
      <w:r w:rsidR="003043C7" w:rsidRPr="003E0C66">
        <w:rPr>
          <w:rFonts w:ascii="Times New Roman" w:hAnsi="Times New Roman"/>
        </w:rPr>
        <w:t xml:space="preserve"> jak do niego doszło oraz że nie </w:t>
      </w:r>
      <w:r w:rsidR="0018461A">
        <w:rPr>
          <w:rFonts w:ascii="Times New Roman" w:hAnsi="Times New Roman"/>
        </w:rPr>
        <w:t>stawiły</w:t>
      </w:r>
      <w:r w:rsidR="0018461A" w:rsidRPr="003E0C66">
        <w:rPr>
          <w:rFonts w:ascii="Times New Roman" w:hAnsi="Times New Roman"/>
        </w:rPr>
        <w:t xml:space="preserve"> </w:t>
      </w:r>
      <w:r w:rsidR="003043C7" w:rsidRPr="003E0C66">
        <w:rPr>
          <w:rFonts w:ascii="Times New Roman" w:hAnsi="Times New Roman"/>
        </w:rPr>
        <w:t xml:space="preserve">się na rozprawie bez </w:t>
      </w:r>
      <w:r w:rsidR="0018461A">
        <w:rPr>
          <w:rFonts w:ascii="Times New Roman" w:hAnsi="Times New Roman"/>
        </w:rPr>
        <w:t>odpowiedniego</w:t>
      </w:r>
      <w:r w:rsidR="0018461A" w:rsidRPr="003E0C66">
        <w:rPr>
          <w:rFonts w:ascii="Times New Roman" w:hAnsi="Times New Roman"/>
        </w:rPr>
        <w:t xml:space="preserve"> </w:t>
      </w:r>
      <w:r w:rsidR="003043C7" w:rsidRPr="003E0C66">
        <w:rPr>
          <w:rFonts w:ascii="Times New Roman" w:hAnsi="Times New Roman"/>
        </w:rPr>
        <w:t xml:space="preserve">uzasadnienia. </w:t>
      </w:r>
      <w:r w:rsidR="006274B6">
        <w:rPr>
          <w:rFonts w:ascii="Times New Roman" w:hAnsi="Times New Roman"/>
        </w:rPr>
        <w:t>Uznał</w:t>
      </w:r>
      <w:r w:rsidR="006274B6" w:rsidRPr="003E0C66">
        <w:rPr>
          <w:rFonts w:ascii="Times New Roman" w:hAnsi="Times New Roman"/>
        </w:rPr>
        <w:t xml:space="preserve"> </w:t>
      </w:r>
      <w:r w:rsidR="003043C7" w:rsidRPr="003E0C66">
        <w:rPr>
          <w:rFonts w:ascii="Times New Roman" w:hAnsi="Times New Roman"/>
        </w:rPr>
        <w:t xml:space="preserve">także, iż istnieją wyjaśnienia dla </w:t>
      </w:r>
      <w:r w:rsidR="006274B6">
        <w:rPr>
          <w:rFonts w:ascii="Times New Roman" w:hAnsi="Times New Roman"/>
        </w:rPr>
        <w:t>takiego</w:t>
      </w:r>
      <w:r w:rsidR="006274B6" w:rsidRPr="003E0C66">
        <w:rPr>
          <w:rFonts w:ascii="Times New Roman" w:hAnsi="Times New Roman"/>
        </w:rPr>
        <w:t xml:space="preserve"> </w:t>
      </w:r>
      <w:r w:rsidR="003043C7" w:rsidRPr="003E0C66">
        <w:rPr>
          <w:rFonts w:ascii="Times New Roman" w:hAnsi="Times New Roman"/>
        </w:rPr>
        <w:t xml:space="preserve">zachowania – mianowicie strach świadków przed problemami z policją lub aktami zemsty ze strony sprawców oraz niepokój </w:t>
      </w:r>
      <w:r w:rsidR="003043C7" w:rsidRPr="003E0C66">
        <w:rPr>
          <w:rFonts w:ascii="Times New Roman" w:hAnsi="Times New Roman"/>
        </w:rPr>
        <w:lastRenderedPageBreak/>
        <w:t xml:space="preserve">dotyczący </w:t>
      </w:r>
      <w:r w:rsidR="006274B6">
        <w:rPr>
          <w:rFonts w:ascii="Times New Roman" w:hAnsi="Times New Roman"/>
        </w:rPr>
        <w:t xml:space="preserve">konieczności </w:t>
      </w:r>
      <w:r w:rsidR="003043C7" w:rsidRPr="003E0C66">
        <w:rPr>
          <w:rFonts w:ascii="Times New Roman" w:hAnsi="Times New Roman"/>
        </w:rPr>
        <w:t>wrócenia pamięcią</w:t>
      </w:r>
      <w:r w:rsidR="006274B6">
        <w:rPr>
          <w:rFonts w:ascii="Times New Roman" w:hAnsi="Times New Roman"/>
        </w:rPr>
        <w:t xml:space="preserve"> do przestępstwa</w:t>
      </w:r>
      <w:r w:rsidR="003043C7" w:rsidRPr="003E0C66">
        <w:rPr>
          <w:rFonts w:ascii="Times New Roman" w:hAnsi="Times New Roman"/>
        </w:rPr>
        <w:t xml:space="preserve"> i </w:t>
      </w:r>
      <w:r w:rsidR="006274B6">
        <w:rPr>
          <w:rFonts w:ascii="Times New Roman" w:hAnsi="Times New Roman"/>
        </w:rPr>
        <w:t>bycia przesłuchiwanym</w:t>
      </w:r>
      <w:r w:rsidR="003043C7" w:rsidRPr="003E0C66">
        <w:rPr>
          <w:rFonts w:ascii="Times New Roman" w:hAnsi="Times New Roman"/>
        </w:rPr>
        <w:t xml:space="preserve"> </w:t>
      </w:r>
      <w:r w:rsidR="006274B6">
        <w:rPr>
          <w:rFonts w:ascii="Times New Roman" w:hAnsi="Times New Roman"/>
        </w:rPr>
        <w:t>na ten temat</w:t>
      </w:r>
      <w:r w:rsidR="003043C7" w:rsidRPr="003E0C66">
        <w:rPr>
          <w:rFonts w:ascii="Times New Roman" w:hAnsi="Times New Roman"/>
        </w:rPr>
        <w:t xml:space="preserve"> – co nie miało wpływu na ich wiarygodność.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150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3043C7" w:rsidRPr="003E0C66">
        <w:rPr>
          <w:rFonts w:ascii="Times New Roman" w:hAnsi="Times New Roman"/>
        </w:rPr>
        <w:t>W świetle powyższego Trybunał uzna</w:t>
      </w:r>
      <w:r w:rsidR="006274B6">
        <w:rPr>
          <w:rFonts w:ascii="Times New Roman" w:hAnsi="Times New Roman"/>
        </w:rPr>
        <w:t>je</w:t>
      </w:r>
      <w:r w:rsidR="003043C7" w:rsidRPr="003E0C66">
        <w:rPr>
          <w:rFonts w:ascii="Times New Roman" w:hAnsi="Times New Roman"/>
        </w:rPr>
        <w:t>, ż</w:t>
      </w:r>
      <w:r w:rsidR="006274B6">
        <w:rPr>
          <w:rFonts w:ascii="Times New Roman" w:hAnsi="Times New Roman"/>
        </w:rPr>
        <w:t>e</w:t>
      </w:r>
      <w:r w:rsidR="003043C7" w:rsidRPr="003E0C66">
        <w:rPr>
          <w:rFonts w:ascii="Times New Roman" w:hAnsi="Times New Roman"/>
        </w:rPr>
        <w:t xml:space="preserve"> Sąd Okręgowy dokonał oceny wiarygodności</w:t>
      </w:r>
      <w:r w:rsidR="006274B6">
        <w:rPr>
          <w:rFonts w:ascii="Times New Roman" w:hAnsi="Times New Roman"/>
        </w:rPr>
        <w:t xml:space="preserve"> nieobecnych świadków</w:t>
      </w:r>
      <w:r w:rsidR="003043C7" w:rsidRPr="003E0C66">
        <w:rPr>
          <w:rFonts w:ascii="Times New Roman" w:hAnsi="Times New Roman"/>
        </w:rPr>
        <w:t xml:space="preserve"> i rzetelności </w:t>
      </w:r>
      <w:r w:rsidR="006274B6">
        <w:rPr>
          <w:rFonts w:ascii="Times New Roman" w:hAnsi="Times New Roman"/>
        </w:rPr>
        <w:t xml:space="preserve">ich </w:t>
      </w:r>
      <w:r w:rsidR="003043C7" w:rsidRPr="003E0C66">
        <w:rPr>
          <w:rFonts w:ascii="Times New Roman" w:hAnsi="Times New Roman"/>
        </w:rPr>
        <w:t>zeznań z zachowaniem ostrożności. Zauważa również, ż</w:t>
      </w:r>
      <w:r w:rsidR="008F1FF7">
        <w:rPr>
          <w:rFonts w:ascii="Times New Roman" w:hAnsi="Times New Roman"/>
        </w:rPr>
        <w:t>e</w:t>
      </w:r>
      <w:r w:rsidR="003043C7" w:rsidRPr="003E0C66">
        <w:rPr>
          <w:rFonts w:ascii="Times New Roman" w:hAnsi="Times New Roman"/>
        </w:rPr>
        <w:t xml:space="preserve"> w tym aspekcie jego zadanie zbadania podejścia sądu orzekającego do niezweryfikowanych </w:t>
      </w:r>
      <w:r w:rsidR="00706DC0" w:rsidRPr="003E0C66">
        <w:rPr>
          <w:rFonts w:ascii="Times New Roman" w:hAnsi="Times New Roman"/>
        </w:rPr>
        <w:t>dowodów zostało ułatwione ze względu na fakt, iż Sąd Okręgowy, jak to zazwyczaj ma miejsce w systemie prawa kontynentalnego, podał uzasadnienie swojej oceny dowodów</w:t>
      </w:r>
      <w:r w:rsidR="00E05B22" w:rsidRPr="003E0C66">
        <w:rPr>
          <w:rFonts w:ascii="Times New Roman" w:hAnsi="Times New Roman"/>
        </w:rPr>
        <w:t>.</w:t>
      </w:r>
    </w:p>
    <w:p w:rsidR="00E05B22" w:rsidRPr="003E0C66" w:rsidRDefault="00E05B22" w:rsidP="00BC0CE7">
      <w:pPr>
        <w:pStyle w:val="ECHRHeading5"/>
      </w:pPr>
      <w:r w:rsidRPr="003E0C66">
        <w:t>(ii) </w:t>
      </w:r>
      <w:r w:rsidR="00706DC0" w:rsidRPr="003E0C66">
        <w:t xml:space="preserve">Dostępność oraz </w:t>
      </w:r>
      <w:r w:rsidR="008F1FF7">
        <w:t>waga</w:t>
      </w:r>
      <w:r w:rsidR="008F1FF7" w:rsidRPr="003E0C66">
        <w:t xml:space="preserve"> </w:t>
      </w:r>
      <w:r w:rsidR="00706DC0" w:rsidRPr="003E0C66">
        <w:t xml:space="preserve">kolejnych dowodów obciążających  </w:t>
      </w:r>
      <w:r w:rsidRPr="003E0C66">
        <w:t> 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151</w:t>
      </w:r>
      <w:r w:rsidRPr="003E0C66">
        <w:fldChar w:fldCharType="end"/>
      </w:r>
      <w:r w:rsidR="00E05B22" w:rsidRPr="003E0C66">
        <w:t>.  </w:t>
      </w:r>
      <w:r w:rsidR="00706DC0" w:rsidRPr="003E0C66">
        <w:t>Trybunał ponadto zauważa, ż</w:t>
      </w:r>
      <w:r w:rsidR="008F1FF7">
        <w:t>e</w:t>
      </w:r>
      <w:r w:rsidR="00706DC0" w:rsidRPr="003E0C66">
        <w:t xml:space="preserve"> Sąd Okręgowy, jak </w:t>
      </w:r>
      <w:r w:rsidR="008F1FF7">
        <w:t>wyżej wskazano</w:t>
      </w:r>
      <w:r w:rsidR="008F1FF7" w:rsidRPr="003E0C66">
        <w:t xml:space="preserve"> </w:t>
      </w:r>
      <w:r w:rsidR="00706DC0" w:rsidRPr="003E0C66">
        <w:t xml:space="preserve">(zobacz paragrafy 143-44), </w:t>
      </w:r>
      <w:r w:rsidR="008F1FF7">
        <w:t>dysponował</w:t>
      </w:r>
      <w:r w:rsidR="008F1FF7" w:rsidRPr="003E0C66">
        <w:t xml:space="preserve"> </w:t>
      </w:r>
      <w:r w:rsidR="00706DC0" w:rsidRPr="003E0C66">
        <w:t>dodatkow</w:t>
      </w:r>
      <w:r w:rsidR="008F1FF7">
        <w:t>ymi</w:t>
      </w:r>
      <w:r w:rsidR="00706DC0" w:rsidRPr="003E0C66">
        <w:t xml:space="preserve"> obciążając</w:t>
      </w:r>
      <w:r w:rsidR="008F1FF7">
        <w:t>ymi dowodami „ze słyszenia” i dowodami poszlakowymi,</w:t>
      </w:r>
      <w:r w:rsidR="00706DC0" w:rsidRPr="003E0C66">
        <w:t xml:space="preserve"> potwierdzając</w:t>
      </w:r>
      <w:r w:rsidR="008F1FF7">
        <w:t>ymi</w:t>
      </w:r>
      <w:r w:rsidR="00706DC0" w:rsidRPr="003E0C66">
        <w:t xml:space="preserve"> zeznania złożone przez świadków O. i P. </w:t>
      </w:r>
    </w:p>
    <w:p w:rsidR="00E05B22" w:rsidRPr="003E0C66" w:rsidRDefault="00E05B22" w:rsidP="00BC0CE7">
      <w:pPr>
        <w:pStyle w:val="ECHRHeading5"/>
      </w:pPr>
      <w:r w:rsidRPr="003E0C66">
        <w:t>(iii)  </w:t>
      </w:r>
      <w:r w:rsidR="004D066B" w:rsidRPr="003E0C66">
        <w:t xml:space="preserve">Środki proceduralne mające na celu zrekompensowanie braku możliwości bezpośredniego przesłuchania świadków podczas rozprawy 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152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4D066B" w:rsidRPr="003E0C66">
        <w:rPr>
          <w:rFonts w:ascii="Times New Roman" w:hAnsi="Times New Roman"/>
        </w:rPr>
        <w:t xml:space="preserve">Trybunał zauważa, </w:t>
      </w:r>
      <w:r w:rsidR="0004732A">
        <w:rPr>
          <w:rFonts w:ascii="Times New Roman" w:hAnsi="Times New Roman"/>
        </w:rPr>
        <w:t>że</w:t>
      </w:r>
      <w:r w:rsidR="004D066B" w:rsidRPr="003E0C66">
        <w:rPr>
          <w:rFonts w:ascii="Times New Roman" w:hAnsi="Times New Roman"/>
        </w:rPr>
        <w:t xml:space="preserve"> skarżący miał możliwość przedstawienia swojej wersji wydarzeń z </w:t>
      </w:r>
      <w:r w:rsidR="00BB2557">
        <w:rPr>
          <w:rFonts w:ascii="Times New Roman" w:hAnsi="Times New Roman"/>
        </w:rPr>
        <w:t xml:space="preserve">dnia </w:t>
      </w:r>
      <w:r w:rsidR="004D066B" w:rsidRPr="003E0C66">
        <w:rPr>
          <w:rFonts w:ascii="Times New Roman" w:hAnsi="Times New Roman"/>
        </w:rPr>
        <w:t xml:space="preserve">3 lutego 2007 roku, z której skorzystał oraz podważenia wiarygodności świadków, których tożsamość znał, również </w:t>
      </w:r>
      <w:r w:rsidR="00BB2557">
        <w:rPr>
          <w:rFonts w:ascii="Times New Roman" w:hAnsi="Times New Roman"/>
        </w:rPr>
        <w:t>po</w:t>
      </w:r>
      <w:r w:rsidR="004D066B" w:rsidRPr="003E0C66">
        <w:rPr>
          <w:rFonts w:ascii="Times New Roman" w:hAnsi="Times New Roman"/>
        </w:rPr>
        <w:t>przez przesłuch</w:t>
      </w:r>
      <w:r w:rsidR="00BB2557">
        <w:rPr>
          <w:rFonts w:ascii="Times New Roman" w:hAnsi="Times New Roman"/>
        </w:rPr>
        <w:t>anie</w:t>
      </w:r>
      <w:r w:rsidR="004D066B" w:rsidRPr="003E0C66">
        <w:rPr>
          <w:rFonts w:ascii="Times New Roman" w:hAnsi="Times New Roman"/>
        </w:rPr>
        <w:t xml:space="preserve"> innych świadków </w:t>
      </w:r>
      <w:r w:rsidR="00BB2557">
        <w:rPr>
          <w:rFonts w:ascii="Times New Roman" w:hAnsi="Times New Roman"/>
        </w:rPr>
        <w:t xml:space="preserve">przedstawiających dowody „ze słyszenia” </w:t>
      </w:r>
      <w:r w:rsidR="004D066B" w:rsidRPr="003E0C66">
        <w:rPr>
          <w:rFonts w:ascii="Times New Roman" w:hAnsi="Times New Roman"/>
        </w:rPr>
        <w:t xml:space="preserve">podczas </w:t>
      </w:r>
      <w:r w:rsidR="00BB2557">
        <w:rPr>
          <w:rFonts w:ascii="Times New Roman" w:hAnsi="Times New Roman"/>
        </w:rPr>
        <w:t xml:space="preserve">jego </w:t>
      </w:r>
      <w:r w:rsidR="004D066B" w:rsidRPr="003E0C66">
        <w:rPr>
          <w:rFonts w:ascii="Times New Roman" w:hAnsi="Times New Roman"/>
        </w:rPr>
        <w:t xml:space="preserve">procesu.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153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4D066B" w:rsidRPr="003E0C66">
        <w:rPr>
          <w:rFonts w:ascii="Times New Roman" w:hAnsi="Times New Roman"/>
        </w:rPr>
        <w:t>Trybunał zauważa jednak, iż skarżący nie miał możliwości zadania świadkom O. i P. pytań pośrednio, na przykład na piś</w:t>
      </w:r>
      <w:r w:rsidR="004F3065" w:rsidRPr="003E0C66">
        <w:rPr>
          <w:rFonts w:ascii="Times New Roman" w:hAnsi="Times New Roman"/>
        </w:rPr>
        <w:t>mie. Ponadto ani skarżący</w:t>
      </w:r>
      <w:r w:rsidR="00BB2557">
        <w:rPr>
          <w:rFonts w:ascii="Times New Roman" w:hAnsi="Times New Roman"/>
        </w:rPr>
        <w:t>,</w:t>
      </w:r>
      <w:r w:rsidR="004F3065" w:rsidRPr="003E0C66">
        <w:rPr>
          <w:rFonts w:ascii="Times New Roman" w:hAnsi="Times New Roman"/>
        </w:rPr>
        <w:t xml:space="preserve"> ani </w:t>
      </w:r>
      <w:r w:rsidR="004D066B" w:rsidRPr="003E0C66">
        <w:rPr>
          <w:rFonts w:ascii="Times New Roman" w:hAnsi="Times New Roman"/>
        </w:rPr>
        <w:t xml:space="preserve">jego prawnik nie mieli możliwości przesłuchania świadków na etapie dochodzenia.  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154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4D066B" w:rsidRPr="003E0C66">
        <w:rPr>
          <w:rFonts w:ascii="Times New Roman" w:hAnsi="Times New Roman"/>
        </w:rPr>
        <w:t xml:space="preserve">Trybunał zauważa w tym aspekcie, </w:t>
      </w:r>
      <w:r w:rsidR="00BB2557">
        <w:rPr>
          <w:rFonts w:ascii="Times New Roman" w:hAnsi="Times New Roman"/>
        </w:rPr>
        <w:t xml:space="preserve">że </w:t>
      </w:r>
      <w:r w:rsidR="004D066B" w:rsidRPr="003E0C66">
        <w:rPr>
          <w:rFonts w:ascii="Times New Roman" w:hAnsi="Times New Roman"/>
        </w:rPr>
        <w:t xml:space="preserve">strony nie zgadzały się co do tego, czy odmowa wyznaczenia obrońcy </w:t>
      </w:r>
      <w:r w:rsidR="007A4F87" w:rsidRPr="003E0C66">
        <w:rPr>
          <w:rFonts w:ascii="Times New Roman" w:hAnsi="Times New Roman"/>
        </w:rPr>
        <w:t xml:space="preserve">dla </w:t>
      </w:r>
      <w:r w:rsidR="00BB2557">
        <w:rPr>
          <w:rFonts w:ascii="Times New Roman" w:hAnsi="Times New Roman"/>
        </w:rPr>
        <w:t>skarżącego</w:t>
      </w:r>
      <w:r w:rsidR="00BB2557" w:rsidRPr="003E0C66">
        <w:rPr>
          <w:rFonts w:ascii="Times New Roman" w:hAnsi="Times New Roman"/>
        </w:rPr>
        <w:t xml:space="preserve"> </w:t>
      </w:r>
      <w:r w:rsidR="004D066B" w:rsidRPr="003E0C66">
        <w:rPr>
          <w:rFonts w:ascii="Times New Roman" w:hAnsi="Times New Roman"/>
        </w:rPr>
        <w:t xml:space="preserve">oraz </w:t>
      </w:r>
      <w:r w:rsidR="0004732A">
        <w:rPr>
          <w:rFonts w:ascii="Times New Roman" w:hAnsi="Times New Roman"/>
        </w:rPr>
        <w:t>zezwolenia</w:t>
      </w:r>
      <w:r w:rsidR="007A4F87" w:rsidRPr="003E0C66">
        <w:rPr>
          <w:rFonts w:ascii="Times New Roman" w:hAnsi="Times New Roman"/>
        </w:rPr>
        <w:t xml:space="preserve"> obrońcy na wzięcie udziału w przesłuchaniu świadków przez sędziego </w:t>
      </w:r>
      <w:r w:rsidR="00BB2557">
        <w:rPr>
          <w:rFonts w:ascii="Times New Roman" w:hAnsi="Times New Roman"/>
        </w:rPr>
        <w:t>śledczego</w:t>
      </w:r>
      <w:r w:rsidR="007A4F87" w:rsidRPr="003E0C66">
        <w:rPr>
          <w:rFonts w:ascii="Times New Roman" w:hAnsi="Times New Roman"/>
        </w:rPr>
        <w:t xml:space="preserve"> </w:t>
      </w:r>
      <w:r w:rsidR="0002174E">
        <w:rPr>
          <w:rFonts w:ascii="Times New Roman" w:hAnsi="Times New Roman"/>
        </w:rPr>
        <w:t>były zgodne</w:t>
      </w:r>
      <w:r w:rsidR="007A4F87" w:rsidRPr="003E0C66">
        <w:rPr>
          <w:rFonts w:ascii="Times New Roman" w:hAnsi="Times New Roman"/>
        </w:rPr>
        <w:t xml:space="preserve"> z prawem krajowym</w:t>
      </w:r>
      <w:r w:rsidR="0002174E">
        <w:rPr>
          <w:rFonts w:ascii="Times New Roman" w:hAnsi="Times New Roman"/>
        </w:rPr>
        <w:t xml:space="preserve"> czy nie</w:t>
      </w:r>
      <w:r w:rsidR="007A4F87" w:rsidRPr="003E0C66">
        <w:rPr>
          <w:rFonts w:ascii="Times New Roman" w:hAnsi="Times New Roman"/>
        </w:rPr>
        <w:t>. Trybunał uznaje, iż nie jest koniecznym dla celów niniejszego postępowania</w:t>
      </w:r>
      <w:r w:rsidR="0002174E">
        <w:rPr>
          <w:rFonts w:ascii="Times New Roman" w:hAnsi="Times New Roman"/>
        </w:rPr>
        <w:t xml:space="preserve"> zajmowanie przez niego ostatecznego stanowiska</w:t>
      </w:r>
      <w:r w:rsidR="007A4F87" w:rsidRPr="003E0C66">
        <w:rPr>
          <w:rFonts w:ascii="Times New Roman" w:hAnsi="Times New Roman"/>
        </w:rPr>
        <w:t xml:space="preserve"> w tej kwestii</w:t>
      </w:r>
      <w:r w:rsidR="00E05B22" w:rsidRPr="003E0C66">
        <w:rPr>
          <w:rFonts w:ascii="Times New Roman" w:hAnsi="Times New Roman"/>
        </w:rPr>
        <w:t>.</w:t>
      </w:r>
      <w:r w:rsidR="007A4F87" w:rsidRPr="003E0C66">
        <w:rPr>
          <w:rFonts w:ascii="Times New Roman" w:hAnsi="Times New Roman"/>
        </w:rPr>
        <w:t xml:space="preserve"> Podkreśla, ż</w:t>
      </w:r>
      <w:r w:rsidR="002A684B">
        <w:rPr>
          <w:rFonts w:ascii="Times New Roman" w:hAnsi="Times New Roman"/>
        </w:rPr>
        <w:t>e w toku badania</w:t>
      </w:r>
      <w:r w:rsidR="007A4F87" w:rsidRPr="003E0C66">
        <w:rPr>
          <w:rFonts w:ascii="Times New Roman" w:hAnsi="Times New Roman"/>
        </w:rPr>
        <w:t xml:space="preserve"> zgodności z Artykułem 6 Konwencji</w:t>
      </w:r>
      <w:r w:rsidR="002A684B">
        <w:rPr>
          <w:rFonts w:ascii="Times New Roman" w:hAnsi="Times New Roman"/>
        </w:rPr>
        <w:t xml:space="preserve"> nie jest jego zadaniem</w:t>
      </w:r>
      <w:r w:rsidR="007A4F87" w:rsidRPr="003E0C66">
        <w:rPr>
          <w:rFonts w:ascii="Times New Roman" w:hAnsi="Times New Roman"/>
        </w:rPr>
        <w:t xml:space="preserve"> </w:t>
      </w:r>
      <w:r w:rsidR="002A684B">
        <w:rPr>
          <w:rFonts w:ascii="Times New Roman" w:hAnsi="Times New Roman"/>
        </w:rPr>
        <w:t>określanie</w:t>
      </w:r>
      <w:r w:rsidR="002A684B" w:rsidRPr="003E0C66">
        <w:rPr>
          <w:rFonts w:ascii="Times New Roman" w:hAnsi="Times New Roman"/>
        </w:rPr>
        <w:t xml:space="preserve"> </w:t>
      </w:r>
      <w:r w:rsidR="007A4F87" w:rsidRPr="003E0C66">
        <w:rPr>
          <w:rFonts w:ascii="Times New Roman" w:hAnsi="Times New Roman"/>
        </w:rPr>
        <w:t xml:space="preserve">czy sądy krajowe działały zgodnie z prawem </w:t>
      </w:r>
      <w:r w:rsidR="002A684B">
        <w:rPr>
          <w:rFonts w:ascii="Times New Roman" w:hAnsi="Times New Roman"/>
        </w:rPr>
        <w:t>krajowym</w:t>
      </w:r>
      <w:r w:rsidR="002A684B" w:rsidRPr="003E0C66">
        <w:rPr>
          <w:rFonts w:ascii="Times New Roman" w:hAnsi="Times New Roman"/>
        </w:rPr>
        <w:t xml:space="preserve"> 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(</w:t>
      </w:r>
      <w:r w:rsidR="007A4F87" w:rsidRPr="003E0C66">
        <w:rPr>
          <w:rFonts w:ascii="Times New Roman" w:eastAsia="Times New Roman" w:hAnsi="Times New Roman" w:cs="Times New Roman"/>
          <w:szCs w:val="20"/>
          <w:lang w:eastAsia="fr-FR"/>
        </w:rPr>
        <w:t>porównaj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E05B22" w:rsidRPr="003E0C66">
        <w:rPr>
          <w:i/>
        </w:rPr>
        <w:t xml:space="preserve">Schenk </w:t>
      </w:r>
      <w:r w:rsidR="007A4F87" w:rsidRPr="003E0C66">
        <w:rPr>
          <w:i/>
        </w:rPr>
        <w:t>przeciwko Szwajcarii</w:t>
      </w:r>
      <w:r w:rsidR="00E05B22" w:rsidRPr="003E0C66">
        <w:t xml:space="preserve">, 12 </w:t>
      </w:r>
      <w:r w:rsidR="007A4F87" w:rsidRPr="003E0C66">
        <w:t>lipca 1988</w:t>
      </w:r>
      <w:r w:rsidR="002A684B">
        <w:t xml:space="preserve"> roku</w:t>
      </w:r>
      <w:r w:rsidR="007A4F87" w:rsidRPr="003E0C66">
        <w:t xml:space="preserve">, § 45, </w:t>
      </w:r>
      <w:r w:rsidR="002A684B">
        <w:t>s</w:t>
      </w:r>
      <w:r w:rsidR="007A4F87" w:rsidRPr="003E0C66">
        <w:t>eria A</w:t>
      </w:r>
      <w:r w:rsidR="002A684B">
        <w:t>,</w:t>
      </w:r>
      <w:r w:rsidR="007A4F87" w:rsidRPr="003E0C66">
        <w:t xml:space="preserve"> </w:t>
      </w:r>
      <w:r w:rsidR="00F749AE" w:rsidRPr="003E0C66">
        <w:t>nr</w:t>
      </w:r>
      <w:r w:rsidR="00E05B22" w:rsidRPr="003E0C66">
        <w:t xml:space="preserve"> 140; </w:t>
      </w:r>
      <w:proofErr w:type="spellStart"/>
      <w:r w:rsidR="00E05B22" w:rsidRPr="003E0C66">
        <w:rPr>
          <w:i/>
        </w:rPr>
        <w:t>Jalloh</w:t>
      </w:r>
      <w:proofErr w:type="spellEnd"/>
      <w:r w:rsidR="00E05B22" w:rsidRPr="003E0C66">
        <w:rPr>
          <w:i/>
        </w:rPr>
        <w:t xml:space="preserve"> </w:t>
      </w:r>
      <w:r w:rsidR="007A4F87" w:rsidRPr="003E0C66">
        <w:rPr>
          <w:i/>
        </w:rPr>
        <w:t xml:space="preserve">przeciwko Niemcom </w:t>
      </w:r>
      <w:r w:rsidR="007A4F87" w:rsidRPr="003E0C66">
        <w:t xml:space="preserve">[GC], </w:t>
      </w:r>
      <w:r w:rsidR="00F749AE" w:rsidRPr="003E0C66">
        <w:t>nr</w:t>
      </w:r>
      <w:r w:rsidR="00E05B22" w:rsidRPr="003E0C66">
        <w:t xml:space="preserve"> 54810/00, § 94, </w:t>
      </w:r>
      <w:r w:rsidR="00F749AE" w:rsidRPr="003E0C66">
        <w:rPr>
          <w:szCs w:val="24"/>
        </w:rPr>
        <w:t>ETPCZ</w:t>
      </w:r>
      <w:r w:rsidR="00E05B22" w:rsidRPr="003E0C66">
        <w:rPr>
          <w:szCs w:val="24"/>
        </w:rPr>
        <w:t xml:space="preserve"> 2006</w:t>
      </w:r>
      <w:r w:rsidR="00E05B22" w:rsidRPr="003E0C66">
        <w:rPr>
          <w:szCs w:val="24"/>
        </w:rPr>
        <w:noBreakHyphen/>
        <w:t>IX</w:t>
      </w:r>
      <w:r w:rsidR="007A4F87" w:rsidRPr="003E0C66">
        <w:t xml:space="preserve"> oraz</w:t>
      </w:r>
      <w:r w:rsidR="00E05B22" w:rsidRPr="003E0C66">
        <w:t xml:space="preserve"> </w:t>
      </w:r>
      <w:proofErr w:type="spellStart"/>
      <w:r w:rsidR="00E05B22" w:rsidRPr="003E0C66">
        <w:rPr>
          <w:i/>
          <w:szCs w:val="24"/>
        </w:rPr>
        <w:t>Heglas</w:t>
      </w:r>
      <w:proofErr w:type="spellEnd"/>
      <w:r w:rsidR="00E05B22" w:rsidRPr="003E0C66">
        <w:rPr>
          <w:i/>
          <w:szCs w:val="24"/>
        </w:rPr>
        <w:t xml:space="preserve"> </w:t>
      </w:r>
      <w:r w:rsidR="007A4F87" w:rsidRPr="003E0C66">
        <w:rPr>
          <w:i/>
          <w:szCs w:val="24"/>
        </w:rPr>
        <w:t>przeciwko Republice Czeskiej</w:t>
      </w:r>
      <w:r w:rsidR="00E05B22" w:rsidRPr="003E0C66">
        <w:rPr>
          <w:szCs w:val="24"/>
        </w:rPr>
        <w:t xml:space="preserve">, </w:t>
      </w:r>
      <w:r w:rsidR="002A684B">
        <w:rPr>
          <w:szCs w:val="24"/>
        </w:rPr>
        <w:t>nr</w:t>
      </w:r>
      <w:r w:rsidR="00E05B22" w:rsidRPr="003E0C66">
        <w:rPr>
          <w:szCs w:val="24"/>
        </w:rPr>
        <w:t xml:space="preserve"> 5935/02, § 84,</w:t>
      </w:r>
      <w:r w:rsidR="00E05B22" w:rsidRPr="003E0C66">
        <w:t xml:space="preserve"> 1 </w:t>
      </w:r>
      <w:r w:rsidR="002A684B">
        <w:t>m</w:t>
      </w:r>
      <w:r w:rsidR="007A4F87" w:rsidRPr="003E0C66">
        <w:t>arca</w:t>
      </w:r>
      <w:r w:rsidR="00E05B22" w:rsidRPr="003E0C66">
        <w:t xml:space="preserve"> 2007</w:t>
      </w:r>
      <w:r w:rsidR="002A684B">
        <w:t xml:space="preserve"> roku</w:t>
      </w:r>
      <w:r w:rsidR="00E05B22" w:rsidRPr="003E0C66">
        <w:rPr>
          <w:rFonts w:ascii="Times New Roman" w:eastAsia="Times New Roman" w:hAnsi="Times New Roman" w:cs="Times New Roman"/>
          <w:szCs w:val="20"/>
          <w:lang w:eastAsia="fr-FR"/>
        </w:rPr>
        <w:t>)</w:t>
      </w:r>
      <w:r w:rsidR="00E05B22" w:rsidRPr="003E0C66">
        <w:rPr>
          <w:rFonts w:ascii="Times New Roman" w:hAnsi="Times New Roman"/>
        </w:rPr>
        <w:t>,</w:t>
      </w:r>
      <w:r w:rsidR="007A4F87" w:rsidRPr="003E0C66">
        <w:rPr>
          <w:rFonts w:ascii="Times New Roman" w:hAnsi="Times New Roman"/>
        </w:rPr>
        <w:t xml:space="preserve"> ale ocena ogólnej </w:t>
      </w:r>
      <w:r w:rsidR="002A684B">
        <w:rPr>
          <w:rFonts w:ascii="Times New Roman" w:hAnsi="Times New Roman"/>
        </w:rPr>
        <w:t>rzetelności</w:t>
      </w:r>
      <w:r w:rsidR="002A684B" w:rsidRPr="003E0C66">
        <w:rPr>
          <w:rFonts w:ascii="Times New Roman" w:hAnsi="Times New Roman"/>
        </w:rPr>
        <w:t xml:space="preserve"> </w:t>
      </w:r>
      <w:r w:rsidR="007A4F87" w:rsidRPr="003E0C66">
        <w:rPr>
          <w:rFonts w:ascii="Times New Roman" w:hAnsi="Times New Roman"/>
        </w:rPr>
        <w:t xml:space="preserve">postępowania </w:t>
      </w:r>
      <w:r w:rsidR="008D2C9A" w:rsidRPr="003E0C66">
        <w:rPr>
          <w:rFonts w:ascii="Times New Roman" w:hAnsi="Times New Roman"/>
        </w:rPr>
        <w:t xml:space="preserve">w konkretnych okolicznościach sprawy, </w:t>
      </w:r>
      <w:r w:rsidR="002A684B">
        <w:rPr>
          <w:rFonts w:ascii="Times New Roman" w:hAnsi="Times New Roman"/>
        </w:rPr>
        <w:t>włączając sposób</w:t>
      </w:r>
      <w:r w:rsidR="008D2C9A" w:rsidRPr="003E0C66">
        <w:rPr>
          <w:rFonts w:ascii="Times New Roman" w:hAnsi="Times New Roman"/>
        </w:rPr>
        <w:t xml:space="preserve"> </w:t>
      </w:r>
      <w:r w:rsidR="002A684B">
        <w:rPr>
          <w:rFonts w:ascii="Times New Roman" w:hAnsi="Times New Roman"/>
        </w:rPr>
        <w:t>u</w:t>
      </w:r>
      <w:r w:rsidR="008D2C9A" w:rsidRPr="003E0C66">
        <w:rPr>
          <w:rFonts w:ascii="Times New Roman" w:hAnsi="Times New Roman"/>
        </w:rPr>
        <w:t xml:space="preserve">zyskania dowodów (porównaj paragraf 101 powyżej). </w:t>
      </w:r>
      <w:r w:rsidR="007A4F87" w:rsidRPr="003E0C66">
        <w:rPr>
          <w:rFonts w:ascii="Times New Roman" w:hAnsi="Times New Roman"/>
        </w:rPr>
        <w:t xml:space="preserve"> </w:t>
      </w:r>
      <w:r w:rsidR="00E05B22" w:rsidRPr="003E0C66">
        <w:rPr>
          <w:rFonts w:ascii="Times New Roman" w:hAnsi="Times New Roman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155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8D2C9A" w:rsidRPr="003E0C66">
        <w:rPr>
          <w:rFonts w:ascii="Times New Roman" w:hAnsi="Times New Roman"/>
        </w:rPr>
        <w:t>Trybunał uważa, ż</w:t>
      </w:r>
      <w:r w:rsidR="00EB71B7">
        <w:rPr>
          <w:rFonts w:ascii="Times New Roman" w:hAnsi="Times New Roman"/>
        </w:rPr>
        <w:t>e</w:t>
      </w:r>
      <w:r w:rsidR="008D2C9A" w:rsidRPr="003E0C66">
        <w:rPr>
          <w:rFonts w:ascii="Times New Roman" w:hAnsi="Times New Roman"/>
        </w:rPr>
        <w:t xml:space="preserve"> w niniejszej sprawie wystarczającym jest</w:t>
      </w:r>
      <w:r w:rsidR="00EB71B7">
        <w:rPr>
          <w:rFonts w:ascii="Times New Roman" w:hAnsi="Times New Roman"/>
        </w:rPr>
        <w:t xml:space="preserve"> odnotowanie</w:t>
      </w:r>
      <w:r w:rsidR="008D2C9A" w:rsidRPr="003E0C66">
        <w:rPr>
          <w:rFonts w:ascii="Times New Roman" w:hAnsi="Times New Roman"/>
        </w:rPr>
        <w:t>, iż zgodnie z przepisami prawa niemi</w:t>
      </w:r>
      <w:r w:rsidR="004F3065" w:rsidRPr="003E0C66">
        <w:rPr>
          <w:rFonts w:ascii="Times New Roman" w:hAnsi="Times New Roman"/>
        </w:rPr>
        <w:t>eckiego organy ścigania mogły</w:t>
      </w:r>
      <w:r w:rsidR="008D2C9A" w:rsidRPr="003E0C66">
        <w:rPr>
          <w:rFonts w:ascii="Times New Roman" w:hAnsi="Times New Roman"/>
        </w:rPr>
        <w:t xml:space="preserve"> wyznaczyć skarżącemu prawnika (Artykuł 141 § 3 </w:t>
      </w:r>
      <w:r w:rsidR="00EB71B7">
        <w:rPr>
          <w:rFonts w:ascii="Times New Roman" w:hAnsi="Times New Roman"/>
        </w:rPr>
        <w:t>w związku z</w:t>
      </w:r>
      <w:r w:rsidR="00EB71B7" w:rsidRPr="003E0C66">
        <w:rPr>
          <w:rFonts w:ascii="Times New Roman" w:hAnsi="Times New Roman"/>
        </w:rPr>
        <w:t xml:space="preserve"> </w:t>
      </w:r>
      <w:r w:rsidR="00EB71B7" w:rsidRPr="003E0C66">
        <w:rPr>
          <w:rFonts w:ascii="Times New Roman" w:hAnsi="Times New Roman"/>
        </w:rPr>
        <w:lastRenderedPageBreak/>
        <w:t>artykułem 140 §</w:t>
      </w:r>
      <w:r w:rsidR="00EB71B7">
        <w:rPr>
          <w:rFonts w:ascii="Times New Roman" w:hAnsi="Times New Roman"/>
        </w:rPr>
        <w:t xml:space="preserve"> </w:t>
      </w:r>
      <w:r w:rsidR="00EB71B7" w:rsidRPr="003E0C66">
        <w:rPr>
          <w:rFonts w:ascii="Times New Roman" w:hAnsi="Times New Roman"/>
        </w:rPr>
        <w:t>1</w:t>
      </w:r>
      <w:r w:rsidR="00EB71B7">
        <w:rPr>
          <w:rFonts w:ascii="Times New Roman" w:hAnsi="Times New Roman"/>
        </w:rPr>
        <w:t xml:space="preserve"> </w:t>
      </w:r>
      <w:r w:rsidR="008D2C9A" w:rsidRPr="003E0C66">
        <w:rPr>
          <w:rFonts w:ascii="Times New Roman" w:hAnsi="Times New Roman"/>
        </w:rPr>
        <w:t xml:space="preserve">Kodeksu </w:t>
      </w:r>
      <w:r w:rsidR="00EB71B7">
        <w:rPr>
          <w:rFonts w:ascii="Times New Roman" w:hAnsi="Times New Roman"/>
        </w:rPr>
        <w:t>p</w:t>
      </w:r>
      <w:r w:rsidR="008D2C9A" w:rsidRPr="003E0C66">
        <w:rPr>
          <w:rFonts w:ascii="Times New Roman" w:hAnsi="Times New Roman"/>
        </w:rPr>
        <w:t xml:space="preserve">ostępowania </w:t>
      </w:r>
      <w:r w:rsidR="00EB71B7">
        <w:rPr>
          <w:rFonts w:ascii="Times New Roman" w:hAnsi="Times New Roman"/>
        </w:rPr>
        <w:t>k</w:t>
      </w:r>
      <w:r w:rsidR="008D2C9A" w:rsidRPr="003E0C66">
        <w:rPr>
          <w:rFonts w:ascii="Times New Roman" w:hAnsi="Times New Roman"/>
        </w:rPr>
        <w:t xml:space="preserve">arnego). Prawnik ten miałby prawo uczestniczyć </w:t>
      </w:r>
      <w:r w:rsidR="00FC5193" w:rsidRPr="003E0C66">
        <w:rPr>
          <w:rFonts w:ascii="Times New Roman" w:hAnsi="Times New Roman"/>
        </w:rPr>
        <w:t xml:space="preserve">w przesłuchaniu świadków przez sędziego </w:t>
      </w:r>
      <w:r w:rsidR="00EB71B7">
        <w:rPr>
          <w:rFonts w:ascii="Times New Roman" w:hAnsi="Times New Roman"/>
        </w:rPr>
        <w:t>śledczego</w:t>
      </w:r>
      <w:r w:rsidR="00FC5193" w:rsidRPr="003E0C66">
        <w:rPr>
          <w:rFonts w:ascii="Times New Roman" w:hAnsi="Times New Roman"/>
        </w:rPr>
        <w:t xml:space="preserve"> i co do zasady musiałby zostać o </w:t>
      </w:r>
      <w:r w:rsidR="00EB71B7">
        <w:rPr>
          <w:rFonts w:ascii="Times New Roman" w:hAnsi="Times New Roman"/>
        </w:rPr>
        <w:t>nim</w:t>
      </w:r>
      <w:r w:rsidR="00EB71B7" w:rsidRPr="003E0C66">
        <w:rPr>
          <w:rFonts w:ascii="Times New Roman" w:hAnsi="Times New Roman"/>
        </w:rPr>
        <w:t xml:space="preserve"> </w:t>
      </w:r>
      <w:r w:rsidR="00FC5193" w:rsidRPr="003E0C66">
        <w:rPr>
          <w:rFonts w:ascii="Times New Roman" w:hAnsi="Times New Roman"/>
        </w:rPr>
        <w:t>poinformowany (Artykuł 168c §</w:t>
      </w:r>
      <w:r w:rsidR="00EB71B7" w:rsidRPr="003E0C66">
        <w:rPr>
          <w:rFonts w:ascii="Times New Roman" w:hAnsi="Times New Roman"/>
        </w:rPr>
        <w:t>§</w:t>
      </w:r>
      <w:r w:rsidR="00FC5193" w:rsidRPr="003E0C66">
        <w:rPr>
          <w:rFonts w:ascii="Times New Roman" w:hAnsi="Times New Roman"/>
        </w:rPr>
        <w:t xml:space="preserve"> 2 i 5 Kodeksu </w:t>
      </w:r>
      <w:r w:rsidR="00EB71B7">
        <w:rPr>
          <w:rFonts w:ascii="Times New Roman" w:hAnsi="Times New Roman"/>
        </w:rPr>
        <w:t>p</w:t>
      </w:r>
      <w:r w:rsidR="00FC5193" w:rsidRPr="003E0C66">
        <w:rPr>
          <w:rFonts w:ascii="Times New Roman" w:hAnsi="Times New Roman"/>
        </w:rPr>
        <w:t xml:space="preserve">ostępowania </w:t>
      </w:r>
      <w:r w:rsidR="00EB71B7">
        <w:rPr>
          <w:rFonts w:ascii="Times New Roman" w:hAnsi="Times New Roman"/>
        </w:rPr>
        <w:t>k</w:t>
      </w:r>
      <w:r w:rsidR="00FC5193" w:rsidRPr="003E0C66">
        <w:rPr>
          <w:rFonts w:ascii="Times New Roman" w:hAnsi="Times New Roman"/>
        </w:rPr>
        <w:t xml:space="preserve">arnego). Jednakże te gwarancje proceduralne, które znajdują się w Kodeksie </w:t>
      </w:r>
      <w:r w:rsidR="00EB71B7">
        <w:rPr>
          <w:rFonts w:ascii="Times New Roman" w:hAnsi="Times New Roman"/>
        </w:rPr>
        <w:t>p</w:t>
      </w:r>
      <w:r w:rsidR="00FC5193" w:rsidRPr="003E0C66">
        <w:rPr>
          <w:rFonts w:ascii="Times New Roman" w:hAnsi="Times New Roman"/>
        </w:rPr>
        <w:t xml:space="preserve">ostępowania </w:t>
      </w:r>
      <w:r w:rsidR="00EB71B7">
        <w:rPr>
          <w:rFonts w:ascii="Times New Roman" w:hAnsi="Times New Roman"/>
        </w:rPr>
        <w:t>k</w:t>
      </w:r>
      <w:r w:rsidR="00FC5193" w:rsidRPr="003E0C66">
        <w:rPr>
          <w:rFonts w:ascii="Times New Roman" w:hAnsi="Times New Roman"/>
        </w:rPr>
        <w:t xml:space="preserve">arnego oraz zostały </w:t>
      </w:r>
      <w:r w:rsidR="00EB71B7">
        <w:rPr>
          <w:rFonts w:ascii="Times New Roman" w:hAnsi="Times New Roman"/>
        </w:rPr>
        <w:t>wz</w:t>
      </w:r>
      <w:r w:rsidR="00FC5193" w:rsidRPr="003E0C66">
        <w:rPr>
          <w:rFonts w:ascii="Times New Roman" w:hAnsi="Times New Roman"/>
        </w:rPr>
        <w:t>mocnione poprzez ich wykładni</w:t>
      </w:r>
      <w:r w:rsidR="00EB71B7">
        <w:rPr>
          <w:rFonts w:ascii="Times New Roman" w:hAnsi="Times New Roman"/>
        </w:rPr>
        <w:t>ę</w:t>
      </w:r>
      <w:r w:rsidR="00FC5193" w:rsidRPr="003E0C66">
        <w:rPr>
          <w:rFonts w:ascii="Times New Roman" w:hAnsi="Times New Roman"/>
        </w:rPr>
        <w:t xml:space="preserve"> dokonaną przez Federalny Trybunał Sprawiedliwości (</w:t>
      </w:r>
      <w:r w:rsidR="0067556B">
        <w:rPr>
          <w:rFonts w:ascii="Times New Roman" w:hAnsi="Times New Roman"/>
        </w:rPr>
        <w:t>zobacz paragrafy 58-59 powyżej)</w:t>
      </w:r>
      <w:r w:rsidR="00FC5193" w:rsidRPr="003E0C66">
        <w:rPr>
          <w:rFonts w:ascii="Times New Roman" w:hAnsi="Times New Roman"/>
        </w:rPr>
        <w:t xml:space="preserve"> niestety nie zostały zastosowane w sprawie skarżącego.   </w:t>
      </w:r>
      <w:r w:rsidR="008D2C9A" w:rsidRPr="003E0C66">
        <w:rPr>
          <w:rFonts w:ascii="Times New Roman" w:hAnsi="Times New Roman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156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FC5193" w:rsidRPr="003E0C66">
        <w:rPr>
          <w:rFonts w:ascii="Times New Roman" w:hAnsi="Times New Roman"/>
        </w:rPr>
        <w:t xml:space="preserve">Trybunał podkreślił, </w:t>
      </w:r>
      <w:r w:rsidR="00622562">
        <w:rPr>
          <w:rFonts w:ascii="Times New Roman" w:hAnsi="Times New Roman"/>
        </w:rPr>
        <w:t xml:space="preserve">że chociaż </w:t>
      </w:r>
      <w:r w:rsidR="00FC5193" w:rsidRPr="003E0C66">
        <w:rPr>
          <w:rFonts w:ascii="Times New Roman" w:hAnsi="Times New Roman"/>
        </w:rPr>
        <w:t xml:space="preserve">Artykuł 6 § 3 (d) Konwencji dotyczy przesłuchania świadka oskarżenia podczas rozprawy, </w:t>
      </w:r>
      <w:r w:rsidR="00EB71B7">
        <w:rPr>
          <w:rFonts w:ascii="Times New Roman" w:hAnsi="Times New Roman"/>
        </w:rPr>
        <w:t xml:space="preserve">to </w:t>
      </w:r>
      <w:r w:rsidR="00FC5193" w:rsidRPr="003E0C66">
        <w:rPr>
          <w:rFonts w:ascii="Times New Roman" w:hAnsi="Times New Roman"/>
        </w:rPr>
        <w:t>sposób w ja</w:t>
      </w:r>
      <w:r w:rsidR="00CA0211" w:rsidRPr="003E0C66">
        <w:rPr>
          <w:rFonts w:ascii="Times New Roman" w:hAnsi="Times New Roman"/>
        </w:rPr>
        <w:t xml:space="preserve">ki przesłuchanie </w:t>
      </w:r>
      <w:r w:rsidR="00622562">
        <w:rPr>
          <w:rFonts w:ascii="Times New Roman" w:hAnsi="Times New Roman"/>
        </w:rPr>
        <w:t xml:space="preserve">świadków oskarżenia </w:t>
      </w:r>
      <w:r w:rsidR="00622562" w:rsidRPr="003E0C66">
        <w:rPr>
          <w:rFonts w:ascii="Times New Roman" w:hAnsi="Times New Roman"/>
        </w:rPr>
        <w:t xml:space="preserve">zostało przeprowadzone </w:t>
      </w:r>
      <w:r w:rsidR="00CA0211" w:rsidRPr="003E0C66">
        <w:rPr>
          <w:rFonts w:ascii="Times New Roman" w:hAnsi="Times New Roman"/>
        </w:rPr>
        <w:t xml:space="preserve">na etapie dochodzenia </w:t>
      </w:r>
      <w:r w:rsidR="00622562">
        <w:rPr>
          <w:rFonts w:ascii="Times New Roman" w:hAnsi="Times New Roman"/>
        </w:rPr>
        <w:t>ma istotne znaczenie</w:t>
      </w:r>
      <w:r w:rsidR="00D06DAE" w:rsidRPr="003E0C66">
        <w:rPr>
          <w:rFonts w:ascii="Times New Roman" w:hAnsi="Times New Roman"/>
        </w:rPr>
        <w:t xml:space="preserve"> dla </w:t>
      </w:r>
      <w:r w:rsidR="00622562">
        <w:rPr>
          <w:rFonts w:ascii="Times New Roman" w:hAnsi="Times New Roman"/>
        </w:rPr>
        <w:t xml:space="preserve">rzetelności </w:t>
      </w:r>
      <w:r w:rsidR="00D06DAE" w:rsidRPr="003E0C66">
        <w:rPr>
          <w:rFonts w:ascii="Times New Roman" w:hAnsi="Times New Roman"/>
        </w:rPr>
        <w:t xml:space="preserve">procesu i może </w:t>
      </w:r>
      <w:r w:rsidR="00622562">
        <w:rPr>
          <w:rFonts w:ascii="Times New Roman" w:hAnsi="Times New Roman"/>
        </w:rPr>
        <w:t>przekreślić rzetelność</w:t>
      </w:r>
      <w:r w:rsidR="00D06DAE" w:rsidRPr="003E0C66">
        <w:rPr>
          <w:rFonts w:ascii="Times New Roman" w:hAnsi="Times New Roman"/>
        </w:rPr>
        <w:t xml:space="preserve"> procesu, </w:t>
      </w:r>
      <w:r w:rsidR="00622562">
        <w:rPr>
          <w:rFonts w:ascii="Times New Roman" w:hAnsi="Times New Roman"/>
        </w:rPr>
        <w:t>gdy kluczowi świadkowie</w:t>
      </w:r>
      <w:r w:rsidR="00215CF8" w:rsidRPr="003E0C66">
        <w:rPr>
          <w:rFonts w:ascii="Times New Roman" w:hAnsi="Times New Roman"/>
        </w:rPr>
        <w:t xml:space="preserve"> nie </w:t>
      </w:r>
      <w:r w:rsidR="00622562">
        <w:rPr>
          <w:rFonts w:ascii="Times New Roman" w:hAnsi="Times New Roman"/>
        </w:rPr>
        <w:t>mogą być</w:t>
      </w:r>
      <w:r w:rsidR="00622562" w:rsidRPr="003E0C66">
        <w:rPr>
          <w:rFonts w:ascii="Times New Roman" w:hAnsi="Times New Roman"/>
        </w:rPr>
        <w:t xml:space="preserve"> </w:t>
      </w:r>
      <w:r w:rsidR="00215CF8" w:rsidRPr="003E0C66">
        <w:rPr>
          <w:rFonts w:ascii="Times New Roman" w:hAnsi="Times New Roman"/>
        </w:rPr>
        <w:t>przesłuchan</w:t>
      </w:r>
      <w:r w:rsidR="00622562">
        <w:rPr>
          <w:rFonts w:ascii="Times New Roman" w:hAnsi="Times New Roman"/>
        </w:rPr>
        <w:t>i na</w:t>
      </w:r>
      <w:r w:rsidR="00215CF8" w:rsidRPr="003E0C66">
        <w:rPr>
          <w:rFonts w:ascii="Times New Roman" w:hAnsi="Times New Roman"/>
        </w:rPr>
        <w:t xml:space="preserve">  rozpraw</w:t>
      </w:r>
      <w:r w:rsidR="00622562">
        <w:rPr>
          <w:rFonts w:ascii="Times New Roman" w:hAnsi="Times New Roman"/>
        </w:rPr>
        <w:t>ie</w:t>
      </w:r>
      <w:r w:rsidR="00215CF8" w:rsidRPr="003E0C66">
        <w:rPr>
          <w:rFonts w:ascii="Times New Roman" w:hAnsi="Times New Roman"/>
        </w:rPr>
        <w:t xml:space="preserve">, a dowody uzyskane na etapie dochodzenia </w:t>
      </w:r>
      <w:r w:rsidR="00622562">
        <w:rPr>
          <w:rFonts w:ascii="Times New Roman" w:hAnsi="Times New Roman"/>
        </w:rPr>
        <w:t xml:space="preserve">z tego powodu </w:t>
      </w:r>
      <w:r w:rsidR="00215CF8" w:rsidRPr="003E0C66">
        <w:rPr>
          <w:rFonts w:ascii="Times New Roman" w:hAnsi="Times New Roman"/>
        </w:rPr>
        <w:t xml:space="preserve">są bezpośrednio wprowadzane do procesu (porównaj paragraf 104 powyżej).  </w:t>
      </w:r>
      <w:r w:rsidR="00D06DAE" w:rsidRPr="003E0C66">
        <w:rPr>
          <w:rFonts w:ascii="Times New Roman" w:hAnsi="Times New Roman"/>
        </w:rPr>
        <w:t xml:space="preserve">  </w:t>
      </w:r>
      <w:r w:rsidR="00FC5193" w:rsidRPr="003E0C66">
        <w:rPr>
          <w:rFonts w:ascii="Times New Roman" w:hAnsi="Times New Roman"/>
        </w:rPr>
        <w:t xml:space="preserve">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157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215CF8" w:rsidRPr="003E0C66">
        <w:rPr>
          <w:rFonts w:ascii="Times New Roman" w:hAnsi="Times New Roman"/>
        </w:rPr>
        <w:t>W tych okoliczn</w:t>
      </w:r>
      <w:r w:rsidR="00A90F3B" w:rsidRPr="003E0C66">
        <w:rPr>
          <w:rFonts w:ascii="Times New Roman" w:hAnsi="Times New Roman"/>
        </w:rPr>
        <w:t xml:space="preserve">ościach zasadnicze znaczenie dla ustalenia </w:t>
      </w:r>
      <w:r w:rsidR="00622562">
        <w:rPr>
          <w:rFonts w:ascii="Times New Roman" w:hAnsi="Times New Roman"/>
        </w:rPr>
        <w:t>rzetelności</w:t>
      </w:r>
      <w:r w:rsidR="00622562" w:rsidRPr="003E0C66">
        <w:rPr>
          <w:rFonts w:ascii="Times New Roman" w:hAnsi="Times New Roman"/>
        </w:rPr>
        <w:t xml:space="preserve"> </w:t>
      </w:r>
      <w:r w:rsidR="00EF0833" w:rsidRPr="003E0C66">
        <w:rPr>
          <w:rFonts w:ascii="Times New Roman" w:hAnsi="Times New Roman"/>
        </w:rPr>
        <w:t>procesu</w:t>
      </w:r>
      <w:r w:rsidR="00622562">
        <w:rPr>
          <w:rFonts w:ascii="Times New Roman" w:hAnsi="Times New Roman"/>
        </w:rPr>
        <w:t xml:space="preserve"> jako całości</w:t>
      </w:r>
      <w:r w:rsidR="00EF0833" w:rsidRPr="003E0C66">
        <w:rPr>
          <w:rFonts w:ascii="Times New Roman" w:hAnsi="Times New Roman"/>
        </w:rPr>
        <w:t xml:space="preserve"> </w:t>
      </w:r>
      <w:r w:rsidR="00A90F3B" w:rsidRPr="003E0C66">
        <w:rPr>
          <w:rFonts w:ascii="Times New Roman" w:hAnsi="Times New Roman"/>
        </w:rPr>
        <w:t>ma</w:t>
      </w:r>
      <w:r w:rsidR="00EF0833" w:rsidRPr="003E0C66">
        <w:rPr>
          <w:rFonts w:ascii="Times New Roman" w:hAnsi="Times New Roman"/>
        </w:rPr>
        <w:t xml:space="preserve"> </w:t>
      </w:r>
      <w:r w:rsidR="00D17756">
        <w:rPr>
          <w:rFonts w:ascii="Times New Roman" w:hAnsi="Times New Roman"/>
        </w:rPr>
        <w:t>upewnienie się,</w:t>
      </w:r>
      <w:r w:rsidR="00D17756" w:rsidRPr="003E0C66">
        <w:rPr>
          <w:rFonts w:ascii="Times New Roman" w:hAnsi="Times New Roman"/>
        </w:rPr>
        <w:t xml:space="preserve"> </w:t>
      </w:r>
      <w:r w:rsidR="00265A4C" w:rsidRPr="003E0C66">
        <w:rPr>
          <w:rFonts w:ascii="Times New Roman" w:hAnsi="Times New Roman"/>
        </w:rPr>
        <w:t xml:space="preserve">czy władze, w czasie </w:t>
      </w:r>
      <w:r w:rsidR="00D17756" w:rsidRPr="003E0C66">
        <w:rPr>
          <w:rFonts w:ascii="Times New Roman" w:hAnsi="Times New Roman"/>
        </w:rPr>
        <w:t>przesłuch</w:t>
      </w:r>
      <w:r w:rsidR="00D17756">
        <w:rPr>
          <w:rFonts w:ascii="Times New Roman" w:hAnsi="Times New Roman"/>
        </w:rPr>
        <w:t>ania</w:t>
      </w:r>
      <w:r w:rsidR="00D17756" w:rsidRPr="003E0C66">
        <w:rPr>
          <w:rFonts w:ascii="Times New Roman" w:hAnsi="Times New Roman"/>
        </w:rPr>
        <w:t xml:space="preserve"> </w:t>
      </w:r>
      <w:r w:rsidR="00326E68" w:rsidRPr="003E0C66">
        <w:rPr>
          <w:rFonts w:ascii="Times New Roman" w:hAnsi="Times New Roman"/>
        </w:rPr>
        <w:t xml:space="preserve">świadków </w:t>
      </w:r>
      <w:r w:rsidR="00273220" w:rsidRPr="003E0C66">
        <w:rPr>
          <w:rFonts w:ascii="Times New Roman" w:hAnsi="Times New Roman"/>
        </w:rPr>
        <w:t>na etapie dochodzenia</w:t>
      </w:r>
      <w:r w:rsidR="00DC07A7" w:rsidRPr="003E0C66">
        <w:rPr>
          <w:rFonts w:ascii="Times New Roman" w:hAnsi="Times New Roman"/>
        </w:rPr>
        <w:t>,</w:t>
      </w:r>
      <w:r w:rsidR="00A90F3B" w:rsidRPr="003E0C66">
        <w:rPr>
          <w:rFonts w:ascii="Times New Roman" w:hAnsi="Times New Roman"/>
        </w:rPr>
        <w:t xml:space="preserve"> </w:t>
      </w:r>
      <w:r w:rsidR="00D17756">
        <w:rPr>
          <w:rFonts w:ascii="Times New Roman" w:hAnsi="Times New Roman"/>
        </w:rPr>
        <w:t>procedowały z założeniem, że</w:t>
      </w:r>
      <w:r w:rsidR="00A90F3B" w:rsidRPr="003E0C66">
        <w:rPr>
          <w:rFonts w:ascii="Times New Roman" w:hAnsi="Times New Roman"/>
        </w:rPr>
        <w:t xml:space="preserve"> </w:t>
      </w:r>
      <w:r w:rsidR="00D17756">
        <w:rPr>
          <w:rFonts w:ascii="Times New Roman" w:hAnsi="Times New Roman"/>
        </w:rPr>
        <w:t>świadek nie będzie przesłuchiwany na rozprawie</w:t>
      </w:r>
      <w:r w:rsidR="00A90F3B" w:rsidRPr="003E0C66">
        <w:rPr>
          <w:rFonts w:ascii="Times New Roman" w:hAnsi="Times New Roman"/>
        </w:rPr>
        <w:t>.</w:t>
      </w:r>
      <w:r w:rsidR="003553B9" w:rsidRPr="003E0C66">
        <w:rPr>
          <w:rFonts w:ascii="Times New Roman" w:hAnsi="Times New Roman"/>
        </w:rPr>
        <w:t xml:space="preserve"> W przypadku</w:t>
      </w:r>
      <w:r w:rsidR="00D17756">
        <w:rPr>
          <w:rFonts w:ascii="Times New Roman" w:hAnsi="Times New Roman"/>
        </w:rPr>
        <w:t>,</w:t>
      </w:r>
      <w:r w:rsidR="003553B9" w:rsidRPr="003E0C66">
        <w:rPr>
          <w:rFonts w:ascii="Times New Roman" w:hAnsi="Times New Roman"/>
        </w:rPr>
        <w:t xml:space="preserve"> gdy władze założyły</w:t>
      </w:r>
      <w:r w:rsidR="00D17756">
        <w:rPr>
          <w:rFonts w:ascii="Times New Roman" w:hAnsi="Times New Roman"/>
        </w:rPr>
        <w:t>,</w:t>
      </w:r>
      <w:r w:rsidR="003553B9" w:rsidRPr="003E0C66">
        <w:rPr>
          <w:rFonts w:ascii="Times New Roman" w:hAnsi="Times New Roman"/>
        </w:rPr>
        <w:t xml:space="preserve"> </w:t>
      </w:r>
      <w:r w:rsidR="00D17756">
        <w:rPr>
          <w:rFonts w:ascii="Times New Roman" w:hAnsi="Times New Roman"/>
        </w:rPr>
        <w:t xml:space="preserve">że przedmiotowy świadek nie zostanie przesłuchany </w:t>
      </w:r>
      <w:r w:rsidR="003553B9" w:rsidRPr="003E0C66">
        <w:rPr>
          <w:rFonts w:ascii="Times New Roman" w:hAnsi="Times New Roman"/>
        </w:rPr>
        <w:t xml:space="preserve">na rozprawie, </w:t>
      </w:r>
      <w:r w:rsidR="00D17756">
        <w:rPr>
          <w:rFonts w:ascii="Times New Roman" w:hAnsi="Times New Roman"/>
        </w:rPr>
        <w:t>podstawą</w:t>
      </w:r>
      <w:r w:rsidR="00D17756" w:rsidRPr="003E0C66">
        <w:rPr>
          <w:rFonts w:ascii="Times New Roman" w:hAnsi="Times New Roman"/>
        </w:rPr>
        <w:t xml:space="preserve"> </w:t>
      </w:r>
      <w:r w:rsidR="003553B9" w:rsidRPr="003E0C66">
        <w:rPr>
          <w:rFonts w:ascii="Times New Roman" w:hAnsi="Times New Roman"/>
        </w:rPr>
        <w:t>jest zapewnienie obronie możliwości zadania świadko</w:t>
      </w:r>
      <w:r w:rsidR="00D17756">
        <w:rPr>
          <w:rFonts w:ascii="Times New Roman" w:hAnsi="Times New Roman"/>
        </w:rPr>
        <w:t>wi</w:t>
      </w:r>
      <w:r w:rsidR="003553B9" w:rsidRPr="003E0C66">
        <w:rPr>
          <w:rFonts w:ascii="Times New Roman" w:hAnsi="Times New Roman"/>
        </w:rPr>
        <w:t xml:space="preserve"> pytań na etapie dochodzenia</w:t>
      </w:r>
      <w:r w:rsidR="00A90F3B" w:rsidRPr="003E0C66">
        <w:rPr>
          <w:rFonts w:ascii="Times New Roman" w:hAnsi="Times New Roman"/>
        </w:rPr>
        <w:t xml:space="preserve"> </w:t>
      </w:r>
      <w:r w:rsidR="00E05B22" w:rsidRPr="003E0C66">
        <w:rPr>
          <w:rFonts w:ascii="Times New Roman" w:hAnsi="Times New Roman"/>
        </w:rPr>
        <w:t>(</w:t>
      </w:r>
      <w:r w:rsidR="003553B9" w:rsidRPr="003E0C66">
        <w:rPr>
          <w:rFonts w:ascii="Times New Roman" w:hAnsi="Times New Roman"/>
        </w:rPr>
        <w:t>porównaj</w:t>
      </w:r>
      <w:r w:rsidR="00D17756">
        <w:rPr>
          <w:rFonts w:ascii="Times New Roman" w:hAnsi="Times New Roman"/>
        </w:rPr>
        <w:t xml:space="preserve"> także</w:t>
      </w:r>
      <w:r w:rsidR="00E05B22" w:rsidRPr="003E0C66">
        <w:rPr>
          <w:rFonts w:ascii="Times New Roman" w:hAnsi="Times New Roman"/>
        </w:rPr>
        <w:t xml:space="preserve"> </w:t>
      </w:r>
      <w:proofErr w:type="spellStart"/>
      <w:r w:rsidR="00E05B22" w:rsidRPr="003E0C66">
        <w:rPr>
          <w:i/>
        </w:rPr>
        <w:t>Vronchenko</w:t>
      </w:r>
      <w:proofErr w:type="spellEnd"/>
      <w:r w:rsidR="00E05B22" w:rsidRPr="003E0C66">
        <w:t xml:space="preserve">, </w:t>
      </w:r>
      <w:r w:rsidR="00D17756">
        <w:t>cytowany powyżej</w:t>
      </w:r>
      <w:r w:rsidR="003553B9" w:rsidRPr="003E0C66">
        <w:t xml:space="preserve">, §§ 60 </w:t>
      </w:r>
      <w:r w:rsidR="00D17756">
        <w:t>i</w:t>
      </w:r>
      <w:r w:rsidR="003553B9" w:rsidRPr="003E0C66">
        <w:t xml:space="preserve"> nast</w:t>
      </w:r>
      <w:r w:rsidR="00E05B22" w:rsidRPr="003E0C66">
        <w:t xml:space="preserve">. </w:t>
      </w:r>
      <w:r w:rsidR="003553B9" w:rsidRPr="003E0C66">
        <w:t xml:space="preserve">oraz </w:t>
      </w:r>
      <w:r w:rsidR="00E05B22" w:rsidRPr="003E0C66">
        <w:rPr>
          <w:i/>
        </w:rPr>
        <w:t>Rosin</w:t>
      </w:r>
      <w:r w:rsidR="00E05B22" w:rsidRPr="003E0C66">
        <w:t xml:space="preserve">, </w:t>
      </w:r>
      <w:r w:rsidR="00D17756">
        <w:t>cytowany powyżej,</w:t>
      </w:r>
      <w:r w:rsidR="00E05B22" w:rsidRPr="003E0C66">
        <w:t xml:space="preserve"> §§ 57 </w:t>
      </w:r>
      <w:r w:rsidR="00D17756">
        <w:t>i</w:t>
      </w:r>
      <w:r w:rsidR="003553B9" w:rsidRPr="003E0C66">
        <w:t xml:space="preserve"> nast</w:t>
      </w:r>
      <w:r w:rsidR="00E05B22" w:rsidRPr="003E0C66">
        <w:t xml:space="preserve">., </w:t>
      </w:r>
      <w:r w:rsidR="00D17756">
        <w:t>w których</w:t>
      </w:r>
      <w:r w:rsidR="00D17756" w:rsidRPr="003E0C66">
        <w:t xml:space="preserve"> </w:t>
      </w:r>
      <w:r w:rsidR="003553B9" w:rsidRPr="003E0C66">
        <w:t xml:space="preserve">małoletnim ofiarom przestępstw na tle seksualnym obiecano na etapie dochodzenia, </w:t>
      </w:r>
      <w:r w:rsidR="00D17756">
        <w:t>że</w:t>
      </w:r>
      <w:r w:rsidR="00D17756" w:rsidRPr="003E0C66">
        <w:t xml:space="preserve"> </w:t>
      </w:r>
      <w:r w:rsidR="003553B9" w:rsidRPr="003E0C66">
        <w:t>nie będą im zadawane żadne pytania dotyczące przestępstwa przy innych okazjach)</w:t>
      </w:r>
      <w:r w:rsidR="00D17756">
        <w:t>.</w:t>
      </w:r>
      <w:r w:rsidR="003553B9" w:rsidRPr="003E0C66">
        <w:t xml:space="preserve"> 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158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3553B9" w:rsidRPr="003E0C66">
        <w:rPr>
          <w:rFonts w:ascii="Times New Roman" w:hAnsi="Times New Roman"/>
        </w:rPr>
        <w:t xml:space="preserve">Trybunał zauważa, </w:t>
      </w:r>
      <w:r w:rsidR="0067556B">
        <w:rPr>
          <w:rFonts w:ascii="Times New Roman" w:hAnsi="Times New Roman"/>
        </w:rPr>
        <w:t>że</w:t>
      </w:r>
      <w:r w:rsidR="003553B9" w:rsidRPr="003E0C66">
        <w:rPr>
          <w:rFonts w:ascii="Times New Roman" w:hAnsi="Times New Roman"/>
        </w:rPr>
        <w:t xml:space="preserve"> skarżący zakwestionował stwierdzenie Sądu Okręgowego, </w:t>
      </w:r>
      <w:r w:rsidR="00D17756">
        <w:rPr>
          <w:rFonts w:ascii="Times New Roman" w:hAnsi="Times New Roman"/>
        </w:rPr>
        <w:t>że</w:t>
      </w:r>
      <w:r w:rsidR="00D17756" w:rsidRPr="003E0C66">
        <w:rPr>
          <w:rFonts w:ascii="Times New Roman" w:hAnsi="Times New Roman"/>
        </w:rPr>
        <w:t xml:space="preserve"> </w:t>
      </w:r>
      <w:r w:rsidR="003553B9" w:rsidRPr="003E0C66">
        <w:rPr>
          <w:rFonts w:ascii="Times New Roman" w:hAnsi="Times New Roman"/>
        </w:rPr>
        <w:t xml:space="preserve">nie dało się przewidzieć nieobecności świadków na rozprawie. Trybunał zgadza się ze skarżącym, </w:t>
      </w:r>
      <w:r w:rsidR="000E6DCC">
        <w:rPr>
          <w:rFonts w:ascii="Times New Roman" w:hAnsi="Times New Roman"/>
        </w:rPr>
        <w:t>że</w:t>
      </w:r>
      <w:r w:rsidR="000E6DCC" w:rsidRPr="003E0C66">
        <w:rPr>
          <w:rFonts w:ascii="Times New Roman" w:hAnsi="Times New Roman"/>
        </w:rPr>
        <w:t xml:space="preserve"> </w:t>
      </w:r>
      <w:r w:rsidR="003553B9" w:rsidRPr="003E0C66">
        <w:rPr>
          <w:rFonts w:ascii="Times New Roman" w:hAnsi="Times New Roman"/>
        </w:rPr>
        <w:t xml:space="preserve">świadkowie zostali przesłuchani przez </w:t>
      </w:r>
      <w:r w:rsidR="000E6DCC" w:rsidRPr="003E0C66">
        <w:rPr>
          <w:rFonts w:ascii="Times New Roman" w:hAnsi="Times New Roman"/>
        </w:rPr>
        <w:t>sędziego śledczego</w:t>
      </w:r>
      <w:r w:rsidR="003553B9" w:rsidRPr="003E0C66">
        <w:rPr>
          <w:rFonts w:ascii="Times New Roman" w:hAnsi="Times New Roman"/>
        </w:rPr>
        <w:t xml:space="preserve"> ponieważ, w świetle zbliżającego się powrotu </w:t>
      </w:r>
      <w:r w:rsidR="000E6DCC">
        <w:rPr>
          <w:rFonts w:ascii="Times New Roman" w:hAnsi="Times New Roman"/>
        </w:rPr>
        <w:t xml:space="preserve">świadków </w:t>
      </w:r>
      <w:r w:rsidR="003553B9" w:rsidRPr="003E0C66">
        <w:rPr>
          <w:rFonts w:ascii="Times New Roman" w:hAnsi="Times New Roman"/>
        </w:rPr>
        <w:t xml:space="preserve">na Łotwę, organy ścigania uznały, iż istnieje zagrożenie utraty dowodów. Wynika to </w:t>
      </w:r>
      <w:r w:rsidR="00B4187D" w:rsidRPr="003E0C66">
        <w:rPr>
          <w:rFonts w:ascii="Times New Roman" w:hAnsi="Times New Roman"/>
        </w:rPr>
        <w:t xml:space="preserve">z uzasadnienia </w:t>
      </w:r>
      <w:r w:rsidR="000D6053">
        <w:rPr>
          <w:rFonts w:ascii="Times New Roman" w:hAnsi="Times New Roman"/>
        </w:rPr>
        <w:t>wniosku</w:t>
      </w:r>
      <w:r w:rsidR="000D6053" w:rsidRPr="003E0C66">
        <w:rPr>
          <w:rFonts w:ascii="Times New Roman" w:hAnsi="Times New Roman"/>
        </w:rPr>
        <w:t xml:space="preserve"> </w:t>
      </w:r>
      <w:r w:rsidR="00B4187D" w:rsidRPr="003E0C66">
        <w:rPr>
          <w:rFonts w:ascii="Times New Roman" w:hAnsi="Times New Roman"/>
        </w:rPr>
        <w:t>prokuratora</w:t>
      </w:r>
      <w:r w:rsidR="000D6053">
        <w:rPr>
          <w:rFonts w:ascii="Times New Roman" w:hAnsi="Times New Roman"/>
        </w:rPr>
        <w:t>,</w:t>
      </w:r>
      <w:r w:rsidR="00B4187D" w:rsidRPr="003E0C66">
        <w:rPr>
          <w:rFonts w:ascii="Times New Roman" w:hAnsi="Times New Roman"/>
        </w:rPr>
        <w:t xml:space="preserve"> skierowane</w:t>
      </w:r>
      <w:r w:rsidR="000D6053">
        <w:rPr>
          <w:rFonts w:ascii="Times New Roman" w:hAnsi="Times New Roman"/>
        </w:rPr>
        <w:t>go</w:t>
      </w:r>
      <w:r w:rsidR="00B4187D" w:rsidRPr="003E0C66">
        <w:rPr>
          <w:rFonts w:ascii="Times New Roman" w:hAnsi="Times New Roman"/>
        </w:rPr>
        <w:t xml:space="preserve"> do sędziego </w:t>
      </w:r>
      <w:r w:rsidR="000D6053">
        <w:rPr>
          <w:rFonts w:ascii="Times New Roman" w:hAnsi="Times New Roman"/>
        </w:rPr>
        <w:t>śledczego</w:t>
      </w:r>
      <w:r w:rsidR="00B4187D" w:rsidRPr="003E0C66">
        <w:rPr>
          <w:rFonts w:ascii="Times New Roman" w:hAnsi="Times New Roman"/>
        </w:rPr>
        <w:t>, o przyspieszenie przesłuchania O. i P.</w:t>
      </w:r>
      <w:r w:rsidR="002543B3" w:rsidRPr="003E0C66">
        <w:rPr>
          <w:rFonts w:ascii="Times New Roman" w:hAnsi="Times New Roman"/>
        </w:rPr>
        <w:t>, aby uzyskać prawdziwe zeznania, które mogłyby zostać wykorzystane podczas procesu (zobacz paragraf 20 powyżej)</w:t>
      </w:r>
      <w:r w:rsidR="000D6053">
        <w:rPr>
          <w:rFonts w:ascii="Times New Roman" w:hAnsi="Times New Roman"/>
        </w:rPr>
        <w:t>.</w:t>
      </w:r>
      <w:r w:rsidR="002543B3" w:rsidRPr="003E0C66">
        <w:rPr>
          <w:rFonts w:ascii="Times New Roman" w:hAnsi="Times New Roman"/>
        </w:rPr>
        <w:t xml:space="preserve"> Trybunał zauważa w tym </w:t>
      </w:r>
      <w:r w:rsidR="000D6053">
        <w:rPr>
          <w:rFonts w:ascii="Times New Roman" w:hAnsi="Times New Roman"/>
        </w:rPr>
        <w:t>kontekście</w:t>
      </w:r>
      <w:r w:rsidR="002543B3" w:rsidRPr="003E0C66">
        <w:rPr>
          <w:rFonts w:ascii="Times New Roman" w:hAnsi="Times New Roman"/>
        </w:rPr>
        <w:t xml:space="preserve">, iż zgodnie z Artykułem 251 § 1 Kodeksu </w:t>
      </w:r>
      <w:r w:rsidR="000D6053">
        <w:rPr>
          <w:rFonts w:ascii="Times New Roman" w:hAnsi="Times New Roman"/>
        </w:rPr>
        <w:t>p</w:t>
      </w:r>
      <w:r w:rsidR="002543B3" w:rsidRPr="003E0C66">
        <w:rPr>
          <w:rFonts w:ascii="Times New Roman" w:hAnsi="Times New Roman"/>
        </w:rPr>
        <w:t xml:space="preserve">ostępowania </w:t>
      </w:r>
      <w:r w:rsidR="000D6053">
        <w:rPr>
          <w:rFonts w:ascii="Times New Roman" w:hAnsi="Times New Roman"/>
        </w:rPr>
        <w:t>k</w:t>
      </w:r>
      <w:r w:rsidR="002543B3" w:rsidRPr="003E0C66">
        <w:rPr>
          <w:rFonts w:ascii="Times New Roman" w:hAnsi="Times New Roman"/>
        </w:rPr>
        <w:t xml:space="preserve">arnego, pisemne protokoły z wcześniejszych przesłuchań świadków przez sędziego </w:t>
      </w:r>
      <w:r w:rsidR="000D6053">
        <w:rPr>
          <w:rFonts w:ascii="Times New Roman" w:hAnsi="Times New Roman"/>
        </w:rPr>
        <w:t>śledczego</w:t>
      </w:r>
      <w:r w:rsidR="002543B3" w:rsidRPr="003E0C66">
        <w:rPr>
          <w:rFonts w:ascii="Times New Roman" w:hAnsi="Times New Roman"/>
        </w:rPr>
        <w:t xml:space="preserve"> </w:t>
      </w:r>
      <w:r w:rsidR="00D221D4" w:rsidRPr="003E0C66">
        <w:rPr>
          <w:rFonts w:ascii="Times New Roman" w:hAnsi="Times New Roman"/>
        </w:rPr>
        <w:t xml:space="preserve">mogą zostać odczytane podczas rozprawy </w:t>
      </w:r>
      <w:r w:rsidR="000D6053">
        <w:rPr>
          <w:rFonts w:ascii="Times New Roman" w:hAnsi="Times New Roman"/>
        </w:rPr>
        <w:t>pod</w:t>
      </w:r>
      <w:r w:rsidR="000D6053" w:rsidRPr="003E0C66">
        <w:rPr>
          <w:rFonts w:ascii="Times New Roman" w:hAnsi="Times New Roman"/>
        </w:rPr>
        <w:t xml:space="preserve"> </w:t>
      </w:r>
      <w:r w:rsidR="00D221D4" w:rsidRPr="003E0C66">
        <w:rPr>
          <w:rFonts w:ascii="Times New Roman" w:hAnsi="Times New Roman"/>
        </w:rPr>
        <w:t>mniej rygorystyczny</w:t>
      </w:r>
      <w:r w:rsidR="000D6053">
        <w:rPr>
          <w:rFonts w:ascii="Times New Roman" w:hAnsi="Times New Roman"/>
        </w:rPr>
        <w:t>mi</w:t>
      </w:r>
      <w:r w:rsidR="00D221D4" w:rsidRPr="003E0C66">
        <w:rPr>
          <w:rFonts w:ascii="Times New Roman" w:hAnsi="Times New Roman"/>
        </w:rPr>
        <w:t xml:space="preserve"> warunka</w:t>
      </w:r>
      <w:r w:rsidR="000D6053">
        <w:rPr>
          <w:rFonts w:ascii="Times New Roman" w:hAnsi="Times New Roman"/>
        </w:rPr>
        <w:t>mi</w:t>
      </w:r>
      <w:r w:rsidR="00D221D4" w:rsidRPr="003E0C66">
        <w:rPr>
          <w:rFonts w:ascii="Times New Roman" w:hAnsi="Times New Roman"/>
        </w:rPr>
        <w:t xml:space="preserve"> niż te z przesłuchań świadków przez policję (Artykuł 251 § 2 Kodeksu </w:t>
      </w:r>
      <w:r w:rsidR="000D6053">
        <w:rPr>
          <w:rFonts w:ascii="Times New Roman" w:hAnsi="Times New Roman"/>
        </w:rPr>
        <w:t>p</w:t>
      </w:r>
      <w:r w:rsidR="00D221D4" w:rsidRPr="003E0C66">
        <w:rPr>
          <w:rFonts w:ascii="Times New Roman" w:hAnsi="Times New Roman"/>
        </w:rPr>
        <w:t xml:space="preserve">ostępowania </w:t>
      </w:r>
      <w:r w:rsidR="000D6053">
        <w:rPr>
          <w:rFonts w:ascii="Times New Roman" w:hAnsi="Times New Roman"/>
        </w:rPr>
        <w:t>k</w:t>
      </w:r>
      <w:r w:rsidR="00D221D4" w:rsidRPr="003E0C66">
        <w:rPr>
          <w:rFonts w:ascii="Times New Roman" w:hAnsi="Times New Roman"/>
        </w:rPr>
        <w:t>arnego; zobacz paragraf 61 powyżej)</w:t>
      </w:r>
      <w:r w:rsidR="000D6053">
        <w:rPr>
          <w:rFonts w:ascii="Times New Roman" w:hAnsi="Times New Roman"/>
        </w:rPr>
        <w:t>.</w:t>
      </w:r>
      <w:r w:rsidR="002543B3" w:rsidRPr="003E0C66">
        <w:rPr>
          <w:rFonts w:ascii="Times New Roman" w:hAnsi="Times New Roman"/>
        </w:rPr>
        <w:t xml:space="preserve"> </w:t>
      </w:r>
      <w:r w:rsidR="00B4187D" w:rsidRPr="003E0C66">
        <w:rPr>
          <w:rFonts w:ascii="Times New Roman" w:hAnsi="Times New Roman"/>
        </w:rPr>
        <w:t xml:space="preserve"> </w:t>
      </w:r>
      <w:r w:rsidR="003553B9" w:rsidRPr="003E0C66">
        <w:rPr>
          <w:rFonts w:ascii="Times New Roman" w:hAnsi="Times New Roman"/>
        </w:rPr>
        <w:t xml:space="preserve"> 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159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E308F3" w:rsidRPr="003E0C66">
        <w:rPr>
          <w:rFonts w:ascii="Times New Roman" w:hAnsi="Times New Roman"/>
        </w:rPr>
        <w:t>Trybunał zauważa, iż w niniejszej sprawie władze zda</w:t>
      </w:r>
      <w:r w:rsidR="000D6053">
        <w:rPr>
          <w:rFonts w:ascii="Times New Roman" w:hAnsi="Times New Roman"/>
        </w:rPr>
        <w:t>wa</w:t>
      </w:r>
      <w:r w:rsidR="00E308F3" w:rsidRPr="003E0C66">
        <w:rPr>
          <w:rFonts w:ascii="Times New Roman" w:hAnsi="Times New Roman"/>
        </w:rPr>
        <w:t xml:space="preserve">ły sobie sprawę z tego, </w:t>
      </w:r>
      <w:r w:rsidR="000D6053">
        <w:rPr>
          <w:rFonts w:ascii="Times New Roman" w:hAnsi="Times New Roman"/>
        </w:rPr>
        <w:t>że</w:t>
      </w:r>
      <w:r w:rsidR="000D6053" w:rsidRPr="003E0C66">
        <w:rPr>
          <w:rFonts w:ascii="Times New Roman" w:hAnsi="Times New Roman"/>
        </w:rPr>
        <w:t xml:space="preserve"> </w:t>
      </w:r>
      <w:r w:rsidR="00E308F3" w:rsidRPr="003E0C66">
        <w:rPr>
          <w:rFonts w:ascii="Times New Roman" w:hAnsi="Times New Roman"/>
        </w:rPr>
        <w:t xml:space="preserve">świadkowie O. i P. nie </w:t>
      </w:r>
      <w:r w:rsidR="000D6053">
        <w:rPr>
          <w:rFonts w:ascii="Times New Roman" w:hAnsi="Times New Roman"/>
        </w:rPr>
        <w:t>przedstawiły zarzutów</w:t>
      </w:r>
      <w:r w:rsidR="00E308F3" w:rsidRPr="003E0C66">
        <w:rPr>
          <w:rFonts w:ascii="Times New Roman" w:hAnsi="Times New Roman"/>
        </w:rPr>
        <w:t xml:space="preserve"> przeciwko </w:t>
      </w:r>
      <w:r w:rsidR="000D6053">
        <w:rPr>
          <w:rFonts w:ascii="Times New Roman" w:hAnsi="Times New Roman"/>
        </w:rPr>
        <w:t>sprawcom</w:t>
      </w:r>
      <w:r w:rsidR="000D6053" w:rsidRPr="003E0C66">
        <w:rPr>
          <w:rFonts w:ascii="Times New Roman" w:hAnsi="Times New Roman"/>
        </w:rPr>
        <w:t xml:space="preserve"> </w:t>
      </w:r>
      <w:r w:rsidR="00E308F3" w:rsidRPr="003E0C66">
        <w:rPr>
          <w:rFonts w:ascii="Times New Roman" w:hAnsi="Times New Roman"/>
        </w:rPr>
        <w:t>od razu po tym</w:t>
      </w:r>
      <w:r w:rsidR="0067556B">
        <w:rPr>
          <w:rFonts w:ascii="Times New Roman" w:hAnsi="Times New Roman"/>
        </w:rPr>
        <w:t>,</w:t>
      </w:r>
      <w:r w:rsidR="00E308F3" w:rsidRPr="003E0C66">
        <w:rPr>
          <w:rFonts w:ascii="Times New Roman" w:hAnsi="Times New Roman"/>
        </w:rPr>
        <w:t xml:space="preserve"> jak doszło do zdarzenia ze względu na strach </w:t>
      </w:r>
      <w:r w:rsidR="00E308F3" w:rsidRPr="003E0C66">
        <w:rPr>
          <w:rFonts w:ascii="Times New Roman" w:hAnsi="Times New Roman"/>
        </w:rPr>
        <w:lastRenderedPageBreak/>
        <w:t xml:space="preserve">przed problemami z policją i aktami zemsty przestępców, </w:t>
      </w:r>
      <w:r w:rsidR="000D6053">
        <w:rPr>
          <w:rFonts w:ascii="Times New Roman" w:hAnsi="Times New Roman"/>
        </w:rPr>
        <w:t>że</w:t>
      </w:r>
      <w:r w:rsidR="00E308F3" w:rsidRPr="003E0C66">
        <w:rPr>
          <w:rFonts w:ascii="Times New Roman" w:hAnsi="Times New Roman"/>
        </w:rPr>
        <w:t xml:space="preserve"> przebywa</w:t>
      </w:r>
      <w:r w:rsidR="000D6053">
        <w:rPr>
          <w:rFonts w:ascii="Times New Roman" w:hAnsi="Times New Roman"/>
        </w:rPr>
        <w:t>ły</w:t>
      </w:r>
      <w:r w:rsidR="00E308F3" w:rsidRPr="003E0C66">
        <w:rPr>
          <w:rFonts w:ascii="Times New Roman" w:hAnsi="Times New Roman"/>
        </w:rPr>
        <w:t xml:space="preserve"> w Niemczech tymczasowo</w:t>
      </w:r>
      <w:r w:rsidR="000D6053">
        <w:rPr>
          <w:rFonts w:ascii="Times New Roman" w:hAnsi="Times New Roman"/>
        </w:rPr>
        <w:t>,</w:t>
      </w:r>
      <w:r w:rsidR="00E308F3" w:rsidRPr="003E0C66">
        <w:rPr>
          <w:rFonts w:ascii="Times New Roman" w:hAnsi="Times New Roman"/>
        </w:rPr>
        <w:t xml:space="preserve"> a ich rodziny zostały na Łotwie oraz </w:t>
      </w:r>
      <w:r w:rsidR="000D6053">
        <w:rPr>
          <w:rFonts w:ascii="Times New Roman" w:hAnsi="Times New Roman"/>
        </w:rPr>
        <w:t>że chciały</w:t>
      </w:r>
      <w:r w:rsidR="00E308F3" w:rsidRPr="003E0C66">
        <w:rPr>
          <w:rFonts w:ascii="Times New Roman" w:hAnsi="Times New Roman"/>
        </w:rPr>
        <w:t xml:space="preserve"> wrócić do swojego kraju tak szybko jak tylko będzie to możliwe. </w:t>
      </w:r>
      <w:r w:rsidR="000D6053">
        <w:rPr>
          <w:rFonts w:ascii="Times New Roman" w:hAnsi="Times New Roman"/>
        </w:rPr>
        <w:t>W takich okolicznościach</w:t>
      </w:r>
      <w:r w:rsidR="00E308F3" w:rsidRPr="003E0C66">
        <w:rPr>
          <w:rFonts w:ascii="Times New Roman" w:hAnsi="Times New Roman"/>
        </w:rPr>
        <w:t xml:space="preserve"> </w:t>
      </w:r>
      <w:r w:rsidR="0082392A" w:rsidRPr="003E0C66">
        <w:rPr>
          <w:rFonts w:ascii="Times New Roman" w:hAnsi="Times New Roman"/>
        </w:rPr>
        <w:t xml:space="preserve">ocena organów </w:t>
      </w:r>
      <w:r w:rsidR="00E308F3" w:rsidRPr="003E0C66">
        <w:rPr>
          <w:rFonts w:ascii="Times New Roman" w:hAnsi="Times New Roman"/>
        </w:rPr>
        <w:t>ścigania</w:t>
      </w:r>
      <w:r w:rsidR="0082392A" w:rsidRPr="003E0C66">
        <w:rPr>
          <w:rFonts w:ascii="Times New Roman" w:hAnsi="Times New Roman"/>
        </w:rPr>
        <w:t xml:space="preserve">, iż może być niemożliwym przesłuchanie świadków na dalszym etapie postępowania przeciwko skarżącemu w Niemczech wydaje się </w:t>
      </w:r>
      <w:r w:rsidR="000D6053">
        <w:rPr>
          <w:rFonts w:ascii="Times New Roman" w:hAnsi="Times New Roman"/>
        </w:rPr>
        <w:t>przekonująca</w:t>
      </w:r>
      <w:r w:rsidR="0082392A" w:rsidRPr="003E0C66">
        <w:rPr>
          <w:rFonts w:ascii="Times New Roman" w:hAnsi="Times New Roman"/>
        </w:rPr>
        <w:t xml:space="preserve">. </w:t>
      </w:r>
      <w:r w:rsidR="00E308F3" w:rsidRPr="003E0C66">
        <w:rPr>
          <w:rFonts w:ascii="Times New Roman" w:hAnsi="Times New Roman"/>
        </w:rPr>
        <w:t xml:space="preserve">    </w:t>
      </w:r>
      <w:r w:rsidR="00E05B22" w:rsidRPr="003E0C66">
        <w:rPr>
          <w:rFonts w:ascii="Times New Roman" w:hAnsi="Times New Roman"/>
        </w:rPr>
        <w:t> 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160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82392A" w:rsidRPr="003E0C66">
        <w:rPr>
          <w:rFonts w:ascii="Times New Roman" w:hAnsi="Times New Roman"/>
        </w:rPr>
        <w:t xml:space="preserve">Mimo </w:t>
      </w:r>
      <w:r w:rsidR="00404941">
        <w:rPr>
          <w:rFonts w:ascii="Times New Roman" w:hAnsi="Times New Roman"/>
        </w:rPr>
        <w:t>tego</w:t>
      </w:r>
      <w:r w:rsidR="0082392A" w:rsidRPr="003E0C66">
        <w:rPr>
          <w:rFonts w:ascii="Times New Roman" w:hAnsi="Times New Roman"/>
        </w:rPr>
        <w:t xml:space="preserve"> organy ścigania nie umożliwiły skarżącemu – </w:t>
      </w:r>
      <w:r w:rsidR="0067556B">
        <w:rPr>
          <w:rFonts w:ascii="Times New Roman" w:hAnsi="Times New Roman"/>
        </w:rPr>
        <w:t>co było możliwe</w:t>
      </w:r>
      <w:r w:rsidR="00404941">
        <w:rPr>
          <w:rFonts w:ascii="Times New Roman" w:hAnsi="Times New Roman"/>
        </w:rPr>
        <w:t xml:space="preserve"> </w:t>
      </w:r>
      <w:r w:rsidR="0082392A" w:rsidRPr="003E0C66">
        <w:rPr>
          <w:rFonts w:ascii="Times New Roman" w:hAnsi="Times New Roman"/>
        </w:rPr>
        <w:t>na mocy przepisów prawa krajowego</w:t>
      </w:r>
      <w:r w:rsidR="0067556B">
        <w:rPr>
          <w:rFonts w:ascii="Times New Roman" w:hAnsi="Times New Roman"/>
        </w:rPr>
        <w:t xml:space="preserve"> </w:t>
      </w:r>
      <w:r w:rsidR="0082392A" w:rsidRPr="003E0C66">
        <w:rPr>
          <w:rFonts w:ascii="Times New Roman" w:hAnsi="Times New Roman"/>
        </w:rPr>
        <w:t xml:space="preserve">– przesłuchania świadków O. i P. na etapie dochodzenia przez prawnika wyznaczonego do jego reprezentowania. Postępując w ten sposób podjęto przewidywalne ryzyko, </w:t>
      </w:r>
      <w:r w:rsidR="00404941">
        <w:rPr>
          <w:rFonts w:ascii="Times New Roman" w:hAnsi="Times New Roman"/>
        </w:rPr>
        <w:t>które się następnie zmaterializowało</w:t>
      </w:r>
      <w:r w:rsidR="0082392A" w:rsidRPr="003E0C66">
        <w:rPr>
          <w:rFonts w:ascii="Times New Roman" w:hAnsi="Times New Roman"/>
        </w:rPr>
        <w:t xml:space="preserve">, </w:t>
      </w:r>
      <w:r w:rsidR="00404941">
        <w:rPr>
          <w:rFonts w:ascii="Times New Roman" w:hAnsi="Times New Roman"/>
        </w:rPr>
        <w:t>że</w:t>
      </w:r>
      <w:r w:rsidR="00404941" w:rsidRPr="003E0C66">
        <w:rPr>
          <w:rFonts w:ascii="Times New Roman" w:hAnsi="Times New Roman"/>
        </w:rPr>
        <w:t xml:space="preserve"> </w:t>
      </w:r>
      <w:r w:rsidR="0082392A" w:rsidRPr="003E0C66">
        <w:rPr>
          <w:rFonts w:ascii="Times New Roman" w:hAnsi="Times New Roman"/>
        </w:rPr>
        <w:t xml:space="preserve">ani </w:t>
      </w:r>
      <w:r w:rsidR="00404941">
        <w:rPr>
          <w:rFonts w:ascii="Times New Roman" w:hAnsi="Times New Roman"/>
        </w:rPr>
        <w:t>oskarżony</w:t>
      </w:r>
      <w:r w:rsidR="00404941" w:rsidRPr="003E0C66">
        <w:rPr>
          <w:rFonts w:ascii="Times New Roman" w:hAnsi="Times New Roman"/>
        </w:rPr>
        <w:t xml:space="preserve"> </w:t>
      </w:r>
      <w:r w:rsidR="0082392A" w:rsidRPr="003E0C66">
        <w:rPr>
          <w:rFonts w:ascii="Times New Roman" w:hAnsi="Times New Roman"/>
        </w:rPr>
        <w:t xml:space="preserve">ani jego obrońca nie będą mieli możliwości przesłuchania O. i P. na żadnym z etapów </w:t>
      </w:r>
      <w:r w:rsidR="00AE0112" w:rsidRPr="003E0C66">
        <w:rPr>
          <w:rFonts w:ascii="Times New Roman" w:hAnsi="Times New Roman"/>
        </w:rPr>
        <w:t>postępowania</w:t>
      </w:r>
      <w:r w:rsidR="0082392A" w:rsidRPr="003E0C66">
        <w:rPr>
          <w:rFonts w:ascii="Times New Roman" w:hAnsi="Times New Roman"/>
        </w:rPr>
        <w:t xml:space="preserve"> (porównaj, ze względu na znaczenie obecności obrońcy podczas przesłuchania świadków </w:t>
      </w:r>
      <w:r w:rsidR="00404941">
        <w:rPr>
          <w:rFonts w:ascii="Times New Roman" w:hAnsi="Times New Roman"/>
        </w:rPr>
        <w:t xml:space="preserve">oskarżenia </w:t>
      </w:r>
      <w:r w:rsidR="0082392A" w:rsidRPr="003E0C66">
        <w:rPr>
          <w:rFonts w:ascii="Times New Roman" w:hAnsi="Times New Roman"/>
        </w:rPr>
        <w:t xml:space="preserve">przez sędziego </w:t>
      </w:r>
      <w:r w:rsidR="00404941">
        <w:rPr>
          <w:rFonts w:ascii="Times New Roman" w:hAnsi="Times New Roman"/>
        </w:rPr>
        <w:t>śledczego</w:t>
      </w:r>
      <w:r w:rsidR="0082392A" w:rsidRPr="003E0C66">
        <w:rPr>
          <w:rFonts w:ascii="Times New Roman" w:hAnsi="Times New Roman"/>
        </w:rPr>
        <w:t xml:space="preserve">, </w:t>
      </w:r>
      <w:proofErr w:type="spellStart"/>
      <w:r w:rsidR="00E05B22" w:rsidRPr="003E0C66">
        <w:rPr>
          <w:rFonts w:ascii="Times New Roman" w:hAnsi="Times New Roman"/>
          <w:i/>
        </w:rPr>
        <w:t>Hümmer</w:t>
      </w:r>
      <w:proofErr w:type="spellEnd"/>
      <w:r w:rsidR="0082392A" w:rsidRPr="003E0C66">
        <w:rPr>
          <w:rFonts w:ascii="Times New Roman" w:hAnsi="Times New Roman"/>
        </w:rPr>
        <w:t xml:space="preserve">, </w:t>
      </w:r>
      <w:r w:rsidR="00404941">
        <w:rPr>
          <w:rFonts w:ascii="Times New Roman" w:hAnsi="Times New Roman"/>
        </w:rPr>
        <w:t>cytowany powyżej</w:t>
      </w:r>
      <w:r w:rsidR="0082392A" w:rsidRPr="003E0C66">
        <w:rPr>
          <w:rFonts w:ascii="Times New Roman" w:hAnsi="Times New Roman"/>
        </w:rPr>
        <w:t>, §§ 43 i</w:t>
      </w:r>
      <w:r w:rsidR="00E05B22" w:rsidRPr="003E0C66">
        <w:rPr>
          <w:rFonts w:ascii="Times New Roman" w:hAnsi="Times New Roman"/>
        </w:rPr>
        <w:t xml:space="preserve"> 48).</w:t>
      </w:r>
    </w:p>
    <w:p w:rsidR="00E05B22" w:rsidRPr="003E0C66" w:rsidRDefault="00E05B22" w:rsidP="00BC0CE7">
      <w:pPr>
        <w:pStyle w:val="ECHRHeading5"/>
      </w:pPr>
      <w:r w:rsidRPr="003E0C66">
        <w:t>(iv)  </w:t>
      </w:r>
      <w:r w:rsidR="0082392A" w:rsidRPr="003E0C66">
        <w:t xml:space="preserve">Ocena ogólnej </w:t>
      </w:r>
      <w:r w:rsidR="00404941">
        <w:t>rzetelności</w:t>
      </w:r>
      <w:r w:rsidR="00404941" w:rsidRPr="003E0C66">
        <w:t xml:space="preserve"> </w:t>
      </w:r>
      <w:r w:rsidR="0082392A" w:rsidRPr="003E0C66">
        <w:t xml:space="preserve">procesu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161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206050" w:rsidRPr="003E0C66">
        <w:rPr>
          <w:rFonts w:ascii="Times New Roman" w:hAnsi="Times New Roman"/>
        </w:rPr>
        <w:t xml:space="preserve">Oceniając ogólną </w:t>
      </w:r>
      <w:r w:rsidR="00460A1F">
        <w:rPr>
          <w:rFonts w:ascii="Times New Roman" w:hAnsi="Times New Roman"/>
        </w:rPr>
        <w:t>rzetelność</w:t>
      </w:r>
      <w:r w:rsidR="00460A1F" w:rsidRPr="003E0C66">
        <w:rPr>
          <w:rFonts w:ascii="Times New Roman" w:hAnsi="Times New Roman"/>
        </w:rPr>
        <w:t xml:space="preserve"> </w:t>
      </w:r>
      <w:r w:rsidR="00206050" w:rsidRPr="003E0C66">
        <w:rPr>
          <w:rFonts w:ascii="Times New Roman" w:hAnsi="Times New Roman"/>
        </w:rPr>
        <w:t xml:space="preserve">procesu Trybunał uwzględni dostępne czynniki wyrównawcze, postrzegane w całości, w świetle </w:t>
      </w:r>
      <w:r w:rsidR="00460A1F">
        <w:rPr>
          <w:rFonts w:ascii="Times New Roman" w:hAnsi="Times New Roman"/>
        </w:rPr>
        <w:t>ustaleń</w:t>
      </w:r>
      <w:r w:rsidR="00206050" w:rsidRPr="003E0C66">
        <w:rPr>
          <w:rFonts w:ascii="Times New Roman" w:hAnsi="Times New Roman"/>
        </w:rPr>
        <w:t xml:space="preserve"> zgodnie z którymi dowody prze</w:t>
      </w:r>
      <w:r w:rsidR="0067556B">
        <w:rPr>
          <w:rFonts w:ascii="Times New Roman" w:hAnsi="Times New Roman"/>
        </w:rPr>
        <w:t>dstawione przez O. i P. miały „</w:t>
      </w:r>
      <w:r w:rsidR="00206050" w:rsidRPr="003E0C66">
        <w:rPr>
          <w:rFonts w:ascii="Times New Roman" w:hAnsi="Times New Roman"/>
        </w:rPr>
        <w:t xml:space="preserve">decydujące’’ znaczenie przy skazaniu skarżącego (zobacz paragraf 144 powyżej).  </w:t>
      </w:r>
      <w:r w:rsidR="00E05B22" w:rsidRPr="003E0C66">
        <w:rPr>
          <w:rFonts w:ascii="Times New Roman" w:hAnsi="Times New Roman"/>
        </w:rPr>
        <w:t> 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162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 </w:t>
      </w:r>
      <w:r w:rsidR="00561349" w:rsidRPr="003E0C66">
        <w:rPr>
          <w:rFonts w:ascii="Times New Roman" w:hAnsi="Times New Roman"/>
        </w:rPr>
        <w:t xml:space="preserve">Trybunał zauważa, iż sąd orzekający </w:t>
      </w:r>
      <w:r w:rsidR="00F837F6">
        <w:rPr>
          <w:rFonts w:ascii="Times New Roman" w:hAnsi="Times New Roman"/>
        </w:rPr>
        <w:t>dysponował</w:t>
      </w:r>
      <w:r w:rsidR="00F837F6" w:rsidRPr="003E0C66">
        <w:rPr>
          <w:rFonts w:ascii="Times New Roman" w:hAnsi="Times New Roman"/>
        </w:rPr>
        <w:t xml:space="preserve"> </w:t>
      </w:r>
      <w:r w:rsidR="00561349" w:rsidRPr="003E0C66">
        <w:rPr>
          <w:rFonts w:ascii="Times New Roman" w:hAnsi="Times New Roman"/>
        </w:rPr>
        <w:t>dodatkow</w:t>
      </w:r>
      <w:r w:rsidR="00F837F6">
        <w:rPr>
          <w:rFonts w:ascii="Times New Roman" w:hAnsi="Times New Roman"/>
        </w:rPr>
        <w:t>ymi</w:t>
      </w:r>
      <w:r w:rsidR="00561349" w:rsidRPr="003E0C66">
        <w:rPr>
          <w:rFonts w:ascii="Times New Roman" w:hAnsi="Times New Roman"/>
        </w:rPr>
        <w:t xml:space="preserve"> dowod</w:t>
      </w:r>
      <w:r w:rsidR="00F837F6">
        <w:rPr>
          <w:rFonts w:ascii="Times New Roman" w:hAnsi="Times New Roman"/>
        </w:rPr>
        <w:t>ami</w:t>
      </w:r>
      <w:r w:rsidR="00561349" w:rsidRPr="003E0C66">
        <w:rPr>
          <w:rFonts w:ascii="Times New Roman" w:hAnsi="Times New Roman"/>
        </w:rPr>
        <w:t xml:space="preserve"> obciążając</w:t>
      </w:r>
      <w:r w:rsidR="0067556B">
        <w:rPr>
          <w:rFonts w:ascii="Times New Roman" w:hAnsi="Times New Roman"/>
        </w:rPr>
        <w:t>ymi</w:t>
      </w:r>
      <w:r w:rsidR="00561349" w:rsidRPr="003E0C66">
        <w:rPr>
          <w:rFonts w:ascii="Times New Roman" w:hAnsi="Times New Roman"/>
        </w:rPr>
        <w:t xml:space="preserve"> dotycząc</w:t>
      </w:r>
      <w:r w:rsidR="00F837F6">
        <w:rPr>
          <w:rFonts w:ascii="Times New Roman" w:hAnsi="Times New Roman"/>
        </w:rPr>
        <w:t>ymi</w:t>
      </w:r>
      <w:r w:rsidR="00561349" w:rsidRPr="003E0C66">
        <w:rPr>
          <w:rFonts w:ascii="Times New Roman" w:hAnsi="Times New Roman"/>
        </w:rPr>
        <w:t xml:space="preserve"> przestępstwa, </w:t>
      </w:r>
      <w:r w:rsidR="00F837F6">
        <w:rPr>
          <w:rFonts w:ascii="Times New Roman" w:hAnsi="Times New Roman"/>
        </w:rPr>
        <w:t xml:space="preserve">którego  </w:t>
      </w:r>
      <w:r w:rsidR="00561349" w:rsidRPr="003E0C66">
        <w:rPr>
          <w:rFonts w:ascii="Times New Roman" w:hAnsi="Times New Roman"/>
        </w:rPr>
        <w:t>popełnieni</w:t>
      </w:r>
      <w:r w:rsidR="00F837F6">
        <w:rPr>
          <w:rFonts w:ascii="Times New Roman" w:hAnsi="Times New Roman"/>
        </w:rPr>
        <w:t>a</w:t>
      </w:r>
      <w:r w:rsidR="00561349" w:rsidRPr="003E0C66">
        <w:rPr>
          <w:rFonts w:ascii="Times New Roman" w:hAnsi="Times New Roman"/>
        </w:rPr>
        <w:t xml:space="preserve"> skarżąc</w:t>
      </w:r>
      <w:r w:rsidR="00F837F6">
        <w:rPr>
          <w:rFonts w:ascii="Times New Roman" w:hAnsi="Times New Roman"/>
        </w:rPr>
        <w:t>y</w:t>
      </w:r>
      <w:r w:rsidR="00561349" w:rsidRPr="003E0C66">
        <w:rPr>
          <w:rFonts w:ascii="Times New Roman" w:hAnsi="Times New Roman"/>
        </w:rPr>
        <w:t xml:space="preserve"> </w:t>
      </w:r>
      <w:r w:rsidR="00F837F6">
        <w:rPr>
          <w:rFonts w:ascii="Times New Roman" w:hAnsi="Times New Roman"/>
        </w:rPr>
        <w:t>został uznany winnym</w:t>
      </w:r>
      <w:r w:rsidR="00561349" w:rsidRPr="003E0C66">
        <w:rPr>
          <w:rFonts w:ascii="Times New Roman" w:hAnsi="Times New Roman"/>
        </w:rPr>
        <w:t xml:space="preserve">. Jednakże Trybunał zauważa, iż nie podjęto </w:t>
      </w:r>
      <w:r w:rsidR="00F837F6">
        <w:rPr>
          <w:rFonts w:ascii="Times New Roman" w:hAnsi="Times New Roman"/>
        </w:rPr>
        <w:t xml:space="preserve">prawie </w:t>
      </w:r>
      <w:r w:rsidR="00561349" w:rsidRPr="003E0C66">
        <w:rPr>
          <w:rFonts w:ascii="Times New Roman" w:hAnsi="Times New Roman"/>
        </w:rPr>
        <w:t xml:space="preserve">żadnych </w:t>
      </w:r>
      <w:r w:rsidR="00F837F6">
        <w:rPr>
          <w:rFonts w:ascii="Times New Roman" w:hAnsi="Times New Roman"/>
        </w:rPr>
        <w:t xml:space="preserve">proceduralnych </w:t>
      </w:r>
      <w:r w:rsidR="00561349" w:rsidRPr="003E0C66">
        <w:rPr>
          <w:rFonts w:ascii="Times New Roman" w:hAnsi="Times New Roman"/>
        </w:rPr>
        <w:t>działań w celu zrekompensowania braku możliwości przesłuchania świadków podczas rozprawy. Zdaniem Trybunału umożliwienie oskarżonemu przesłuchania kluczowego świadka oskarż</w:t>
      </w:r>
      <w:r w:rsidR="0067556B">
        <w:rPr>
          <w:rFonts w:ascii="Times New Roman" w:hAnsi="Times New Roman"/>
        </w:rPr>
        <w:t>enia, chociażby na etapie przed</w:t>
      </w:r>
      <w:r w:rsidR="00561349" w:rsidRPr="003E0C66">
        <w:rPr>
          <w:rFonts w:ascii="Times New Roman" w:hAnsi="Times New Roman"/>
        </w:rPr>
        <w:t xml:space="preserve">procesowym poprzez </w:t>
      </w:r>
      <w:r w:rsidR="00BC65D1">
        <w:rPr>
          <w:rFonts w:ascii="Times New Roman" w:hAnsi="Times New Roman"/>
        </w:rPr>
        <w:t xml:space="preserve">jego </w:t>
      </w:r>
      <w:r w:rsidR="00561349" w:rsidRPr="003E0C66">
        <w:rPr>
          <w:rFonts w:ascii="Times New Roman" w:hAnsi="Times New Roman"/>
        </w:rPr>
        <w:t xml:space="preserve">obrońcę stanowi ważną gwarancję </w:t>
      </w:r>
      <w:r w:rsidR="00BC65D1">
        <w:rPr>
          <w:rFonts w:ascii="Times New Roman" w:hAnsi="Times New Roman"/>
        </w:rPr>
        <w:t xml:space="preserve">proceduralną </w:t>
      </w:r>
      <w:r w:rsidR="00561349" w:rsidRPr="003E0C66">
        <w:rPr>
          <w:rFonts w:ascii="Times New Roman" w:hAnsi="Times New Roman"/>
        </w:rPr>
        <w:t xml:space="preserve">zapewniającą </w:t>
      </w:r>
      <w:r w:rsidR="00E9070B" w:rsidRPr="003E0C66">
        <w:rPr>
          <w:rFonts w:ascii="Times New Roman" w:hAnsi="Times New Roman"/>
        </w:rPr>
        <w:t>oskarżonemu prawo do obrony, które</w:t>
      </w:r>
      <w:r w:rsidR="00BC65D1">
        <w:rPr>
          <w:rFonts w:ascii="Times New Roman" w:hAnsi="Times New Roman"/>
        </w:rPr>
        <w:t>j</w:t>
      </w:r>
      <w:r w:rsidR="00E9070B" w:rsidRPr="003E0C66">
        <w:rPr>
          <w:rFonts w:ascii="Times New Roman" w:hAnsi="Times New Roman"/>
        </w:rPr>
        <w:t xml:space="preserve"> brak mocno wpływa na </w:t>
      </w:r>
      <w:r w:rsidR="00BC65D1">
        <w:rPr>
          <w:rFonts w:ascii="Times New Roman" w:hAnsi="Times New Roman"/>
        </w:rPr>
        <w:t xml:space="preserve">badanie </w:t>
      </w:r>
      <w:r w:rsidR="00E9070B" w:rsidRPr="003E0C66">
        <w:rPr>
          <w:rFonts w:ascii="Times New Roman" w:hAnsi="Times New Roman"/>
        </w:rPr>
        <w:t>ogóln</w:t>
      </w:r>
      <w:r w:rsidR="00BC65D1">
        <w:rPr>
          <w:rFonts w:ascii="Times New Roman" w:hAnsi="Times New Roman"/>
        </w:rPr>
        <w:t>ej</w:t>
      </w:r>
      <w:r w:rsidR="00E9070B" w:rsidRPr="003E0C66">
        <w:rPr>
          <w:rFonts w:ascii="Times New Roman" w:hAnsi="Times New Roman"/>
        </w:rPr>
        <w:t xml:space="preserve"> </w:t>
      </w:r>
      <w:r w:rsidR="00BC65D1">
        <w:rPr>
          <w:rFonts w:ascii="Times New Roman" w:hAnsi="Times New Roman"/>
        </w:rPr>
        <w:t>rzetelności</w:t>
      </w:r>
      <w:r w:rsidR="00BC65D1" w:rsidRPr="003E0C66">
        <w:rPr>
          <w:rFonts w:ascii="Times New Roman" w:hAnsi="Times New Roman"/>
        </w:rPr>
        <w:t xml:space="preserve"> </w:t>
      </w:r>
      <w:r w:rsidR="00E9070B" w:rsidRPr="003E0C66">
        <w:rPr>
          <w:rFonts w:ascii="Times New Roman" w:hAnsi="Times New Roman"/>
        </w:rPr>
        <w:t xml:space="preserve">procesu </w:t>
      </w:r>
      <w:r w:rsidR="00BC65D1">
        <w:rPr>
          <w:rFonts w:ascii="Times New Roman" w:hAnsi="Times New Roman"/>
        </w:rPr>
        <w:t xml:space="preserve">na podstawie </w:t>
      </w:r>
      <w:r w:rsidR="00E9070B" w:rsidRPr="003E0C66">
        <w:rPr>
          <w:rFonts w:ascii="Times New Roman" w:hAnsi="Times New Roman"/>
        </w:rPr>
        <w:t>Artykuł</w:t>
      </w:r>
      <w:r w:rsidR="00BC65D1">
        <w:rPr>
          <w:rFonts w:ascii="Times New Roman" w:hAnsi="Times New Roman"/>
        </w:rPr>
        <w:t>u</w:t>
      </w:r>
      <w:r w:rsidR="00E9070B" w:rsidRPr="003E0C66">
        <w:rPr>
          <w:rFonts w:ascii="Times New Roman" w:hAnsi="Times New Roman"/>
        </w:rPr>
        <w:t xml:space="preserve"> 6 §§</w:t>
      </w:r>
      <w:r w:rsidR="00BC65D1">
        <w:rPr>
          <w:rFonts w:ascii="Times New Roman" w:hAnsi="Times New Roman"/>
        </w:rPr>
        <w:t xml:space="preserve"> </w:t>
      </w:r>
      <w:r w:rsidR="00E9070B" w:rsidRPr="003E0C66">
        <w:rPr>
          <w:rFonts w:ascii="Times New Roman" w:hAnsi="Times New Roman"/>
        </w:rPr>
        <w:t>1 i 3 (d).</w:t>
      </w:r>
      <w:r w:rsidR="00561349" w:rsidRPr="003E0C66">
        <w:rPr>
          <w:rFonts w:ascii="Times New Roman" w:hAnsi="Times New Roman"/>
        </w:rPr>
        <w:t xml:space="preserve">    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163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E9070B" w:rsidRPr="003E0C66">
        <w:rPr>
          <w:rFonts w:ascii="Times New Roman" w:hAnsi="Times New Roman"/>
        </w:rPr>
        <w:t xml:space="preserve">Prawdą jest, </w:t>
      </w:r>
      <w:r w:rsidR="0067556B">
        <w:rPr>
          <w:rFonts w:ascii="Times New Roman" w:hAnsi="Times New Roman"/>
        </w:rPr>
        <w:t>że</w:t>
      </w:r>
      <w:r w:rsidR="00E9070B" w:rsidRPr="003E0C66">
        <w:rPr>
          <w:rFonts w:ascii="Times New Roman" w:hAnsi="Times New Roman"/>
        </w:rPr>
        <w:t xml:space="preserve"> sąd orzekający ocenił wiarygodność nieobecnych świadków oraz rzetelność ich zeznań w </w:t>
      </w:r>
      <w:r w:rsidR="00BC65D1">
        <w:rPr>
          <w:rFonts w:ascii="Times New Roman" w:hAnsi="Times New Roman"/>
        </w:rPr>
        <w:t xml:space="preserve">ostrożny </w:t>
      </w:r>
      <w:r w:rsidR="00E9070B" w:rsidRPr="003E0C66">
        <w:rPr>
          <w:rFonts w:ascii="Times New Roman" w:hAnsi="Times New Roman"/>
        </w:rPr>
        <w:t xml:space="preserve">sposób, próbując w ten sposób zrekompensować brak możliwości przesłuchania świadków, a skarżący miał możliwość przedstawienia swojej wersji wydarzeń w </w:t>
      </w:r>
      <w:r w:rsidR="00E05B22" w:rsidRPr="003E0C66">
        <w:rPr>
          <w:rFonts w:ascii="Times New Roman" w:hAnsi="Times New Roman"/>
        </w:rPr>
        <w:t>Göttingen.</w:t>
      </w:r>
      <w:r w:rsidR="00E9070B" w:rsidRPr="003E0C66">
        <w:rPr>
          <w:rFonts w:ascii="Times New Roman" w:hAnsi="Times New Roman"/>
        </w:rPr>
        <w:t xml:space="preserve"> Jednakże, ze względu na znaczenie zeznań jedynych naocznych świadków przestępstwa</w:t>
      </w:r>
      <w:r w:rsidR="00BC65D1">
        <w:rPr>
          <w:rFonts w:ascii="Times New Roman" w:hAnsi="Times New Roman"/>
        </w:rPr>
        <w:t>,</w:t>
      </w:r>
      <w:r w:rsidR="00E9070B" w:rsidRPr="003E0C66">
        <w:rPr>
          <w:rFonts w:ascii="Times New Roman" w:hAnsi="Times New Roman"/>
        </w:rPr>
        <w:t xml:space="preserve"> za które został skazany, podjęte środki wyrównawcze były niewystarczające, aby umożliwić sprawiedliwą i rzetelną ocenę wiarygodności niezweryfikowanych dowodów</w:t>
      </w:r>
      <w:r w:rsidR="00E05B22" w:rsidRPr="003E0C66">
        <w:rPr>
          <w:rFonts w:ascii="Times New Roman" w:eastAsia="Times New Roman" w:hAnsi="Times New Roman" w:cs="Times New Roman"/>
          <w:szCs w:val="20"/>
        </w:rPr>
        <w:t>.</w:t>
      </w:r>
    </w:p>
    <w:p w:rsidR="00E05B22" w:rsidRPr="003E0C66" w:rsidRDefault="006B25B0" w:rsidP="00BC0CE7">
      <w:pPr>
        <w:pStyle w:val="ECHRPara"/>
        <w:rPr>
          <w:rFonts w:ascii="Times New Roman" w:hAnsi="Times New Roman"/>
        </w:rPr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164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8F077D" w:rsidRPr="003E0C66">
        <w:rPr>
          <w:rFonts w:ascii="Times New Roman" w:hAnsi="Times New Roman"/>
        </w:rPr>
        <w:t>Trybunał u</w:t>
      </w:r>
      <w:r w:rsidR="0067556B">
        <w:rPr>
          <w:rFonts w:ascii="Times New Roman" w:hAnsi="Times New Roman"/>
        </w:rPr>
        <w:t>waża, iż w tych okolicznościach</w:t>
      </w:r>
      <w:r w:rsidR="008F077D" w:rsidRPr="003E0C66">
        <w:rPr>
          <w:rFonts w:ascii="Times New Roman" w:hAnsi="Times New Roman"/>
        </w:rPr>
        <w:t xml:space="preserve"> brak możliwości </w:t>
      </w:r>
      <w:r w:rsidR="00AE40B3" w:rsidRPr="003E0C66">
        <w:rPr>
          <w:rFonts w:ascii="Times New Roman" w:hAnsi="Times New Roman"/>
        </w:rPr>
        <w:t xml:space="preserve">przesłuchania </w:t>
      </w:r>
      <w:r w:rsidR="00BC65D1">
        <w:rPr>
          <w:rFonts w:ascii="Times New Roman" w:hAnsi="Times New Roman"/>
        </w:rPr>
        <w:t xml:space="preserve">lub spowodowania przesłuchania </w:t>
      </w:r>
      <w:r w:rsidR="00AE40B3" w:rsidRPr="003E0C66">
        <w:rPr>
          <w:rFonts w:ascii="Times New Roman" w:hAnsi="Times New Roman"/>
        </w:rPr>
        <w:t>świadków O. i P. przez skarżącego, na żadnym z etapów postępowania</w:t>
      </w:r>
      <w:r w:rsidR="0067556B">
        <w:rPr>
          <w:rFonts w:ascii="Times New Roman" w:hAnsi="Times New Roman"/>
        </w:rPr>
        <w:t>,</w:t>
      </w:r>
      <w:r w:rsidR="00AE40B3" w:rsidRPr="003E0C66">
        <w:rPr>
          <w:rFonts w:ascii="Times New Roman" w:hAnsi="Times New Roman"/>
        </w:rPr>
        <w:t xml:space="preserve"> czyni cały proces </w:t>
      </w:r>
      <w:r w:rsidR="00BC65D1">
        <w:rPr>
          <w:rFonts w:ascii="Times New Roman" w:hAnsi="Times New Roman"/>
        </w:rPr>
        <w:t>nierzetelnym</w:t>
      </w:r>
      <w:r w:rsidR="00AE40B3" w:rsidRPr="003E0C66">
        <w:rPr>
          <w:rFonts w:ascii="Times New Roman" w:hAnsi="Times New Roman"/>
        </w:rPr>
        <w:t xml:space="preserve">.   </w:t>
      </w:r>
      <w:r w:rsidR="008F077D" w:rsidRPr="003E0C66">
        <w:rPr>
          <w:rFonts w:ascii="Times New Roman" w:hAnsi="Times New Roman"/>
        </w:rPr>
        <w:t xml:space="preserve"> </w:t>
      </w:r>
      <w:r w:rsidR="00E05B22" w:rsidRPr="003E0C66">
        <w:rPr>
          <w:rFonts w:ascii="Times New Roman" w:hAnsi="Times New Roman"/>
        </w:rPr>
        <w:t> </w:t>
      </w:r>
    </w:p>
    <w:p w:rsidR="00E05B22" w:rsidRPr="003E0C66" w:rsidRDefault="006B25B0" w:rsidP="00BC0CE7">
      <w:pPr>
        <w:pStyle w:val="ECHRPara"/>
        <w:rPr>
          <w:rFonts w:ascii="Times New Roman" w:eastAsia="Times New Roman" w:hAnsi="Times New Roman" w:cs="Times New Roman"/>
          <w:szCs w:val="20"/>
          <w:lang w:eastAsia="fr-FR"/>
        </w:rPr>
      </w:pPr>
      <w:r w:rsidRPr="003E0C66">
        <w:rPr>
          <w:rFonts w:ascii="Times New Roman" w:hAnsi="Times New Roman"/>
        </w:rPr>
        <w:lastRenderedPageBreak/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165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</w:t>
      </w:r>
      <w:r w:rsidR="00AE40B3" w:rsidRPr="003E0C66">
        <w:rPr>
          <w:rFonts w:ascii="Times New Roman" w:hAnsi="Times New Roman"/>
        </w:rPr>
        <w:t xml:space="preserve"> W związku z powyższym nastąpiło naruszenie Artykułu 6 §</w:t>
      </w:r>
      <w:r w:rsidR="00BC65D1" w:rsidRPr="003E0C66">
        <w:rPr>
          <w:rFonts w:ascii="Times New Roman" w:hAnsi="Times New Roman"/>
        </w:rPr>
        <w:t>§</w:t>
      </w:r>
      <w:r w:rsidR="00BC65D1">
        <w:rPr>
          <w:rFonts w:ascii="Times New Roman" w:hAnsi="Times New Roman"/>
        </w:rPr>
        <w:t xml:space="preserve"> </w:t>
      </w:r>
      <w:r w:rsidR="00AE40B3" w:rsidRPr="003E0C66">
        <w:rPr>
          <w:rFonts w:ascii="Times New Roman" w:hAnsi="Times New Roman"/>
        </w:rPr>
        <w:t xml:space="preserve">1 i 3 (d) Konwencji. </w:t>
      </w:r>
      <w:r w:rsidR="00E05B22" w:rsidRPr="003E0C66">
        <w:rPr>
          <w:rFonts w:ascii="Times New Roman" w:hAnsi="Times New Roman"/>
        </w:rPr>
        <w:t>  </w:t>
      </w:r>
    </w:p>
    <w:p w:rsidR="00E05B22" w:rsidRPr="003E0C66" w:rsidRDefault="00E05B22" w:rsidP="00BC0CE7">
      <w:pPr>
        <w:pStyle w:val="ECHRHeading1"/>
      </w:pPr>
      <w:r w:rsidRPr="003E0C66">
        <w:t>II.  </w:t>
      </w:r>
      <w:r w:rsidR="00AE40B3" w:rsidRPr="003E0C66">
        <w:t xml:space="preserve">ZASTOSOWANIE ARTYKUŁU 41 KONWENCJI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166</w:t>
      </w:r>
      <w:r w:rsidRPr="003E0C66">
        <w:fldChar w:fldCharType="end"/>
      </w:r>
      <w:r w:rsidR="00E05B22" w:rsidRPr="003E0C66">
        <w:t>. </w:t>
      </w:r>
      <w:r w:rsidR="00AE40B3" w:rsidRPr="003E0C66">
        <w:t xml:space="preserve">Artykuł 41 Konwencji stanowi: </w:t>
      </w:r>
      <w:r w:rsidR="00E05B22" w:rsidRPr="003E0C66">
        <w:t> </w:t>
      </w:r>
    </w:p>
    <w:p w:rsidR="00E05B22" w:rsidRPr="003E0C66" w:rsidRDefault="00E05B22" w:rsidP="00BC0CE7">
      <w:pPr>
        <w:pStyle w:val="ECHRParaQuote"/>
      </w:pPr>
      <w:r w:rsidRPr="003E0C66">
        <w:t>“</w:t>
      </w:r>
      <w:r w:rsidR="00AC29CE">
        <w:t>Jeśli</w:t>
      </w:r>
      <w:r w:rsidR="00AE40B3" w:rsidRPr="003E0C66">
        <w:t xml:space="preserve"> Trybunał stwierdzi, że nastąpiło naruszenie Konwencji lub jej </w:t>
      </w:r>
      <w:r w:rsidR="00AC29CE">
        <w:t>p</w:t>
      </w:r>
      <w:r w:rsidR="00AE40B3" w:rsidRPr="003E0C66">
        <w:t>rotokołów, oraz jeśli prawo wewnętrzne zainteresowanej Wysokiej Układającej się Strony pozwala tylko na częściowe usunięcie konsekwencji tego naruszenia, Trybunał orzeka, gdy zachodzi potrzeba, słuszne</w:t>
      </w:r>
      <w:r w:rsidR="00FA7184">
        <w:t xml:space="preserve"> zadośćuczynienie</w:t>
      </w:r>
      <w:r w:rsidR="00AE40B3" w:rsidRPr="003E0C66">
        <w:t xml:space="preserve"> pokrzywdzonej stron</w:t>
      </w:r>
      <w:r w:rsidR="00FA7184">
        <w:t>ie</w:t>
      </w:r>
      <w:r w:rsidR="00AE40B3" w:rsidRPr="003E0C66">
        <w:t>.’’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167</w:t>
      </w:r>
      <w:r w:rsidRPr="003E0C66">
        <w:fldChar w:fldCharType="end"/>
      </w:r>
      <w:r w:rsidR="00E05B22" w:rsidRPr="003E0C66">
        <w:t>. </w:t>
      </w:r>
      <w:r w:rsidR="003D097F" w:rsidRPr="003E0C66">
        <w:t xml:space="preserve"> </w:t>
      </w:r>
      <w:r w:rsidR="004B2AD5" w:rsidRPr="003E0C66">
        <w:t xml:space="preserve">Skarżący w swoich uwagach z 25 </w:t>
      </w:r>
      <w:r w:rsidR="00671608" w:rsidRPr="003E0C66">
        <w:t>czerwca 2013 roku nie zgłaszał roszczeń</w:t>
      </w:r>
      <w:r w:rsidR="004B2AD5" w:rsidRPr="003E0C66">
        <w:t xml:space="preserve"> o zadośćuczynienie</w:t>
      </w:r>
      <w:r w:rsidR="00345846" w:rsidRPr="003E0C66">
        <w:t>.</w:t>
      </w:r>
      <w:r w:rsidR="00671608" w:rsidRPr="003E0C66">
        <w:t xml:space="preserve"> Wnioskował </w:t>
      </w:r>
      <w:r w:rsidR="00A2291C">
        <w:t xml:space="preserve">o </w:t>
      </w:r>
      <w:r w:rsidR="00671608" w:rsidRPr="003E0C66">
        <w:t xml:space="preserve">30,000 euro (EUR) jako </w:t>
      </w:r>
      <w:r w:rsidR="00A2291C">
        <w:t>odszkodowanie</w:t>
      </w:r>
      <w:r w:rsidR="00A2291C" w:rsidRPr="003E0C66">
        <w:t xml:space="preserve"> </w:t>
      </w:r>
      <w:r w:rsidR="00671608" w:rsidRPr="003E0C66">
        <w:t xml:space="preserve">oraz 10,000 euro (EUR) </w:t>
      </w:r>
      <w:r w:rsidR="00A2291C">
        <w:t xml:space="preserve">tytułem </w:t>
      </w:r>
      <w:r w:rsidR="00671608" w:rsidRPr="003E0C66">
        <w:t>zwrotu kosztów</w:t>
      </w:r>
      <w:r w:rsidR="00A2291C">
        <w:t xml:space="preserve"> i wydatków</w:t>
      </w:r>
      <w:r w:rsidR="00671608" w:rsidRPr="003E0C66">
        <w:t xml:space="preserve">, obydwie kwoty </w:t>
      </w:r>
      <w:r w:rsidR="00A2291C">
        <w:t>wskazał w formularzu skargi</w:t>
      </w:r>
      <w:r w:rsidR="00671608" w:rsidRPr="003E0C66">
        <w:t xml:space="preserve"> oraz w czasie rozprawy przed Wielką Izbą, bez przedstawienia żadnych </w:t>
      </w:r>
      <w:r w:rsidR="00A2291C">
        <w:t xml:space="preserve">dalszych </w:t>
      </w:r>
      <w:r w:rsidR="00671608" w:rsidRPr="003E0C66">
        <w:t xml:space="preserve">szczegółów ani udokumentowania. </w:t>
      </w:r>
      <w:r w:rsidR="00345846" w:rsidRPr="003E0C66">
        <w:t xml:space="preserve"> </w:t>
      </w:r>
      <w:r w:rsidR="003D097F" w:rsidRPr="003E0C66">
        <w:t xml:space="preserve"> </w:t>
      </w:r>
      <w:r w:rsidR="00E05B22" w:rsidRPr="003E0C66">
        <w:t> 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168</w:t>
      </w:r>
      <w:r w:rsidRPr="003E0C66">
        <w:fldChar w:fldCharType="end"/>
      </w:r>
      <w:r w:rsidR="00E05B22" w:rsidRPr="003E0C66">
        <w:t>.  </w:t>
      </w:r>
      <w:r w:rsidR="00671608" w:rsidRPr="003E0C66">
        <w:t xml:space="preserve">Rząd nie skomentował kwestii zadośćuczynienia w postępowaniu przed Trybunałem.  </w:t>
      </w:r>
    </w:p>
    <w:p w:rsidR="00E05B22" w:rsidRPr="003E0C66" w:rsidRDefault="006B25B0" w:rsidP="00BC0CE7">
      <w:pPr>
        <w:pStyle w:val="ECHRPara"/>
      </w:pPr>
      <w:r w:rsidRPr="003E0C66">
        <w:fldChar w:fldCharType="begin"/>
      </w:r>
      <w:r w:rsidR="00E05B22" w:rsidRPr="003E0C66">
        <w:instrText xml:space="preserve"> SEQ level0 \*arabic </w:instrText>
      </w:r>
      <w:r w:rsidRPr="003E0C66">
        <w:fldChar w:fldCharType="separate"/>
      </w:r>
      <w:r w:rsidR="00CC1F60" w:rsidRPr="003E0C66">
        <w:rPr>
          <w:noProof/>
        </w:rPr>
        <w:t>169</w:t>
      </w:r>
      <w:r w:rsidRPr="003E0C66">
        <w:fldChar w:fldCharType="end"/>
      </w:r>
      <w:r w:rsidR="00E05B22" w:rsidRPr="003E0C66">
        <w:t>.  </w:t>
      </w:r>
      <w:r w:rsidR="00671608" w:rsidRPr="003E0C66">
        <w:t xml:space="preserve">Zgodnie z </w:t>
      </w:r>
      <w:r w:rsidR="00A2291C">
        <w:t>Regułą</w:t>
      </w:r>
      <w:r w:rsidR="00A2291C" w:rsidRPr="003E0C66">
        <w:t xml:space="preserve"> </w:t>
      </w:r>
      <w:r w:rsidR="00671608" w:rsidRPr="003E0C66">
        <w:t>60 § 2 Regulaminu Trybunału skarżący musi przedstawić szczegółow</w:t>
      </w:r>
      <w:r w:rsidR="00A2291C">
        <w:t>o</w:t>
      </w:r>
      <w:r w:rsidR="00671608" w:rsidRPr="003E0C66">
        <w:t xml:space="preserve"> opisy </w:t>
      </w:r>
      <w:r w:rsidR="00A2291C">
        <w:t xml:space="preserve">wszystkich </w:t>
      </w:r>
      <w:r w:rsidR="00671608" w:rsidRPr="003E0C66">
        <w:t xml:space="preserve">roszczeń, razem z wszelkimi </w:t>
      </w:r>
      <w:r w:rsidR="00A2291C">
        <w:t>potwierdzającymi</w:t>
      </w:r>
      <w:r w:rsidR="00A2291C" w:rsidRPr="003E0C66">
        <w:t xml:space="preserve"> </w:t>
      </w:r>
      <w:r w:rsidR="00414A2A" w:rsidRPr="003E0C66">
        <w:t xml:space="preserve">je </w:t>
      </w:r>
      <w:r w:rsidR="00671608" w:rsidRPr="003E0C66">
        <w:t>dokumentami</w:t>
      </w:r>
      <w:r w:rsidR="000E6CC6" w:rsidRPr="003E0C66">
        <w:t xml:space="preserve">, w terminie wyznaczonym na składanie przez skarżącego uwag w odniesieniu do </w:t>
      </w:r>
      <w:r w:rsidR="00A2291C">
        <w:t>meritum</w:t>
      </w:r>
      <w:r w:rsidR="00A2291C" w:rsidRPr="003E0C66">
        <w:t xml:space="preserve"> </w:t>
      </w:r>
      <w:r w:rsidR="000E6CC6" w:rsidRPr="003E0C66">
        <w:t>sprawy. W razie niespełnienia przez skarżącego tych wymogów Trybunał może odrzucić roszczenia w całości lub w części (</w:t>
      </w:r>
      <w:r w:rsidR="00A2291C">
        <w:t>Reguła</w:t>
      </w:r>
      <w:r w:rsidR="00A2291C" w:rsidRPr="003E0C66">
        <w:t xml:space="preserve"> </w:t>
      </w:r>
      <w:r w:rsidR="000E6CC6" w:rsidRPr="003E0C66">
        <w:t>60 §</w:t>
      </w:r>
      <w:r w:rsidR="00A2291C">
        <w:t xml:space="preserve"> </w:t>
      </w:r>
      <w:r w:rsidR="000E6CC6" w:rsidRPr="003E0C66">
        <w:t xml:space="preserve">3 oraz 71). </w:t>
      </w:r>
      <w:r w:rsidR="00A2291C">
        <w:t>Pismem</w:t>
      </w:r>
      <w:r w:rsidR="00A2291C" w:rsidRPr="003E0C66">
        <w:t xml:space="preserve"> </w:t>
      </w:r>
      <w:r w:rsidR="000E6CC6" w:rsidRPr="003E0C66">
        <w:t>datowanym na 15 maja 2013 roku Trybunał zwrócił uwagę skarżącemu na fakt, iż te wymogi stosuje się nawet</w:t>
      </w:r>
      <w:r w:rsidR="00A2291C">
        <w:t>,</w:t>
      </w:r>
      <w:r w:rsidR="000E6CC6" w:rsidRPr="003E0C66">
        <w:t xml:space="preserve"> jeśli </w:t>
      </w:r>
      <w:r w:rsidR="00A2291C">
        <w:t>zgłosił</w:t>
      </w:r>
      <w:r w:rsidR="00A2291C" w:rsidRPr="003E0C66">
        <w:t xml:space="preserve"> </w:t>
      </w:r>
      <w:r w:rsidR="000E6CC6" w:rsidRPr="003E0C66">
        <w:t xml:space="preserve">swoje roszczenia co do zadośćuczynienia na wcześniejszym etapie postępowania. </w:t>
      </w:r>
      <w:r w:rsidR="00671608" w:rsidRPr="003E0C66">
        <w:t xml:space="preserve"> </w:t>
      </w:r>
    </w:p>
    <w:p w:rsidR="00E05B22" w:rsidRPr="003E0C66" w:rsidRDefault="006B25B0" w:rsidP="00BC0CE7">
      <w:pPr>
        <w:pStyle w:val="ECHRPara"/>
      </w:pPr>
      <w:r w:rsidRPr="003E0C66">
        <w:rPr>
          <w:rFonts w:ascii="Times New Roman" w:hAnsi="Times New Roman"/>
        </w:rPr>
        <w:fldChar w:fldCharType="begin"/>
      </w:r>
      <w:r w:rsidR="00E05B22" w:rsidRPr="003E0C66">
        <w:rPr>
          <w:rFonts w:ascii="Times New Roman" w:hAnsi="Times New Roman"/>
        </w:rPr>
        <w:instrText xml:space="preserve"> SEQ level0 \*arabic </w:instrText>
      </w:r>
      <w:r w:rsidRPr="003E0C66">
        <w:rPr>
          <w:rFonts w:ascii="Times New Roman" w:hAnsi="Times New Roman"/>
        </w:rPr>
        <w:fldChar w:fldCharType="separate"/>
      </w:r>
      <w:r w:rsidR="00CC1F60" w:rsidRPr="003E0C66">
        <w:rPr>
          <w:rFonts w:ascii="Times New Roman" w:hAnsi="Times New Roman"/>
          <w:noProof/>
        </w:rPr>
        <w:t>170</w:t>
      </w:r>
      <w:r w:rsidRPr="003E0C66">
        <w:rPr>
          <w:rFonts w:ascii="Times New Roman" w:hAnsi="Times New Roman"/>
        </w:rPr>
        <w:fldChar w:fldCharType="end"/>
      </w:r>
      <w:r w:rsidR="00E05B22" w:rsidRPr="003E0C66">
        <w:rPr>
          <w:rFonts w:ascii="Times New Roman" w:hAnsi="Times New Roman"/>
        </w:rPr>
        <w:t>. </w:t>
      </w:r>
      <w:r w:rsidR="000E6CC6" w:rsidRPr="003E0C66">
        <w:rPr>
          <w:rFonts w:ascii="Times New Roman" w:hAnsi="Times New Roman"/>
        </w:rPr>
        <w:t xml:space="preserve"> Trybunał zauważa, </w:t>
      </w:r>
      <w:r w:rsidR="00FA7184">
        <w:rPr>
          <w:rFonts w:ascii="Times New Roman" w:hAnsi="Times New Roman"/>
        </w:rPr>
        <w:t>że</w:t>
      </w:r>
      <w:r w:rsidR="000E6CC6" w:rsidRPr="003E0C66">
        <w:rPr>
          <w:rFonts w:ascii="Times New Roman" w:hAnsi="Times New Roman"/>
        </w:rPr>
        <w:t xml:space="preserve"> skarżący nie przedstawił żadn</w:t>
      </w:r>
      <w:r w:rsidR="004C35A4" w:rsidRPr="003E0C66">
        <w:rPr>
          <w:rFonts w:ascii="Times New Roman" w:hAnsi="Times New Roman"/>
        </w:rPr>
        <w:t>ych roszczeń o zadośćuczynienie</w:t>
      </w:r>
      <w:r w:rsidR="000E6CC6" w:rsidRPr="003E0C66">
        <w:rPr>
          <w:rFonts w:ascii="Times New Roman" w:hAnsi="Times New Roman"/>
        </w:rPr>
        <w:t xml:space="preserve"> ani odpowiednich dokumentów </w:t>
      </w:r>
      <w:r w:rsidR="004C35A4" w:rsidRPr="003E0C66">
        <w:rPr>
          <w:rFonts w:ascii="Times New Roman" w:hAnsi="Times New Roman"/>
        </w:rPr>
        <w:t xml:space="preserve">je </w:t>
      </w:r>
      <w:r w:rsidR="00A2291C">
        <w:rPr>
          <w:rFonts w:ascii="Times New Roman" w:hAnsi="Times New Roman"/>
        </w:rPr>
        <w:t>potwierdzających</w:t>
      </w:r>
      <w:r w:rsidR="004C35A4" w:rsidRPr="003E0C66">
        <w:rPr>
          <w:rFonts w:ascii="Times New Roman" w:hAnsi="Times New Roman"/>
        </w:rPr>
        <w:t xml:space="preserve"> w ustalonym w postępowaniu przed Izbą terminie. Skarżący, któremu zapewniono pomoc prawną w postępowaniu przed Trybunałem, podobnie nie przedstawił nowych </w:t>
      </w:r>
      <w:r w:rsidR="00A2291C">
        <w:rPr>
          <w:rFonts w:ascii="Times New Roman" w:hAnsi="Times New Roman"/>
        </w:rPr>
        <w:t xml:space="preserve">ilościowych </w:t>
      </w:r>
      <w:r w:rsidR="004C35A4" w:rsidRPr="003E0C66">
        <w:rPr>
          <w:rFonts w:ascii="Times New Roman" w:hAnsi="Times New Roman"/>
        </w:rPr>
        <w:t xml:space="preserve">roszczeń wraz z odpowiednimi dokumentami, w odniesieniu do </w:t>
      </w:r>
      <w:r w:rsidR="00A2291C">
        <w:rPr>
          <w:rFonts w:ascii="Times New Roman" w:hAnsi="Times New Roman"/>
        </w:rPr>
        <w:t xml:space="preserve">dodatkowych </w:t>
      </w:r>
      <w:r w:rsidR="00A2291C" w:rsidRPr="003E0C66">
        <w:rPr>
          <w:rFonts w:ascii="Times New Roman" w:hAnsi="Times New Roman"/>
        </w:rPr>
        <w:t>kosztów</w:t>
      </w:r>
      <w:r w:rsidR="00A2291C">
        <w:rPr>
          <w:rFonts w:ascii="Times New Roman" w:hAnsi="Times New Roman"/>
        </w:rPr>
        <w:t xml:space="preserve"> i wydatków</w:t>
      </w:r>
      <w:r w:rsidR="00A2291C" w:rsidRPr="003E0C66">
        <w:rPr>
          <w:rFonts w:ascii="Times New Roman" w:hAnsi="Times New Roman"/>
        </w:rPr>
        <w:t xml:space="preserve"> </w:t>
      </w:r>
      <w:r w:rsidR="004C35A4" w:rsidRPr="003E0C66">
        <w:rPr>
          <w:rFonts w:ascii="Times New Roman" w:hAnsi="Times New Roman"/>
        </w:rPr>
        <w:t xml:space="preserve">poniesionych </w:t>
      </w:r>
      <w:r w:rsidR="00A2291C">
        <w:rPr>
          <w:rFonts w:ascii="Times New Roman" w:hAnsi="Times New Roman"/>
        </w:rPr>
        <w:t>w toku</w:t>
      </w:r>
      <w:r w:rsidR="004C35A4" w:rsidRPr="003E0C66">
        <w:rPr>
          <w:rFonts w:ascii="Times New Roman" w:hAnsi="Times New Roman"/>
        </w:rPr>
        <w:t xml:space="preserve"> postępowani</w:t>
      </w:r>
      <w:r w:rsidR="00A2291C">
        <w:rPr>
          <w:rFonts w:ascii="Times New Roman" w:hAnsi="Times New Roman"/>
        </w:rPr>
        <w:t>a</w:t>
      </w:r>
      <w:r w:rsidR="004C35A4" w:rsidRPr="003E0C66">
        <w:rPr>
          <w:rFonts w:ascii="Times New Roman" w:hAnsi="Times New Roman"/>
        </w:rPr>
        <w:t xml:space="preserve"> przed Wielką Izbą. Trybunał</w:t>
      </w:r>
      <w:r w:rsidR="008B1C82">
        <w:rPr>
          <w:rFonts w:ascii="Times New Roman" w:hAnsi="Times New Roman"/>
        </w:rPr>
        <w:t xml:space="preserve"> zatem</w:t>
      </w:r>
      <w:r w:rsidR="00A2291C">
        <w:rPr>
          <w:rFonts w:ascii="Times New Roman" w:hAnsi="Times New Roman"/>
        </w:rPr>
        <w:t>,</w:t>
      </w:r>
      <w:r w:rsidR="004C35A4" w:rsidRPr="003E0C66">
        <w:rPr>
          <w:rFonts w:ascii="Times New Roman" w:hAnsi="Times New Roman"/>
        </w:rPr>
        <w:t xml:space="preserve"> mając na uwadze </w:t>
      </w:r>
      <w:r w:rsidR="00A2291C">
        <w:rPr>
          <w:rFonts w:ascii="Times New Roman" w:hAnsi="Times New Roman"/>
        </w:rPr>
        <w:t>Regułę</w:t>
      </w:r>
      <w:r w:rsidR="00A2291C" w:rsidRPr="003E0C66">
        <w:rPr>
          <w:rFonts w:ascii="Times New Roman" w:hAnsi="Times New Roman"/>
        </w:rPr>
        <w:t xml:space="preserve"> </w:t>
      </w:r>
      <w:r w:rsidR="004C35A4" w:rsidRPr="003E0C66">
        <w:rPr>
          <w:rFonts w:ascii="Times New Roman" w:hAnsi="Times New Roman"/>
        </w:rPr>
        <w:t xml:space="preserve">60, nie przyznaje żadnej kwoty na mocy Artykułu 41 Konwencji.    </w:t>
      </w:r>
      <w:r w:rsidR="000E6CC6" w:rsidRPr="003E0C66">
        <w:rPr>
          <w:rFonts w:ascii="Times New Roman" w:hAnsi="Times New Roman"/>
        </w:rPr>
        <w:t xml:space="preserve"> </w:t>
      </w:r>
      <w:r w:rsidR="00E05B22" w:rsidRPr="003E0C66">
        <w:rPr>
          <w:rFonts w:ascii="Times New Roman" w:hAnsi="Times New Roman"/>
        </w:rPr>
        <w:t> </w:t>
      </w:r>
    </w:p>
    <w:p w:rsidR="00E05B22" w:rsidRPr="003E0C66" w:rsidRDefault="004C35A4" w:rsidP="00BC0CE7">
      <w:pPr>
        <w:pStyle w:val="ECHRTitle1"/>
      </w:pPr>
      <w:r w:rsidRPr="003E0C66">
        <w:t xml:space="preserve">Z TYCH POWODÓW TRYBUNAŁ:   </w:t>
      </w:r>
    </w:p>
    <w:p w:rsidR="00E05B22" w:rsidRPr="003E0C66" w:rsidRDefault="00E05B22" w:rsidP="00BC0CE7">
      <w:pPr>
        <w:pStyle w:val="JuList"/>
      </w:pPr>
      <w:r w:rsidRPr="003E0C66">
        <w:t>1.  </w:t>
      </w:r>
      <w:r w:rsidR="004C35A4" w:rsidRPr="0017354A">
        <w:rPr>
          <w:i/>
        </w:rPr>
        <w:t>Stwierdza</w:t>
      </w:r>
      <w:r w:rsidR="004C35A4" w:rsidRPr="003E0C66">
        <w:t xml:space="preserve"> dziewięcioma głosami do ośmiu, </w:t>
      </w:r>
      <w:r w:rsidR="00C216D4">
        <w:t>że doszło do</w:t>
      </w:r>
      <w:r w:rsidR="00604A02" w:rsidRPr="003E0C66">
        <w:t xml:space="preserve"> naruszeni</w:t>
      </w:r>
      <w:r w:rsidR="00C216D4">
        <w:t>a</w:t>
      </w:r>
      <w:r w:rsidR="00604A02" w:rsidRPr="003E0C66">
        <w:t xml:space="preserve"> Artykułu 6 §</w:t>
      </w:r>
      <w:r w:rsidR="00C216D4" w:rsidRPr="003E0C66">
        <w:rPr>
          <w:rFonts w:ascii="Times New Roman" w:hAnsi="Times New Roman"/>
        </w:rPr>
        <w:t>§</w:t>
      </w:r>
      <w:r w:rsidR="00C216D4">
        <w:rPr>
          <w:rFonts w:ascii="Times New Roman" w:hAnsi="Times New Roman"/>
        </w:rPr>
        <w:t xml:space="preserve"> </w:t>
      </w:r>
      <w:r w:rsidR="00604A02" w:rsidRPr="003E0C66">
        <w:t>1 i 3 (d) Konwencji;</w:t>
      </w:r>
      <w:r w:rsidR="004C35A4" w:rsidRPr="003E0C66">
        <w:t xml:space="preserve">  </w:t>
      </w:r>
    </w:p>
    <w:p w:rsidR="00E05B22" w:rsidRPr="003E0C66" w:rsidRDefault="00E05B22" w:rsidP="00BC0CE7">
      <w:pPr>
        <w:pStyle w:val="JuList"/>
      </w:pPr>
    </w:p>
    <w:p w:rsidR="00E05B22" w:rsidRPr="003E0C66" w:rsidRDefault="00E05B22" w:rsidP="00BC0CE7">
      <w:pPr>
        <w:pStyle w:val="JuList"/>
      </w:pPr>
      <w:r w:rsidRPr="003E0C66">
        <w:lastRenderedPageBreak/>
        <w:t>2.  </w:t>
      </w:r>
      <w:r w:rsidR="00C216D4" w:rsidRPr="0017354A">
        <w:rPr>
          <w:i/>
        </w:rPr>
        <w:t>Oddala</w:t>
      </w:r>
      <w:r w:rsidR="00C216D4">
        <w:t>,</w:t>
      </w:r>
      <w:r w:rsidR="00C216D4" w:rsidRPr="003E0C66">
        <w:t xml:space="preserve"> </w:t>
      </w:r>
      <w:r w:rsidR="00C216D4">
        <w:t>j</w:t>
      </w:r>
      <w:r w:rsidR="00604A02" w:rsidRPr="003E0C66">
        <w:t>ednomyślnie</w:t>
      </w:r>
      <w:r w:rsidR="00C216D4">
        <w:t>,</w:t>
      </w:r>
      <w:r w:rsidR="00604A02" w:rsidRPr="003E0C66">
        <w:t xml:space="preserve"> wniosek skarżącego o </w:t>
      </w:r>
      <w:r w:rsidR="0017354A">
        <w:t xml:space="preserve">słuszne </w:t>
      </w:r>
      <w:r w:rsidR="00604A02" w:rsidRPr="003E0C66">
        <w:t>zadośćuczynienie</w:t>
      </w:r>
      <w:r w:rsidR="00C216D4">
        <w:t>.</w:t>
      </w:r>
      <w:r w:rsidR="00604A02" w:rsidRPr="003E0C66">
        <w:t xml:space="preserve">  </w:t>
      </w:r>
    </w:p>
    <w:p w:rsidR="00E05B22" w:rsidRPr="003E0C66" w:rsidRDefault="00604A02" w:rsidP="00BC0CE7">
      <w:pPr>
        <w:pStyle w:val="JuParaLast"/>
      </w:pPr>
      <w:r w:rsidRPr="003E0C66">
        <w:t xml:space="preserve">Sporządzono w języku angielskim </w:t>
      </w:r>
      <w:r w:rsidR="00C216D4">
        <w:t xml:space="preserve">oraz </w:t>
      </w:r>
      <w:r w:rsidRPr="003E0C66">
        <w:t>francuskim</w:t>
      </w:r>
      <w:r w:rsidR="00C216D4">
        <w:t xml:space="preserve"> i</w:t>
      </w:r>
      <w:r w:rsidRPr="003E0C66">
        <w:t xml:space="preserve"> przedstawiono na posiedzeniu jawnym w Budynku Praw Człowieka, w Strasburgu, 15 grudnia 2015 roku</w:t>
      </w:r>
      <w:r w:rsidR="00E05B22" w:rsidRPr="003E0C66">
        <w:t>.</w:t>
      </w:r>
    </w:p>
    <w:p w:rsidR="00E05B22" w:rsidRPr="003E0C66" w:rsidRDefault="00E05B22" w:rsidP="00BC0CE7">
      <w:pPr>
        <w:pStyle w:val="JuSigned"/>
      </w:pPr>
      <w:r w:rsidRPr="003E0C66">
        <w:tab/>
        <w:t xml:space="preserve">Lawrence </w:t>
      </w:r>
      <w:proofErr w:type="spellStart"/>
      <w:r w:rsidRPr="003E0C66">
        <w:t>Early</w:t>
      </w:r>
      <w:proofErr w:type="spellEnd"/>
      <w:r w:rsidRPr="003E0C66">
        <w:tab/>
      </w:r>
      <w:r w:rsidRPr="003E0C66">
        <w:rPr>
          <w:szCs w:val="24"/>
        </w:rPr>
        <w:t xml:space="preserve">Dean </w:t>
      </w:r>
      <w:proofErr w:type="spellStart"/>
      <w:r w:rsidRPr="003E0C66">
        <w:rPr>
          <w:szCs w:val="24"/>
        </w:rPr>
        <w:t>Spielmann</w:t>
      </w:r>
      <w:proofErr w:type="spellEnd"/>
      <w:r w:rsidRPr="003E0C66">
        <w:rPr>
          <w:szCs w:val="24"/>
        </w:rPr>
        <w:br/>
      </w:r>
      <w:r w:rsidRPr="003E0C66">
        <w:tab/>
      </w:r>
      <w:r w:rsidR="00D460BB" w:rsidRPr="003E0C66">
        <w:rPr>
          <w:iCs/>
        </w:rPr>
        <w:t>Radca Prawny</w:t>
      </w:r>
      <w:r w:rsidRPr="003E0C66">
        <w:tab/>
      </w:r>
      <w:r w:rsidR="00604A02" w:rsidRPr="003E0C66">
        <w:t>Przewodniczący</w:t>
      </w:r>
    </w:p>
    <w:p w:rsidR="00E05B22" w:rsidRPr="003E0C66" w:rsidRDefault="00C54F78" w:rsidP="00BC0CE7">
      <w:pPr>
        <w:pStyle w:val="JuParaLast"/>
        <w:spacing w:before="480"/>
      </w:pPr>
      <w:r w:rsidRPr="003E0C66">
        <w:t xml:space="preserve">Zgodnie z Artykułem 45 § 2 Konwencji oraz </w:t>
      </w:r>
      <w:r w:rsidR="00C216D4">
        <w:t>Regułą</w:t>
      </w:r>
      <w:r w:rsidR="00C216D4" w:rsidRPr="003E0C66">
        <w:t xml:space="preserve"> </w:t>
      </w:r>
      <w:r w:rsidRPr="003E0C66">
        <w:t xml:space="preserve">74 § 2 Regulaminu Trybunału do niniejszego wyroku załączono następujące </w:t>
      </w:r>
      <w:r w:rsidR="002B614D">
        <w:t>opinie</w:t>
      </w:r>
      <w:r w:rsidR="002B614D" w:rsidRPr="003E0C66">
        <w:t xml:space="preserve"> </w:t>
      </w:r>
      <w:r w:rsidRPr="003E0C66">
        <w:t xml:space="preserve">odrębne: </w:t>
      </w:r>
    </w:p>
    <w:p w:rsidR="00E05B22" w:rsidRPr="003E0C66" w:rsidRDefault="00E05B22" w:rsidP="00BC0CE7">
      <w:pPr>
        <w:pStyle w:val="ECHRPara"/>
      </w:pPr>
      <w:r w:rsidRPr="003E0C66">
        <w:t xml:space="preserve">(a)   </w:t>
      </w:r>
      <w:r w:rsidR="00C54F78" w:rsidRPr="003E0C66">
        <w:t>Wspólna zgodna opinia Sędziów</w:t>
      </w:r>
      <w:r w:rsidR="00B04CC8" w:rsidRPr="003E0C66">
        <w:t xml:space="preserve"> </w:t>
      </w:r>
      <w:proofErr w:type="spellStart"/>
      <w:r w:rsidR="00B04CC8" w:rsidRPr="003E0C66">
        <w:t>Spielmann</w:t>
      </w:r>
      <w:proofErr w:type="spellEnd"/>
      <w:r w:rsidR="00B04CC8" w:rsidRPr="003E0C66">
        <w:t>,</w:t>
      </w:r>
      <w:r w:rsidR="00C739B6" w:rsidRPr="003E0C66">
        <w:t xml:space="preserve"> </w:t>
      </w:r>
      <w:proofErr w:type="spellStart"/>
      <w:r w:rsidR="0050282E" w:rsidRPr="003E0C66">
        <w:t>Karakaş</w:t>
      </w:r>
      <w:proofErr w:type="spellEnd"/>
      <w:r w:rsidR="00B04CC8" w:rsidRPr="003E0C66">
        <w:t xml:space="preserve"> </w:t>
      </w:r>
      <w:proofErr w:type="spellStart"/>
      <w:r w:rsidR="00547495" w:rsidRPr="003E0C66">
        <w:t>Sajó</w:t>
      </w:r>
      <w:proofErr w:type="spellEnd"/>
      <w:r w:rsidR="0050282E" w:rsidRPr="003E0C66">
        <w:t xml:space="preserve"> </w:t>
      </w:r>
      <w:r w:rsidR="00C54F78" w:rsidRPr="003E0C66">
        <w:t>oraz</w:t>
      </w:r>
      <w:r w:rsidR="00C739B6" w:rsidRPr="003E0C66">
        <w:t xml:space="preserve"> Keller;</w:t>
      </w:r>
    </w:p>
    <w:p w:rsidR="00C739B6" w:rsidRPr="003E0C66" w:rsidRDefault="00E05B22" w:rsidP="00BC0CE7">
      <w:pPr>
        <w:pStyle w:val="ECHRPara"/>
      </w:pPr>
      <w:r w:rsidRPr="003E0C66">
        <w:t>(b)  </w:t>
      </w:r>
      <w:r w:rsidR="00A80AC8" w:rsidRPr="003E0C66">
        <w:t xml:space="preserve">Wspólna </w:t>
      </w:r>
      <w:r w:rsidR="00790B79">
        <w:t xml:space="preserve">rozbieżna </w:t>
      </w:r>
      <w:r w:rsidR="00A80AC8" w:rsidRPr="003E0C66">
        <w:t xml:space="preserve">opinia Sędziów </w:t>
      </w:r>
      <w:proofErr w:type="spellStart"/>
      <w:r w:rsidR="00C739B6" w:rsidRPr="003E0C66">
        <w:t>Hirvelä</w:t>
      </w:r>
      <w:proofErr w:type="spellEnd"/>
      <w:r w:rsidR="00C739B6" w:rsidRPr="003E0C66">
        <w:t xml:space="preserve">, </w:t>
      </w:r>
      <w:proofErr w:type="spellStart"/>
      <w:r w:rsidR="000A235E" w:rsidRPr="003E0C66">
        <w:rPr>
          <w:rFonts w:ascii="Times New Roman" w:eastAsia="Times New Roman" w:hAnsi="Times New Roman" w:cs="Times New Roman"/>
          <w:szCs w:val="24"/>
        </w:rPr>
        <w:t>Popović</w:t>
      </w:r>
      <w:proofErr w:type="spellEnd"/>
      <w:r w:rsidR="00C739B6" w:rsidRPr="003E0C66">
        <w:t xml:space="preserve">, </w:t>
      </w:r>
      <w:proofErr w:type="spellStart"/>
      <w:r w:rsidR="00C739B6" w:rsidRPr="003E0C66">
        <w:t>Pardalos</w:t>
      </w:r>
      <w:proofErr w:type="spellEnd"/>
      <w:r w:rsidR="00C739B6" w:rsidRPr="003E0C66">
        <w:t xml:space="preserve">, </w:t>
      </w:r>
      <w:proofErr w:type="spellStart"/>
      <w:r w:rsidR="00C739B6" w:rsidRPr="003E0C66">
        <w:t>Nu</w:t>
      </w:r>
      <w:r w:rsidR="00547495" w:rsidRPr="003E0C66">
        <w:t>ß</w:t>
      </w:r>
      <w:r w:rsidR="00A80AC8" w:rsidRPr="003E0C66">
        <w:t>berger</w:t>
      </w:r>
      <w:proofErr w:type="spellEnd"/>
      <w:r w:rsidR="00A80AC8" w:rsidRPr="003E0C66">
        <w:t xml:space="preserve">, </w:t>
      </w:r>
      <w:proofErr w:type="spellStart"/>
      <w:r w:rsidR="00A80AC8" w:rsidRPr="003E0C66">
        <w:t>Mahoney</w:t>
      </w:r>
      <w:proofErr w:type="spellEnd"/>
      <w:r w:rsidR="00A80AC8" w:rsidRPr="003E0C66">
        <w:t xml:space="preserve"> oraz</w:t>
      </w:r>
      <w:r w:rsidR="00C739B6" w:rsidRPr="003E0C66">
        <w:t xml:space="preserve"> </w:t>
      </w:r>
      <w:proofErr w:type="spellStart"/>
      <w:r w:rsidR="000A235E" w:rsidRPr="003E0C66">
        <w:rPr>
          <w:rFonts w:ascii="Times New Roman" w:eastAsia="Times New Roman" w:hAnsi="Times New Roman" w:cs="Times New Roman"/>
          <w:szCs w:val="24"/>
        </w:rPr>
        <w:t>Kūris</w:t>
      </w:r>
      <w:proofErr w:type="spellEnd"/>
      <w:r w:rsidR="00C739B6" w:rsidRPr="003E0C66">
        <w:t>;</w:t>
      </w:r>
    </w:p>
    <w:p w:rsidR="00C739B6" w:rsidRPr="003E0C66" w:rsidRDefault="00C739B6" w:rsidP="00BC0CE7">
      <w:pPr>
        <w:pStyle w:val="ECHRPara"/>
      </w:pPr>
      <w:r w:rsidRPr="003E0C66">
        <w:t xml:space="preserve">(c)   </w:t>
      </w:r>
      <w:r w:rsidR="00790B79">
        <w:t xml:space="preserve">Rozbieżna </w:t>
      </w:r>
      <w:r w:rsidR="00A80AC8" w:rsidRPr="003E0C66">
        <w:t xml:space="preserve">opinia Sędziego </w:t>
      </w:r>
      <w:proofErr w:type="spellStart"/>
      <w:r w:rsidR="00A67F42" w:rsidRPr="003E0C66">
        <w:rPr>
          <w:rFonts w:eastAsia="Times New Roman"/>
          <w:szCs w:val="28"/>
        </w:rPr>
        <w:t>Kjølbro</w:t>
      </w:r>
      <w:proofErr w:type="spellEnd"/>
      <w:r w:rsidRPr="003E0C66">
        <w:t>.</w:t>
      </w:r>
    </w:p>
    <w:p w:rsidR="00E05B22" w:rsidRPr="003E0C66" w:rsidRDefault="00E05B22" w:rsidP="00BC0CE7">
      <w:pPr>
        <w:pStyle w:val="JuInitialled"/>
      </w:pPr>
      <w:r w:rsidRPr="003E0C66">
        <w:t>D.S.</w:t>
      </w:r>
      <w:r w:rsidRPr="003E0C66">
        <w:br/>
        <w:t>T.L.E.</w:t>
      </w:r>
    </w:p>
    <w:p w:rsidR="005B790A" w:rsidRPr="003E0C66" w:rsidRDefault="005B790A" w:rsidP="00BC0CE7">
      <w:pPr>
        <w:jc w:val="left"/>
        <w:rPr>
          <w:rFonts w:ascii="Times New Roman" w:hAnsi="Times New Roman" w:cs="Times New Roman"/>
        </w:rPr>
      </w:pPr>
    </w:p>
    <w:p w:rsidR="00C5349B" w:rsidRPr="003E0C66" w:rsidRDefault="00C5349B" w:rsidP="00BC0CE7">
      <w:pPr>
        <w:rPr>
          <w:rFonts w:ascii="Times New Roman" w:hAnsi="Times New Roman" w:cs="Times New Roman"/>
        </w:rPr>
        <w:sectPr w:rsidR="00C5349B" w:rsidRPr="003E0C66">
          <w:headerReference w:type="even" r:id="rId15"/>
          <w:headerReference w:type="default" r:id="rId16"/>
          <w:footerReference w:type="default" r:id="rId17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</w:sectPr>
      </w:pPr>
    </w:p>
    <w:p w:rsidR="00C5349B" w:rsidRPr="003E0C66" w:rsidRDefault="00A80AC8" w:rsidP="00BC0CE7">
      <w:pPr>
        <w:pStyle w:val="ECHRTitleCentre1"/>
        <w:rPr>
          <w:rFonts w:eastAsia="Times New Roman"/>
        </w:rPr>
      </w:pPr>
      <w:r w:rsidRPr="003E0C66">
        <w:rPr>
          <w:rFonts w:eastAsia="Times New Roman"/>
        </w:rPr>
        <w:lastRenderedPageBreak/>
        <w:t xml:space="preserve">WSPÓLNA ZGODNA OPINIA </w:t>
      </w:r>
      <w:r w:rsidR="00993F25">
        <w:rPr>
          <w:rFonts w:eastAsia="Times New Roman"/>
        </w:rPr>
        <w:t xml:space="preserve">ODRĘBNA </w:t>
      </w:r>
      <w:r w:rsidRPr="003E0C66">
        <w:rPr>
          <w:rFonts w:eastAsia="Times New Roman"/>
        </w:rPr>
        <w:t xml:space="preserve">SĘDZIÓW </w:t>
      </w:r>
      <w:r w:rsidR="00E10984" w:rsidRPr="003E0C66">
        <w:rPr>
          <w:rFonts w:eastAsia="Times New Roman"/>
        </w:rPr>
        <w:t xml:space="preserve">SPIELMANN, </w:t>
      </w:r>
      <w:r w:rsidR="00C5349B" w:rsidRPr="003E0C66">
        <w:rPr>
          <w:rFonts w:eastAsia="Times New Roman"/>
        </w:rPr>
        <w:t>KARAKAŞ</w:t>
      </w:r>
      <w:r w:rsidR="00E10984" w:rsidRPr="003E0C66">
        <w:rPr>
          <w:rFonts w:eastAsia="Times New Roman"/>
        </w:rPr>
        <w:t>, SAJ</w:t>
      </w:r>
      <w:r w:rsidR="00547495" w:rsidRPr="003E0C66">
        <w:rPr>
          <w:rFonts w:eastAsia="Times New Roman" w:cstheme="majorHAnsi"/>
        </w:rPr>
        <w:t>Ó</w:t>
      </w:r>
      <w:r w:rsidRPr="003E0C66">
        <w:rPr>
          <w:rFonts w:eastAsia="Times New Roman"/>
        </w:rPr>
        <w:t xml:space="preserve"> ORAZ</w:t>
      </w:r>
      <w:r w:rsidR="00C5349B" w:rsidRPr="003E0C66">
        <w:rPr>
          <w:rFonts w:eastAsia="Times New Roman"/>
        </w:rPr>
        <w:t xml:space="preserve"> KELLER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1. </w:t>
      </w:r>
      <w:r w:rsidR="00A80AC8" w:rsidRPr="003E0C66">
        <w:rPr>
          <w:rFonts w:eastAsia="Times New Roman"/>
        </w:rPr>
        <w:t>Zgadzamy się ze zdaniem większości jeśli chodzi o naruszenie Artykułu 6 §</w:t>
      </w:r>
      <w:r w:rsidR="009E5A73">
        <w:rPr>
          <w:rFonts w:eastAsia="Times New Roman"/>
        </w:rPr>
        <w:t xml:space="preserve"> </w:t>
      </w:r>
      <w:r w:rsidR="00A80AC8" w:rsidRPr="003E0C66">
        <w:rPr>
          <w:rFonts w:eastAsia="Times New Roman"/>
        </w:rPr>
        <w:t>1 i 3 (d) Konwencji. Mamy jednak obawy, ż</w:t>
      </w:r>
      <w:r w:rsidR="009E5A73">
        <w:rPr>
          <w:rFonts w:eastAsia="Times New Roman"/>
        </w:rPr>
        <w:t>e</w:t>
      </w:r>
      <w:r w:rsidR="00A80AC8" w:rsidRPr="003E0C66">
        <w:rPr>
          <w:rFonts w:eastAsia="Times New Roman"/>
        </w:rPr>
        <w:t xml:space="preserve"> </w:t>
      </w:r>
      <w:r w:rsidR="009E5A73">
        <w:rPr>
          <w:rFonts w:eastAsia="Times New Roman"/>
        </w:rPr>
        <w:t>wyja</w:t>
      </w:r>
      <w:r w:rsidR="00E93F82">
        <w:rPr>
          <w:rFonts w:eastAsia="Times New Roman"/>
        </w:rPr>
        <w:t>śnienie</w:t>
      </w:r>
      <w:r w:rsidR="009E5A73" w:rsidRPr="003E0C66">
        <w:rPr>
          <w:rFonts w:eastAsia="Times New Roman"/>
        </w:rPr>
        <w:t xml:space="preserve"> </w:t>
      </w:r>
      <w:r w:rsidR="00A80AC8" w:rsidRPr="003E0C66">
        <w:rPr>
          <w:rFonts w:eastAsia="Times New Roman"/>
        </w:rPr>
        <w:t>większoś</w:t>
      </w:r>
      <w:r w:rsidR="009E5A73">
        <w:rPr>
          <w:rFonts w:eastAsia="Times New Roman"/>
        </w:rPr>
        <w:t>ci</w:t>
      </w:r>
      <w:r w:rsidR="00A80AC8" w:rsidRPr="003E0C66">
        <w:rPr>
          <w:rFonts w:eastAsia="Times New Roman"/>
        </w:rPr>
        <w:t xml:space="preserve"> wyroku</w:t>
      </w:r>
      <w:r w:rsidRPr="003E0C66">
        <w:rPr>
          <w:rFonts w:eastAsia="Times New Roman"/>
        </w:rPr>
        <w:t xml:space="preserve"> </w:t>
      </w:r>
      <w:r w:rsidR="00A80AC8" w:rsidRPr="003E0C66">
        <w:rPr>
          <w:rFonts w:eastAsia="Times New Roman"/>
          <w:i/>
        </w:rPr>
        <w:t>Al-Khawaja i</w:t>
      </w:r>
      <w:r w:rsidRPr="003E0C66">
        <w:rPr>
          <w:rFonts w:eastAsia="Times New Roman"/>
          <w:i/>
        </w:rPr>
        <w:t xml:space="preserve"> Tahery </w:t>
      </w:r>
      <w:r w:rsidR="00A80AC8" w:rsidRPr="003E0C66">
        <w:rPr>
          <w:rFonts w:eastAsia="Times New Roman"/>
          <w:i/>
        </w:rPr>
        <w:t>przeciwko Wielkiej Brytanii</w:t>
      </w:r>
      <w:r w:rsidR="00A80AC8" w:rsidRPr="003E0C66">
        <w:rPr>
          <w:rFonts w:eastAsia="Times New Roman"/>
        </w:rPr>
        <w:t xml:space="preserve"> ([GC], </w:t>
      </w:r>
      <w:r w:rsidR="00F749AE" w:rsidRPr="003E0C66">
        <w:rPr>
          <w:rFonts w:eastAsia="Times New Roman"/>
        </w:rPr>
        <w:t>nr</w:t>
      </w:r>
      <w:r w:rsidR="00A80AC8" w:rsidRPr="003E0C66">
        <w:rPr>
          <w:rFonts w:eastAsia="Times New Roman"/>
        </w:rPr>
        <w:t xml:space="preserve"> 26766/05 oraz</w:t>
      </w:r>
      <w:r w:rsidRPr="003E0C66">
        <w:rPr>
          <w:rFonts w:eastAsia="Times New Roman"/>
        </w:rPr>
        <w:t xml:space="preserve"> 22228/06, </w:t>
      </w:r>
      <w:r w:rsidR="00F749AE" w:rsidRPr="003E0C66">
        <w:rPr>
          <w:rFonts w:eastAsia="Times New Roman"/>
        </w:rPr>
        <w:t>ETPCZ</w:t>
      </w:r>
      <w:r w:rsidRPr="003E0C66">
        <w:rPr>
          <w:rFonts w:eastAsia="Times New Roman"/>
        </w:rPr>
        <w:t xml:space="preserve"> 2011)</w:t>
      </w:r>
      <w:r w:rsidR="00E93F82">
        <w:rPr>
          <w:rFonts w:eastAsia="Times New Roman"/>
        </w:rPr>
        <w:t xml:space="preserve"> spowoduje</w:t>
      </w:r>
      <w:r w:rsidR="00A80AC8" w:rsidRPr="003E0C66">
        <w:rPr>
          <w:rFonts w:eastAsia="Times New Roman"/>
        </w:rPr>
        <w:t xml:space="preserve"> osłabienie podstawowej roli prawa do obrony. </w:t>
      </w:r>
      <w:r w:rsidRPr="003E0C66">
        <w:rPr>
          <w:rFonts w:eastAsia="Times New Roman"/>
        </w:rPr>
        <w:t xml:space="preserve">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2.  </w:t>
      </w:r>
      <w:r w:rsidR="00A80AC8" w:rsidRPr="003E0C66">
        <w:rPr>
          <w:rFonts w:eastAsia="Times New Roman"/>
        </w:rPr>
        <w:t xml:space="preserve">Najpierw wyjaśnimy nasze obawy dotyczące </w:t>
      </w:r>
      <w:r w:rsidR="00CD6819">
        <w:rPr>
          <w:rFonts w:eastAsia="Times New Roman"/>
        </w:rPr>
        <w:t xml:space="preserve">nowego podejścia do </w:t>
      </w:r>
      <w:r w:rsidR="00A80AC8" w:rsidRPr="003E0C66">
        <w:rPr>
          <w:rFonts w:eastAsia="Times New Roman"/>
        </w:rPr>
        <w:t xml:space="preserve">stosowania trzyetapowego badania </w:t>
      </w:r>
      <w:r w:rsidR="009166A5" w:rsidRPr="003E0C66">
        <w:rPr>
          <w:rFonts w:eastAsia="Times New Roman"/>
        </w:rPr>
        <w:t xml:space="preserve">opracowanego przez Trybunał w wyroku </w:t>
      </w:r>
      <w:r w:rsidR="009166A5" w:rsidRPr="003E0C66">
        <w:rPr>
          <w:rFonts w:eastAsia="Times New Roman"/>
          <w:i/>
        </w:rPr>
        <w:t>Al-Khawaja i</w:t>
      </w:r>
      <w:r w:rsidRPr="003E0C66">
        <w:rPr>
          <w:rFonts w:eastAsia="Times New Roman"/>
          <w:i/>
        </w:rPr>
        <w:t xml:space="preserve"> Tahery </w:t>
      </w:r>
      <w:r w:rsidRPr="003E0C66">
        <w:rPr>
          <w:rFonts w:eastAsia="Times New Roman"/>
        </w:rPr>
        <w:t>(I),</w:t>
      </w:r>
      <w:r w:rsidR="009166A5" w:rsidRPr="003E0C66">
        <w:rPr>
          <w:rFonts w:eastAsia="Times New Roman"/>
        </w:rPr>
        <w:t xml:space="preserve"> po czym poruszymy pewne krytyczne aspekty dotyczące zastosowania tych zasad w omawianym przypadku (II). </w:t>
      </w:r>
      <w:r w:rsidRPr="003E0C66">
        <w:rPr>
          <w:rFonts w:eastAsia="Times New Roman"/>
        </w:rPr>
        <w:t xml:space="preserve"> </w:t>
      </w:r>
    </w:p>
    <w:p w:rsidR="00C5349B" w:rsidRPr="003E0C66" w:rsidRDefault="00B14674" w:rsidP="00BC0CE7">
      <w:pPr>
        <w:pStyle w:val="OpiHA"/>
        <w:ind w:left="284" w:firstLine="0"/>
        <w:rPr>
          <w:rFonts w:eastAsia="Times New Roman"/>
        </w:rPr>
      </w:pPr>
      <w:r w:rsidRPr="003E0C66">
        <w:rPr>
          <w:rFonts w:eastAsia="Times New Roman"/>
        </w:rPr>
        <w:t>I. </w:t>
      </w:r>
      <w:r w:rsidR="00E93F82">
        <w:rPr>
          <w:rFonts w:eastAsia="Times New Roman"/>
        </w:rPr>
        <w:t>Wyjaśnienie „</w:t>
      </w:r>
      <w:r w:rsidR="00CD6819" w:rsidRPr="003E0C66">
        <w:rPr>
          <w:rFonts w:eastAsia="Times New Roman"/>
        </w:rPr>
        <w:t xml:space="preserve">zasady </w:t>
      </w:r>
      <w:r w:rsidR="00E93F82">
        <w:rPr>
          <w:rFonts w:eastAsia="Times New Roman"/>
        </w:rPr>
        <w:t>wyłączności</w:t>
      </w:r>
      <w:r w:rsidR="00CD6819" w:rsidRPr="003E0C66">
        <w:rPr>
          <w:rFonts w:eastAsia="Times New Roman"/>
        </w:rPr>
        <w:t xml:space="preserve"> </w:t>
      </w:r>
      <w:r w:rsidR="009166A5" w:rsidRPr="003E0C66">
        <w:rPr>
          <w:rFonts w:eastAsia="Times New Roman"/>
        </w:rPr>
        <w:t>lub decydującej</w:t>
      </w:r>
      <w:r w:rsidR="00CD6819">
        <w:rPr>
          <w:rFonts w:eastAsia="Times New Roman"/>
        </w:rPr>
        <w:t xml:space="preserve"> roli</w:t>
      </w:r>
      <w:r w:rsidR="009166A5" w:rsidRPr="003E0C66">
        <w:rPr>
          <w:rFonts w:eastAsia="Times New Roman"/>
        </w:rPr>
        <w:t xml:space="preserve">’’ </w:t>
      </w:r>
      <w:r w:rsidRPr="003E0C66">
        <w:rPr>
          <w:rFonts w:eastAsia="Times New Roman"/>
        </w:rPr>
        <w:t> 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3.  </w:t>
      </w:r>
      <w:r w:rsidR="009166A5" w:rsidRPr="003E0C66">
        <w:rPr>
          <w:rFonts w:eastAsia="Times New Roman"/>
        </w:rPr>
        <w:t xml:space="preserve">Kluczowym zagadnieniem leżącym u podstaw niniejszej sprawy jest </w:t>
      </w:r>
      <w:r w:rsidR="00CD6819">
        <w:rPr>
          <w:rFonts w:eastAsia="Times New Roman"/>
        </w:rPr>
        <w:t>zakres,</w:t>
      </w:r>
      <w:r w:rsidR="00CD6819" w:rsidRPr="003E0C66">
        <w:rPr>
          <w:rFonts w:eastAsia="Times New Roman"/>
        </w:rPr>
        <w:t xml:space="preserve"> </w:t>
      </w:r>
      <w:r w:rsidR="009166A5" w:rsidRPr="003E0C66">
        <w:rPr>
          <w:rFonts w:eastAsia="Times New Roman"/>
        </w:rPr>
        <w:t>w jakim Trybunał może zastosować</w:t>
      </w:r>
      <w:r w:rsidR="00CD6819">
        <w:rPr>
          <w:rFonts w:eastAsia="Times New Roman"/>
        </w:rPr>
        <w:t xml:space="preserve"> kryteria</w:t>
      </w:r>
      <w:r w:rsidR="009166A5" w:rsidRPr="003E0C66">
        <w:rPr>
          <w:rFonts w:eastAsia="Times New Roman"/>
        </w:rPr>
        <w:t xml:space="preserve"> </w:t>
      </w:r>
      <w:r w:rsidR="00DA3A3D" w:rsidRPr="003E0C66">
        <w:rPr>
          <w:rFonts w:eastAsia="Times New Roman"/>
        </w:rPr>
        <w:t>trzyetapowe</w:t>
      </w:r>
      <w:r w:rsidR="00CD6819">
        <w:rPr>
          <w:rFonts w:eastAsia="Times New Roman"/>
        </w:rPr>
        <w:t>go</w:t>
      </w:r>
      <w:r w:rsidR="00E93F82">
        <w:rPr>
          <w:rFonts w:eastAsia="Times New Roman"/>
        </w:rPr>
        <w:t xml:space="preserve"> badania</w:t>
      </w:r>
      <w:r w:rsidR="00DA3A3D" w:rsidRPr="003E0C66">
        <w:rPr>
          <w:rFonts w:eastAsia="Times New Roman"/>
        </w:rPr>
        <w:t xml:space="preserve"> w innej kolejności oraz czy fakt, </w:t>
      </w:r>
      <w:r w:rsidR="00E93F82">
        <w:rPr>
          <w:rFonts w:eastAsia="Times New Roman"/>
        </w:rPr>
        <w:t>że</w:t>
      </w:r>
      <w:r w:rsidR="00DA3A3D" w:rsidRPr="003E0C66">
        <w:rPr>
          <w:rFonts w:eastAsia="Times New Roman"/>
        </w:rPr>
        <w:t xml:space="preserve"> </w:t>
      </w:r>
      <w:r w:rsidR="00E93F82">
        <w:rPr>
          <w:rFonts w:eastAsia="Times New Roman"/>
        </w:rPr>
        <w:t>brak jest</w:t>
      </w:r>
      <w:r w:rsidR="00DA3A3D" w:rsidRPr="003E0C66">
        <w:rPr>
          <w:rFonts w:eastAsia="Times New Roman"/>
        </w:rPr>
        <w:t xml:space="preserve"> </w:t>
      </w:r>
      <w:r w:rsidR="00CD6819">
        <w:rPr>
          <w:rFonts w:eastAsia="Times New Roman"/>
        </w:rPr>
        <w:t>ważnego</w:t>
      </w:r>
      <w:r w:rsidR="00CD6819" w:rsidRPr="003E0C66">
        <w:rPr>
          <w:rFonts w:eastAsia="Times New Roman"/>
        </w:rPr>
        <w:t xml:space="preserve"> </w:t>
      </w:r>
      <w:r w:rsidR="00DA3A3D" w:rsidRPr="003E0C66">
        <w:rPr>
          <w:rFonts w:eastAsia="Times New Roman"/>
        </w:rPr>
        <w:t xml:space="preserve">powodu usprawiedliwiającego nieobecność świadka </w:t>
      </w:r>
      <w:r w:rsidR="00DA3A3D" w:rsidRPr="00FA3031">
        <w:rPr>
          <w:rFonts w:eastAsia="Times New Roman"/>
          <w:i/>
        </w:rPr>
        <w:t>automatycznie</w:t>
      </w:r>
      <w:r w:rsidR="00DA3A3D" w:rsidRPr="003E0C66">
        <w:rPr>
          <w:rFonts w:eastAsia="Times New Roman"/>
        </w:rPr>
        <w:t xml:space="preserve"> prowadzi do naruszenia Artykułu 6 §</w:t>
      </w:r>
      <w:r w:rsidR="00CD6819" w:rsidRPr="003E0C66">
        <w:rPr>
          <w:rFonts w:eastAsia="Times New Roman"/>
        </w:rPr>
        <w:t>§</w:t>
      </w:r>
      <w:r w:rsidR="00CD6819">
        <w:rPr>
          <w:rFonts w:eastAsia="Times New Roman"/>
        </w:rPr>
        <w:t xml:space="preserve"> </w:t>
      </w:r>
      <w:r w:rsidR="00DA3A3D" w:rsidRPr="003E0C66">
        <w:rPr>
          <w:rFonts w:eastAsia="Times New Roman"/>
        </w:rPr>
        <w:t>1 i 3 (d)</w:t>
      </w:r>
      <w:r w:rsidR="00CD6819">
        <w:rPr>
          <w:rFonts w:eastAsia="Times New Roman"/>
        </w:rPr>
        <w:t xml:space="preserve"> i</w:t>
      </w:r>
      <w:r w:rsidR="00DA3A3D" w:rsidRPr="003E0C66">
        <w:rPr>
          <w:rFonts w:eastAsia="Times New Roman"/>
        </w:rPr>
        <w:t xml:space="preserve"> oraz czy inne etapy muszą zostać zbadane. </w:t>
      </w:r>
      <w:r w:rsidR="009166A5" w:rsidRPr="003E0C66">
        <w:rPr>
          <w:rFonts w:eastAsia="Times New Roman"/>
        </w:rPr>
        <w:t xml:space="preserve">  </w:t>
      </w:r>
    </w:p>
    <w:p w:rsidR="00DA3A3D" w:rsidRPr="003E0C66" w:rsidRDefault="00A64674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4.  Trybunał po pierwsze</w:t>
      </w:r>
      <w:r w:rsidR="00DA3A3D" w:rsidRPr="003E0C66">
        <w:rPr>
          <w:rFonts w:eastAsia="Times New Roman"/>
        </w:rPr>
        <w:t xml:space="preserve"> </w:t>
      </w:r>
      <w:r w:rsidR="00CD6819">
        <w:rPr>
          <w:rFonts w:eastAsia="Times New Roman"/>
        </w:rPr>
        <w:t>wyjaśnił</w:t>
      </w:r>
      <w:r w:rsidRPr="003E0C66">
        <w:rPr>
          <w:rFonts w:eastAsia="Times New Roman"/>
        </w:rPr>
        <w:t>,</w:t>
      </w:r>
      <w:r w:rsidR="00DA3A3D" w:rsidRPr="003E0C66">
        <w:rPr>
          <w:rFonts w:eastAsia="Times New Roman"/>
        </w:rPr>
        <w:t xml:space="preserve"> ż</w:t>
      </w:r>
      <w:r w:rsidR="00CD6819">
        <w:rPr>
          <w:rFonts w:eastAsia="Times New Roman"/>
        </w:rPr>
        <w:t>e</w:t>
      </w:r>
      <w:r w:rsidR="00DA3A3D" w:rsidRPr="003E0C66">
        <w:rPr>
          <w:rFonts w:eastAsia="Times New Roman"/>
        </w:rPr>
        <w:t xml:space="preserve"> brak </w:t>
      </w:r>
      <w:r w:rsidR="00CD6819">
        <w:rPr>
          <w:rFonts w:eastAsia="Times New Roman"/>
        </w:rPr>
        <w:t>ważnego</w:t>
      </w:r>
      <w:r w:rsidR="00CD6819" w:rsidRPr="003E0C66">
        <w:rPr>
          <w:rFonts w:eastAsia="Times New Roman"/>
        </w:rPr>
        <w:t xml:space="preserve"> </w:t>
      </w:r>
      <w:r w:rsidR="00DA3A3D" w:rsidRPr="003E0C66">
        <w:rPr>
          <w:rFonts w:eastAsia="Times New Roman"/>
        </w:rPr>
        <w:t xml:space="preserve">powodu usprawiedliwiającego nieobecność świadka podczas rozprawy nie powoduje </w:t>
      </w:r>
      <w:r w:rsidR="00DA3A3D" w:rsidRPr="00FA3031">
        <w:rPr>
          <w:rFonts w:eastAsia="Times New Roman"/>
          <w:i/>
        </w:rPr>
        <w:t>automatycznie</w:t>
      </w:r>
      <w:r w:rsidR="00DA3A3D" w:rsidRPr="003E0C66">
        <w:rPr>
          <w:rFonts w:eastAsia="Times New Roman"/>
        </w:rPr>
        <w:t xml:space="preserve"> naruszenia Artykułu 6 § 1 Konwencji (zobacz paragraf 113 wyroku). Po drugie rozważył, czy w sprawach, w których nie jest jasne </w:t>
      </w:r>
      <w:r w:rsidR="008D4E4F" w:rsidRPr="003E0C66">
        <w:rPr>
          <w:rFonts w:eastAsia="Times New Roman"/>
        </w:rPr>
        <w:t xml:space="preserve">czy dowód z zeznań świadka był jedyną lub </w:t>
      </w:r>
      <w:r w:rsidR="00CD6819">
        <w:rPr>
          <w:rFonts w:eastAsia="Times New Roman"/>
        </w:rPr>
        <w:t>decydującą</w:t>
      </w:r>
      <w:r w:rsidR="00CD6819" w:rsidRPr="003E0C66">
        <w:rPr>
          <w:rFonts w:eastAsia="Times New Roman"/>
        </w:rPr>
        <w:t xml:space="preserve"> </w:t>
      </w:r>
      <w:r w:rsidR="008D4E4F" w:rsidRPr="003E0C66">
        <w:rPr>
          <w:rFonts w:eastAsia="Times New Roman"/>
        </w:rPr>
        <w:t>podstawą </w:t>
      </w:r>
      <w:r w:rsidR="00493F74">
        <w:rPr>
          <w:rFonts w:eastAsia="Times New Roman"/>
        </w:rPr>
        <w:t>skazania oskarżonego</w:t>
      </w:r>
      <w:r w:rsidR="008D4E4F" w:rsidRPr="003E0C66">
        <w:rPr>
          <w:rFonts w:eastAsia="Times New Roman"/>
        </w:rPr>
        <w:t xml:space="preserve">, nadal </w:t>
      </w:r>
      <w:r w:rsidR="00493F74">
        <w:rPr>
          <w:rFonts w:eastAsia="Times New Roman"/>
        </w:rPr>
        <w:t>musi</w:t>
      </w:r>
      <w:r w:rsidR="00493F74" w:rsidRPr="003E0C66">
        <w:rPr>
          <w:rFonts w:eastAsia="Times New Roman"/>
        </w:rPr>
        <w:t xml:space="preserve"> </w:t>
      </w:r>
      <w:r w:rsidR="008D4E4F" w:rsidRPr="003E0C66">
        <w:rPr>
          <w:rFonts w:eastAsia="Times New Roman"/>
        </w:rPr>
        <w:t xml:space="preserve">dokonać oceny czynników wyrównujących. Trybunał odpowiedział na to pytanie twierdząco, stwierdzając, iż taka ocena </w:t>
      </w:r>
      <w:r w:rsidR="00493F74">
        <w:rPr>
          <w:rFonts w:eastAsia="Times New Roman"/>
        </w:rPr>
        <w:t>była</w:t>
      </w:r>
      <w:r w:rsidR="00493F74" w:rsidRPr="003E0C66">
        <w:rPr>
          <w:rFonts w:eastAsia="Times New Roman"/>
        </w:rPr>
        <w:t xml:space="preserve"> </w:t>
      </w:r>
      <w:r w:rsidR="008D4E4F" w:rsidRPr="003E0C66">
        <w:rPr>
          <w:rFonts w:eastAsia="Times New Roman"/>
        </w:rPr>
        <w:t>konieczna w celu ustalenia ogólne</w:t>
      </w:r>
      <w:r w:rsidRPr="003E0C66">
        <w:rPr>
          <w:rFonts w:eastAsia="Times New Roman"/>
        </w:rPr>
        <w:t xml:space="preserve">j </w:t>
      </w:r>
      <w:r w:rsidR="00493F74">
        <w:rPr>
          <w:rFonts w:eastAsia="Times New Roman"/>
        </w:rPr>
        <w:t>rzetelności</w:t>
      </w:r>
      <w:r w:rsidR="00493F74" w:rsidRPr="003E0C66">
        <w:rPr>
          <w:rFonts w:eastAsia="Times New Roman"/>
        </w:rPr>
        <w:t xml:space="preserve"> </w:t>
      </w:r>
      <w:r w:rsidRPr="003E0C66">
        <w:rPr>
          <w:rFonts w:eastAsia="Times New Roman"/>
        </w:rPr>
        <w:t>postępowania (</w:t>
      </w:r>
      <w:r w:rsidR="008D4E4F" w:rsidRPr="003E0C66">
        <w:rPr>
          <w:rFonts w:eastAsia="Times New Roman"/>
        </w:rPr>
        <w:t>zobacz paragraf 116 wyroku). Stwierdził, ż</w:t>
      </w:r>
      <w:r w:rsidR="00493F74">
        <w:rPr>
          <w:rFonts w:eastAsia="Times New Roman"/>
        </w:rPr>
        <w:t>e</w:t>
      </w:r>
      <w:r w:rsidR="008D4E4F" w:rsidRPr="003E0C66">
        <w:rPr>
          <w:rFonts w:eastAsia="Times New Roman"/>
        </w:rPr>
        <w:t xml:space="preserve"> wszystkie trzy etapy są ze sobą powiązane, a </w:t>
      </w:r>
      <w:r w:rsidR="00493F74">
        <w:rPr>
          <w:rFonts w:eastAsia="Times New Roman"/>
        </w:rPr>
        <w:t>rzetelność</w:t>
      </w:r>
      <w:r w:rsidR="00493F74" w:rsidRPr="003E0C66">
        <w:rPr>
          <w:rFonts w:eastAsia="Times New Roman"/>
        </w:rPr>
        <w:t xml:space="preserve"> </w:t>
      </w:r>
      <w:r w:rsidR="008D4E4F" w:rsidRPr="003E0C66">
        <w:rPr>
          <w:rFonts w:eastAsia="Times New Roman"/>
        </w:rPr>
        <w:t>postępowania powinna być rozważ</w:t>
      </w:r>
      <w:r w:rsidR="00493F74">
        <w:rPr>
          <w:rFonts w:eastAsia="Times New Roman"/>
        </w:rPr>
        <w:t>a</w:t>
      </w:r>
      <w:r w:rsidR="008D4E4F" w:rsidRPr="003E0C66">
        <w:rPr>
          <w:rFonts w:eastAsia="Times New Roman"/>
        </w:rPr>
        <w:t xml:space="preserve">na w świetle wszystkich </w:t>
      </w:r>
      <w:r w:rsidR="00493F74">
        <w:rPr>
          <w:rFonts w:eastAsia="Times New Roman"/>
        </w:rPr>
        <w:t>kryteriów</w:t>
      </w:r>
      <w:r w:rsidR="00493F74" w:rsidRPr="003E0C66">
        <w:rPr>
          <w:rFonts w:eastAsia="Times New Roman"/>
        </w:rPr>
        <w:t xml:space="preserve"> </w:t>
      </w:r>
      <w:r w:rsidR="008D4E4F" w:rsidRPr="003E0C66">
        <w:rPr>
          <w:rFonts w:eastAsia="Times New Roman"/>
        </w:rPr>
        <w:t xml:space="preserve">(zobacz paragraf 118 wyroku).  </w:t>
      </w:r>
      <w:r w:rsidR="00DA3A3D" w:rsidRPr="003E0C66">
        <w:rPr>
          <w:rFonts w:eastAsia="Times New Roman"/>
        </w:rPr>
        <w:t xml:space="preserve"> 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5. </w:t>
      </w:r>
      <w:r w:rsidR="008D4E4F" w:rsidRPr="003E0C66">
        <w:rPr>
          <w:rFonts w:eastAsia="Times New Roman"/>
        </w:rPr>
        <w:t>Częściowo nie zgadzamy si</w:t>
      </w:r>
      <w:r w:rsidR="00CC152C" w:rsidRPr="003E0C66">
        <w:rPr>
          <w:rFonts w:eastAsia="Times New Roman"/>
        </w:rPr>
        <w:t>ę z tym wyjaśnieniem. Zakładamy</w:t>
      </w:r>
      <w:r w:rsidR="008D4E4F" w:rsidRPr="003E0C66">
        <w:rPr>
          <w:rFonts w:eastAsia="Times New Roman"/>
        </w:rPr>
        <w:t>, ż</w:t>
      </w:r>
      <w:r w:rsidR="00493F74">
        <w:rPr>
          <w:rFonts w:eastAsia="Times New Roman"/>
        </w:rPr>
        <w:t>e</w:t>
      </w:r>
      <w:r w:rsidR="008D4E4F" w:rsidRPr="003E0C66">
        <w:rPr>
          <w:rFonts w:eastAsia="Times New Roman"/>
        </w:rPr>
        <w:t xml:space="preserve"> celem trzyetapowego badania w wyroku</w:t>
      </w:r>
      <w:r w:rsidRPr="003E0C66">
        <w:rPr>
          <w:rFonts w:eastAsia="Times New Roman"/>
        </w:rPr>
        <w:t xml:space="preserve"> </w:t>
      </w:r>
      <w:r w:rsidRPr="003E0C66">
        <w:rPr>
          <w:rFonts w:eastAsia="Times New Roman"/>
          <w:i/>
        </w:rPr>
        <w:t xml:space="preserve">Al-Khawaja </w:t>
      </w:r>
      <w:r w:rsidR="008D4E4F" w:rsidRPr="003E0C66">
        <w:rPr>
          <w:rFonts w:eastAsia="Times New Roman"/>
          <w:i/>
        </w:rPr>
        <w:t>i</w:t>
      </w:r>
      <w:r w:rsidRPr="003E0C66">
        <w:rPr>
          <w:rFonts w:eastAsia="Times New Roman"/>
          <w:i/>
        </w:rPr>
        <w:t xml:space="preserve"> Tahery</w:t>
      </w:r>
      <w:r w:rsidR="008D4E4F" w:rsidRPr="003E0C66">
        <w:rPr>
          <w:rFonts w:eastAsia="Times New Roman"/>
          <w:i/>
        </w:rPr>
        <w:t xml:space="preserve"> </w:t>
      </w:r>
      <w:r w:rsidR="008D4E4F" w:rsidRPr="003E0C66">
        <w:rPr>
          <w:rFonts w:eastAsia="Times New Roman"/>
        </w:rPr>
        <w:t xml:space="preserve">było </w:t>
      </w:r>
      <w:r w:rsidR="00493F74">
        <w:rPr>
          <w:rFonts w:eastAsia="Times New Roman"/>
        </w:rPr>
        <w:t>uzasadnienie ogólnej</w:t>
      </w:r>
      <w:r w:rsidR="00493F74" w:rsidRPr="003E0C66">
        <w:rPr>
          <w:rFonts w:eastAsia="Times New Roman"/>
        </w:rPr>
        <w:t xml:space="preserve"> </w:t>
      </w:r>
      <w:r w:rsidR="00493F74">
        <w:rPr>
          <w:rFonts w:eastAsia="Times New Roman"/>
        </w:rPr>
        <w:t>rzetelności testu</w:t>
      </w:r>
      <w:r w:rsidR="008D4E4F" w:rsidRPr="003E0C66">
        <w:rPr>
          <w:rFonts w:eastAsia="Times New Roman"/>
        </w:rPr>
        <w:t xml:space="preserve"> w sytuacj</w:t>
      </w:r>
      <w:r w:rsidR="00493F74">
        <w:rPr>
          <w:rFonts w:eastAsia="Times New Roman"/>
        </w:rPr>
        <w:t>ach</w:t>
      </w:r>
      <w:r w:rsidR="008D4E4F" w:rsidRPr="003E0C66">
        <w:rPr>
          <w:rFonts w:eastAsia="Times New Roman"/>
        </w:rPr>
        <w:t xml:space="preserve">, gdy oskarżony nie ma możliwości skonfrontowania się ze świadkami osobiście, ale ich zeznania zostały </w:t>
      </w:r>
      <w:r w:rsidR="00493F74">
        <w:rPr>
          <w:rFonts w:eastAsia="Times New Roman"/>
        </w:rPr>
        <w:t xml:space="preserve">mimo tego </w:t>
      </w:r>
      <w:r w:rsidR="008D4E4F" w:rsidRPr="003E0C66">
        <w:rPr>
          <w:rFonts w:eastAsia="Times New Roman"/>
        </w:rPr>
        <w:t xml:space="preserve">wykorzystane jako dowód obciążający.   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6. </w:t>
      </w:r>
      <w:r w:rsidR="00CC152C" w:rsidRPr="003E0C66">
        <w:rPr>
          <w:rFonts w:eastAsia="Times New Roman"/>
        </w:rPr>
        <w:t>Rozumiemy trzy etapy przedstawione w wyroku</w:t>
      </w:r>
      <w:r w:rsidRPr="003E0C66">
        <w:rPr>
          <w:rFonts w:eastAsia="Times New Roman"/>
        </w:rPr>
        <w:t xml:space="preserve"> </w:t>
      </w:r>
      <w:r w:rsidRPr="003E0C66">
        <w:rPr>
          <w:rFonts w:eastAsia="Times New Roman"/>
          <w:i/>
        </w:rPr>
        <w:t xml:space="preserve">Al-Khawaja </w:t>
      </w:r>
      <w:r w:rsidR="00CC152C" w:rsidRPr="003E0C66">
        <w:rPr>
          <w:rFonts w:eastAsia="Times New Roman"/>
          <w:i/>
        </w:rPr>
        <w:t>i</w:t>
      </w:r>
      <w:r w:rsidRPr="003E0C66">
        <w:rPr>
          <w:rFonts w:eastAsia="Times New Roman"/>
          <w:i/>
        </w:rPr>
        <w:t xml:space="preserve"> Tahery</w:t>
      </w:r>
      <w:r w:rsidR="00CC152C" w:rsidRPr="003E0C66">
        <w:rPr>
          <w:rFonts w:eastAsia="Times New Roman"/>
        </w:rPr>
        <w:t xml:space="preserve"> jako trzy niezależne</w:t>
      </w:r>
      <w:r w:rsidR="00E93F82">
        <w:rPr>
          <w:rFonts w:eastAsia="Times New Roman"/>
        </w:rPr>
        <w:t>,</w:t>
      </w:r>
      <w:r w:rsidR="00CC152C" w:rsidRPr="003E0C66">
        <w:rPr>
          <w:rFonts w:eastAsia="Times New Roman"/>
        </w:rPr>
        <w:t xml:space="preserve"> choć powiązane ze sobą kroki. Wolelibyśmy, aby Trybunał stwierdził, iż nieuzasadniona nieobecność </w:t>
      </w:r>
      <w:r w:rsidR="00493F74">
        <w:rPr>
          <w:rFonts w:eastAsia="Times New Roman"/>
        </w:rPr>
        <w:t>świadka</w:t>
      </w:r>
      <w:r w:rsidR="00493F74" w:rsidRPr="003E0C66">
        <w:rPr>
          <w:rFonts w:eastAsia="Times New Roman"/>
        </w:rPr>
        <w:t xml:space="preserve"> </w:t>
      </w:r>
      <w:r w:rsidR="00CC152C" w:rsidRPr="003E0C66">
        <w:rPr>
          <w:rFonts w:eastAsia="Times New Roman"/>
        </w:rPr>
        <w:t>stanowi naruszenie Artykułu 6 §</w:t>
      </w:r>
      <w:r w:rsidR="00493F74" w:rsidRPr="003E0C66">
        <w:rPr>
          <w:rFonts w:eastAsia="Times New Roman"/>
        </w:rPr>
        <w:t>§</w:t>
      </w:r>
      <w:r w:rsidR="00CC152C" w:rsidRPr="003E0C66">
        <w:rPr>
          <w:rFonts w:eastAsia="Times New Roman"/>
        </w:rPr>
        <w:t xml:space="preserve"> 1 i 3 (d) Konwencji nawet</w:t>
      </w:r>
      <w:r w:rsidR="00E93F82">
        <w:rPr>
          <w:rFonts w:eastAsia="Times New Roman"/>
        </w:rPr>
        <w:t>,</w:t>
      </w:r>
      <w:r w:rsidR="00CC152C" w:rsidRPr="003E0C66">
        <w:rPr>
          <w:rFonts w:eastAsia="Times New Roman"/>
        </w:rPr>
        <w:t xml:space="preserve"> jeśli</w:t>
      </w:r>
      <w:r w:rsidR="000F6983">
        <w:rPr>
          <w:rFonts w:eastAsia="Times New Roman"/>
        </w:rPr>
        <w:t xml:space="preserve"> jej lub jego</w:t>
      </w:r>
      <w:r w:rsidR="00CC152C" w:rsidRPr="003E0C66">
        <w:rPr>
          <w:rFonts w:eastAsia="Times New Roman"/>
        </w:rPr>
        <w:t xml:space="preserve"> zeznania nie były jedyną czy </w:t>
      </w:r>
      <w:r w:rsidR="000F6983">
        <w:rPr>
          <w:rFonts w:eastAsia="Times New Roman"/>
        </w:rPr>
        <w:t>decydującą</w:t>
      </w:r>
      <w:r w:rsidR="000F6983" w:rsidRPr="003E0C66">
        <w:rPr>
          <w:rFonts w:eastAsia="Times New Roman"/>
        </w:rPr>
        <w:t xml:space="preserve"> </w:t>
      </w:r>
      <w:r w:rsidR="00CC152C" w:rsidRPr="003E0C66">
        <w:rPr>
          <w:rFonts w:eastAsia="Times New Roman"/>
        </w:rPr>
        <w:t xml:space="preserve">podstawą skazania oskarżonego, jeśli </w:t>
      </w:r>
      <w:r w:rsidR="00E93F82">
        <w:rPr>
          <w:rFonts w:eastAsia="Times New Roman"/>
        </w:rPr>
        <w:t>miały</w:t>
      </w:r>
      <w:r w:rsidR="00CC152C" w:rsidRPr="003E0C66">
        <w:rPr>
          <w:rFonts w:eastAsia="Times New Roman"/>
        </w:rPr>
        <w:t xml:space="preserve"> znaczenie dla procesu. Innymi słowy, jeśli władze krajowe nie przedstawią </w:t>
      </w:r>
      <w:r w:rsidR="000F6983">
        <w:rPr>
          <w:rFonts w:eastAsia="Times New Roman"/>
        </w:rPr>
        <w:t>ważnego</w:t>
      </w:r>
      <w:r w:rsidR="000F6983" w:rsidRPr="003E0C66">
        <w:rPr>
          <w:rFonts w:eastAsia="Times New Roman"/>
        </w:rPr>
        <w:t xml:space="preserve"> </w:t>
      </w:r>
      <w:r w:rsidR="00CC152C" w:rsidRPr="003E0C66">
        <w:rPr>
          <w:rFonts w:eastAsia="Times New Roman"/>
        </w:rPr>
        <w:t xml:space="preserve">uzasadnienia nieobecności </w:t>
      </w:r>
      <w:r w:rsidR="000F6983" w:rsidRPr="003E0C66">
        <w:rPr>
          <w:rFonts w:eastAsia="Times New Roman"/>
        </w:rPr>
        <w:t>świadk</w:t>
      </w:r>
      <w:r w:rsidR="000F6983">
        <w:rPr>
          <w:rFonts w:eastAsia="Times New Roman"/>
        </w:rPr>
        <w:t>a</w:t>
      </w:r>
      <w:r w:rsidR="00CC152C" w:rsidRPr="003E0C66">
        <w:rPr>
          <w:rFonts w:eastAsia="Times New Roman"/>
        </w:rPr>
        <w:t xml:space="preserve">, Trybunał nie </w:t>
      </w:r>
      <w:r w:rsidR="00CC152C" w:rsidRPr="003E0C66">
        <w:rPr>
          <w:rFonts w:eastAsia="Times New Roman"/>
        </w:rPr>
        <w:lastRenderedPageBreak/>
        <w:t xml:space="preserve">musi </w:t>
      </w:r>
      <w:r w:rsidR="000F6983">
        <w:rPr>
          <w:rFonts w:eastAsia="Times New Roman"/>
        </w:rPr>
        <w:t>badać</w:t>
      </w:r>
      <w:r w:rsidR="000F6983" w:rsidRPr="003E0C66">
        <w:rPr>
          <w:rFonts w:eastAsia="Times New Roman"/>
        </w:rPr>
        <w:t xml:space="preserve"> </w:t>
      </w:r>
      <w:r w:rsidR="00CC152C" w:rsidRPr="003E0C66">
        <w:rPr>
          <w:rFonts w:eastAsia="Times New Roman"/>
        </w:rPr>
        <w:t xml:space="preserve">drugiego i trzeciego etapu </w:t>
      </w:r>
      <w:r w:rsidR="000F6983">
        <w:rPr>
          <w:rFonts w:eastAsia="Times New Roman"/>
        </w:rPr>
        <w:t>testu</w:t>
      </w:r>
      <w:r w:rsidR="000F6983" w:rsidRPr="003E0C66">
        <w:rPr>
          <w:rFonts w:eastAsia="Times New Roman"/>
        </w:rPr>
        <w:t xml:space="preserve"> </w:t>
      </w:r>
      <w:r w:rsidRPr="003E0C66">
        <w:rPr>
          <w:rFonts w:eastAsia="Times New Roman"/>
          <w:i/>
        </w:rPr>
        <w:t xml:space="preserve">Al-Khawaja </w:t>
      </w:r>
      <w:r w:rsidR="00CC152C" w:rsidRPr="003E0C66">
        <w:rPr>
          <w:rFonts w:eastAsia="Times New Roman"/>
          <w:i/>
        </w:rPr>
        <w:t>i</w:t>
      </w:r>
      <w:r w:rsidRPr="003E0C66">
        <w:rPr>
          <w:rFonts w:eastAsia="Times New Roman"/>
          <w:i/>
        </w:rPr>
        <w:t xml:space="preserve"> Tahery</w:t>
      </w:r>
      <w:r w:rsidRPr="003E0C66">
        <w:rPr>
          <w:rFonts w:eastAsia="Times New Roman"/>
        </w:rPr>
        <w:t xml:space="preserve">. </w:t>
      </w:r>
      <w:r w:rsidR="00CC152C" w:rsidRPr="003E0C66">
        <w:rPr>
          <w:rFonts w:eastAsia="Times New Roman"/>
        </w:rPr>
        <w:t xml:space="preserve">To podejście było już stosowane przez Trybunał w sprawach </w:t>
      </w:r>
      <w:proofErr w:type="spellStart"/>
      <w:r w:rsidRPr="003E0C66">
        <w:rPr>
          <w:rFonts w:eastAsia="Times New Roman"/>
          <w:i/>
        </w:rPr>
        <w:t>Gabrielyan</w:t>
      </w:r>
      <w:proofErr w:type="spellEnd"/>
      <w:r w:rsidRPr="003E0C66">
        <w:rPr>
          <w:rFonts w:eastAsia="Times New Roman"/>
          <w:i/>
        </w:rPr>
        <w:t xml:space="preserve"> </w:t>
      </w:r>
      <w:r w:rsidR="00CC152C" w:rsidRPr="003E0C66">
        <w:rPr>
          <w:rFonts w:eastAsia="Times New Roman"/>
          <w:i/>
        </w:rPr>
        <w:t xml:space="preserve">przeciwko Armenii </w:t>
      </w:r>
      <w:r w:rsidR="00CC152C" w:rsidRPr="003E0C66">
        <w:rPr>
          <w:rFonts w:eastAsia="Times New Roman"/>
        </w:rPr>
        <w:t>(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8088/05, §§ 77, 84, 10 </w:t>
      </w:r>
      <w:r w:rsidR="00CC152C" w:rsidRPr="003E0C66">
        <w:rPr>
          <w:rFonts w:eastAsia="Times New Roman"/>
        </w:rPr>
        <w:t>kwietnia</w:t>
      </w:r>
      <w:r w:rsidRPr="003E0C66">
        <w:rPr>
          <w:rFonts w:eastAsia="Times New Roman"/>
        </w:rPr>
        <w:t xml:space="preserve"> 2012</w:t>
      </w:r>
      <w:r w:rsidR="000F6983">
        <w:rPr>
          <w:rFonts w:eastAsia="Times New Roman"/>
        </w:rPr>
        <w:t xml:space="preserve"> roku</w:t>
      </w:r>
      <w:r w:rsidRPr="003E0C66">
        <w:rPr>
          <w:rFonts w:eastAsia="Times New Roman"/>
        </w:rPr>
        <w:t xml:space="preserve">), </w:t>
      </w:r>
      <w:proofErr w:type="spellStart"/>
      <w:r w:rsidRPr="003E0C66">
        <w:rPr>
          <w:rFonts w:eastAsia="Times New Roman"/>
          <w:i/>
        </w:rPr>
        <w:t>Rudnichenko</w:t>
      </w:r>
      <w:proofErr w:type="spellEnd"/>
      <w:r w:rsidRPr="003E0C66">
        <w:rPr>
          <w:rFonts w:eastAsia="Times New Roman"/>
          <w:i/>
        </w:rPr>
        <w:t xml:space="preserve"> </w:t>
      </w:r>
      <w:r w:rsidR="00CC152C" w:rsidRPr="003E0C66">
        <w:rPr>
          <w:rFonts w:eastAsia="Times New Roman"/>
          <w:i/>
        </w:rPr>
        <w:t>przeciwko Ukrainie</w:t>
      </w:r>
      <w:r w:rsidR="006D0890" w:rsidRPr="003E0C66">
        <w:rPr>
          <w:rFonts w:eastAsia="Times New Roman"/>
        </w:rPr>
        <w:t xml:space="preserve"> (</w:t>
      </w:r>
      <w:r w:rsidR="00F749AE" w:rsidRPr="003E0C66">
        <w:rPr>
          <w:rFonts w:eastAsia="Times New Roman"/>
        </w:rPr>
        <w:t>nr</w:t>
      </w:r>
      <w:r w:rsidR="006D0890" w:rsidRPr="003E0C66">
        <w:rPr>
          <w:rFonts w:eastAsia="Times New Roman"/>
        </w:rPr>
        <w:t xml:space="preserve"> 2775/07, §§ 105-110, 11 </w:t>
      </w:r>
      <w:r w:rsidR="000F6983">
        <w:rPr>
          <w:rFonts w:eastAsia="Times New Roman"/>
        </w:rPr>
        <w:t>lipca</w:t>
      </w:r>
      <w:r w:rsidR="000F6983" w:rsidRPr="003E0C66">
        <w:rPr>
          <w:rFonts w:eastAsia="Times New Roman"/>
        </w:rPr>
        <w:t xml:space="preserve"> </w:t>
      </w:r>
      <w:r w:rsidRPr="003E0C66">
        <w:rPr>
          <w:rFonts w:eastAsia="Times New Roman"/>
        </w:rPr>
        <w:t>2013</w:t>
      </w:r>
      <w:r w:rsidR="000F6983">
        <w:rPr>
          <w:rFonts w:eastAsia="Times New Roman"/>
        </w:rPr>
        <w:t xml:space="preserve"> roku</w:t>
      </w:r>
      <w:r w:rsidRPr="003E0C66">
        <w:rPr>
          <w:rFonts w:eastAsia="Times New Roman"/>
        </w:rPr>
        <w:t xml:space="preserve">), </w:t>
      </w:r>
      <w:proofErr w:type="spellStart"/>
      <w:r w:rsidRPr="003E0C66">
        <w:rPr>
          <w:rFonts w:eastAsia="Times New Roman"/>
          <w:i/>
        </w:rPr>
        <w:t>Nikolitsas</w:t>
      </w:r>
      <w:proofErr w:type="spellEnd"/>
      <w:r w:rsidRPr="003E0C66">
        <w:rPr>
          <w:rFonts w:eastAsia="Times New Roman"/>
          <w:i/>
        </w:rPr>
        <w:t xml:space="preserve"> </w:t>
      </w:r>
      <w:r w:rsidR="006D0890" w:rsidRPr="003E0C66">
        <w:rPr>
          <w:rFonts w:eastAsia="Times New Roman"/>
          <w:i/>
        </w:rPr>
        <w:t>przeciwko Grecji</w:t>
      </w:r>
      <w:r w:rsidR="006D0890" w:rsidRPr="003E0C66">
        <w:rPr>
          <w:rFonts w:eastAsia="Times New Roman"/>
        </w:rPr>
        <w:t xml:space="preserve"> (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63117/09, § 35, 3 </w:t>
      </w:r>
      <w:r w:rsidR="000F6983">
        <w:rPr>
          <w:rFonts w:eastAsia="Times New Roman"/>
        </w:rPr>
        <w:t>lipca</w:t>
      </w:r>
      <w:r w:rsidR="000F6983" w:rsidRPr="003E0C66">
        <w:rPr>
          <w:rFonts w:eastAsia="Times New Roman"/>
        </w:rPr>
        <w:t xml:space="preserve"> </w:t>
      </w:r>
      <w:r w:rsidRPr="003E0C66">
        <w:rPr>
          <w:rFonts w:eastAsia="Times New Roman"/>
        </w:rPr>
        <w:t>2014</w:t>
      </w:r>
      <w:r w:rsidR="000F6983">
        <w:rPr>
          <w:rFonts w:eastAsia="Times New Roman"/>
        </w:rPr>
        <w:t xml:space="preserve"> roku</w:t>
      </w:r>
      <w:r w:rsidRPr="003E0C66">
        <w:rPr>
          <w:rFonts w:eastAsia="Times New Roman"/>
        </w:rPr>
        <w:t xml:space="preserve">) </w:t>
      </w:r>
      <w:r w:rsidR="000F6983">
        <w:rPr>
          <w:rFonts w:eastAsia="Times New Roman"/>
        </w:rPr>
        <w:t>i</w:t>
      </w:r>
      <w:r w:rsidR="000F6983" w:rsidRPr="003E0C66">
        <w:rPr>
          <w:rFonts w:eastAsia="Times New Roman"/>
        </w:rPr>
        <w:t xml:space="preserve"> </w:t>
      </w:r>
      <w:proofErr w:type="spellStart"/>
      <w:r w:rsidRPr="003E0C66">
        <w:rPr>
          <w:rFonts w:eastAsia="Times New Roman"/>
          <w:i/>
        </w:rPr>
        <w:t>Karpyuk</w:t>
      </w:r>
      <w:proofErr w:type="spellEnd"/>
      <w:r w:rsidRPr="003E0C66">
        <w:rPr>
          <w:rFonts w:eastAsia="Times New Roman"/>
          <w:i/>
        </w:rPr>
        <w:t xml:space="preserve"> </w:t>
      </w:r>
      <w:r w:rsidR="006D0890" w:rsidRPr="003E0C66">
        <w:rPr>
          <w:rFonts w:eastAsia="Times New Roman"/>
          <w:i/>
        </w:rPr>
        <w:t>i Inni przeciwko Ukrainie</w:t>
      </w:r>
      <w:r w:rsidR="006D0890" w:rsidRPr="003E0C66">
        <w:rPr>
          <w:rFonts w:eastAsia="Times New Roman"/>
        </w:rPr>
        <w:t xml:space="preserve"> (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305832/04 </w:t>
      </w:r>
      <w:r w:rsidR="006D0890" w:rsidRPr="003E0C66">
        <w:rPr>
          <w:rFonts w:eastAsia="Times New Roman"/>
        </w:rPr>
        <w:t>i</w:t>
      </w:r>
      <w:r w:rsidRPr="003E0C66">
        <w:rPr>
          <w:rFonts w:eastAsia="Times New Roman"/>
        </w:rPr>
        <w:t xml:space="preserve"> 32152/04, § 108, 6 </w:t>
      </w:r>
      <w:r w:rsidR="006D0890" w:rsidRPr="003E0C66">
        <w:rPr>
          <w:rFonts w:eastAsia="Times New Roman"/>
        </w:rPr>
        <w:t>października</w:t>
      </w:r>
      <w:r w:rsidRPr="003E0C66">
        <w:rPr>
          <w:rFonts w:eastAsia="Times New Roman"/>
        </w:rPr>
        <w:t xml:space="preserve"> 2015</w:t>
      </w:r>
      <w:r w:rsidR="000F6983">
        <w:rPr>
          <w:rFonts w:eastAsia="Times New Roman"/>
        </w:rPr>
        <w:t xml:space="preserve"> roku</w:t>
      </w:r>
      <w:r w:rsidRPr="003E0C66">
        <w:rPr>
          <w:rFonts w:eastAsia="Times New Roman"/>
        </w:rPr>
        <w:t xml:space="preserve">, </w:t>
      </w:r>
      <w:r w:rsidR="000F6983">
        <w:rPr>
          <w:rFonts w:eastAsia="Times New Roman"/>
        </w:rPr>
        <w:t>j</w:t>
      </w:r>
      <w:r w:rsidR="006D0890" w:rsidRPr="003E0C66">
        <w:rPr>
          <w:rFonts w:eastAsia="Times New Roman"/>
        </w:rPr>
        <w:t>eszcze nieostateczny w momencie sporządzania</w:t>
      </w:r>
      <w:r w:rsidR="000F6983">
        <w:rPr>
          <w:rFonts w:eastAsia="Times New Roman"/>
        </w:rPr>
        <w:t xml:space="preserve"> opinii</w:t>
      </w:r>
      <w:r w:rsidR="006D0890" w:rsidRPr="003E0C66">
        <w:rPr>
          <w:rFonts w:eastAsia="Times New Roman"/>
        </w:rPr>
        <w:t>)</w:t>
      </w:r>
      <w:r w:rsidR="00E93F82">
        <w:rPr>
          <w:rFonts w:eastAsia="Times New Roman"/>
        </w:rPr>
        <w:t>.</w:t>
      </w:r>
      <w:r w:rsidR="006D0890" w:rsidRPr="003E0C66">
        <w:rPr>
          <w:rFonts w:eastAsia="Times New Roman"/>
        </w:rPr>
        <w:t xml:space="preserve"> Na przykład w sprawie </w:t>
      </w:r>
      <w:proofErr w:type="spellStart"/>
      <w:r w:rsidRPr="003E0C66">
        <w:rPr>
          <w:rFonts w:eastAsia="Times New Roman"/>
          <w:i/>
        </w:rPr>
        <w:t>Rudnichenko</w:t>
      </w:r>
      <w:proofErr w:type="spellEnd"/>
      <w:r w:rsidRPr="003E0C66">
        <w:rPr>
          <w:rFonts w:eastAsia="Times New Roman"/>
          <w:i/>
        </w:rPr>
        <w:t xml:space="preserve"> </w:t>
      </w:r>
      <w:r w:rsidR="006D0890" w:rsidRPr="003E0C66">
        <w:rPr>
          <w:rFonts w:eastAsia="Times New Roman"/>
          <w:i/>
        </w:rPr>
        <w:t xml:space="preserve">przeciwko Ukrainie </w:t>
      </w:r>
      <w:r w:rsidR="006D0890" w:rsidRPr="003E0C66">
        <w:rPr>
          <w:rFonts w:eastAsia="Times New Roman"/>
        </w:rPr>
        <w:t>Trybunał stwierdził naruszenie bazując jedynie na pierwsz</w:t>
      </w:r>
      <w:r w:rsidR="00E93F82">
        <w:rPr>
          <w:rFonts w:eastAsia="Times New Roman"/>
        </w:rPr>
        <w:t>ym etapie i jasno oświadczył: „</w:t>
      </w:r>
      <w:r w:rsidR="006D0890" w:rsidRPr="003E0C66">
        <w:rPr>
          <w:rFonts w:eastAsia="Times New Roman"/>
        </w:rPr>
        <w:t>Powyższe rozważania są wystarczające</w:t>
      </w:r>
      <w:r w:rsidR="000F6983">
        <w:rPr>
          <w:rFonts w:eastAsia="Times New Roman"/>
        </w:rPr>
        <w:t>,</w:t>
      </w:r>
      <w:r w:rsidR="006D0890" w:rsidRPr="003E0C66">
        <w:rPr>
          <w:rFonts w:eastAsia="Times New Roman"/>
        </w:rPr>
        <w:t xml:space="preserve"> aby </w:t>
      </w:r>
      <w:r w:rsidR="000F6983">
        <w:rPr>
          <w:rFonts w:eastAsia="Times New Roman"/>
        </w:rPr>
        <w:t xml:space="preserve">Trybunał </w:t>
      </w:r>
      <w:r w:rsidR="006D0890" w:rsidRPr="003E0C66">
        <w:rPr>
          <w:rFonts w:eastAsia="Times New Roman"/>
        </w:rPr>
        <w:t>stwierdzi</w:t>
      </w:r>
      <w:r w:rsidR="000F6983">
        <w:rPr>
          <w:rFonts w:eastAsia="Times New Roman"/>
        </w:rPr>
        <w:t>ł</w:t>
      </w:r>
      <w:r w:rsidR="006D0890" w:rsidRPr="003E0C66">
        <w:rPr>
          <w:rFonts w:eastAsia="Times New Roman"/>
        </w:rPr>
        <w:t xml:space="preserve">, iż nie było powodów, nie wspominając o </w:t>
      </w:r>
      <w:r w:rsidR="000F6983">
        <w:rPr>
          <w:rFonts w:eastAsia="Times New Roman"/>
        </w:rPr>
        <w:t>ważnych</w:t>
      </w:r>
      <w:r w:rsidR="000F6983" w:rsidRPr="003E0C66">
        <w:rPr>
          <w:rFonts w:eastAsia="Times New Roman"/>
        </w:rPr>
        <w:t xml:space="preserve"> </w:t>
      </w:r>
      <w:r w:rsidR="006D0890" w:rsidRPr="003E0C66">
        <w:rPr>
          <w:rFonts w:eastAsia="Times New Roman"/>
        </w:rPr>
        <w:t>powodach, dla ograniczenia prawa skar</w:t>
      </w:r>
      <w:r w:rsidR="00EC6B60">
        <w:rPr>
          <w:rFonts w:eastAsia="Times New Roman"/>
        </w:rPr>
        <w:t>żącego do przesłuchania świadka</w:t>
      </w:r>
      <w:r w:rsidR="000F6983">
        <w:rPr>
          <w:rFonts w:eastAsia="Times New Roman"/>
        </w:rPr>
        <w:t>…</w:t>
      </w:r>
      <w:r w:rsidR="00EC6B60">
        <w:rPr>
          <w:rFonts w:eastAsia="Times New Roman"/>
        </w:rPr>
        <w:t xml:space="preserve"> </w:t>
      </w:r>
      <w:r w:rsidR="000F6983">
        <w:rPr>
          <w:rFonts w:eastAsia="Times New Roman"/>
        </w:rPr>
        <w:t>W tych okolicznościach</w:t>
      </w:r>
      <w:r w:rsidR="006D0890" w:rsidRPr="003E0C66">
        <w:rPr>
          <w:rFonts w:eastAsia="Times New Roman"/>
        </w:rPr>
        <w:t xml:space="preserve"> Trybunał nie uzn</w:t>
      </w:r>
      <w:r w:rsidR="00E93F82">
        <w:rPr>
          <w:rFonts w:eastAsia="Times New Roman"/>
        </w:rPr>
        <w:t>aje za konieczne przeprowadzenia</w:t>
      </w:r>
      <w:r w:rsidR="006D0890" w:rsidRPr="003E0C66">
        <w:rPr>
          <w:rFonts w:eastAsia="Times New Roman"/>
        </w:rPr>
        <w:t xml:space="preserve"> drugiego etapu badania…” (§ 109; </w:t>
      </w:r>
      <w:r w:rsidR="002C620C" w:rsidRPr="003E0C66">
        <w:rPr>
          <w:rFonts w:eastAsia="Times New Roman"/>
        </w:rPr>
        <w:t xml:space="preserve">w tym samym aspekcie, zobacz na przykład </w:t>
      </w:r>
      <w:proofErr w:type="spellStart"/>
      <w:r w:rsidRPr="003E0C66">
        <w:rPr>
          <w:rFonts w:eastAsia="Times New Roman"/>
          <w:i/>
        </w:rPr>
        <w:t>Suldin</w:t>
      </w:r>
      <w:proofErr w:type="spellEnd"/>
      <w:r w:rsidRPr="003E0C66">
        <w:rPr>
          <w:rFonts w:eastAsia="Times New Roman"/>
          <w:i/>
        </w:rPr>
        <w:t xml:space="preserve"> </w:t>
      </w:r>
      <w:r w:rsidR="002C620C" w:rsidRPr="003E0C66">
        <w:rPr>
          <w:rFonts w:eastAsia="Times New Roman"/>
          <w:i/>
        </w:rPr>
        <w:t>przeciwko Rosji</w:t>
      </w:r>
      <w:r w:rsidRPr="003E0C66">
        <w:rPr>
          <w:rFonts w:eastAsia="Times New Roman"/>
          <w:i/>
        </w:rPr>
        <w:t xml:space="preserve">, 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20077/04, § 58, 16 </w:t>
      </w:r>
      <w:r w:rsidR="002C620C" w:rsidRPr="003E0C66">
        <w:rPr>
          <w:rFonts w:eastAsia="Times New Roman"/>
        </w:rPr>
        <w:t xml:space="preserve">października </w:t>
      </w:r>
      <w:r w:rsidRPr="003E0C66">
        <w:rPr>
          <w:rFonts w:eastAsia="Times New Roman"/>
        </w:rPr>
        <w:t>2014</w:t>
      </w:r>
      <w:r w:rsidR="000F6983">
        <w:rPr>
          <w:rFonts w:eastAsia="Times New Roman"/>
        </w:rPr>
        <w:t xml:space="preserve"> roku</w:t>
      </w:r>
      <w:r w:rsidRPr="003E0C66">
        <w:rPr>
          <w:rFonts w:eastAsia="Times New Roman"/>
        </w:rPr>
        <w:t>).</w:t>
      </w:r>
    </w:p>
    <w:p w:rsidR="00C5349B" w:rsidRPr="003E0C66" w:rsidRDefault="002C620C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 xml:space="preserve"> W innych sprawach podejście wydaje się mniej jasne, ale przynajmniej </w:t>
      </w:r>
      <w:r w:rsidR="000F6983">
        <w:rPr>
          <w:rFonts w:eastAsia="Times New Roman"/>
        </w:rPr>
        <w:t xml:space="preserve"> była</w:t>
      </w:r>
      <w:r w:rsidR="000F6983" w:rsidRPr="003E0C66">
        <w:rPr>
          <w:rFonts w:eastAsia="Times New Roman"/>
        </w:rPr>
        <w:t xml:space="preserve"> </w:t>
      </w:r>
      <w:r w:rsidRPr="003E0C66">
        <w:rPr>
          <w:rFonts w:eastAsia="Times New Roman"/>
        </w:rPr>
        <w:t>tendencja do stwierdzenia, iż nieuzasadniona nieobecność kluczowego świadka stanowi naruszenie Konwencji (zobacz</w:t>
      </w:r>
      <w:r w:rsidR="00C5349B" w:rsidRPr="003E0C66">
        <w:rPr>
          <w:rFonts w:eastAsia="Times New Roman"/>
        </w:rPr>
        <w:t xml:space="preserve"> </w:t>
      </w:r>
      <w:proofErr w:type="spellStart"/>
      <w:r w:rsidR="00C5349B" w:rsidRPr="003E0C66">
        <w:rPr>
          <w:rFonts w:eastAsia="Times New Roman"/>
          <w:i/>
        </w:rPr>
        <w:t>Khodorkovskiy</w:t>
      </w:r>
      <w:proofErr w:type="spellEnd"/>
      <w:r w:rsidR="00C5349B" w:rsidRPr="003E0C66">
        <w:rPr>
          <w:rFonts w:eastAsia="Times New Roman"/>
          <w:i/>
        </w:rPr>
        <w:t xml:space="preserve"> </w:t>
      </w:r>
      <w:r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</w:t>
      </w:r>
      <w:proofErr w:type="spellStart"/>
      <w:r w:rsidR="00C5349B" w:rsidRPr="003E0C66">
        <w:rPr>
          <w:rFonts w:eastAsia="Times New Roman"/>
          <w:i/>
        </w:rPr>
        <w:t>Lebedev</w:t>
      </w:r>
      <w:proofErr w:type="spellEnd"/>
      <w:r w:rsidR="00C5349B" w:rsidRPr="003E0C66">
        <w:rPr>
          <w:rFonts w:eastAsia="Times New Roman"/>
          <w:i/>
        </w:rPr>
        <w:t xml:space="preserve"> </w:t>
      </w:r>
      <w:r w:rsidRPr="003E0C66">
        <w:rPr>
          <w:rFonts w:eastAsia="Times New Roman"/>
          <w:i/>
        </w:rPr>
        <w:t>przeciwko Rosji</w:t>
      </w:r>
      <w:r w:rsidRPr="003E0C66">
        <w:rPr>
          <w:rFonts w:eastAsia="Times New Roman"/>
        </w:rPr>
        <w:t xml:space="preserve">, 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11082/06 i</w:t>
      </w:r>
      <w:r w:rsidR="00C5349B" w:rsidRPr="003E0C66">
        <w:rPr>
          <w:rFonts w:eastAsia="Times New Roman"/>
        </w:rPr>
        <w:t xml:space="preserve"> 13772/05, § 715, 25 </w:t>
      </w:r>
      <w:r w:rsidRPr="003E0C66">
        <w:rPr>
          <w:rFonts w:eastAsia="Times New Roman"/>
        </w:rPr>
        <w:t>lipca 2013</w:t>
      </w:r>
      <w:r w:rsidR="00A87C45">
        <w:rPr>
          <w:rFonts w:eastAsia="Times New Roman"/>
        </w:rPr>
        <w:t xml:space="preserve"> roku</w:t>
      </w:r>
      <w:r w:rsidRPr="003E0C66">
        <w:rPr>
          <w:rFonts w:eastAsia="Times New Roman"/>
        </w:rPr>
        <w:t xml:space="preserve"> oraz</w:t>
      </w:r>
      <w:r w:rsidR="00C5349B" w:rsidRPr="003E0C66">
        <w:rPr>
          <w:rFonts w:eastAsia="Times New Roman"/>
        </w:rPr>
        <w:t xml:space="preserve"> </w:t>
      </w:r>
      <w:proofErr w:type="spellStart"/>
      <w:r w:rsidR="00C5349B" w:rsidRPr="003E0C66">
        <w:rPr>
          <w:rFonts w:eastAsia="Times New Roman"/>
          <w:i/>
        </w:rPr>
        <w:t>Cevat</w:t>
      </w:r>
      <w:proofErr w:type="spellEnd"/>
      <w:r w:rsidR="00C5349B" w:rsidRPr="003E0C66">
        <w:rPr>
          <w:rFonts w:eastAsia="Times New Roman"/>
          <w:i/>
        </w:rPr>
        <w:t xml:space="preserve"> </w:t>
      </w:r>
      <w:proofErr w:type="spellStart"/>
      <w:r w:rsidR="00C5349B" w:rsidRPr="003E0C66">
        <w:rPr>
          <w:rFonts w:eastAsia="Times New Roman"/>
          <w:i/>
        </w:rPr>
        <w:t>Soysal</w:t>
      </w:r>
      <w:proofErr w:type="spellEnd"/>
      <w:r w:rsidR="00C5349B" w:rsidRPr="003E0C66">
        <w:rPr>
          <w:rFonts w:eastAsia="Times New Roman"/>
          <w:i/>
        </w:rPr>
        <w:t xml:space="preserve"> </w:t>
      </w:r>
      <w:r w:rsidRPr="003E0C66">
        <w:rPr>
          <w:rFonts w:eastAsia="Times New Roman"/>
          <w:i/>
        </w:rPr>
        <w:t>przeciwko Turcji</w:t>
      </w:r>
      <w:r w:rsidRPr="003E0C66">
        <w:rPr>
          <w:rFonts w:eastAsia="Times New Roman"/>
        </w:rPr>
        <w:t xml:space="preserve">, 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17362/03, §§ 77-78, 23 września</w:t>
      </w:r>
      <w:r w:rsidR="00C5349B" w:rsidRPr="003E0C66">
        <w:rPr>
          <w:rFonts w:eastAsia="Times New Roman"/>
        </w:rPr>
        <w:t xml:space="preserve"> 2014</w:t>
      </w:r>
      <w:r w:rsidR="00A87C45">
        <w:rPr>
          <w:rFonts w:eastAsia="Times New Roman"/>
        </w:rPr>
        <w:t xml:space="preserve"> roku</w:t>
      </w:r>
      <w:r w:rsidR="00C5349B" w:rsidRPr="003E0C66">
        <w:rPr>
          <w:rFonts w:eastAsia="Times New Roman"/>
        </w:rPr>
        <w:t>).</w:t>
      </w:r>
    </w:p>
    <w:p w:rsidR="00111CFD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7.  </w:t>
      </w:r>
      <w:r w:rsidR="00A87C45">
        <w:rPr>
          <w:rFonts w:eastAsia="Times New Roman"/>
        </w:rPr>
        <w:t>Żałujemy</w:t>
      </w:r>
      <w:r w:rsidR="00EA2515" w:rsidRPr="003E0C66">
        <w:rPr>
          <w:rFonts w:eastAsia="Times New Roman"/>
        </w:rPr>
        <w:t xml:space="preserve">, </w:t>
      </w:r>
      <w:r w:rsidR="00111CFD">
        <w:rPr>
          <w:rFonts w:eastAsia="Times New Roman"/>
        </w:rPr>
        <w:t>że</w:t>
      </w:r>
      <w:r w:rsidR="00EA2515" w:rsidRPr="003E0C66">
        <w:rPr>
          <w:rFonts w:eastAsia="Times New Roman"/>
        </w:rPr>
        <w:t xml:space="preserve"> większość </w:t>
      </w:r>
      <w:r w:rsidR="00132DD1" w:rsidRPr="003E0C66">
        <w:rPr>
          <w:rFonts w:eastAsia="Times New Roman"/>
        </w:rPr>
        <w:t xml:space="preserve">w niniejszej sprawie przystąpiła do zbadania kolejnych </w:t>
      </w:r>
      <w:r w:rsidR="00A87C45">
        <w:rPr>
          <w:rFonts w:eastAsia="Times New Roman"/>
        </w:rPr>
        <w:t>etapów</w:t>
      </w:r>
      <w:r w:rsidR="00132DD1" w:rsidRPr="003E0C66">
        <w:rPr>
          <w:rFonts w:eastAsia="Times New Roman"/>
        </w:rPr>
        <w:t xml:space="preserve">, nawet w przypadku braku </w:t>
      </w:r>
      <w:r w:rsidR="00A87C45">
        <w:rPr>
          <w:rFonts w:eastAsia="Times New Roman"/>
        </w:rPr>
        <w:t>ważnego</w:t>
      </w:r>
      <w:r w:rsidR="00A87C45" w:rsidRPr="003E0C66">
        <w:rPr>
          <w:rFonts w:eastAsia="Times New Roman"/>
        </w:rPr>
        <w:t xml:space="preserve"> </w:t>
      </w:r>
      <w:r w:rsidR="00132DD1" w:rsidRPr="003E0C66">
        <w:rPr>
          <w:rFonts w:eastAsia="Times New Roman"/>
        </w:rPr>
        <w:t xml:space="preserve">powodu usprawiedliwiającego nieobecność świadków. Naszym zdaniem obrona musi mieć możliwość </w:t>
      </w:r>
      <w:r w:rsidR="00A87C45">
        <w:rPr>
          <w:rFonts w:eastAsia="Times New Roman"/>
        </w:rPr>
        <w:t>podważenia</w:t>
      </w:r>
      <w:r w:rsidR="00A87C45" w:rsidRPr="003E0C66">
        <w:rPr>
          <w:rFonts w:eastAsia="Times New Roman"/>
        </w:rPr>
        <w:t xml:space="preserve"> </w:t>
      </w:r>
      <w:r w:rsidR="00132DD1" w:rsidRPr="003E0C66">
        <w:rPr>
          <w:rFonts w:eastAsia="Times New Roman"/>
        </w:rPr>
        <w:t>każdych zeznań świadk</w:t>
      </w:r>
      <w:r w:rsidR="00A87C45">
        <w:rPr>
          <w:rFonts w:eastAsia="Times New Roman"/>
        </w:rPr>
        <w:t>a</w:t>
      </w:r>
      <w:r w:rsidR="00132DD1" w:rsidRPr="003E0C66">
        <w:rPr>
          <w:rFonts w:eastAsia="Times New Roman"/>
        </w:rPr>
        <w:t>, które mają znaczenie dla procesu. Jeśli sąd</w:t>
      </w:r>
      <w:r w:rsidR="00111CFD">
        <w:rPr>
          <w:rFonts w:eastAsia="Times New Roman"/>
        </w:rPr>
        <w:t>y krajowe nie mogą przedstawić „</w:t>
      </w:r>
      <w:r w:rsidR="00A87C45">
        <w:rPr>
          <w:rFonts w:eastAsia="Times New Roman"/>
        </w:rPr>
        <w:t>ważnych</w:t>
      </w:r>
      <w:r w:rsidR="00A87C45" w:rsidRPr="003E0C66">
        <w:rPr>
          <w:rFonts w:eastAsia="Times New Roman"/>
        </w:rPr>
        <w:t xml:space="preserve"> </w:t>
      </w:r>
      <w:r w:rsidR="00132DD1" w:rsidRPr="003E0C66">
        <w:rPr>
          <w:rFonts w:eastAsia="Times New Roman"/>
        </w:rPr>
        <w:t xml:space="preserve">powodów’’ usprawiedliwiających nieobecność świadków, to nastąpiło naruszenie Artykułu 6 </w:t>
      </w:r>
      <w:r w:rsidR="00A87C45" w:rsidRPr="003E0C66">
        <w:rPr>
          <w:rFonts w:eastAsia="Times New Roman"/>
        </w:rPr>
        <w:t>§</w:t>
      </w:r>
      <w:r w:rsidR="00132DD1" w:rsidRPr="003E0C66">
        <w:rPr>
          <w:rFonts w:eastAsia="Times New Roman"/>
        </w:rPr>
        <w:t>§ 1 i 3 (d) Konwencji. Nie tylko z powodów logicznych</w:t>
      </w:r>
      <w:r w:rsidR="00213357" w:rsidRPr="003E0C66">
        <w:rPr>
          <w:rFonts w:eastAsia="Times New Roman"/>
        </w:rPr>
        <w:t>,</w:t>
      </w:r>
      <w:r w:rsidR="00132DD1" w:rsidRPr="003E0C66">
        <w:rPr>
          <w:rFonts w:eastAsia="Times New Roman"/>
        </w:rPr>
        <w:t xml:space="preserve"> ale także </w:t>
      </w:r>
      <w:r w:rsidR="00A87C45">
        <w:rPr>
          <w:rFonts w:eastAsia="Times New Roman"/>
        </w:rPr>
        <w:t>w interesie efektywności pracy</w:t>
      </w:r>
      <w:r w:rsidR="00132DD1" w:rsidRPr="003E0C66">
        <w:rPr>
          <w:rFonts w:eastAsia="Times New Roman"/>
        </w:rPr>
        <w:t xml:space="preserve"> Trybunału i </w:t>
      </w:r>
      <w:r w:rsidR="00AC03F7">
        <w:rPr>
          <w:rFonts w:eastAsia="Times New Roman"/>
        </w:rPr>
        <w:t xml:space="preserve">ze względów </w:t>
      </w:r>
      <w:r w:rsidR="00132DD1" w:rsidRPr="003E0C66">
        <w:rPr>
          <w:rFonts w:eastAsia="Times New Roman"/>
        </w:rPr>
        <w:t>ekonomi</w:t>
      </w:r>
      <w:r w:rsidR="00AC03F7">
        <w:rPr>
          <w:rFonts w:eastAsia="Times New Roman"/>
        </w:rPr>
        <w:t>ki</w:t>
      </w:r>
      <w:r w:rsidR="00132DD1" w:rsidRPr="003E0C66">
        <w:rPr>
          <w:rFonts w:eastAsia="Times New Roman"/>
        </w:rPr>
        <w:t xml:space="preserve"> procesow</w:t>
      </w:r>
      <w:r w:rsidR="00AC03F7">
        <w:rPr>
          <w:rFonts w:eastAsia="Times New Roman"/>
        </w:rPr>
        <w:t>ej</w:t>
      </w:r>
      <w:r w:rsidR="00213357" w:rsidRPr="003E0C66">
        <w:rPr>
          <w:rFonts w:eastAsia="Times New Roman"/>
        </w:rPr>
        <w:t xml:space="preserve"> w takich okolicznościach </w:t>
      </w:r>
      <w:r w:rsidR="00AC03F7">
        <w:rPr>
          <w:rFonts w:eastAsia="Times New Roman"/>
        </w:rPr>
        <w:t>będziemy optować za stwierdzeniem</w:t>
      </w:r>
      <w:r w:rsidR="00213357" w:rsidRPr="003E0C66">
        <w:rPr>
          <w:rFonts w:eastAsia="Times New Roman"/>
        </w:rPr>
        <w:t xml:space="preserve"> naruszeni</w:t>
      </w:r>
      <w:r w:rsidR="00AC03F7">
        <w:rPr>
          <w:rFonts w:eastAsia="Times New Roman"/>
        </w:rPr>
        <w:t>a</w:t>
      </w:r>
      <w:r w:rsidR="00213357" w:rsidRPr="003E0C66">
        <w:rPr>
          <w:rFonts w:eastAsia="Times New Roman"/>
        </w:rPr>
        <w:t xml:space="preserve"> na </w:t>
      </w:r>
      <w:r w:rsidR="00AC03F7">
        <w:rPr>
          <w:rFonts w:eastAsia="Times New Roman"/>
        </w:rPr>
        <w:t xml:space="preserve">tak wstępnym </w:t>
      </w:r>
      <w:r w:rsidR="00213357" w:rsidRPr="003E0C66">
        <w:rPr>
          <w:rFonts w:eastAsia="Times New Roman"/>
        </w:rPr>
        <w:t xml:space="preserve">etapie </w:t>
      </w:r>
      <w:r w:rsidR="00AC03F7">
        <w:rPr>
          <w:rFonts w:eastAsia="Times New Roman"/>
        </w:rPr>
        <w:t>orzekania</w:t>
      </w:r>
      <w:r w:rsidR="00213357" w:rsidRPr="003E0C66">
        <w:rPr>
          <w:rFonts w:eastAsia="Times New Roman"/>
        </w:rPr>
        <w:t>.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8. </w:t>
      </w:r>
      <w:r w:rsidR="00A64674" w:rsidRPr="003E0C66">
        <w:rPr>
          <w:rFonts w:eastAsia="Times New Roman"/>
        </w:rPr>
        <w:t xml:space="preserve">Ponadto </w:t>
      </w:r>
      <w:r w:rsidR="009E38AD" w:rsidRPr="003E0C66">
        <w:rPr>
          <w:rFonts w:eastAsia="Times New Roman"/>
        </w:rPr>
        <w:t>uważamy</w:t>
      </w:r>
      <w:r w:rsidR="00A64674" w:rsidRPr="003E0C66">
        <w:rPr>
          <w:rFonts w:eastAsia="Times New Roman"/>
        </w:rPr>
        <w:t>,</w:t>
      </w:r>
      <w:r w:rsidR="009E38AD" w:rsidRPr="003E0C66">
        <w:rPr>
          <w:rFonts w:eastAsia="Times New Roman"/>
        </w:rPr>
        <w:t xml:space="preserve"> iż konieczna jest kolejna uwaga. Podejście Trybunału (zobacz paragrafy 123 i 124 wyroku) zmniejsza znaczenie drugiego etapu badania (czy dowód był </w:t>
      </w:r>
      <w:r w:rsidR="00AC03F7">
        <w:rPr>
          <w:rFonts w:eastAsia="Times New Roman"/>
        </w:rPr>
        <w:t>„jedyny</w:t>
      </w:r>
      <w:r w:rsidR="00AC03F7" w:rsidRPr="003E0C66">
        <w:rPr>
          <w:rFonts w:eastAsia="Times New Roman"/>
        </w:rPr>
        <w:t xml:space="preserve"> </w:t>
      </w:r>
      <w:r w:rsidR="009E38AD" w:rsidRPr="003E0C66">
        <w:rPr>
          <w:rFonts w:eastAsia="Times New Roman"/>
        </w:rPr>
        <w:t xml:space="preserve">lub decydujący”). Sędzia krajowy w rzeczywistości </w:t>
      </w:r>
      <w:r w:rsidR="00AC03F7">
        <w:rPr>
          <w:rFonts w:eastAsia="Times New Roman"/>
        </w:rPr>
        <w:t>będzie unikał</w:t>
      </w:r>
      <w:r w:rsidR="00AC03F7" w:rsidRPr="003E0C66">
        <w:rPr>
          <w:rFonts w:eastAsia="Times New Roman"/>
        </w:rPr>
        <w:t xml:space="preserve"> </w:t>
      </w:r>
      <w:r w:rsidR="009E38AD" w:rsidRPr="003E0C66">
        <w:rPr>
          <w:rFonts w:eastAsia="Times New Roman"/>
        </w:rPr>
        <w:t xml:space="preserve">scharakteryzowania dowodu z zeznań </w:t>
      </w:r>
      <w:r w:rsidR="00AC03F7">
        <w:rPr>
          <w:rFonts w:eastAsia="Times New Roman"/>
        </w:rPr>
        <w:t xml:space="preserve">„ze słyszenia” </w:t>
      </w:r>
      <w:r w:rsidR="009E38AD" w:rsidRPr="003E0C66">
        <w:rPr>
          <w:rFonts w:eastAsia="Times New Roman"/>
        </w:rPr>
        <w:t xml:space="preserve">jako </w:t>
      </w:r>
      <w:r w:rsidR="00111CFD">
        <w:rPr>
          <w:rFonts w:eastAsia="Times New Roman"/>
        </w:rPr>
        <w:t>„</w:t>
      </w:r>
      <w:r w:rsidR="00AC03F7">
        <w:rPr>
          <w:rFonts w:eastAsia="Times New Roman"/>
        </w:rPr>
        <w:t>jedynego</w:t>
      </w:r>
      <w:r w:rsidR="00AC03F7" w:rsidRPr="003E0C66">
        <w:rPr>
          <w:rFonts w:eastAsia="Times New Roman"/>
        </w:rPr>
        <w:t xml:space="preserve"> </w:t>
      </w:r>
      <w:r w:rsidR="00AC03F7">
        <w:rPr>
          <w:rFonts w:eastAsia="Times New Roman"/>
        </w:rPr>
        <w:t>lub</w:t>
      </w:r>
      <w:r w:rsidR="00AC03F7" w:rsidRPr="003E0C66">
        <w:rPr>
          <w:rFonts w:eastAsia="Times New Roman"/>
        </w:rPr>
        <w:t xml:space="preserve"> </w:t>
      </w:r>
      <w:r w:rsidR="009E38AD" w:rsidRPr="003E0C66">
        <w:rPr>
          <w:rFonts w:eastAsia="Times New Roman"/>
        </w:rPr>
        <w:t>decy</w:t>
      </w:r>
      <w:r w:rsidR="00AC03F7">
        <w:rPr>
          <w:rFonts w:eastAsia="Times New Roman"/>
        </w:rPr>
        <w:t>dującego</w:t>
      </w:r>
      <w:r w:rsidR="009E38AD" w:rsidRPr="003E0C66">
        <w:rPr>
          <w:rFonts w:eastAsia="Times New Roman"/>
        </w:rPr>
        <w:t>”. Sprawa ta jest dobrym przykładem tego problemu. Sądy krajowe scharakteryzowały zeznania świadków O. i P. jako</w:t>
      </w:r>
      <w:r w:rsidR="00111CFD">
        <w:rPr>
          <w:rFonts w:eastAsia="Times New Roman"/>
        </w:rPr>
        <w:t xml:space="preserve"> „</w:t>
      </w:r>
      <w:proofErr w:type="spellStart"/>
      <w:r w:rsidRPr="003E0C66">
        <w:rPr>
          <w:rFonts w:eastAsia="Times New Roman"/>
          <w:i/>
        </w:rPr>
        <w:t>massgeblich</w:t>
      </w:r>
      <w:proofErr w:type="spellEnd"/>
      <w:r w:rsidRPr="003E0C66">
        <w:rPr>
          <w:rFonts w:eastAsia="Times New Roman"/>
        </w:rPr>
        <w:t>”,</w:t>
      </w:r>
      <w:r w:rsidR="009E38AD" w:rsidRPr="003E0C66">
        <w:rPr>
          <w:rFonts w:eastAsia="Times New Roman"/>
        </w:rPr>
        <w:t xml:space="preserve"> </w:t>
      </w:r>
      <w:r w:rsidR="00AC03F7">
        <w:rPr>
          <w:rFonts w:eastAsia="Times New Roman"/>
        </w:rPr>
        <w:t>mając na myśli</w:t>
      </w:r>
      <w:r w:rsidR="00AE688F" w:rsidRPr="003E0C66">
        <w:rPr>
          <w:rFonts w:eastAsia="Times New Roman"/>
        </w:rPr>
        <w:t xml:space="preserve"> </w:t>
      </w:r>
      <w:r w:rsidR="00AC03F7">
        <w:rPr>
          <w:rFonts w:eastAsia="Times New Roman"/>
        </w:rPr>
        <w:t>„decydujące” i identyfikujące</w:t>
      </w:r>
      <w:r w:rsidR="00AC03F7" w:rsidRPr="003E0C66">
        <w:rPr>
          <w:rFonts w:eastAsia="Times New Roman"/>
        </w:rPr>
        <w:t xml:space="preserve"> </w:t>
      </w:r>
      <w:r w:rsidR="00AE688F" w:rsidRPr="003E0C66">
        <w:rPr>
          <w:rFonts w:eastAsia="Times New Roman"/>
        </w:rPr>
        <w:t xml:space="preserve">O. i P. </w:t>
      </w:r>
      <w:r w:rsidR="00AC03F7">
        <w:rPr>
          <w:rFonts w:eastAsia="Times New Roman"/>
        </w:rPr>
        <w:t xml:space="preserve">jako </w:t>
      </w:r>
      <w:r w:rsidR="00AE688F" w:rsidRPr="003E0C66">
        <w:rPr>
          <w:rFonts w:eastAsia="Times New Roman"/>
        </w:rPr>
        <w:t>kluczowy</w:t>
      </w:r>
      <w:r w:rsidR="00AC03F7">
        <w:rPr>
          <w:rFonts w:eastAsia="Times New Roman"/>
        </w:rPr>
        <w:t>ch</w:t>
      </w:r>
      <w:r w:rsidR="00AE688F" w:rsidRPr="003E0C66">
        <w:rPr>
          <w:rFonts w:eastAsia="Times New Roman"/>
        </w:rPr>
        <w:t xml:space="preserve"> </w:t>
      </w:r>
      <w:r w:rsidR="00AC03F7" w:rsidRPr="003E0C66">
        <w:rPr>
          <w:rFonts w:eastAsia="Times New Roman"/>
        </w:rPr>
        <w:t>świadków</w:t>
      </w:r>
      <w:r w:rsidR="00AE688F" w:rsidRPr="003E0C66">
        <w:rPr>
          <w:rFonts w:eastAsia="Times New Roman"/>
        </w:rPr>
        <w:t>. W tym kontekście ważnym jest</w:t>
      </w:r>
      <w:r w:rsidR="005D3804" w:rsidRPr="003E0C66">
        <w:rPr>
          <w:rFonts w:eastAsia="Times New Roman"/>
        </w:rPr>
        <w:t>,</w:t>
      </w:r>
      <w:r w:rsidR="00AE688F" w:rsidRPr="003E0C66">
        <w:rPr>
          <w:rFonts w:eastAsia="Times New Roman"/>
        </w:rPr>
        <w:t xml:space="preserve"> aby Trybunał wykroczył poza sformuł</w:t>
      </w:r>
      <w:r w:rsidR="005D3804" w:rsidRPr="003E0C66">
        <w:rPr>
          <w:rFonts w:eastAsia="Times New Roman"/>
        </w:rPr>
        <w:t>owany</w:t>
      </w:r>
      <w:r w:rsidR="00AE688F" w:rsidRPr="003E0C66">
        <w:rPr>
          <w:rFonts w:eastAsia="Times New Roman"/>
        </w:rPr>
        <w:t xml:space="preserve"> przez sąd krajowy </w:t>
      </w:r>
      <w:r w:rsidR="005D3804" w:rsidRPr="003E0C66">
        <w:rPr>
          <w:rFonts w:eastAsia="Times New Roman"/>
        </w:rPr>
        <w:t>opis, w świetle drugiego etapu (jak zrobił to w paragrafach 143 i 144 wyroku). W przeci</w:t>
      </w:r>
      <w:r w:rsidR="00A64674" w:rsidRPr="003E0C66">
        <w:rPr>
          <w:rFonts w:eastAsia="Times New Roman"/>
        </w:rPr>
        <w:t>wnym razie doprowadzi to do dwu</w:t>
      </w:r>
      <w:r w:rsidR="005D3804" w:rsidRPr="003E0C66">
        <w:rPr>
          <w:rFonts w:eastAsia="Times New Roman"/>
        </w:rPr>
        <w:t xml:space="preserve">etapowego badania, w ramach którego koniecznym będzie jedynie zbadanie, czy </w:t>
      </w:r>
      <w:r w:rsidR="005D3804" w:rsidRPr="003E0C66">
        <w:rPr>
          <w:rFonts w:eastAsia="Times New Roman"/>
        </w:rPr>
        <w:lastRenderedPageBreak/>
        <w:t xml:space="preserve">wystąpiły </w:t>
      </w:r>
      <w:r w:rsidR="00AC03F7">
        <w:rPr>
          <w:rFonts w:eastAsia="Times New Roman"/>
        </w:rPr>
        <w:t>ważne</w:t>
      </w:r>
      <w:r w:rsidR="00AC03F7" w:rsidRPr="003E0C66">
        <w:rPr>
          <w:rFonts w:eastAsia="Times New Roman"/>
        </w:rPr>
        <w:t xml:space="preserve"> </w:t>
      </w:r>
      <w:r w:rsidR="005D3804" w:rsidRPr="003E0C66">
        <w:rPr>
          <w:rFonts w:eastAsia="Times New Roman"/>
        </w:rPr>
        <w:t>powody usprawiedliwiające nieobecno</w:t>
      </w:r>
      <w:r w:rsidR="00A64674" w:rsidRPr="003E0C66">
        <w:rPr>
          <w:rFonts w:eastAsia="Times New Roman"/>
        </w:rPr>
        <w:t>ść świadk</w:t>
      </w:r>
      <w:r w:rsidR="00E77B90">
        <w:rPr>
          <w:rFonts w:eastAsia="Times New Roman"/>
        </w:rPr>
        <w:t>a</w:t>
      </w:r>
      <w:r w:rsidR="00A64674" w:rsidRPr="003E0C66">
        <w:rPr>
          <w:rFonts w:eastAsia="Times New Roman"/>
        </w:rPr>
        <w:t xml:space="preserve"> oraz wystarczające </w:t>
      </w:r>
      <w:r w:rsidR="005D3804" w:rsidRPr="003E0C66">
        <w:rPr>
          <w:rFonts w:eastAsia="Times New Roman"/>
        </w:rPr>
        <w:t xml:space="preserve">środki wyrównawcze.   </w:t>
      </w:r>
      <w:r w:rsidR="00AE688F" w:rsidRPr="003E0C66">
        <w:rPr>
          <w:rFonts w:eastAsia="Times New Roman"/>
        </w:rPr>
        <w:t xml:space="preserve"> </w:t>
      </w:r>
      <w:r w:rsidR="009E38AD" w:rsidRPr="003E0C66">
        <w:rPr>
          <w:rFonts w:eastAsia="Times New Roman"/>
        </w:rPr>
        <w:t xml:space="preserve">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9.  </w:t>
      </w:r>
      <w:r w:rsidR="005D3804" w:rsidRPr="003E0C66">
        <w:rPr>
          <w:rFonts w:eastAsia="Times New Roman"/>
        </w:rPr>
        <w:t>Zgadzamy się z tym, iż Trybunał powinien dokładnie zbadać</w:t>
      </w:r>
      <w:r w:rsidR="00E77B90">
        <w:rPr>
          <w:rFonts w:eastAsia="Times New Roman"/>
        </w:rPr>
        <w:t>,</w:t>
      </w:r>
      <w:r w:rsidR="005D3804" w:rsidRPr="003E0C66">
        <w:rPr>
          <w:rFonts w:eastAsia="Times New Roman"/>
        </w:rPr>
        <w:t xml:space="preserve"> czy władze krajowe zastosowały wystarczające środki wyrównawcze (zobacz paragraf 125 i nast.).   </w:t>
      </w:r>
    </w:p>
    <w:p w:rsidR="00C5349B" w:rsidRPr="003E0C66" w:rsidRDefault="00B14674" w:rsidP="00BC0CE7">
      <w:pPr>
        <w:pStyle w:val="OpiHA"/>
        <w:ind w:left="720" w:hanging="436"/>
        <w:rPr>
          <w:rFonts w:eastAsia="Times New Roman"/>
        </w:rPr>
      </w:pPr>
      <w:r w:rsidRPr="003E0C66">
        <w:rPr>
          <w:rFonts w:eastAsia="Times New Roman"/>
        </w:rPr>
        <w:t>II.  </w:t>
      </w:r>
      <w:r w:rsidR="005D3804" w:rsidRPr="003E0C66">
        <w:rPr>
          <w:rFonts w:eastAsia="Times New Roman"/>
        </w:rPr>
        <w:t xml:space="preserve">Zastosowanie tych zasad w niniejszej sprawie  </w:t>
      </w:r>
    </w:p>
    <w:p w:rsidR="00C5349B" w:rsidRPr="003E0C66" w:rsidRDefault="00C5349B" w:rsidP="00FA3031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10. </w:t>
      </w:r>
      <w:r w:rsidR="002E31D5" w:rsidRPr="003E0C66">
        <w:rPr>
          <w:rFonts w:eastAsia="Times New Roman"/>
        </w:rPr>
        <w:t xml:space="preserve"> W niniejszej sprawie Trybunał zbadał najpierw, czy zaistniał </w:t>
      </w:r>
      <w:r w:rsidR="00A97069">
        <w:rPr>
          <w:rFonts w:eastAsia="Times New Roman"/>
        </w:rPr>
        <w:t>ważny</w:t>
      </w:r>
      <w:r w:rsidR="00A97069" w:rsidRPr="003E0C66">
        <w:rPr>
          <w:rFonts w:eastAsia="Times New Roman"/>
        </w:rPr>
        <w:t xml:space="preserve"> </w:t>
      </w:r>
      <w:r w:rsidR="002E31D5" w:rsidRPr="003E0C66">
        <w:rPr>
          <w:rFonts w:eastAsia="Times New Roman"/>
        </w:rPr>
        <w:t xml:space="preserve">powód usprawiedliwiający nieobecność świadków O. i P. </w:t>
      </w:r>
      <w:r w:rsidR="00A97069">
        <w:rPr>
          <w:rFonts w:eastAsia="Times New Roman"/>
        </w:rPr>
        <w:t>na</w:t>
      </w:r>
      <w:r w:rsidR="00A97069" w:rsidRPr="003E0C66">
        <w:rPr>
          <w:rFonts w:eastAsia="Times New Roman"/>
        </w:rPr>
        <w:t xml:space="preserve"> </w:t>
      </w:r>
      <w:r w:rsidR="002E31D5" w:rsidRPr="003E0C66">
        <w:rPr>
          <w:rFonts w:eastAsia="Times New Roman"/>
        </w:rPr>
        <w:t>rozpraw</w:t>
      </w:r>
      <w:r w:rsidR="00A97069">
        <w:rPr>
          <w:rFonts w:eastAsia="Times New Roman"/>
        </w:rPr>
        <w:t>ie</w:t>
      </w:r>
      <w:r w:rsidR="002E31D5" w:rsidRPr="003E0C66">
        <w:rPr>
          <w:rFonts w:eastAsia="Times New Roman"/>
        </w:rPr>
        <w:t xml:space="preserve">. Następnie ustalił, czy dowód z zeznań świadków był </w:t>
      </w:r>
      <w:r w:rsidR="00111CFD">
        <w:rPr>
          <w:rFonts w:eastAsia="Times New Roman"/>
        </w:rPr>
        <w:t>jedynym</w:t>
      </w:r>
      <w:r w:rsidR="002E31D5" w:rsidRPr="003E0C66">
        <w:rPr>
          <w:rFonts w:eastAsia="Times New Roman"/>
        </w:rPr>
        <w:t xml:space="preserve"> lub </w:t>
      </w:r>
      <w:r w:rsidR="00A97069">
        <w:rPr>
          <w:rFonts w:eastAsia="Times New Roman"/>
        </w:rPr>
        <w:t>decydujący</w:t>
      </w:r>
      <w:r w:rsidR="00111CFD">
        <w:rPr>
          <w:rFonts w:eastAsia="Times New Roman"/>
        </w:rPr>
        <w:t>m</w:t>
      </w:r>
      <w:r w:rsidR="00A97069" w:rsidRPr="003E0C66">
        <w:rPr>
          <w:rFonts w:eastAsia="Times New Roman"/>
        </w:rPr>
        <w:t xml:space="preserve"> </w:t>
      </w:r>
      <w:r w:rsidR="00A97069">
        <w:rPr>
          <w:rFonts w:eastAsia="Times New Roman"/>
        </w:rPr>
        <w:t>dla</w:t>
      </w:r>
      <w:r w:rsidR="002E31D5" w:rsidRPr="003E0C66">
        <w:rPr>
          <w:rFonts w:eastAsia="Times New Roman"/>
        </w:rPr>
        <w:t xml:space="preserve"> skazani</w:t>
      </w:r>
      <w:r w:rsidR="00A97069">
        <w:rPr>
          <w:rFonts w:eastAsia="Times New Roman"/>
        </w:rPr>
        <w:t>a</w:t>
      </w:r>
      <w:r w:rsidR="002E31D5" w:rsidRPr="003E0C66">
        <w:rPr>
          <w:rFonts w:eastAsia="Times New Roman"/>
        </w:rPr>
        <w:t xml:space="preserve"> skarżącego przez sąd krajowy. Po </w:t>
      </w:r>
      <w:r w:rsidR="00A97069">
        <w:rPr>
          <w:rFonts w:eastAsia="Times New Roman"/>
        </w:rPr>
        <w:t xml:space="preserve">odpowiedzeniu na te pytania w sposób </w:t>
      </w:r>
      <w:r w:rsidR="008849BC">
        <w:rPr>
          <w:rFonts w:eastAsia="Times New Roman"/>
        </w:rPr>
        <w:t>twierdzący</w:t>
      </w:r>
      <w:r w:rsidR="002E31D5" w:rsidRPr="003E0C66">
        <w:rPr>
          <w:rFonts w:eastAsia="Times New Roman"/>
        </w:rPr>
        <w:t xml:space="preserve">, Trybunał </w:t>
      </w:r>
      <w:r w:rsidR="00216CDE" w:rsidRPr="003E0C66">
        <w:rPr>
          <w:rFonts w:eastAsia="Times New Roman"/>
        </w:rPr>
        <w:t xml:space="preserve">zbadał różne czynniki wyrównujące, kończąc na ocenie ogólnej </w:t>
      </w:r>
      <w:r w:rsidR="008849BC">
        <w:rPr>
          <w:rFonts w:eastAsia="Times New Roman"/>
        </w:rPr>
        <w:t>rzetelności</w:t>
      </w:r>
      <w:r w:rsidR="008849BC" w:rsidRPr="003E0C66">
        <w:rPr>
          <w:rFonts w:eastAsia="Times New Roman"/>
        </w:rPr>
        <w:t xml:space="preserve"> </w:t>
      </w:r>
      <w:r w:rsidR="00216CDE" w:rsidRPr="003E0C66">
        <w:rPr>
          <w:rFonts w:eastAsia="Times New Roman"/>
        </w:rPr>
        <w:t xml:space="preserve">procesu. </w:t>
      </w:r>
      <w:r w:rsidR="002E31D5" w:rsidRPr="003E0C66">
        <w:rPr>
          <w:rFonts w:eastAsia="Times New Roman"/>
        </w:rPr>
        <w:t xml:space="preserve"> </w:t>
      </w:r>
      <w:r w:rsidRPr="003E0C66">
        <w:rPr>
          <w:rFonts w:eastAsia="Times New Roman"/>
        </w:rPr>
        <w:t> </w:t>
      </w:r>
    </w:p>
    <w:p w:rsidR="00C5349B" w:rsidRPr="003E0C66" w:rsidRDefault="00C5349B" w:rsidP="006B03DB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11.  </w:t>
      </w:r>
      <w:r w:rsidR="00216CDE" w:rsidRPr="003E0C66">
        <w:rPr>
          <w:rFonts w:eastAsia="Times New Roman"/>
        </w:rPr>
        <w:t>Zgadzamy się ze zdaniem większości, wyrażonym w paragrafie 140,</w:t>
      </w:r>
      <w:r w:rsidR="006B03DB" w:rsidRPr="003E0C66">
        <w:rPr>
          <w:rFonts w:eastAsia="Times New Roman"/>
        </w:rPr>
        <w:t xml:space="preserve"> iż</w:t>
      </w:r>
      <w:r w:rsidR="00216CDE" w:rsidRPr="003E0C66">
        <w:rPr>
          <w:rFonts w:eastAsia="Times New Roman"/>
        </w:rPr>
        <w:t xml:space="preserve"> zaistniał </w:t>
      </w:r>
      <w:r w:rsidR="008849BC">
        <w:rPr>
          <w:rFonts w:eastAsia="Times New Roman"/>
        </w:rPr>
        <w:t>ważny</w:t>
      </w:r>
      <w:r w:rsidR="008849BC" w:rsidRPr="003E0C66">
        <w:rPr>
          <w:rFonts w:eastAsia="Times New Roman"/>
        </w:rPr>
        <w:t xml:space="preserve"> </w:t>
      </w:r>
      <w:r w:rsidR="00216CDE" w:rsidRPr="003E0C66">
        <w:rPr>
          <w:rFonts w:eastAsia="Times New Roman"/>
        </w:rPr>
        <w:t>powód usprawiedliwiający nieobecność świadków O. i P. Nie jest koniecznym, aby na tym etapie</w:t>
      </w:r>
      <w:r w:rsidR="006B03DB" w:rsidRPr="003E0C66">
        <w:rPr>
          <w:rFonts w:eastAsia="Times New Roman"/>
        </w:rPr>
        <w:t xml:space="preserve"> weryfikować czy przedstawione powody były wystarczające. W każdym razie </w:t>
      </w:r>
      <w:r w:rsidR="008849BC">
        <w:rPr>
          <w:rFonts w:eastAsia="Times New Roman"/>
        </w:rPr>
        <w:t>s</w:t>
      </w:r>
      <w:r w:rsidR="006B03DB" w:rsidRPr="003E0C66">
        <w:rPr>
          <w:rFonts w:eastAsia="Times New Roman"/>
        </w:rPr>
        <w:t>ąd orzekający podjął wszelkie możliwe starania, aby zapewnić obecność świadków podczas rozprawy</w:t>
      </w:r>
      <w:r w:rsidRPr="003E0C66">
        <w:rPr>
          <w:rFonts w:eastAsia="Times New Roman"/>
        </w:rPr>
        <w:t>.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12.  </w:t>
      </w:r>
      <w:r w:rsidR="006B03DB" w:rsidRPr="003E0C66">
        <w:rPr>
          <w:rFonts w:eastAsia="Times New Roman"/>
        </w:rPr>
        <w:t>W pełni podzielamy stwierdzenie Trybunału z paragrafu 144. Pragniemy podkreślić</w:t>
      </w:r>
      <w:r w:rsidR="008849BC">
        <w:rPr>
          <w:rFonts w:eastAsia="Times New Roman"/>
        </w:rPr>
        <w:t>, że prosty</w:t>
      </w:r>
      <w:r w:rsidR="006B03DB" w:rsidRPr="003E0C66">
        <w:rPr>
          <w:rFonts w:eastAsia="Times New Roman"/>
        </w:rPr>
        <w:t xml:space="preserve"> fakt, iż O. i P. były jedynymi naocznymi świadkami zdarzenia</w:t>
      </w:r>
      <w:r w:rsidR="008849BC">
        <w:rPr>
          <w:rFonts w:eastAsia="Times New Roman"/>
        </w:rPr>
        <w:t>,</w:t>
      </w:r>
      <w:r w:rsidR="006B03DB" w:rsidRPr="003E0C66">
        <w:rPr>
          <w:rFonts w:eastAsia="Times New Roman"/>
        </w:rPr>
        <w:t xml:space="preserve"> o którym mowa w niniejszej sprawie, </w:t>
      </w:r>
      <w:r w:rsidR="008849BC">
        <w:rPr>
          <w:rFonts w:eastAsia="Times New Roman"/>
        </w:rPr>
        <w:t>wystarczył Trybunałowi</w:t>
      </w:r>
      <w:r w:rsidR="006B03DB" w:rsidRPr="003E0C66">
        <w:rPr>
          <w:rFonts w:eastAsia="Times New Roman"/>
        </w:rPr>
        <w:t xml:space="preserve"> by uznać ich zeznania </w:t>
      </w:r>
      <w:r w:rsidR="008849BC">
        <w:rPr>
          <w:rFonts w:eastAsia="Times New Roman"/>
        </w:rPr>
        <w:t>za</w:t>
      </w:r>
      <w:r w:rsidR="008849BC" w:rsidRPr="003E0C66">
        <w:rPr>
          <w:rFonts w:eastAsia="Times New Roman"/>
        </w:rPr>
        <w:t xml:space="preserve"> </w:t>
      </w:r>
      <w:r w:rsidR="00111CFD">
        <w:rPr>
          <w:rFonts w:eastAsia="Times New Roman"/>
        </w:rPr>
        <w:t>‘”</w:t>
      </w:r>
      <w:r w:rsidR="006B03DB" w:rsidRPr="003E0C66">
        <w:rPr>
          <w:rFonts w:eastAsia="Times New Roman"/>
        </w:rPr>
        <w:t>decydujące’’ (zobacz także</w:t>
      </w:r>
      <w:r w:rsidR="008849BC">
        <w:rPr>
          <w:rFonts w:eastAsia="Times New Roman"/>
        </w:rPr>
        <w:t>,</w:t>
      </w:r>
      <w:r w:rsidR="006B03DB" w:rsidRPr="003E0C66">
        <w:rPr>
          <w:rFonts w:eastAsia="Times New Roman"/>
        </w:rPr>
        <w:t xml:space="preserve"> w tym kontekście</w:t>
      </w:r>
      <w:r w:rsidR="008849BC">
        <w:rPr>
          <w:rFonts w:eastAsia="Times New Roman"/>
        </w:rPr>
        <w:t>,</w:t>
      </w:r>
      <w:r w:rsidR="006B03DB" w:rsidRPr="003E0C66">
        <w:rPr>
          <w:rFonts w:eastAsia="Times New Roman"/>
        </w:rPr>
        <w:t xml:space="preserve"> paragraf 8 powyżej).   </w:t>
      </w:r>
    </w:p>
    <w:p w:rsidR="00C5349B" w:rsidRPr="003E0C66" w:rsidRDefault="00C5349B" w:rsidP="005A196C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13.  </w:t>
      </w:r>
      <w:r w:rsidR="006B03DB" w:rsidRPr="003E0C66">
        <w:rPr>
          <w:rFonts w:eastAsia="Times New Roman"/>
        </w:rPr>
        <w:t xml:space="preserve">Przed rozważeniem ostatniego etapu badania </w:t>
      </w:r>
      <w:r w:rsidRPr="003E0C66">
        <w:rPr>
          <w:rFonts w:eastAsia="Times New Roman"/>
          <w:i/>
        </w:rPr>
        <w:t xml:space="preserve">Al-Khawaja </w:t>
      </w:r>
      <w:r w:rsidR="006B03DB" w:rsidRPr="003E0C66">
        <w:rPr>
          <w:rFonts w:eastAsia="Times New Roman"/>
          <w:i/>
        </w:rPr>
        <w:t>i</w:t>
      </w:r>
      <w:r w:rsidRPr="003E0C66">
        <w:rPr>
          <w:rFonts w:eastAsia="Times New Roman"/>
          <w:i/>
        </w:rPr>
        <w:t xml:space="preserve"> Tahery</w:t>
      </w:r>
      <w:r w:rsidR="006B03DB" w:rsidRPr="003E0C66">
        <w:rPr>
          <w:rFonts w:eastAsia="Times New Roman"/>
          <w:i/>
        </w:rPr>
        <w:t xml:space="preserve"> </w:t>
      </w:r>
      <w:r w:rsidR="006B03DB" w:rsidRPr="00FA3031">
        <w:rPr>
          <w:rFonts w:eastAsia="Times New Roman"/>
        </w:rPr>
        <w:t>(czynniki wyrównawcze)</w:t>
      </w:r>
      <w:r w:rsidR="006B03DB" w:rsidRPr="003E0C66">
        <w:rPr>
          <w:rFonts w:eastAsia="Times New Roman"/>
          <w:i/>
        </w:rPr>
        <w:t xml:space="preserve"> </w:t>
      </w:r>
      <w:r w:rsidR="006B03DB" w:rsidRPr="003E0C66">
        <w:rPr>
          <w:rFonts w:eastAsia="Times New Roman"/>
        </w:rPr>
        <w:t xml:space="preserve">konieczna jest wstępna uwaga. Na szczeblu krajowym istnieje </w:t>
      </w:r>
      <w:r w:rsidR="008849BC">
        <w:rPr>
          <w:rFonts w:eastAsia="Times New Roman"/>
        </w:rPr>
        <w:t xml:space="preserve">ostatnio </w:t>
      </w:r>
      <w:r w:rsidR="006B03DB" w:rsidRPr="003E0C66">
        <w:rPr>
          <w:rFonts w:eastAsia="Times New Roman"/>
        </w:rPr>
        <w:t xml:space="preserve">tendencja </w:t>
      </w:r>
      <w:r w:rsidR="008849BC">
        <w:rPr>
          <w:rFonts w:eastAsia="Times New Roman"/>
        </w:rPr>
        <w:t>do przesuwania</w:t>
      </w:r>
      <w:r w:rsidR="005A196C" w:rsidRPr="003E0C66">
        <w:rPr>
          <w:rFonts w:eastAsia="Times New Roman"/>
        </w:rPr>
        <w:t xml:space="preserve"> środków</w:t>
      </w:r>
      <w:r w:rsidR="006B03DB" w:rsidRPr="003E0C66">
        <w:rPr>
          <w:rFonts w:eastAsia="Times New Roman"/>
        </w:rPr>
        <w:t xml:space="preserve"> proceduralnych, które powinny mieć </w:t>
      </w:r>
      <w:r w:rsidR="008849BC">
        <w:rPr>
          <w:rFonts w:eastAsia="Times New Roman"/>
        </w:rPr>
        <w:t>zastosowanie</w:t>
      </w:r>
      <w:r w:rsidR="008849BC" w:rsidRPr="003E0C66">
        <w:rPr>
          <w:rFonts w:eastAsia="Times New Roman"/>
        </w:rPr>
        <w:t xml:space="preserve"> </w:t>
      </w:r>
      <w:r w:rsidR="006B03DB" w:rsidRPr="003E0C66">
        <w:rPr>
          <w:rFonts w:eastAsia="Times New Roman"/>
        </w:rPr>
        <w:t>podczas rozprawy, do etapu dochodzenia; postępowanie przeciwko skarżącemu</w:t>
      </w:r>
      <w:r w:rsidR="008849BC">
        <w:rPr>
          <w:rFonts w:eastAsia="Times New Roman"/>
        </w:rPr>
        <w:t xml:space="preserve"> w niniejszej sprawie</w:t>
      </w:r>
      <w:r w:rsidR="006B03DB" w:rsidRPr="003E0C66">
        <w:rPr>
          <w:rFonts w:eastAsia="Times New Roman"/>
        </w:rPr>
        <w:t xml:space="preserve"> jest tego dobrym przykładem. Kiedy Trybunał </w:t>
      </w:r>
      <w:r w:rsidR="008849BC">
        <w:rPr>
          <w:rFonts w:eastAsia="Times New Roman"/>
        </w:rPr>
        <w:t>spotka się z takim przesunięciem</w:t>
      </w:r>
      <w:r w:rsidR="006B03DB" w:rsidRPr="003E0C66">
        <w:rPr>
          <w:rFonts w:eastAsia="Times New Roman"/>
        </w:rPr>
        <w:t xml:space="preserve"> </w:t>
      </w:r>
      <w:r w:rsidR="008849BC">
        <w:rPr>
          <w:rFonts w:eastAsia="Times New Roman"/>
        </w:rPr>
        <w:t>widzimy d</w:t>
      </w:r>
      <w:r w:rsidR="005A196C" w:rsidRPr="003E0C66">
        <w:rPr>
          <w:rFonts w:eastAsia="Times New Roman"/>
        </w:rPr>
        <w:t xml:space="preserve">wie różne </w:t>
      </w:r>
      <w:r w:rsidR="008849BC">
        <w:rPr>
          <w:rFonts w:eastAsia="Times New Roman"/>
        </w:rPr>
        <w:t xml:space="preserve">możliwe </w:t>
      </w:r>
      <w:r w:rsidR="005A196C" w:rsidRPr="003E0C66">
        <w:rPr>
          <w:rFonts w:eastAsia="Times New Roman"/>
        </w:rPr>
        <w:t xml:space="preserve">reakcje. Z jednej strony Trybunał może uznać to za całkowicie niezgodne z Konwencją. Nie jest to opcja, którą przyjął Trybunał. Z drugiej strony Trybunał może zezwolić na </w:t>
      </w:r>
      <w:r w:rsidR="009F18FF">
        <w:rPr>
          <w:rFonts w:eastAsia="Times New Roman"/>
        </w:rPr>
        <w:t>podejmowanie</w:t>
      </w:r>
      <w:r w:rsidR="009F18FF" w:rsidRPr="003E0C66">
        <w:rPr>
          <w:rFonts w:eastAsia="Times New Roman"/>
        </w:rPr>
        <w:t xml:space="preserve"> </w:t>
      </w:r>
      <w:r w:rsidR="005A196C" w:rsidRPr="003E0C66">
        <w:rPr>
          <w:rFonts w:eastAsia="Times New Roman"/>
        </w:rPr>
        <w:t>takich kroków na etapie dochodzenia. Jednakże</w:t>
      </w:r>
      <w:r w:rsidR="00DC7401">
        <w:rPr>
          <w:rFonts w:eastAsia="Times New Roman"/>
        </w:rPr>
        <w:t>,</w:t>
      </w:r>
      <w:r w:rsidR="005A196C" w:rsidRPr="003E0C66">
        <w:rPr>
          <w:rFonts w:eastAsia="Times New Roman"/>
        </w:rPr>
        <w:t xml:space="preserve"> jeśli Trybunał uzna takie przesunięcie środków </w:t>
      </w:r>
      <w:r w:rsidR="00DC7401">
        <w:rPr>
          <w:rFonts w:eastAsia="Times New Roman"/>
        </w:rPr>
        <w:t xml:space="preserve">proceduralnych </w:t>
      </w:r>
      <w:r w:rsidR="005A196C" w:rsidRPr="003E0C66">
        <w:rPr>
          <w:rFonts w:eastAsia="Times New Roman"/>
        </w:rPr>
        <w:t xml:space="preserve">do etapu dochodzenia za zgodne z Konwencją, musi jasno zaznaczyć, iż należy ściśle przestrzegać odpowiednich gwarancji proceduralnych. W przeciwnym razie prawo do konfrontacji świadka podczas procesu zostanie poważnie osłabione. W sprawie </w:t>
      </w:r>
      <w:proofErr w:type="spellStart"/>
      <w:r w:rsidRPr="003E0C66">
        <w:rPr>
          <w:rFonts w:eastAsia="Times New Roman"/>
          <w:i/>
        </w:rPr>
        <w:t>Salduz</w:t>
      </w:r>
      <w:proofErr w:type="spellEnd"/>
      <w:r w:rsidRPr="003E0C66">
        <w:rPr>
          <w:rFonts w:eastAsia="Times New Roman"/>
          <w:i/>
        </w:rPr>
        <w:t xml:space="preserve"> </w:t>
      </w:r>
      <w:r w:rsidR="005A196C" w:rsidRPr="003E0C66">
        <w:rPr>
          <w:rFonts w:eastAsia="Times New Roman"/>
          <w:i/>
        </w:rPr>
        <w:t>przeciwko Turcji</w:t>
      </w:r>
      <w:r w:rsidR="005A196C" w:rsidRPr="003E0C66">
        <w:rPr>
          <w:rFonts w:eastAsia="Times New Roman"/>
        </w:rPr>
        <w:t xml:space="preserve"> ([GC], 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36391/02, § 54, </w:t>
      </w:r>
      <w:r w:rsidR="00F749AE" w:rsidRPr="003E0C66">
        <w:rPr>
          <w:rFonts w:eastAsia="Times New Roman"/>
        </w:rPr>
        <w:t>ETPCZ</w:t>
      </w:r>
      <w:r w:rsidRPr="003E0C66">
        <w:rPr>
          <w:rFonts w:eastAsia="Times New Roman"/>
        </w:rPr>
        <w:t xml:space="preserve"> 2008) </w:t>
      </w:r>
      <w:r w:rsidR="00111CFD">
        <w:rPr>
          <w:rFonts w:eastAsia="Times New Roman"/>
        </w:rPr>
        <w:t>Trybunał podkreślił „</w:t>
      </w:r>
      <w:r w:rsidR="005A196C" w:rsidRPr="003E0C66">
        <w:rPr>
          <w:rFonts w:eastAsia="Times New Roman"/>
        </w:rPr>
        <w:t>znaczenie etapu dochodzenia dla przygotowania postęp</w:t>
      </w:r>
      <w:r w:rsidR="00B23DCD" w:rsidRPr="003E0C66">
        <w:rPr>
          <w:rFonts w:eastAsia="Times New Roman"/>
        </w:rPr>
        <w:t xml:space="preserve">owania karnego, </w:t>
      </w:r>
      <w:r w:rsidR="00DC7401">
        <w:rPr>
          <w:rFonts w:eastAsia="Times New Roman"/>
        </w:rPr>
        <w:t>jako że</w:t>
      </w:r>
      <w:r w:rsidR="00DC7401" w:rsidRPr="003E0C66">
        <w:rPr>
          <w:rFonts w:eastAsia="Times New Roman"/>
        </w:rPr>
        <w:t xml:space="preserve"> </w:t>
      </w:r>
      <w:r w:rsidR="005A196C" w:rsidRPr="003E0C66">
        <w:rPr>
          <w:rFonts w:eastAsia="Times New Roman"/>
        </w:rPr>
        <w:t>dow</w:t>
      </w:r>
      <w:r w:rsidR="00111CFD">
        <w:rPr>
          <w:rFonts w:eastAsia="Times New Roman"/>
        </w:rPr>
        <w:t>ody</w:t>
      </w:r>
      <w:r w:rsidR="005A196C" w:rsidRPr="003E0C66">
        <w:rPr>
          <w:rFonts w:eastAsia="Times New Roman"/>
        </w:rPr>
        <w:t xml:space="preserve"> </w:t>
      </w:r>
      <w:r w:rsidR="00445054" w:rsidRPr="003E0C66">
        <w:rPr>
          <w:rFonts w:eastAsia="Times New Roman"/>
        </w:rPr>
        <w:t>uzyskan</w:t>
      </w:r>
      <w:r w:rsidR="00111CFD">
        <w:rPr>
          <w:rFonts w:eastAsia="Times New Roman"/>
        </w:rPr>
        <w:t>e</w:t>
      </w:r>
      <w:r w:rsidR="00445054" w:rsidRPr="003E0C66">
        <w:rPr>
          <w:rFonts w:eastAsia="Times New Roman"/>
        </w:rPr>
        <w:t xml:space="preserve"> podczas tego etapu </w:t>
      </w:r>
      <w:r w:rsidR="00DC7401">
        <w:rPr>
          <w:rFonts w:eastAsia="Times New Roman"/>
        </w:rPr>
        <w:t>określa</w:t>
      </w:r>
      <w:r w:rsidR="00111CFD">
        <w:rPr>
          <w:rFonts w:eastAsia="Times New Roman"/>
        </w:rPr>
        <w:t>ją</w:t>
      </w:r>
      <w:r w:rsidR="00DC7401" w:rsidRPr="003E0C66">
        <w:rPr>
          <w:rFonts w:eastAsia="Times New Roman"/>
        </w:rPr>
        <w:t xml:space="preserve"> </w:t>
      </w:r>
      <w:r w:rsidR="00445054" w:rsidRPr="003E0C66">
        <w:rPr>
          <w:rFonts w:eastAsia="Times New Roman"/>
        </w:rPr>
        <w:t xml:space="preserve">ramy, </w:t>
      </w:r>
      <w:r w:rsidR="00111CFD">
        <w:rPr>
          <w:rFonts w:eastAsia="Times New Roman"/>
        </w:rPr>
        <w:t>w jakich</w:t>
      </w:r>
      <w:r w:rsidR="00DC7401">
        <w:rPr>
          <w:rFonts w:eastAsia="Times New Roman"/>
        </w:rPr>
        <w:t xml:space="preserve"> zarzucane</w:t>
      </w:r>
      <w:r w:rsidR="00445054" w:rsidRPr="003E0C66">
        <w:rPr>
          <w:rFonts w:eastAsia="Times New Roman"/>
        </w:rPr>
        <w:t xml:space="preserve"> przestępstwo</w:t>
      </w:r>
      <w:r w:rsidR="009279E3" w:rsidRPr="003E0C66">
        <w:rPr>
          <w:rFonts w:eastAsia="Times New Roman"/>
        </w:rPr>
        <w:t xml:space="preserve"> będzie </w:t>
      </w:r>
      <w:r w:rsidR="008B4E29" w:rsidRPr="003E0C66">
        <w:rPr>
          <w:rFonts w:eastAsia="Times New Roman"/>
        </w:rPr>
        <w:t xml:space="preserve">rozpatrywane podczas procesu...’’ </w:t>
      </w:r>
      <w:r w:rsidR="009279E3" w:rsidRPr="003E0C66">
        <w:rPr>
          <w:rFonts w:eastAsia="Times New Roman"/>
        </w:rPr>
        <w:t xml:space="preserve"> </w:t>
      </w:r>
      <w:r w:rsidR="00445054" w:rsidRPr="003E0C66">
        <w:rPr>
          <w:rFonts w:eastAsia="Times New Roman"/>
        </w:rPr>
        <w:t xml:space="preserve"> </w:t>
      </w:r>
      <w:r w:rsidR="005A196C" w:rsidRPr="003E0C66">
        <w:rPr>
          <w:rFonts w:eastAsia="Times New Roman"/>
        </w:rPr>
        <w:t xml:space="preserve"> 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lastRenderedPageBreak/>
        <w:t>14.</w:t>
      </w:r>
      <w:r w:rsidR="004F659C" w:rsidRPr="003E0C66">
        <w:rPr>
          <w:rFonts w:eastAsia="Times New Roman"/>
        </w:rPr>
        <w:t xml:space="preserve"> W tej sytuacji widzimy pewne trudności</w:t>
      </w:r>
      <w:r w:rsidR="00DC7401">
        <w:rPr>
          <w:rFonts w:eastAsia="Times New Roman"/>
        </w:rPr>
        <w:t xml:space="preserve"> w przedmiotowej sprawie</w:t>
      </w:r>
      <w:r w:rsidR="00400C38" w:rsidRPr="003E0C66">
        <w:rPr>
          <w:rFonts w:eastAsia="Times New Roman"/>
        </w:rPr>
        <w:t xml:space="preserve">. Prawo niemieckie </w:t>
      </w:r>
      <w:r w:rsidR="00DC7401">
        <w:rPr>
          <w:rFonts w:eastAsia="Times New Roman"/>
        </w:rPr>
        <w:t>przewiduje</w:t>
      </w:r>
      <w:r w:rsidR="00DC7401" w:rsidRPr="003E0C66">
        <w:rPr>
          <w:rFonts w:eastAsia="Times New Roman"/>
        </w:rPr>
        <w:t xml:space="preserve"> </w:t>
      </w:r>
      <w:r w:rsidR="00400C38" w:rsidRPr="003E0C66">
        <w:rPr>
          <w:rFonts w:eastAsia="Times New Roman"/>
        </w:rPr>
        <w:t xml:space="preserve">dwie gwarancje dla opisanej sytuacji. Zgodnie z Artykułem 168c § 2 Kodeksu </w:t>
      </w:r>
      <w:r w:rsidR="00DC7401">
        <w:rPr>
          <w:rFonts w:eastAsia="Times New Roman"/>
        </w:rPr>
        <w:t>p</w:t>
      </w:r>
      <w:r w:rsidR="00400C38" w:rsidRPr="003E0C66">
        <w:rPr>
          <w:rFonts w:eastAsia="Times New Roman"/>
        </w:rPr>
        <w:t xml:space="preserve">ostępowania </w:t>
      </w:r>
      <w:r w:rsidR="00DC7401">
        <w:rPr>
          <w:rFonts w:eastAsia="Times New Roman"/>
        </w:rPr>
        <w:t>k</w:t>
      </w:r>
      <w:r w:rsidR="00400C38" w:rsidRPr="003E0C66">
        <w:rPr>
          <w:rFonts w:eastAsia="Times New Roman"/>
        </w:rPr>
        <w:t xml:space="preserve">arnego oskarżony </w:t>
      </w:r>
      <w:r w:rsidR="00DC7401">
        <w:rPr>
          <w:rFonts w:eastAsia="Times New Roman"/>
        </w:rPr>
        <w:t>(</w:t>
      </w:r>
      <w:r w:rsidR="00400C38" w:rsidRPr="003E0C66">
        <w:rPr>
          <w:rFonts w:eastAsia="Times New Roman"/>
        </w:rPr>
        <w:t>i jego lub jej obrońca</w:t>
      </w:r>
      <w:r w:rsidR="00DC7401">
        <w:rPr>
          <w:rFonts w:eastAsia="Times New Roman"/>
        </w:rPr>
        <w:t>)</w:t>
      </w:r>
      <w:r w:rsidR="00400C38" w:rsidRPr="003E0C66">
        <w:rPr>
          <w:rFonts w:eastAsia="Times New Roman"/>
        </w:rPr>
        <w:t xml:space="preserve"> może być obecny podczas przesłuchania świadka przez sędziego na etapie przedprocesowym. W wyjątkowych przypadkach oskarżony może zostać wykluczony z przesłuchania, jeśli jego lub jej obecność mogłaby zagrozić wynikowi lub celowi przesłuchania, </w:t>
      </w:r>
      <w:r w:rsidR="00DC7401">
        <w:rPr>
          <w:rFonts w:eastAsia="Times New Roman"/>
        </w:rPr>
        <w:t>w szczególności</w:t>
      </w:r>
      <w:r w:rsidR="00400C38" w:rsidRPr="003E0C66">
        <w:rPr>
          <w:rFonts w:eastAsia="Times New Roman"/>
        </w:rPr>
        <w:t xml:space="preserve"> jeśli istnieje </w:t>
      </w:r>
      <w:r w:rsidR="00F26A23">
        <w:rPr>
          <w:rFonts w:eastAsia="Times New Roman"/>
        </w:rPr>
        <w:t xml:space="preserve">uzasadniona </w:t>
      </w:r>
      <w:r w:rsidR="00400C38" w:rsidRPr="003E0C66">
        <w:rPr>
          <w:rFonts w:eastAsia="Times New Roman"/>
        </w:rPr>
        <w:t>obawa, ż</w:t>
      </w:r>
      <w:r w:rsidR="00F26A23">
        <w:rPr>
          <w:rFonts w:eastAsia="Times New Roman"/>
        </w:rPr>
        <w:t>e</w:t>
      </w:r>
      <w:r w:rsidR="00400C38" w:rsidRPr="003E0C66">
        <w:rPr>
          <w:rFonts w:eastAsia="Times New Roman"/>
        </w:rPr>
        <w:t xml:space="preserve"> świadek nie powie prawdy w obecności oskarżonego (Artykuł 168c § 2 K</w:t>
      </w:r>
      <w:r w:rsidR="00F26A23">
        <w:rPr>
          <w:rFonts w:eastAsia="Times New Roman"/>
        </w:rPr>
        <w:t>pk</w:t>
      </w:r>
      <w:r w:rsidR="00400C38" w:rsidRPr="003E0C66">
        <w:rPr>
          <w:rFonts w:eastAsia="Times New Roman"/>
        </w:rPr>
        <w:t>). Mamy wątpliwości</w:t>
      </w:r>
      <w:r w:rsidR="00F26A23">
        <w:rPr>
          <w:rFonts w:eastAsia="Times New Roman"/>
        </w:rPr>
        <w:t>, czy</w:t>
      </w:r>
      <w:r w:rsidR="00400C38" w:rsidRPr="003E0C66">
        <w:rPr>
          <w:rFonts w:eastAsia="Times New Roman"/>
        </w:rPr>
        <w:t xml:space="preserve"> wykluczenie skarżącego z przesłuchania w tej sprawie było zgodne z </w:t>
      </w:r>
      <w:r w:rsidR="00F26A23">
        <w:rPr>
          <w:rFonts w:eastAsia="Times New Roman"/>
        </w:rPr>
        <w:t>wymogami</w:t>
      </w:r>
      <w:r w:rsidR="00F26A23" w:rsidRPr="003E0C66">
        <w:rPr>
          <w:rFonts w:eastAsia="Times New Roman"/>
        </w:rPr>
        <w:t xml:space="preserve"> </w:t>
      </w:r>
      <w:r w:rsidR="00400C38" w:rsidRPr="003E0C66">
        <w:rPr>
          <w:rFonts w:eastAsia="Times New Roman"/>
        </w:rPr>
        <w:t>zawartymi w Artykule 168c §</w:t>
      </w:r>
      <w:r w:rsidR="00F26A23">
        <w:rPr>
          <w:rFonts w:eastAsia="Times New Roman"/>
        </w:rPr>
        <w:t xml:space="preserve"> </w:t>
      </w:r>
      <w:r w:rsidR="00400C38" w:rsidRPr="003E0C66">
        <w:rPr>
          <w:rFonts w:eastAsia="Times New Roman"/>
        </w:rPr>
        <w:t>2 K</w:t>
      </w:r>
      <w:r w:rsidR="00F26A23">
        <w:rPr>
          <w:rFonts w:eastAsia="Times New Roman"/>
        </w:rPr>
        <w:t>pk</w:t>
      </w:r>
      <w:r w:rsidR="00400C38" w:rsidRPr="003E0C66">
        <w:rPr>
          <w:rFonts w:eastAsia="Times New Roman"/>
        </w:rPr>
        <w:t xml:space="preserve">. Oskarżony i </w:t>
      </w:r>
      <w:r w:rsidR="00F26A23">
        <w:rPr>
          <w:rFonts w:eastAsia="Times New Roman"/>
        </w:rPr>
        <w:t>świadek</w:t>
      </w:r>
      <w:r w:rsidR="00F26A23" w:rsidRPr="003E0C66">
        <w:rPr>
          <w:rFonts w:eastAsia="Times New Roman"/>
        </w:rPr>
        <w:t xml:space="preserve"> </w:t>
      </w:r>
      <w:r w:rsidR="00400C38" w:rsidRPr="003E0C66">
        <w:rPr>
          <w:rFonts w:eastAsia="Times New Roman"/>
        </w:rPr>
        <w:t>znali się. W tym aspek</w:t>
      </w:r>
      <w:r w:rsidR="005A471F" w:rsidRPr="003E0C66">
        <w:rPr>
          <w:rFonts w:eastAsia="Times New Roman"/>
        </w:rPr>
        <w:t>cie można odróżnić tę sprawę od sprawy</w:t>
      </w:r>
      <w:r w:rsidRPr="003E0C66">
        <w:rPr>
          <w:rFonts w:eastAsia="Times New Roman"/>
        </w:rPr>
        <w:t xml:space="preserve"> </w:t>
      </w:r>
      <w:proofErr w:type="spellStart"/>
      <w:r w:rsidRPr="003E0C66">
        <w:rPr>
          <w:rFonts w:eastAsia="Times New Roman"/>
          <w:i/>
        </w:rPr>
        <w:t>Pesukic</w:t>
      </w:r>
      <w:proofErr w:type="spellEnd"/>
      <w:r w:rsidRPr="003E0C66">
        <w:rPr>
          <w:rFonts w:eastAsia="Times New Roman"/>
          <w:i/>
        </w:rPr>
        <w:t xml:space="preserve"> </w:t>
      </w:r>
      <w:r w:rsidR="005A471F" w:rsidRPr="003E0C66">
        <w:rPr>
          <w:rFonts w:eastAsia="Times New Roman"/>
          <w:i/>
        </w:rPr>
        <w:t xml:space="preserve">przeciwko Szwajcarii </w:t>
      </w:r>
      <w:r w:rsidR="005A471F" w:rsidRPr="003E0C66">
        <w:rPr>
          <w:rFonts w:eastAsia="Times New Roman"/>
        </w:rPr>
        <w:t>(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25088/07, 6 </w:t>
      </w:r>
      <w:r w:rsidR="005A471F" w:rsidRPr="003E0C66">
        <w:rPr>
          <w:rFonts w:eastAsia="Times New Roman"/>
        </w:rPr>
        <w:t>grudnia</w:t>
      </w:r>
      <w:r w:rsidRPr="003E0C66">
        <w:rPr>
          <w:rFonts w:eastAsia="Times New Roman"/>
        </w:rPr>
        <w:t xml:space="preserve"> 2012</w:t>
      </w:r>
      <w:r w:rsidR="00F26A23">
        <w:rPr>
          <w:rFonts w:eastAsia="Times New Roman"/>
        </w:rPr>
        <w:t xml:space="preserve"> roku</w:t>
      </w:r>
      <w:r w:rsidRPr="003E0C66">
        <w:rPr>
          <w:rFonts w:eastAsia="Times New Roman"/>
        </w:rPr>
        <w:t>)</w:t>
      </w:r>
      <w:r w:rsidR="00F26A23">
        <w:rPr>
          <w:rFonts w:eastAsia="Times New Roman"/>
        </w:rPr>
        <w:t>,</w:t>
      </w:r>
      <w:r w:rsidR="005A471F" w:rsidRPr="003E0C66">
        <w:rPr>
          <w:rFonts w:eastAsia="Times New Roman"/>
        </w:rPr>
        <w:t xml:space="preserve"> w której </w:t>
      </w:r>
      <w:r w:rsidR="00F26A23">
        <w:rPr>
          <w:rFonts w:eastAsia="Times New Roman"/>
        </w:rPr>
        <w:t>istniała obawa</w:t>
      </w:r>
      <w:r w:rsidR="005A471F" w:rsidRPr="003E0C66">
        <w:rPr>
          <w:rFonts w:eastAsia="Times New Roman"/>
        </w:rPr>
        <w:t xml:space="preserve"> ujawnieni</w:t>
      </w:r>
      <w:r w:rsidR="00F26A23">
        <w:rPr>
          <w:rFonts w:eastAsia="Times New Roman"/>
        </w:rPr>
        <w:t>a</w:t>
      </w:r>
      <w:r w:rsidR="005A471F" w:rsidRPr="003E0C66">
        <w:rPr>
          <w:rFonts w:eastAsia="Times New Roman"/>
        </w:rPr>
        <w:t xml:space="preserve"> tożsamości świadka. Jednakże </w:t>
      </w:r>
      <w:r w:rsidR="00F26A23">
        <w:rPr>
          <w:rFonts w:eastAsia="Times New Roman"/>
        </w:rPr>
        <w:t xml:space="preserve">gdy </w:t>
      </w:r>
      <w:r w:rsidR="005A471F" w:rsidRPr="003E0C66">
        <w:rPr>
          <w:rFonts w:eastAsia="Times New Roman"/>
        </w:rPr>
        <w:t>oskarżony zostanie wykluczony z przesłuchania, jego obrońca ma prawo być obecny</w:t>
      </w:r>
      <w:r w:rsidRPr="003E0C66">
        <w:rPr>
          <w:rFonts w:eastAsia="Times New Roman"/>
        </w:rPr>
        <w:t>.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15.</w:t>
      </w:r>
      <w:r w:rsidR="005A471F" w:rsidRPr="003E0C66">
        <w:rPr>
          <w:rFonts w:eastAsia="Times New Roman"/>
        </w:rPr>
        <w:t xml:space="preserve"> Druga gwarancja musi zostać rozpatrzona w świetle pierwszej. Zgodnie z Artykułem 141 § 3 K</w:t>
      </w:r>
      <w:r w:rsidR="00F26A23">
        <w:rPr>
          <w:rFonts w:eastAsia="Times New Roman"/>
        </w:rPr>
        <w:t>pk</w:t>
      </w:r>
      <w:r w:rsidR="005A471F" w:rsidRPr="003E0C66">
        <w:rPr>
          <w:rFonts w:eastAsia="Times New Roman"/>
        </w:rPr>
        <w:t xml:space="preserve"> prokurator może </w:t>
      </w:r>
      <w:r w:rsidR="00F26A23">
        <w:rPr>
          <w:rFonts w:eastAsia="Times New Roman"/>
        </w:rPr>
        <w:t>zapewnić oskarżonemu na etapie przed</w:t>
      </w:r>
      <w:r w:rsidR="00F26A23" w:rsidRPr="003E0C66">
        <w:rPr>
          <w:rFonts w:eastAsia="Times New Roman"/>
        </w:rPr>
        <w:t xml:space="preserve">procesowym </w:t>
      </w:r>
      <w:r w:rsidR="00F26A23">
        <w:rPr>
          <w:rFonts w:eastAsia="Times New Roman"/>
        </w:rPr>
        <w:t>pomoc obrońcy</w:t>
      </w:r>
      <w:r w:rsidR="00C40D3C" w:rsidRPr="003E0C66">
        <w:rPr>
          <w:rFonts w:eastAsia="Times New Roman"/>
        </w:rPr>
        <w:t xml:space="preserve">. Niezależnie od niepewności co do </w:t>
      </w:r>
      <w:r w:rsidR="00C1046D" w:rsidRPr="003E0C66">
        <w:rPr>
          <w:rFonts w:eastAsia="Times New Roman"/>
        </w:rPr>
        <w:t>właściwej interpretacji tego przepisu</w:t>
      </w:r>
      <w:r w:rsidR="005A3B1C" w:rsidRPr="003E0C66">
        <w:rPr>
          <w:rFonts w:eastAsia="Times New Roman"/>
        </w:rPr>
        <w:t xml:space="preserve"> (zobacz paragrafy 58 i </w:t>
      </w:r>
      <w:r w:rsidR="00F37217">
        <w:rPr>
          <w:rFonts w:eastAsia="Times New Roman"/>
        </w:rPr>
        <w:t>nast. oraz paragraf 154 wyroku)</w:t>
      </w:r>
      <w:r w:rsidR="005A3B1C" w:rsidRPr="003E0C66">
        <w:rPr>
          <w:rFonts w:eastAsia="Times New Roman"/>
        </w:rPr>
        <w:t xml:space="preserve"> władze krajowe nie przedstawiły powodów</w:t>
      </w:r>
      <w:r w:rsidR="00A64674" w:rsidRPr="003E0C66">
        <w:rPr>
          <w:rFonts w:eastAsia="Times New Roman"/>
        </w:rPr>
        <w:t>,</w:t>
      </w:r>
      <w:r w:rsidR="005A3B1C" w:rsidRPr="003E0C66">
        <w:rPr>
          <w:rFonts w:eastAsia="Times New Roman"/>
        </w:rPr>
        <w:t xml:space="preserve"> dla których </w:t>
      </w:r>
      <w:r w:rsidR="00184B8D" w:rsidRPr="003E0C66">
        <w:rPr>
          <w:rFonts w:eastAsia="Times New Roman"/>
        </w:rPr>
        <w:t xml:space="preserve">w sprawie skarżącego nie zastosowano </w:t>
      </w:r>
      <w:r w:rsidR="00F26A23">
        <w:rPr>
          <w:rFonts w:eastAsia="Times New Roman"/>
        </w:rPr>
        <w:t>standardu</w:t>
      </w:r>
      <w:r w:rsidR="00F26A23" w:rsidRPr="003E0C66">
        <w:rPr>
          <w:rFonts w:eastAsia="Times New Roman"/>
        </w:rPr>
        <w:t xml:space="preserve"> wynikając</w:t>
      </w:r>
      <w:r w:rsidR="00F26A23">
        <w:rPr>
          <w:rFonts w:eastAsia="Times New Roman"/>
        </w:rPr>
        <w:t>ego</w:t>
      </w:r>
      <w:r w:rsidR="00F26A23" w:rsidRPr="003E0C66">
        <w:rPr>
          <w:rFonts w:eastAsia="Times New Roman"/>
        </w:rPr>
        <w:t xml:space="preserve"> </w:t>
      </w:r>
      <w:r w:rsidR="00184B8D" w:rsidRPr="003E0C66">
        <w:rPr>
          <w:rFonts w:eastAsia="Times New Roman"/>
        </w:rPr>
        <w:t>z Artykułu 141c K</w:t>
      </w:r>
      <w:r w:rsidR="00F26A23">
        <w:rPr>
          <w:rFonts w:eastAsia="Times New Roman"/>
        </w:rPr>
        <w:t>pk</w:t>
      </w:r>
      <w:r w:rsidR="00184B8D" w:rsidRPr="003E0C66">
        <w:rPr>
          <w:rFonts w:eastAsia="Times New Roman"/>
        </w:rPr>
        <w:t xml:space="preserve">. </w:t>
      </w:r>
      <w:r w:rsidR="005A471F" w:rsidRPr="003E0C66">
        <w:rPr>
          <w:rFonts w:eastAsia="Times New Roman"/>
        </w:rPr>
        <w:t xml:space="preserve"> </w:t>
      </w:r>
      <w:r w:rsidRPr="003E0C66">
        <w:rPr>
          <w:rFonts w:eastAsia="Times New Roman"/>
        </w:rPr>
        <w:t>  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16.</w:t>
      </w:r>
      <w:r w:rsidR="00184B8D" w:rsidRPr="003E0C66">
        <w:rPr>
          <w:rFonts w:eastAsia="Times New Roman"/>
        </w:rPr>
        <w:t xml:space="preserve"> W świetle szczególnych okoliczności niniejszej sprawy niezastosowanie obu gwarancji przewidzianych prawem krajowym </w:t>
      </w:r>
      <w:r w:rsidR="00F26A23">
        <w:rPr>
          <w:rFonts w:eastAsia="Times New Roman"/>
        </w:rPr>
        <w:t>musi być postrzegane jako</w:t>
      </w:r>
      <w:r w:rsidR="00F26A23" w:rsidRPr="003E0C66">
        <w:rPr>
          <w:rFonts w:eastAsia="Times New Roman"/>
        </w:rPr>
        <w:t xml:space="preserve"> </w:t>
      </w:r>
      <w:r w:rsidR="00184B8D" w:rsidRPr="003E0C66">
        <w:rPr>
          <w:rFonts w:eastAsia="Times New Roman"/>
        </w:rPr>
        <w:t xml:space="preserve">poważne uchybienie w postępowaniu przedprocesowym. Jeśli gwarancje te nie </w:t>
      </w:r>
      <w:r w:rsidR="00F26A23">
        <w:rPr>
          <w:rFonts w:eastAsia="Times New Roman"/>
        </w:rPr>
        <w:t>są rygorystycznie</w:t>
      </w:r>
      <w:r w:rsidR="00F26A23" w:rsidRPr="003E0C66">
        <w:rPr>
          <w:rFonts w:eastAsia="Times New Roman"/>
        </w:rPr>
        <w:t xml:space="preserve"> </w:t>
      </w:r>
      <w:r w:rsidR="00184B8D" w:rsidRPr="003E0C66">
        <w:rPr>
          <w:rFonts w:eastAsia="Times New Roman"/>
        </w:rPr>
        <w:t xml:space="preserve">stosowane </w:t>
      </w:r>
      <w:r w:rsidR="00F26A23">
        <w:rPr>
          <w:rFonts w:eastAsia="Times New Roman"/>
        </w:rPr>
        <w:t>na</w:t>
      </w:r>
      <w:r w:rsidR="00F26A23" w:rsidRPr="003E0C66">
        <w:rPr>
          <w:rFonts w:eastAsia="Times New Roman"/>
        </w:rPr>
        <w:t xml:space="preserve"> </w:t>
      </w:r>
      <w:r w:rsidR="00184B8D" w:rsidRPr="003E0C66">
        <w:rPr>
          <w:rFonts w:eastAsia="Times New Roman"/>
        </w:rPr>
        <w:t xml:space="preserve">wczesnych etapach dochodzenia, prawa zagwarantowane w Artykule 6 § 3 (d) Konwencji mogą w czasie procesu stracić na </w:t>
      </w:r>
      <w:r w:rsidR="00F26A23">
        <w:rPr>
          <w:rFonts w:eastAsia="Times New Roman"/>
        </w:rPr>
        <w:t>znaczeniu</w:t>
      </w:r>
      <w:r w:rsidR="00184B8D" w:rsidRPr="003E0C66">
        <w:rPr>
          <w:rFonts w:eastAsia="Times New Roman"/>
        </w:rPr>
        <w:t xml:space="preserve">.    </w:t>
      </w:r>
      <w:r w:rsidRPr="003E0C66">
        <w:rPr>
          <w:rFonts w:eastAsia="Times New Roman"/>
        </w:rPr>
        <w:t> </w:t>
      </w:r>
    </w:p>
    <w:p w:rsidR="00C5349B" w:rsidRPr="003E0C66" w:rsidRDefault="00B14674" w:rsidP="00BC0CE7">
      <w:pPr>
        <w:pStyle w:val="OpiHA"/>
        <w:ind w:left="720" w:hanging="436"/>
        <w:rPr>
          <w:rFonts w:eastAsia="Times New Roman"/>
        </w:rPr>
      </w:pPr>
      <w:r w:rsidRPr="003E0C66">
        <w:rPr>
          <w:rFonts w:eastAsia="Times New Roman"/>
        </w:rPr>
        <w:t>III.  </w:t>
      </w:r>
      <w:r w:rsidR="00184B8D" w:rsidRPr="003E0C66">
        <w:rPr>
          <w:rFonts w:eastAsia="Times New Roman"/>
        </w:rPr>
        <w:t xml:space="preserve">Podsumowanie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17.  </w:t>
      </w:r>
      <w:r w:rsidR="00184B8D" w:rsidRPr="003E0C66">
        <w:rPr>
          <w:rFonts w:eastAsia="Times New Roman"/>
        </w:rPr>
        <w:t xml:space="preserve">Jeśli Wielka Izba dopuszcza przeprowadzenie ogólnej oceny </w:t>
      </w:r>
      <w:r w:rsidR="00F37217">
        <w:rPr>
          <w:rFonts w:eastAsia="Times New Roman"/>
        </w:rPr>
        <w:t>rzetelności</w:t>
      </w:r>
      <w:r w:rsidR="00184B8D" w:rsidRPr="003E0C66">
        <w:rPr>
          <w:rFonts w:eastAsia="Times New Roman"/>
        </w:rPr>
        <w:t xml:space="preserve"> </w:t>
      </w:r>
      <w:r w:rsidR="00EC6B60" w:rsidRPr="003E0C66">
        <w:rPr>
          <w:rFonts w:eastAsia="Times New Roman"/>
        </w:rPr>
        <w:t>postępowania</w:t>
      </w:r>
      <w:r w:rsidR="00184B8D" w:rsidRPr="003E0C66">
        <w:rPr>
          <w:rFonts w:eastAsia="Times New Roman"/>
        </w:rPr>
        <w:t xml:space="preserve"> </w:t>
      </w:r>
      <w:r w:rsidR="008577AE" w:rsidRPr="003E0C66">
        <w:rPr>
          <w:rFonts w:eastAsia="Times New Roman"/>
        </w:rPr>
        <w:t xml:space="preserve">w przypadku niezaistnienia </w:t>
      </w:r>
      <w:r w:rsidR="002A17FB">
        <w:rPr>
          <w:rFonts w:eastAsia="Times New Roman"/>
        </w:rPr>
        <w:t>ważnych</w:t>
      </w:r>
      <w:r w:rsidR="002A17FB" w:rsidRPr="003E0C66">
        <w:rPr>
          <w:rFonts w:eastAsia="Times New Roman"/>
        </w:rPr>
        <w:t xml:space="preserve"> </w:t>
      </w:r>
      <w:r w:rsidR="008577AE" w:rsidRPr="003E0C66">
        <w:rPr>
          <w:rFonts w:eastAsia="Times New Roman"/>
        </w:rPr>
        <w:t>powodów usprawiedliwiających nieobecność świadk</w:t>
      </w:r>
      <w:r w:rsidR="002A17FB">
        <w:rPr>
          <w:rFonts w:eastAsia="Times New Roman"/>
        </w:rPr>
        <w:t>a</w:t>
      </w:r>
      <w:r w:rsidR="008577AE" w:rsidRPr="003E0C66">
        <w:rPr>
          <w:rFonts w:eastAsia="Times New Roman"/>
        </w:rPr>
        <w:t xml:space="preserve">, prawo do </w:t>
      </w:r>
      <w:r w:rsidR="000516E4" w:rsidRPr="003E0C66">
        <w:rPr>
          <w:rFonts w:eastAsia="Times New Roman"/>
        </w:rPr>
        <w:t xml:space="preserve">skonfrontowania świadka </w:t>
      </w:r>
      <w:r w:rsidR="002A17FB">
        <w:rPr>
          <w:rFonts w:eastAsia="Times New Roman"/>
        </w:rPr>
        <w:t>stanie się bardzo słabe</w:t>
      </w:r>
      <w:r w:rsidR="000516E4" w:rsidRPr="003E0C66">
        <w:rPr>
          <w:rFonts w:eastAsia="Times New Roman"/>
        </w:rPr>
        <w:t>. Zgad</w:t>
      </w:r>
      <w:r w:rsidR="002A17FB">
        <w:rPr>
          <w:rFonts w:eastAsia="Times New Roman"/>
        </w:rPr>
        <w:t>z</w:t>
      </w:r>
      <w:r w:rsidR="000516E4" w:rsidRPr="003E0C66">
        <w:rPr>
          <w:rFonts w:eastAsia="Times New Roman"/>
        </w:rPr>
        <w:t xml:space="preserve">amy się, </w:t>
      </w:r>
      <w:r w:rsidR="002A17FB">
        <w:rPr>
          <w:rFonts w:eastAsia="Times New Roman"/>
        </w:rPr>
        <w:t>że</w:t>
      </w:r>
      <w:r w:rsidR="002A17FB" w:rsidRPr="003E0C66">
        <w:rPr>
          <w:rFonts w:eastAsia="Times New Roman"/>
        </w:rPr>
        <w:t xml:space="preserve"> </w:t>
      </w:r>
      <w:r w:rsidR="000516E4" w:rsidRPr="003E0C66">
        <w:rPr>
          <w:rFonts w:eastAsia="Times New Roman"/>
        </w:rPr>
        <w:t>przy trzyetapowym badaniu należy zachować</w:t>
      </w:r>
      <w:r w:rsidR="002A17FB">
        <w:rPr>
          <w:rFonts w:eastAsia="Times New Roman"/>
        </w:rPr>
        <w:t xml:space="preserve"> pewien</w:t>
      </w:r>
      <w:r w:rsidR="000516E4" w:rsidRPr="003E0C66">
        <w:rPr>
          <w:rFonts w:eastAsia="Times New Roman"/>
        </w:rPr>
        <w:t xml:space="preserve"> stopień elastyczności. Jednakże, podejście, które bezwarunkowo prowadzi do </w:t>
      </w:r>
      <w:r w:rsidR="002A17FB">
        <w:rPr>
          <w:rFonts w:eastAsia="Times New Roman"/>
        </w:rPr>
        <w:t>finalnego</w:t>
      </w:r>
      <w:r w:rsidR="002A17FB" w:rsidRPr="003E0C66">
        <w:rPr>
          <w:rFonts w:eastAsia="Times New Roman"/>
        </w:rPr>
        <w:t xml:space="preserve"> </w:t>
      </w:r>
      <w:r w:rsidR="000516E4" w:rsidRPr="003E0C66">
        <w:rPr>
          <w:rFonts w:eastAsia="Times New Roman"/>
        </w:rPr>
        <w:t xml:space="preserve">ogólnego badania </w:t>
      </w:r>
      <w:r w:rsidR="002A17FB">
        <w:rPr>
          <w:rFonts w:eastAsia="Times New Roman"/>
        </w:rPr>
        <w:t>rzetelności</w:t>
      </w:r>
      <w:r w:rsidR="002A17FB" w:rsidRPr="003E0C66">
        <w:rPr>
          <w:rFonts w:eastAsia="Times New Roman"/>
        </w:rPr>
        <w:t xml:space="preserve"> </w:t>
      </w:r>
      <w:r w:rsidR="00B57843" w:rsidRPr="003E0C66">
        <w:rPr>
          <w:rFonts w:eastAsia="Times New Roman"/>
        </w:rPr>
        <w:t>postępowania pozostawia zbyt dużą swobodę władzom krajowym. Z</w:t>
      </w:r>
      <w:r w:rsidR="007550AA" w:rsidRPr="003E0C66">
        <w:rPr>
          <w:rFonts w:eastAsia="Times New Roman"/>
        </w:rPr>
        <w:t>a</w:t>
      </w:r>
      <w:r w:rsidR="00B57843" w:rsidRPr="003E0C66">
        <w:rPr>
          <w:rFonts w:eastAsia="Times New Roman"/>
        </w:rPr>
        <w:t>stosowanie</w:t>
      </w:r>
      <w:r w:rsidR="007550AA" w:rsidRPr="003E0C66">
        <w:rPr>
          <w:rFonts w:eastAsia="Times New Roman"/>
        </w:rPr>
        <w:t xml:space="preserve"> trzyetapowego badania oznaczałoby brak </w:t>
      </w:r>
      <w:r w:rsidR="00F37217">
        <w:rPr>
          <w:rFonts w:eastAsia="Times New Roman"/>
        </w:rPr>
        <w:t>potrzeby podjęcia innych kroków</w:t>
      </w:r>
      <w:r w:rsidR="007550AA" w:rsidRPr="003E0C66">
        <w:rPr>
          <w:rFonts w:eastAsia="Times New Roman"/>
        </w:rPr>
        <w:t xml:space="preserve"> </w:t>
      </w:r>
      <w:r w:rsidR="002A17FB">
        <w:rPr>
          <w:rFonts w:eastAsia="Times New Roman"/>
        </w:rPr>
        <w:t>tak długo</w:t>
      </w:r>
      <w:r w:rsidR="00F37217">
        <w:rPr>
          <w:rFonts w:eastAsia="Times New Roman"/>
        </w:rPr>
        <w:t>,</w:t>
      </w:r>
      <w:r w:rsidR="002A17FB">
        <w:rPr>
          <w:rFonts w:eastAsia="Times New Roman"/>
        </w:rPr>
        <w:t xml:space="preserve"> dopóki</w:t>
      </w:r>
      <w:r w:rsidR="002A17FB" w:rsidRPr="003E0C66">
        <w:rPr>
          <w:rFonts w:eastAsia="Times New Roman"/>
        </w:rPr>
        <w:t xml:space="preserve"> </w:t>
      </w:r>
      <w:r w:rsidR="007550AA" w:rsidRPr="003E0C66">
        <w:rPr>
          <w:rFonts w:eastAsia="Times New Roman"/>
        </w:rPr>
        <w:t xml:space="preserve">badanie ogólnej </w:t>
      </w:r>
      <w:r w:rsidR="002A17FB">
        <w:rPr>
          <w:rFonts w:eastAsia="Times New Roman"/>
        </w:rPr>
        <w:t>rzetelności</w:t>
      </w:r>
      <w:r w:rsidR="002A17FB" w:rsidRPr="003E0C66">
        <w:rPr>
          <w:rFonts w:eastAsia="Times New Roman"/>
        </w:rPr>
        <w:t xml:space="preserve"> </w:t>
      </w:r>
      <w:r w:rsidR="002A17FB">
        <w:rPr>
          <w:rFonts w:eastAsia="Times New Roman"/>
        </w:rPr>
        <w:t>postępowania przynosiłoby efekt satysfakcjonujący</w:t>
      </w:r>
      <w:r w:rsidR="007550AA" w:rsidRPr="003E0C66">
        <w:rPr>
          <w:rFonts w:eastAsia="Times New Roman"/>
        </w:rPr>
        <w:t xml:space="preserve">. </w:t>
      </w:r>
      <w:r w:rsidR="00B57843" w:rsidRPr="003E0C66">
        <w:rPr>
          <w:rFonts w:eastAsia="Times New Roman"/>
        </w:rPr>
        <w:t xml:space="preserve"> </w:t>
      </w:r>
      <w:r w:rsidR="00184B8D" w:rsidRPr="003E0C66">
        <w:rPr>
          <w:rFonts w:eastAsia="Times New Roman"/>
        </w:rPr>
        <w:t xml:space="preserve">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18.  </w:t>
      </w:r>
      <w:r w:rsidR="007550AA" w:rsidRPr="003E0C66">
        <w:rPr>
          <w:rFonts w:eastAsia="Times New Roman"/>
        </w:rPr>
        <w:t xml:space="preserve">Zbyt </w:t>
      </w:r>
      <w:r w:rsidR="002A17FB">
        <w:rPr>
          <w:rFonts w:eastAsia="Times New Roman"/>
        </w:rPr>
        <w:t>ostrożne</w:t>
      </w:r>
      <w:r w:rsidR="002A17FB" w:rsidRPr="003E0C66">
        <w:rPr>
          <w:rFonts w:eastAsia="Times New Roman"/>
        </w:rPr>
        <w:t xml:space="preserve"> </w:t>
      </w:r>
      <w:r w:rsidR="007550AA" w:rsidRPr="003E0C66">
        <w:rPr>
          <w:rFonts w:eastAsia="Times New Roman"/>
        </w:rPr>
        <w:t xml:space="preserve">podejście Trybunału można zauważyć również w paragrafie 118. </w:t>
      </w:r>
      <w:r w:rsidR="000409AB">
        <w:rPr>
          <w:rFonts w:eastAsia="Times New Roman"/>
        </w:rPr>
        <w:t>Mimo, że kolejność</w:t>
      </w:r>
      <w:r w:rsidR="007550AA" w:rsidRPr="003E0C66">
        <w:rPr>
          <w:rFonts w:eastAsia="Times New Roman"/>
        </w:rPr>
        <w:t xml:space="preserve"> trzech pytań jest zasadniczo istotna, więks</w:t>
      </w:r>
      <w:r w:rsidR="00EC6B60">
        <w:rPr>
          <w:rFonts w:eastAsia="Times New Roman"/>
        </w:rPr>
        <w:t xml:space="preserve">zość stwierdziła, </w:t>
      </w:r>
      <w:r w:rsidR="00F37217">
        <w:rPr>
          <w:rFonts w:eastAsia="Times New Roman"/>
        </w:rPr>
        <w:t>że „</w:t>
      </w:r>
      <w:r w:rsidR="00EC6B60">
        <w:rPr>
          <w:rFonts w:eastAsia="Times New Roman"/>
        </w:rPr>
        <w:t>może</w:t>
      </w:r>
      <w:r w:rsidR="00F37217">
        <w:rPr>
          <w:rFonts w:eastAsia="Times New Roman"/>
        </w:rPr>
        <w:t>…</w:t>
      </w:r>
      <w:r w:rsidR="00EC6B60">
        <w:rPr>
          <w:rFonts w:eastAsia="Times New Roman"/>
        </w:rPr>
        <w:t xml:space="preserve"> być </w:t>
      </w:r>
      <w:r w:rsidR="007550AA" w:rsidRPr="003E0C66">
        <w:rPr>
          <w:rFonts w:eastAsia="Times New Roman"/>
        </w:rPr>
        <w:t xml:space="preserve">stosownym w niniejszej sprawie </w:t>
      </w:r>
      <w:r w:rsidR="007550AA" w:rsidRPr="003E0C66">
        <w:rPr>
          <w:rFonts w:eastAsia="Times New Roman"/>
        </w:rPr>
        <w:lastRenderedPageBreak/>
        <w:t>zbadanie etapów w innej kolejności’’</w:t>
      </w:r>
      <w:r w:rsidR="00F37217">
        <w:rPr>
          <w:rFonts w:eastAsia="Times New Roman"/>
        </w:rPr>
        <w:t>.</w:t>
      </w:r>
      <w:r w:rsidR="007550AA" w:rsidRPr="003E0C66">
        <w:rPr>
          <w:rFonts w:eastAsia="Times New Roman"/>
        </w:rPr>
        <w:t xml:space="preserve"> Nie jesteśmy przekonani</w:t>
      </w:r>
      <w:r w:rsidR="000409AB">
        <w:rPr>
          <w:rFonts w:eastAsia="Times New Roman"/>
        </w:rPr>
        <w:t xml:space="preserve"> co do tego, że</w:t>
      </w:r>
      <w:r w:rsidR="007550AA" w:rsidRPr="003E0C66">
        <w:rPr>
          <w:rFonts w:eastAsia="Times New Roman"/>
        </w:rPr>
        <w:t xml:space="preserve"> Trybunał przedstawił władzom krajowym jasne wskazówki co do właściwego stosowania </w:t>
      </w:r>
      <w:r w:rsidR="000409AB">
        <w:rPr>
          <w:rFonts w:eastAsia="Times New Roman"/>
        </w:rPr>
        <w:t>testu</w:t>
      </w:r>
      <w:r w:rsidR="000409AB" w:rsidRPr="003E0C66">
        <w:rPr>
          <w:rFonts w:eastAsia="Times New Roman"/>
        </w:rPr>
        <w:t xml:space="preserve"> </w:t>
      </w:r>
      <w:r w:rsidR="007550AA" w:rsidRPr="003E0C66">
        <w:rPr>
          <w:rFonts w:eastAsia="Times New Roman"/>
          <w:i/>
        </w:rPr>
        <w:t>Al-Khawaja i</w:t>
      </w:r>
      <w:r w:rsidRPr="003E0C66">
        <w:rPr>
          <w:rFonts w:eastAsia="Times New Roman"/>
          <w:i/>
        </w:rPr>
        <w:t xml:space="preserve"> Tahery</w:t>
      </w:r>
      <w:r w:rsidRPr="003E0C66">
        <w:rPr>
          <w:rFonts w:eastAsia="Times New Roman"/>
        </w:rPr>
        <w:t>.</w:t>
      </w:r>
    </w:p>
    <w:p w:rsidR="00BC0CE7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19.  </w:t>
      </w:r>
      <w:r w:rsidR="007550AA" w:rsidRPr="003E0C66">
        <w:rPr>
          <w:rFonts w:eastAsia="Times New Roman"/>
        </w:rPr>
        <w:t xml:space="preserve">Mamy uzasadnione obawy, </w:t>
      </w:r>
      <w:r w:rsidR="000409AB">
        <w:rPr>
          <w:rFonts w:eastAsia="Times New Roman"/>
        </w:rPr>
        <w:t>że</w:t>
      </w:r>
      <w:r w:rsidR="000409AB" w:rsidRPr="003E0C66">
        <w:rPr>
          <w:rFonts w:eastAsia="Times New Roman"/>
        </w:rPr>
        <w:t xml:space="preserve"> </w:t>
      </w:r>
      <w:r w:rsidR="007550AA" w:rsidRPr="003E0C66">
        <w:rPr>
          <w:rFonts w:eastAsia="Times New Roman"/>
        </w:rPr>
        <w:t xml:space="preserve">uzasadnienie przedstawione przez Trybunał w tej sprawie (które będzie w przyszłości </w:t>
      </w:r>
      <w:r w:rsidR="000409AB">
        <w:rPr>
          <w:rFonts w:eastAsia="Times New Roman"/>
        </w:rPr>
        <w:t>znane jako</w:t>
      </w:r>
      <w:r w:rsidR="000409AB" w:rsidRPr="003E0C66">
        <w:rPr>
          <w:rFonts w:eastAsia="Times New Roman"/>
        </w:rPr>
        <w:t xml:space="preserve"> </w:t>
      </w:r>
      <w:r w:rsidR="00F37217">
        <w:rPr>
          <w:rFonts w:eastAsia="Times New Roman"/>
        </w:rPr>
        <w:t>„</w:t>
      </w:r>
      <w:r w:rsidR="000409AB">
        <w:rPr>
          <w:rFonts w:eastAsia="Times New Roman"/>
        </w:rPr>
        <w:t>test</w:t>
      </w:r>
      <w:r w:rsidR="000409AB" w:rsidRPr="003E0C66">
        <w:rPr>
          <w:rFonts w:eastAsia="Times New Roman"/>
        </w:rPr>
        <w:t xml:space="preserve"> </w:t>
      </w:r>
      <w:proofErr w:type="spellStart"/>
      <w:r w:rsidRPr="003E0C66">
        <w:rPr>
          <w:rFonts w:eastAsia="Times New Roman"/>
          <w:i/>
        </w:rPr>
        <w:t>Schatschaschwili</w:t>
      </w:r>
      <w:proofErr w:type="spellEnd"/>
      <w:r w:rsidR="007550AA" w:rsidRPr="003E0C66">
        <w:rPr>
          <w:rFonts w:eastAsia="Times New Roman"/>
        </w:rPr>
        <w:t>’’</w:t>
      </w:r>
      <w:r w:rsidRPr="003E0C66">
        <w:rPr>
          <w:rFonts w:eastAsia="Times New Roman"/>
        </w:rPr>
        <w:t>)</w:t>
      </w:r>
      <w:r w:rsidR="007550AA" w:rsidRPr="003E0C66">
        <w:rPr>
          <w:rFonts w:eastAsia="Times New Roman"/>
        </w:rPr>
        <w:t xml:space="preserve"> </w:t>
      </w:r>
      <w:r w:rsidR="00D51B19" w:rsidRPr="003E0C66">
        <w:rPr>
          <w:rFonts w:eastAsia="Times New Roman"/>
        </w:rPr>
        <w:t xml:space="preserve">może zostać </w:t>
      </w:r>
      <w:r w:rsidR="000409AB">
        <w:rPr>
          <w:rFonts w:eastAsia="Times New Roman"/>
        </w:rPr>
        <w:t>streszczone w</w:t>
      </w:r>
      <w:r w:rsidR="000409AB" w:rsidRPr="003E0C66">
        <w:rPr>
          <w:rFonts w:eastAsia="Times New Roman"/>
        </w:rPr>
        <w:t xml:space="preserve"> </w:t>
      </w:r>
      <w:r w:rsidR="00D51B19" w:rsidRPr="003E0C66">
        <w:rPr>
          <w:rFonts w:eastAsia="Times New Roman"/>
        </w:rPr>
        <w:t>jednym pytani</w:t>
      </w:r>
      <w:r w:rsidR="000409AB">
        <w:rPr>
          <w:rFonts w:eastAsia="Times New Roman"/>
        </w:rPr>
        <w:t>u</w:t>
      </w:r>
      <w:r w:rsidR="00D51B19" w:rsidRPr="003E0C66">
        <w:rPr>
          <w:rFonts w:eastAsia="Times New Roman"/>
        </w:rPr>
        <w:t xml:space="preserve">: czy </w:t>
      </w:r>
      <w:r w:rsidR="000409AB">
        <w:rPr>
          <w:rFonts w:eastAsia="Times New Roman"/>
        </w:rPr>
        <w:t>postępowanie</w:t>
      </w:r>
      <w:r w:rsidR="000409AB" w:rsidRPr="003E0C66">
        <w:rPr>
          <w:rFonts w:eastAsia="Times New Roman"/>
        </w:rPr>
        <w:t xml:space="preserve"> </w:t>
      </w:r>
      <w:r w:rsidR="00D51B19" w:rsidRPr="003E0C66">
        <w:rPr>
          <w:rFonts w:eastAsia="Times New Roman"/>
        </w:rPr>
        <w:t>był</w:t>
      </w:r>
      <w:r w:rsidR="000409AB">
        <w:rPr>
          <w:rFonts w:eastAsia="Times New Roman"/>
        </w:rPr>
        <w:t>o rzetelne jako całość</w:t>
      </w:r>
      <w:r w:rsidR="00D51B19" w:rsidRPr="003E0C66">
        <w:rPr>
          <w:rFonts w:eastAsia="Times New Roman"/>
        </w:rPr>
        <w:t>? T</w:t>
      </w:r>
      <w:r w:rsidR="000409AB">
        <w:rPr>
          <w:rFonts w:eastAsia="Times New Roman"/>
        </w:rPr>
        <w:t>o</w:t>
      </w:r>
      <w:r w:rsidR="00D51B19" w:rsidRPr="003E0C66">
        <w:rPr>
          <w:rFonts w:eastAsia="Times New Roman"/>
        </w:rPr>
        <w:t xml:space="preserve"> ogólne badanie nie jest, w naszej opinii, krokiem w kierunk</w:t>
      </w:r>
      <w:r w:rsidR="000409AB">
        <w:rPr>
          <w:rFonts w:eastAsia="Times New Roman"/>
        </w:rPr>
        <w:t>u</w:t>
      </w:r>
      <w:r w:rsidR="00D51B19" w:rsidRPr="003E0C66">
        <w:rPr>
          <w:rFonts w:eastAsia="Times New Roman"/>
        </w:rPr>
        <w:t xml:space="preserve"> wzmocnienia praw zagwarantowanych Artykułem 6 § 3 (d) Konwencji. </w:t>
      </w:r>
    </w:p>
    <w:p w:rsidR="00A63FCC" w:rsidRPr="003E0C66" w:rsidRDefault="00A63FCC" w:rsidP="00BC0CE7">
      <w:pPr>
        <w:jc w:val="left"/>
        <w:rPr>
          <w:rFonts w:ascii="Times New Roman" w:eastAsia="Times New Roman" w:hAnsi="Times New Roman" w:cs="Times New Roman"/>
        </w:rPr>
      </w:pPr>
      <w:r w:rsidRPr="003E0C66">
        <w:rPr>
          <w:rFonts w:ascii="Times New Roman" w:eastAsia="Times New Roman" w:hAnsi="Times New Roman" w:cs="Times New Roman"/>
        </w:rPr>
        <w:br w:type="page"/>
      </w:r>
    </w:p>
    <w:p w:rsidR="00C5349B" w:rsidRPr="003E0C66" w:rsidRDefault="00D51B19" w:rsidP="00BC0CE7">
      <w:pPr>
        <w:keepNext/>
        <w:keepLines/>
        <w:spacing w:after="240"/>
        <w:jc w:val="center"/>
        <w:outlineLvl w:val="0"/>
        <w:rPr>
          <w:rFonts w:ascii="Times New Roman" w:eastAsia="Times New Roman" w:hAnsi="Times New Roman" w:cs="Times New Roman"/>
          <w:sz w:val="28"/>
        </w:rPr>
      </w:pPr>
      <w:r w:rsidRPr="003E0C66">
        <w:rPr>
          <w:rFonts w:ascii="Times New Roman" w:eastAsia="Times New Roman" w:hAnsi="Times New Roman" w:cs="Times New Roman"/>
          <w:sz w:val="28"/>
        </w:rPr>
        <w:lastRenderedPageBreak/>
        <w:t xml:space="preserve">WSPÓLNA </w:t>
      </w:r>
      <w:r w:rsidR="00790B79">
        <w:rPr>
          <w:rFonts w:ascii="Times New Roman" w:eastAsia="Times New Roman" w:hAnsi="Times New Roman" w:cs="Times New Roman"/>
          <w:sz w:val="28"/>
        </w:rPr>
        <w:t xml:space="preserve">ROZBIEŻNA </w:t>
      </w:r>
      <w:r w:rsidR="000F0CB2">
        <w:rPr>
          <w:rFonts w:ascii="Times New Roman" w:eastAsia="Times New Roman" w:hAnsi="Times New Roman" w:cs="Times New Roman"/>
          <w:sz w:val="28"/>
        </w:rPr>
        <w:t>OPINIA</w:t>
      </w:r>
      <w:r w:rsidR="000F0CB2" w:rsidRPr="003E0C66">
        <w:rPr>
          <w:rFonts w:ascii="Times New Roman" w:eastAsia="Times New Roman" w:hAnsi="Times New Roman" w:cs="Times New Roman"/>
          <w:sz w:val="28"/>
        </w:rPr>
        <w:t xml:space="preserve"> </w:t>
      </w:r>
      <w:r w:rsidR="00790B79">
        <w:rPr>
          <w:rFonts w:ascii="Times New Roman" w:eastAsia="Times New Roman" w:hAnsi="Times New Roman" w:cs="Times New Roman"/>
          <w:sz w:val="28"/>
        </w:rPr>
        <w:t xml:space="preserve">ODRĘBNA </w:t>
      </w:r>
      <w:r w:rsidRPr="003E0C66">
        <w:rPr>
          <w:rFonts w:ascii="Times New Roman" w:eastAsia="Times New Roman" w:hAnsi="Times New Roman" w:cs="Times New Roman"/>
          <w:sz w:val="28"/>
        </w:rPr>
        <w:t xml:space="preserve">SĘDZIÓW </w:t>
      </w:r>
      <w:r w:rsidR="00C5349B" w:rsidRPr="003E0C66">
        <w:rPr>
          <w:rFonts w:ascii="Times New Roman" w:eastAsia="Times New Roman" w:hAnsi="Times New Roman" w:cs="Times New Roman"/>
          <w:sz w:val="28"/>
        </w:rPr>
        <w:t xml:space="preserve">HIRVELÄ, POPOVIĆ, </w:t>
      </w:r>
      <w:r w:rsidRPr="003E0C66">
        <w:rPr>
          <w:rFonts w:ascii="Times New Roman" w:eastAsia="Times New Roman" w:hAnsi="Times New Roman" w:cs="Times New Roman"/>
          <w:sz w:val="28"/>
        </w:rPr>
        <w:t>PARDALOS, NUSSBERGER, MAHONEY ORAZ</w:t>
      </w:r>
      <w:r w:rsidR="00B14674" w:rsidRPr="003E0C66">
        <w:rPr>
          <w:rFonts w:ascii="Times New Roman" w:eastAsia="Times New Roman" w:hAnsi="Times New Roman" w:cs="Times New Roman"/>
          <w:sz w:val="28"/>
        </w:rPr>
        <w:t> </w:t>
      </w:r>
      <w:r w:rsidR="00C5349B" w:rsidRPr="003E0C66">
        <w:rPr>
          <w:rFonts w:ascii="Times New Roman" w:eastAsia="Times New Roman" w:hAnsi="Times New Roman" w:cs="Times New Roman"/>
          <w:sz w:val="28"/>
        </w:rPr>
        <w:t>KŪRIS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1.  </w:t>
      </w:r>
      <w:r w:rsidR="00D51B19" w:rsidRPr="003E0C66">
        <w:rPr>
          <w:rFonts w:eastAsia="Times New Roman"/>
        </w:rPr>
        <w:t xml:space="preserve">Niestety nie możemy zgodzić się z opinią większości, </w:t>
      </w:r>
      <w:r w:rsidR="00B21B74">
        <w:rPr>
          <w:rFonts w:eastAsia="Times New Roman"/>
        </w:rPr>
        <w:t>że</w:t>
      </w:r>
      <w:r w:rsidR="00D51B19" w:rsidRPr="003E0C66">
        <w:rPr>
          <w:rFonts w:eastAsia="Times New Roman"/>
        </w:rPr>
        <w:t> prawa skarżącego zawarte w Artykule 6 § 1 i 3 (d) Konwencji zostały w niniejszej sprawie naruszone</w:t>
      </w:r>
      <w:r w:rsidRPr="003E0C66">
        <w:rPr>
          <w:rFonts w:eastAsia="Times New Roman"/>
        </w:rPr>
        <w:t>.</w:t>
      </w:r>
    </w:p>
    <w:p w:rsidR="00C5349B" w:rsidRPr="003E0C66" w:rsidRDefault="00C5349B" w:rsidP="00BC0CE7">
      <w:pPr>
        <w:pStyle w:val="OpiHA"/>
        <w:rPr>
          <w:rFonts w:eastAsia="Times New Roman"/>
        </w:rPr>
      </w:pPr>
      <w:r w:rsidRPr="003E0C66">
        <w:rPr>
          <w:rFonts w:eastAsia="Times New Roman"/>
        </w:rPr>
        <w:t>A.  </w:t>
      </w:r>
      <w:r w:rsidR="00D51B19" w:rsidRPr="003E0C66">
        <w:rPr>
          <w:rFonts w:eastAsia="Times New Roman"/>
        </w:rPr>
        <w:t xml:space="preserve">Co do podsumowania odpowiednich zasad 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2. </w:t>
      </w:r>
      <w:r w:rsidR="00D51B19" w:rsidRPr="003E0C66">
        <w:rPr>
          <w:rFonts w:eastAsia="Times New Roman"/>
        </w:rPr>
        <w:t xml:space="preserve"> Powinniśmy naj</w:t>
      </w:r>
      <w:r w:rsidR="00FF45F1" w:rsidRPr="003E0C66">
        <w:rPr>
          <w:rFonts w:eastAsia="Times New Roman"/>
        </w:rPr>
        <w:t>pierw jasno stwierdzić, iż nasza</w:t>
      </w:r>
      <w:r w:rsidR="00D51B19" w:rsidRPr="003E0C66">
        <w:rPr>
          <w:rFonts w:eastAsia="Times New Roman"/>
        </w:rPr>
        <w:t xml:space="preserve"> odrębna od większości Wielkiej Izby opinia nie dotyczy podsumowania </w:t>
      </w:r>
      <w:r w:rsidR="001E5CCC" w:rsidRPr="003E0C66">
        <w:rPr>
          <w:rFonts w:eastAsia="Times New Roman"/>
        </w:rPr>
        <w:t xml:space="preserve">ogólnych zasad odnoszących się do tej sprawy, </w:t>
      </w:r>
      <w:r w:rsidR="00B21B74">
        <w:rPr>
          <w:rFonts w:eastAsia="Times New Roman"/>
        </w:rPr>
        <w:t>co</w:t>
      </w:r>
      <w:r w:rsidR="001E5CCC" w:rsidRPr="003E0C66">
        <w:rPr>
          <w:rFonts w:eastAsia="Times New Roman"/>
        </w:rPr>
        <w:t xml:space="preserve"> do których</w:t>
      </w:r>
      <w:r w:rsidR="00FF45F1" w:rsidRPr="003E0C66">
        <w:rPr>
          <w:rFonts w:eastAsia="Times New Roman"/>
        </w:rPr>
        <w:t xml:space="preserve"> w pełni zgadzamy się z większością</w:t>
      </w:r>
      <w:r w:rsidRPr="003E0C66">
        <w:rPr>
          <w:rFonts w:eastAsia="Times New Roman"/>
        </w:rPr>
        <w:t>.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3.  </w:t>
      </w:r>
      <w:r w:rsidR="00FF45F1" w:rsidRPr="003E0C66">
        <w:rPr>
          <w:rFonts w:eastAsia="Times New Roman"/>
        </w:rPr>
        <w:t xml:space="preserve">Naszym zdaniem wyrok Wielkiej Izby w niniejszej sprawie potwierdza zasady, które Trybunał ustalił swoim wyrokiem z </w:t>
      </w:r>
      <w:r w:rsidR="00DF74FE">
        <w:rPr>
          <w:rFonts w:eastAsia="Times New Roman"/>
        </w:rPr>
        <w:t xml:space="preserve">dnia </w:t>
      </w:r>
      <w:r w:rsidR="00FF45F1" w:rsidRPr="003E0C66">
        <w:rPr>
          <w:rFonts w:eastAsia="Times New Roman"/>
        </w:rPr>
        <w:t xml:space="preserve">15 grudnia 2011 </w:t>
      </w:r>
      <w:r w:rsidR="00DF74FE">
        <w:rPr>
          <w:rFonts w:eastAsia="Times New Roman"/>
        </w:rPr>
        <w:t xml:space="preserve">roku </w:t>
      </w:r>
      <w:r w:rsidR="00FF45F1" w:rsidRPr="003E0C66">
        <w:rPr>
          <w:rFonts w:eastAsia="Times New Roman"/>
        </w:rPr>
        <w:t xml:space="preserve">w sprawie </w:t>
      </w:r>
      <w:r w:rsidRPr="003E0C66">
        <w:rPr>
          <w:rFonts w:eastAsia="Times New Roman"/>
          <w:i/>
        </w:rPr>
        <w:t xml:space="preserve">Al-Khawaja </w:t>
      </w:r>
      <w:r w:rsidR="00FF45F1" w:rsidRPr="003E0C66">
        <w:rPr>
          <w:rFonts w:eastAsia="Times New Roman"/>
          <w:i/>
        </w:rPr>
        <w:t>i</w:t>
      </w:r>
      <w:r w:rsidRPr="003E0C66">
        <w:rPr>
          <w:rFonts w:eastAsia="Times New Roman"/>
          <w:i/>
        </w:rPr>
        <w:t xml:space="preserve"> Tahery </w:t>
      </w:r>
      <w:r w:rsidR="00FF45F1" w:rsidRPr="003E0C66">
        <w:rPr>
          <w:rFonts w:eastAsia="Times New Roman"/>
          <w:i/>
        </w:rPr>
        <w:t>przeciwko Wielkiej Brytanii</w:t>
      </w:r>
      <w:r w:rsidR="00FF45F1" w:rsidRPr="003E0C66">
        <w:rPr>
          <w:rFonts w:eastAsia="Times New Roman"/>
        </w:rPr>
        <w:t xml:space="preserve"> ([GC], </w:t>
      </w:r>
      <w:r w:rsidR="00F749AE" w:rsidRPr="003E0C66">
        <w:rPr>
          <w:rFonts w:eastAsia="Times New Roman"/>
        </w:rPr>
        <w:t>nr</w:t>
      </w:r>
      <w:r w:rsidRPr="003E0C66">
        <w:rPr>
          <w:rFonts w:eastAsia="Times New Roman"/>
        </w:rPr>
        <w:t xml:space="preserve"> 26766/05 </w:t>
      </w:r>
      <w:r w:rsidR="00FF45F1" w:rsidRPr="003E0C66">
        <w:rPr>
          <w:rFonts w:eastAsia="Times New Roman"/>
        </w:rPr>
        <w:t>i</w:t>
      </w:r>
      <w:r w:rsidRPr="003E0C66">
        <w:rPr>
          <w:rFonts w:eastAsia="Times New Roman"/>
        </w:rPr>
        <w:t xml:space="preserve"> 22228/06, </w:t>
      </w:r>
      <w:r w:rsidR="00F749AE" w:rsidRPr="003E0C66">
        <w:rPr>
          <w:rFonts w:eastAsia="Times New Roman"/>
        </w:rPr>
        <w:t>ETPCZ</w:t>
      </w:r>
      <w:r w:rsidRPr="003E0C66">
        <w:rPr>
          <w:rFonts w:eastAsia="Times New Roman"/>
        </w:rPr>
        <w:t xml:space="preserve"> 2011).</w:t>
      </w:r>
      <w:r w:rsidR="00FF45F1" w:rsidRPr="003E0C66">
        <w:rPr>
          <w:rFonts w:eastAsia="Times New Roman"/>
        </w:rPr>
        <w:t xml:space="preserve"> </w:t>
      </w:r>
      <w:r w:rsidR="00263C26" w:rsidRPr="003E0C66">
        <w:rPr>
          <w:rFonts w:eastAsia="Times New Roman"/>
        </w:rPr>
        <w:t xml:space="preserve">Wyjaśnia również związek pomiędzy trzema etapami </w:t>
      </w:r>
      <w:r w:rsidR="00DF74FE">
        <w:rPr>
          <w:rFonts w:eastAsia="Times New Roman"/>
        </w:rPr>
        <w:t>testu</w:t>
      </w:r>
      <w:r w:rsidR="00DF74FE" w:rsidRPr="003E0C66">
        <w:rPr>
          <w:rFonts w:eastAsia="Times New Roman"/>
        </w:rPr>
        <w:t xml:space="preserve"> </w:t>
      </w:r>
      <w:r w:rsidRPr="003E0C66">
        <w:rPr>
          <w:rFonts w:eastAsia="Times New Roman"/>
          <w:i/>
        </w:rPr>
        <w:t>Al-Khawaja</w:t>
      </w:r>
      <w:r w:rsidR="00DF74FE">
        <w:rPr>
          <w:rFonts w:eastAsia="Times New Roman"/>
          <w:i/>
        </w:rPr>
        <w:t>,</w:t>
      </w:r>
      <w:r w:rsidR="00263C26" w:rsidRPr="003E0C66">
        <w:rPr>
          <w:rFonts w:eastAsia="Times New Roman"/>
        </w:rPr>
        <w:t xml:space="preserve"> </w:t>
      </w:r>
      <w:r w:rsidR="00DF74FE">
        <w:rPr>
          <w:rFonts w:eastAsia="Times New Roman"/>
        </w:rPr>
        <w:t>dotyczącymi</w:t>
      </w:r>
      <w:r w:rsidR="00263C26" w:rsidRPr="003E0C66">
        <w:rPr>
          <w:rFonts w:eastAsia="Times New Roman"/>
        </w:rPr>
        <w:t xml:space="preserve"> badania zgodności z Artykułem 6  §</w:t>
      </w:r>
      <w:r w:rsidR="00DF74FE">
        <w:rPr>
          <w:rFonts w:eastAsia="Times New Roman"/>
        </w:rPr>
        <w:t xml:space="preserve"> </w:t>
      </w:r>
      <w:r w:rsidR="00263C26" w:rsidRPr="003E0C66">
        <w:rPr>
          <w:rFonts w:eastAsia="Times New Roman"/>
        </w:rPr>
        <w:t xml:space="preserve">1 i 3 (d) postępowania, w którym zeznania złożone przez świadków oskarżenia, którzy byli nieobecni podczas rozprawy, zostały użyte jako dowód.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4.  </w:t>
      </w:r>
      <w:r w:rsidR="00263C26" w:rsidRPr="003E0C66">
        <w:rPr>
          <w:rFonts w:eastAsia="Times New Roman"/>
        </w:rPr>
        <w:t xml:space="preserve">Potrzeba wyjaśnienia, </w:t>
      </w:r>
      <w:r w:rsidR="004972F1" w:rsidRPr="003E0C66">
        <w:rPr>
          <w:rFonts w:eastAsia="Times New Roman"/>
        </w:rPr>
        <w:t xml:space="preserve">która stała się oczywistą w orzecznictwie </w:t>
      </w:r>
      <w:r w:rsidR="004153B0" w:rsidRPr="003E0C66">
        <w:rPr>
          <w:rFonts w:eastAsia="Times New Roman"/>
        </w:rPr>
        <w:t>Trybunału</w:t>
      </w:r>
      <w:r w:rsidR="00EF2353" w:rsidRPr="003E0C66">
        <w:rPr>
          <w:rFonts w:eastAsia="Times New Roman"/>
        </w:rPr>
        <w:t>,</w:t>
      </w:r>
      <w:r w:rsidR="004153B0" w:rsidRPr="003E0C66">
        <w:rPr>
          <w:rFonts w:eastAsia="Times New Roman"/>
        </w:rPr>
        <w:t xml:space="preserve"> po sprawie </w:t>
      </w:r>
      <w:r w:rsidRPr="003E0C66">
        <w:rPr>
          <w:rFonts w:eastAsia="Times New Roman"/>
          <w:i/>
        </w:rPr>
        <w:t>Al-Khawaja</w:t>
      </w:r>
      <w:r w:rsidR="004972F1" w:rsidRPr="003E0C66">
        <w:rPr>
          <w:rFonts w:eastAsia="Times New Roman"/>
          <w:i/>
        </w:rPr>
        <w:t>,</w:t>
      </w:r>
      <w:r w:rsidR="004972F1" w:rsidRPr="003E0C66">
        <w:rPr>
          <w:rFonts w:eastAsia="Times New Roman"/>
        </w:rPr>
        <w:t xml:space="preserve"> w sprawach, w których </w:t>
      </w:r>
      <w:r w:rsidR="00DF74FE">
        <w:rPr>
          <w:rFonts w:eastAsia="Times New Roman"/>
        </w:rPr>
        <w:t>stany faktyczne</w:t>
      </w:r>
      <w:r w:rsidR="00DF74FE" w:rsidRPr="003E0C66">
        <w:rPr>
          <w:rFonts w:eastAsia="Times New Roman"/>
        </w:rPr>
        <w:t xml:space="preserve"> </w:t>
      </w:r>
      <w:r w:rsidR="004972F1" w:rsidRPr="003E0C66">
        <w:rPr>
          <w:rFonts w:eastAsia="Times New Roman"/>
        </w:rPr>
        <w:t>różniły się od te</w:t>
      </w:r>
      <w:r w:rsidR="00DF74FE">
        <w:rPr>
          <w:rFonts w:eastAsia="Times New Roman"/>
        </w:rPr>
        <w:t>go</w:t>
      </w:r>
      <w:r w:rsidR="004972F1" w:rsidRPr="003E0C66">
        <w:rPr>
          <w:rFonts w:eastAsia="Times New Roman"/>
        </w:rPr>
        <w:t xml:space="preserve"> w </w:t>
      </w:r>
      <w:r w:rsidRPr="003E0C66">
        <w:rPr>
          <w:rFonts w:eastAsia="Times New Roman"/>
          <w:i/>
        </w:rPr>
        <w:t>Al-Khawaja</w:t>
      </w:r>
      <w:r w:rsidRPr="003E0C66">
        <w:rPr>
          <w:rFonts w:eastAsia="Times New Roman"/>
        </w:rPr>
        <w:t xml:space="preserve">, </w:t>
      </w:r>
      <w:r w:rsidR="00EF2353" w:rsidRPr="003E0C66">
        <w:rPr>
          <w:rFonts w:eastAsia="Times New Roman"/>
        </w:rPr>
        <w:t>dotyczyła</w:t>
      </w:r>
      <w:r w:rsidR="004972F1" w:rsidRPr="003E0C66">
        <w:rPr>
          <w:rFonts w:eastAsia="Times New Roman"/>
        </w:rPr>
        <w:t xml:space="preserve"> zasadniczo trzech punktów.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5.  </w:t>
      </w:r>
      <w:r w:rsidR="00EF2353" w:rsidRPr="003E0C66">
        <w:rPr>
          <w:rFonts w:eastAsia="Times New Roman"/>
        </w:rPr>
        <w:t>Po pierwsze</w:t>
      </w:r>
      <w:r w:rsidR="00B21B74">
        <w:rPr>
          <w:rFonts w:eastAsia="Times New Roman"/>
        </w:rPr>
        <w:t>,</w:t>
      </w:r>
      <w:r w:rsidR="00EF2353" w:rsidRPr="003E0C66">
        <w:rPr>
          <w:rFonts w:eastAsia="Times New Roman"/>
        </w:rPr>
        <w:t xml:space="preserve"> Wielka Izba wyjaśniła, </w:t>
      </w:r>
      <w:r w:rsidR="00DF74FE">
        <w:rPr>
          <w:rFonts w:eastAsia="Times New Roman"/>
        </w:rPr>
        <w:t>że</w:t>
      </w:r>
      <w:r w:rsidR="00DF74FE" w:rsidRPr="003E0C66">
        <w:rPr>
          <w:rFonts w:eastAsia="Times New Roman"/>
        </w:rPr>
        <w:t> </w:t>
      </w:r>
      <w:r w:rsidR="00EF2353" w:rsidRPr="003E0C66">
        <w:rPr>
          <w:rFonts w:eastAsia="Times New Roman"/>
        </w:rPr>
        <w:t xml:space="preserve">brak </w:t>
      </w:r>
      <w:r w:rsidR="00DF74FE">
        <w:rPr>
          <w:rFonts w:eastAsia="Times New Roman"/>
        </w:rPr>
        <w:t>ważnego powodu</w:t>
      </w:r>
      <w:r w:rsidR="00DF74FE" w:rsidRPr="003E0C66">
        <w:rPr>
          <w:rFonts w:eastAsia="Times New Roman"/>
        </w:rPr>
        <w:t xml:space="preserve"> </w:t>
      </w:r>
      <w:r w:rsidR="00EF2353" w:rsidRPr="003E0C66">
        <w:rPr>
          <w:rFonts w:eastAsia="Times New Roman"/>
        </w:rPr>
        <w:t xml:space="preserve">nieobecności świadków oskarżenia nie jest sam w sobie rozstrzygający o </w:t>
      </w:r>
      <w:r w:rsidR="00DF74FE">
        <w:rPr>
          <w:rFonts w:eastAsia="Times New Roman"/>
        </w:rPr>
        <w:t>nierzetelności</w:t>
      </w:r>
      <w:r w:rsidR="00DF74FE" w:rsidRPr="003E0C66">
        <w:rPr>
          <w:rFonts w:eastAsia="Times New Roman"/>
        </w:rPr>
        <w:t xml:space="preserve"> </w:t>
      </w:r>
      <w:r w:rsidR="00EF2353" w:rsidRPr="003E0C66">
        <w:rPr>
          <w:rFonts w:eastAsia="Times New Roman"/>
        </w:rPr>
        <w:t>procesu. Jest to jednak bardzo ważny czynnik</w:t>
      </w:r>
      <w:r w:rsidR="00B21A60" w:rsidRPr="003E0C66">
        <w:rPr>
          <w:rFonts w:eastAsia="Times New Roman"/>
        </w:rPr>
        <w:t xml:space="preserve"> przy ocenie ogólnej </w:t>
      </w:r>
      <w:r w:rsidR="00DF74FE">
        <w:rPr>
          <w:rFonts w:eastAsia="Times New Roman"/>
        </w:rPr>
        <w:t>rzetelności</w:t>
      </w:r>
      <w:r w:rsidR="00DF74FE" w:rsidRPr="003E0C66">
        <w:rPr>
          <w:rFonts w:eastAsia="Times New Roman"/>
        </w:rPr>
        <w:t xml:space="preserve"> </w:t>
      </w:r>
      <w:r w:rsidR="00B21A60" w:rsidRPr="003E0C66">
        <w:rPr>
          <w:rFonts w:eastAsia="Times New Roman"/>
        </w:rPr>
        <w:t>procesu. Zgadzamy się z ustaleniami Wielkiej Izby w nin</w:t>
      </w:r>
      <w:r w:rsidR="000C117A" w:rsidRPr="003E0C66">
        <w:rPr>
          <w:rFonts w:eastAsia="Times New Roman"/>
        </w:rPr>
        <w:t xml:space="preserve">iejszej sprawie, iż </w:t>
      </w:r>
      <w:r w:rsidR="008F34D3">
        <w:rPr>
          <w:rFonts w:eastAsia="Times New Roman"/>
        </w:rPr>
        <w:t>podstawową</w:t>
      </w:r>
      <w:r w:rsidR="00DF74FE">
        <w:rPr>
          <w:rFonts w:eastAsia="Times New Roman"/>
        </w:rPr>
        <w:t xml:space="preserve"> p</w:t>
      </w:r>
      <w:r w:rsidR="008F34D3">
        <w:rPr>
          <w:rFonts w:eastAsia="Times New Roman"/>
        </w:rPr>
        <w:t>rzesłanką leżącą u podłoża wyroku</w:t>
      </w:r>
      <w:r w:rsidR="00DF74FE">
        <w:rPr>
          <w:rFonts w:eastAsia="Times New Roman"/>
        </w:rPr>
        <w:t xml:space="preserve"> </w:t>
      </w:r>
      <w:r w:rsidR="00B21A60" w:rsidRPr="003E0C66">
        <w:rPr>
          <w:rFonts w:eastAsia="Times New Roman"/>
        </w:rPr>
        <w:t>Trybunału</w:t>
      </w:r>
      <w:r w:rsidR="001E5824" w:rsidRPr="003E0C66">
        <w:rPr>
          <w:rFonts w:eastAsia="Times New Roman"/>
        </w:rPr>
        <w:t xml:space="preserve"> w sprawie </w:t>
      </w:r>
      <w:r w:rsidR="001E5824" w:rsidRPr="003E0C66">
        <w:rPr>
          <w:rFonts w:eastAsia="Times New Roman"/>
          <w:i/>
        </w:rPr>
        <w:t>Al-Khawaja i</w:t>
      </w:r>
      <w:r w:rsidRPr="003E0C66">
        <w:rPr>
          <w:rFonts w:eastAsia="Times New Roman"/>
          <w:i/>
        </w:rPr>
        <w:t xml:space="preserve"> Tahery</w:t>
      </w:r>
      <w:r w:rsidR="00A64674" w:rsidRPr="003E0C66">
        <w:rPr>
          <w:rFonts w:eastAsia="Times New Roman"/>
        </w:rPr>
        <w:t>,</w:t>
      </w:r>
      <w:r w:rsidR="001E5824" w:rsidRPr="003E0C66">
        <w:rPr>
          <w:rFonts w:eastAsia="Times New Roman"/>
        </w:rPr>
        <w:t xml:space="preserve"> w której </w:t>
      </w:r>
      <w:r w:rsidR="008F34D3">
        <w:rPr>
          <w:rFonts w:eastAsia="Times New Roman"/>
        </w:rPr>
        <w:t>odszedł on</w:t>
      </w:r>
      <w:r w:rsidR="001E5824" w:rsidRPr="003E0C66">
        <w:rPr>
          <w:rFonts w:eastAsia="Times New Roman"/>
        </w:rPr>
        <w:t xml:space="preserve"> od tak zwanej </w:t>
      </w:r>
      <w:r w:rsidR="008F34D3">
        <w:rPr>
          <w:rFonts w:eastAsia="Times New Roman"/>
        </w:rPr>
        <w:t>„</w:t>
      </w:r>
      <w:r w:rsidR="008F34D3" w:rsidRPr="003E0C66">
        <w:rPr>
          <w:rFonts w:eastAsia="Times New Roman"/>
        </w:rPr>
        <w:t>zasady</w:t>
      </w:r>
      <w:r w:rsidR="00B21B74">
        <w:rPr>
          <w:rFonts w:eastAsia="Times New Roman"/>
        </w:rPr>
        <w:t xml:space="preserve"> wyłączności i decydującej roli”</w:t>
      </w:r>
      <w:r w:rsidR="001E5824" w:rsidRPr="003E0C66">
        <w:rPr>
          <w:rFonts w:eastAsia="Times New Roman"/>
        </w:rPr>
        <w:t xml:space="preserve">, </w:t>
      </w:r>
      <w:r w:rsidR="008F34D3">
        <w:rPr>
          <w:rFonts w:eastAsia="Times New Roman"/>
        </w:rPr>
        <w:t>była</w:t>
      </w:r>
      <w:r w:rsidR="004D2529" w:rsidRPr="003E0C66">
        <w:rPr>
          <w:rFonts w:eastAsia="Times New Roman"/>
        </w:rPr>
        <w:t xml:space="preserve"> rezygnacj</w:t>
      </w:r>
      <w:r w:rsidR="008F34D3">
        <w:rPr>
          <w:rFonts w:eastAsia="Times New Roman"/>
        </w:rPr>
        <w:t>a z bezkrytycznej</w:t>
      </w:r>
      <w:r w:rsidR="004D2529" w:rsidRPr="003E0C66">
        <w:rPr>
          <w:rFonts w:eastAsia="Times New Roman"/>
        </w:rPr>
        <w:t xml:space="preserve"> </w:t>
      </w:r>
      <w:r w:rsidR="00603F89" w:rsidRPr="003E0C66">
        <w:rPr>
          <w:rFonts w:eastAsia="Times New Roman"/>
        </w:rPr>
        <w:t>zasady i</w:t>
      </w:r>
      <w:r w:rsidR="008F34D3">
        <w:rPr>
          <w:rFonts w:eastAsia="Times New Roman"/>
        </w:rPr>
        <w:t xml:space="preserve"> branie pod uwagę,</w:t>
      </w:r>
      <w:r w:rsidR="00603F89" w:rsidRPr="003E0C66">
        <w:rPr>
          <w:rFonts w:eastAsia="Times New Roman"/>
        </w:rPr>
        <w:t xml:space="preserve"> w</w:t>
      </w:r>
      <w:r w:rsidR="00461327" w:rsidRPr="003E0C66">
        <w:rPr>
          <w:rFonts w:eastAsia="Times New Roman"/>
        </w:rPr>
        <w:t xml:space="preserve"> tradycyjny sposób</w:t>
      </w:r>
      <w:r w:rsidR="008F34D3">
        <w:rPr>
          <w:rFonts w:eastAsia="Times New Roman"/>
        </w:rPr>
        <w:t>,</w:t>
      </w:r>
      <w:r w:rsidR="00603F89" w:rsidRPr="003E0C66">
        <w:rPr>
          <w:rFonts w:eastAsia="Times New Roman"/>
        </w:rPr>
        <w:t xml:space="preserve"> </w:t>
      </w:r>
      <w:r w:rsidR="008F34D3">
        <w:rPr>
          <w:rFonts w:eastAsia="Times New Roman"/>
        </w:rPr>
        <w:t>rzetelności</w:t>
      </w:r>
      <w:r w:rsidR="008F34D3" w:rsidRPr="003E0C66">
        <w:rPr>
          <w:rFonts w:eastAsia="Times New Roman"/>
        </w:rPr>
        <w:t xml:space="preserve"> </w:t>
      </w:r>
      <w:r w:rsidR="00465338" w:rsidRPr="003E0C66">
        <w:rPr>
          <w:rFonts w:eastAsia="Times New Roman"/>
        </w:rPr>
        <w:t>procesu</w:t>
      </w:r>
      <w:r w:rsidR="008F34D3">
        <w:rPr>
          <w:rFonts w:eastAsia="Times New Roman"/>
        </w:rPr>
        <w:t xml:space="preserve"> jako całości</w:t>
      </w:r>
      <w:r w:rsidR="00465338" w:rsidRPr="003E0C66">
        <w:rPr>
          <w:rFonts w:eastAsia="Times New Roman"/>
        </w:rPr>
        <w:t>.</w:t>
      </w:r>
      <w:r w:rsidR="00642267" w:rsidRPr="003E0C66">
        <w:rPr>
          <w:rFonts w:eastAsia="Times New Roman"/>
        </w:rPr>
        <w:t xml:space="preserve"> Byłoby to równoznaczne z utworzeniem nowej </w:t>
      </w:r>
      <w:r w:rsidR="008F34D3">
        <w:rPr>
          <w:rFonts w:eastAsia="Times New Roman"/>
        </w:rPr>
        <w:t xml:space="preserve">bezkrytycznej </w:t>
      </w:r>
      <w:r w:rsidR="00727296" w:rsidRPr="003E0C66">
        <w:rPr>
          <w:rFonts w:eastAsia="Times New Roman"/>
        </w:rPr>
        <w:t>zasady</w:t>
      </w:r>
      <w:r w:rsidR="00DA145F" w:rsidRPr="003E0C66">
        <w:rPr>
          <w:rFonts w:eastAsia="Times New Roman"/>
        </w:rPr>
        <w:t>,</w:t>
      </w:r>
      <w:r w:rsidR="00727296" w:rsidRPr="003E0C66">
        <w:rPr>
          <w:rFonts w:eastAsia="Times New Roman"/>
        </w:rPr>
        <w:t xml:space="preserve"> </w:t>
      </w:r>
      <w:r w:rsidR="008F34D3">
        <w:rPr>
          <w:rFonts w:eastAsia="Times New Roman"/>
        </w:rPr>
        <w:t>gdyby</w:t>
      </w:r>
      <w:r w:rsidR="008F34D3" w:rsidRPr="003E0C66">
        <w:rPr>
          <w:rFonts w:eastAsia="Times New Roman"/>
        </w:rPr>
        <w:t xml:space="preserve"> </w:t>
      </w:r>
      <w:r w:rsidR="00727296" w:rsidRPr="003E0C66">
        <w:rPr>
          <w:rFonts w:eastAsia="Times New Roman"/>
        </w:rPr>
        <w:t xml:space="preserve">postępowanie </w:t>
      </w:r>
      <w:r w:rsidR="008F34D3">
        <w:rPr>
          <w:rFonts w:eastAsia="Times New Roman"/>
        </w:rPr>
        <w:t>było uznawane</w:t>
      </w:r>
      <w:r w:rsidR="00B515D8" w:rsidRPr="003E0C66">
        <w:rPr>
          <w:rFonts w:eastAsia="Times New Roman"/>
        </w:rPr>
        <w:t xml:space="preserve"> za </w:t>
      </w:r>
      <w:r w:rsidR="008F34D3">
        <w:rPr>
          <w:rFonts w:eastAsia="Times New Roman"/>
        </w:rPr>
        <w:t>nierzetelne</w:t>
      </w:r>
      <w:r w:rsidR="008F34D3" w:rsidRPr="003E0C66">
        <w:rPr>
          <w:rFonts w:eastAsia="Times New Roman"/>
        </w:rPr>
        <w:t xml:space="preserve"> </w:t>
      </w:r>
      <w:r w:rsidR="006748A4">
        <w:rPr>
          <w:rFonts w:eastAsia="Times New Roman"/>
        </w:rPr>
        <w:t>z powodu samego tylko</w:t>
      </w:r>
      <w:r w:rsidR="009B4325" w:rsidRPr="003E0C66">
        <w:rPr>
          <w:rFonts w:eastAsia="Times New Roman"/>
        </w:rPr>
        <w:t xml:space="preserve"> </w:t>
      </w:r>
      <w:r w:rsidR="00DA145F" w:rsidRPr="003E0C66">
        <w:rPr>
          <w:rFonts w:eastAsia="Times New Roman"/>
        </w:rPr>
        <w:t>brak</w:t>
      </w:r>
      <w:r w:rsidR="006748A4">
        <w:rPr>
          <w:rFonts w:eastAsia="Times New Roman"/>
        </w:rPr>
        <w:t>u</w:t>
      </w:r>
      <w:r w:rsidR="00DA145F" w:rsidRPr="003E0C66">
        <w:rPr>
          <w:rFonts w:eastAsia="Times New Roman"/>
        </w:rPr>
        <w:t xml:space="preserve"> </w:t>
      </w:r>
      <w:r w:rsidR="008F34D3">
        <w:rPr>
          <w:rFonts w:eastAsia="Times New Roman"/>
        </w:rPr>
        <w:t>ważnego</w:t>
      </w:r>
      <w:r w:rsidR="008F34D3" w:rsidRPr="003E0C66">
        <w:rPr>
          <w:rFonts w:eastAsia="Times New Roman"/>
        </w:rPr>
        <w:t xml:space="preserve"> </w:t>
      </w:r>
      <w:r w:rsidR="00DA145F" w:rsidRPr="003E0C66">
        <w:rPr>
          <w:rFonts w:eastAsia="Times New Roman"/>
        </w:rPr>
        <w:t xml:space="preserve">powodu usprawiedliwiającego </w:t>
      </w:r>
      <w:r w:rsidR="009B4325" w:rsidRPr="003E0C66">
        <w:rPr>
          <w:rFonts w:eastAsia="Times New Roman"/>
        </w:rPr>
        <w:t>nieobecnoś</w:t>
      </w:r>
      <w:r w:rsidR="00DA145F" w:rsidRPr="003E0C66">
        <w:rPr>
          <w:rFonts w:eastAsia="Times New Roman"/>
        </w:rPr>
        <w:t>ć</w:t>
      </w:r>
      <w:r w:rsidR="00B21B74">
        <w:rPr>
          <w:rFonts w:eastAsia="Times New Roman"/>
        </w:rPr>
        <w:t xml:space="preserve"> świadków</w:t>
      </w:r>
      <w:r w:rsidR="0037182B" w:rsidRPr="003E0C66">
        <w:rPr>
          <w:rFonts w:eastAsia="Times New Roman"/>
        </w:rPr>
        <w:t xml:space="preserve">, nawet jeśli </w:t>
      </w:r>
      <w:r w:rsidR="00BE07D3" w:rsidRPr="003E0C66">
        <w:rPr>
          <w:rFonts w:eastAsia="Times New Roman"/>
        </w:rPr>
        <w:t xml:space="preserve">niezweryfikowany </w:t>
      </w:r>
      <w:r w:rsidR="0037182B" w:rsidRPr="003E0C66">
        <w:rPr>
          <w:rFonts w:eastAsia="Times New Roman"/>
        </w:rPr>
        <w:t xml:space="preserve">dowód </w:t>
      </w:r>
      <w:r w:rsidR="00BE07D3" w:rsidRPr="003E0C66">
        <w:rPr>
          <w:rFonts w:eastAsia="Times New Roman"/>
        </w:rPr>
        <w:t xml:space="preserve">nie </w:t>
      </w:r>
      <w:r w:rsidR="006748A4">
        <w:rPr>
          <w:rFonts w:eastAsia="Times New Roman"/>
        </w:rPr>
        <w:t>byłby</w:t>
      </w:r>
      <w:r w:rsidR="00BE07D3" w:rsidRPr="003E0C66">
        <w:rPr>
          <w:rFonts w:eastAsia="Times New Roman"/>
        </w:rPr>
        <w:t xml:space="preserve"> jedyny</w:t>
      </w:r>
      <w:r w:rsidR="006748A4">
        <w:rPr>
          <w:rFonts w:eastAsia="Times New Roman"/>
        </w:rPr>
        <w:t>m</w:t>
      </w:r>
      <w:r w:rsidR="00BE07D3" w:rsidRPr="003E0C66">
        <w:rPr>
          <w:rFonts w:eastAsia="Times New Roman"/>
        </w:rPr>
        <w:t xml:space="preserve"> czy </w:t>
      </w:r>
      <w:r w:rsidR="006748A4">
        <w:rPr>
          <w:rFonts w:eastAsia="Times New Roman"/>
        </w:rPr>
        <w:t>decydującym,</w:t>
      </w:r>
      <w:r w:rsidR="006748A4" w:rsidRPr="003E0C66">
        <w:rPr>
          <w:rFonts w:eastAsia="Times New Roman"/>
        </w:rPr>
        <w:t xml:space="preserve"> </w:t>
      </w:r>
      <w:r w:rsidR="0010317B" w:rsidRPr="003E0C66">
        <w:rPr>
          <w:rFonts w:eastAsia="Times New Roman"/>
        </w:rPr>
        <w:t>a być może nawet</w:t>
      </w:r>
      <w:r w:rsidR="004B2B04" w:rsidRPr="003E0C66">
        <w:rPr>
          <w:rFonts w:eastAsia="Times New Roman"/>
        </w:rPr>
        <w:t xml:space="preserve"> </w:t>
      </w:r>
      <w:r w:rsidR="006748A4">
        <w:rPr>
          <w:rFonts w:eastAsia="Times New Roman"/>
        </w:rPr>
        <w:t>byłby nieistotny</w:t>
      </w:r>
      <w:r w:rsidR="0010317B" w:rsidRPr="003E0C66">
        <w:rPr>
          <w:rFonts w:eastAsia="Times New Roman"/>
        </w:rPr>
        <w:t xml:space="preserve"> dla </w:t>
      </w:r>
      <w:r w:rsidR="006748A4">
        <w:rPr>
          <w:rFonts w:eastAsia="Times New Roman"/>
        </w:rPr>
        <w:t xml:space="preserve">wyniku </w:t>
      </w:r>
      <w:r w:rsidR="0010317B" w:rsidRPr="003E0C66">
        <w:rPr>
          <w:rFonts w:eastAsia="Times New Roman"/>
        </w:rPr>
        <w:t>sprawy</w:t>
      </w:r>
      <w:r w:rsidR="004B2B04" w:rsidRPr="003E0C66">
        <w:rPr>
          <w:rFonts w:eastAsia="Times New Roman"/>
        </w:rPr>
        <w:t xml:space="preserve"> (zobacz paragraf 112 wyroku</w:t>
      </w:r>
      <w:r w:rsidR="006748A4">
        <w:rPr>
          <w:rFonts w:eastAsia="Times New Roman"/>
        </w:rPr>
        <w:t>)</w:t>
      </w:r>
      <w:r w:rsidR="004B2B04" w:rsidRPr="003E0C66">
        <w:rPr>
          <w:rFonts w:eastAsia="Times New Roman"/>
        </w:rPr>
        <w:t xml:space="preserve">. Zgodnie z powyższym stwierdzeniem </w:t>
      </w:r>
      <w:r w:rsidR="006748A4">
        <w:rPr>
          <w:rFonts w:eastAsia="Times New Roman"/>
        </w:rPr>
        <w:t xml:space="preserve">w znaczącej </w:t>
      </w:r>
      <w:r w:rsidR="004B2B04" w:rsidRPr="003E0C66">
        <w:rPr>
          <w:rFonts w:eastAsia="Times New Roman"/>
        </w:rPr>
        <w:t>większoś</w:t>
      </w:r>
      <w:r w:rsidR="006748A4">
        <w:rPr>
          <w:rFonts w:eastAsia="Times New Roman"/>
        </w:rPr>
        <w:t>ci</w:t>
      </w:r>
      <w:r w:rsidR="004B2B04" w:rsidRPr="003E0C66">
        <w:rPr>
          <w:rFonts w:eastAsia="Times New Roman"/>
        </w:rPr>
        <w:t xml:space="preserve"> spraw, </w:t>
      </w:r>
      <w:r w:rsidR="006748A4">
        <w:rPr>
          <w:rFonts w:eastAsia="Times New Roman"/>
        </w:rPr>
        <w:t>rozpoznawanych po wydaniu</w:t>
      </w:r>
      <w:r w:rsidR="004B2B04" w:rsidRPr="003E0C66">
        <w:rPr>
          <w:rFonts w:eastAsia="Times New Roman"/>
        </w:rPr>
        <w:t xml:space="preserve"> wyroku w sprawie </w:t>
      </w:r>
      <w:r w:rsidRPr="003E0C66">
        <w:rPr>
          <w:rFonts w:eastAsia="Times New Roman"/>
          <w:i/>
        </w:rPr>
        <w:t>Al-Khawaja</w:t>
      </w:r>
      <w:r w:rsidR="006748A4">
        <w:rPr>
          <w:rFonts w:eastAsia="Times New Roman"/>
          <w:i/>
        </w:rPr>
        <w:t>,</w:t>
      </w:r>
      <w:r w:rsidRPr="003E0C66">
        <w:rPr>
          <w:rFonts w:eastAsia="Times New Roman"/>
        </w:rPr>
        <w:t xml:space="preserve"> </w:t>
      </w:r>
      <w:r w:rsidR="004B2B04" w:rsidRPr="003E0C66">
        <w:rPr>
          <w:rFonts w:eastAsia="Times New Roman"/>
        </w:rPr>
        <w:t xml:space="preserve">nie </w:t>
      </w:r>
      <w:r w:rsidR="006748A4">
        <w:rPr>
          <w:rFonts w:eastAsia="Times New Roman"/>
        </w:rPr>
        <w:t>rozważano</w:t>
      </w:r>
      <w:r w:rsidR="006748A4" w:rsidRPr="003E0C66">
        <w:rPr>
          <w:rFonts w:eastAsia="Times New Roman"/>
        </w:rPr>
        <w:t xml:space="preserve"> </w:t>
      </w:r>
      <w:r w:rsidR="004B2B04" w:rsidRPr="003E0C66">
        <w:rPr>
          <w:rFonts w:eastAsia="Times New Roman"/>
        </w:rPr>
        <w:t xml:space="preserve">braku </w:t>
      </w:r>
      <w:r w:rsidR="006748A4">
        <w:rPr>
          <w:rFonts w:eastAsia="Times New Roman"/>
        </w:rPr>
        <w:t>ważnych</w:t>
      </w:r>
      <w:r w:rsidR="006748A4" w:rsidRPr="003E0C66">
        <w:rPr>
          <w:rFonts w:eastAsia="Times New Roman"/>
        </w:rPr>
        <w:t xml:space="preserve"> </w:t>
      </w:r>
      <w:r w:rsidR="004B2B04" w:rsidRPr="003E0C66">
        <w:rPr>
          <w:rFonts w:eastAsia="Times New Roman"/>
        </w:rPr>
        <w:t>powodów usprawiedliwiający</w:t>
      </w:r>
      <w:r w:rsidR="006748A4">
        <w:rPr>
          <w:rFonts w:eastAsia="Times New Roman"/>
        </w:rPr>
        <w:t>ch</w:t>
      </w:r>
      <w:r w:rsidR="004B2B04" w:rsidRPr="003E0C66">
        <w:rPr>
          <w:rFonts w:eastAsia="Times New Roman"/>
        </w:rPr>
        <w:t xml:space="preserve"> nieobecność świadków oskarżenia jako </w:t>
      </w:r>
      <w:r w:rsidR="004B2B04" w:rsidRPr="003E0C66">
        <w:rPr>
          <w:rFonts w:eastAsia="Times New Roman"/>
        </w:rPr>
        <w:lastRenderedPageBreak/>
        <w:t>automatycznie wywołujących naruszenie Artykułu 6 §</w:t>
      </w:r>
      <w:r w:rsidR="006748A4" w:rsidRPr="003E0C66">
        <w:rPr>
          <w:rFonts w:eastAsia="Times New Roman"/>
        </w:rPr>
        <w:t>§</w:t>
      </w:r>
      <w:r w:rsidR="006748A4">
        <w:rPr>
          <w:rFonts w:eastAsia="Times New Roman"/>
        </w:rPr>
        <w:t xml:space="preserve"> </w:t>
      </w:r>
      <w:r w:rsidR="004B2B04" w:rsidRPr="003E0C66">
        <w:rPr>
          <w:rFonts w:eastAsia="Times New Roman"/>
        </w:rPr>
        <w:t xml:space="preserve">1 i 3 (d) (zobacz paragraf 113 wyroku).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6.</w:t>
      </w:r>
      <w:r w:rsidR="005038F3" w:rsidRPr="003E0C66">
        <w:rPr>
          <w:rFonts w:eastAsia="Times New Roman"/>
        </w:rPr>
        <w:t xml:space="preserve"> Po drugie</w:t>
      </w:r>
      <w:r w:rsidR="00B21B74">
        <w:rPr>
          <w:rFonts w:eastAsia="Times New Roman"/>
        </w:rPr>
        <w:t>,</w:t>
      </w:r>
      <w:r w:rsidR="005038F3" w:rsidRPr="003E0C66">
        <w:rPr>
          <w:rFonts w:eastAsia="Times New Roman"/>
        </w:rPr>
        <w:t xml:space="preserve"> zgadzamy się z większością, </w:t>
      </w:r>
      <w:r w:rsidR="006748A4">
        <w:rPr>
          <w:rFonts w:eastAsia="Times New Roman"/>
        </w:rPr>
        <w:t>że</w:t>
      </w:r>
      <w:r w:rsidR="006748A4" w:rsidRPr="003E0C66">
        <w:rPr>
          <w:rFonts w:eastAsia="Times New Roman"/>
        </w:rPr>
        <w:t xml:space="preserve"> </w:t>
      </w:r>
      <w:r w:rsidR="005038F3" w:rsidRPr="003E0C66">
        <w:rPr>
          <w:rFonts w:eastAsia="Times New Roman"/>
        </w:rPr>
        <w:t>mając na uwadze, że Trybunał zmierza do ustalenia</w:t>
      </w:r>
      <w:r w:rsidR="006748A4">
        <w:rPr>
          <w:rFonts w:eastAsia="Times New Roman"/>
        </w:rPr>
        <w:t>,</w:t>
      </w:r>
      <w:r w:rsidR="005038F3" w:rsidRPr="003E0C66">
        <w:rPr>
          <w:rFonts w:eastAsia="Times New Roman"/>
        </w:rPr>
        <w:t xml:space="preserve"> czy postępowanie jako całość było </w:t>
      </w:r>
      <w:r w:rsidR="006748A4">
        <w:rPr>
          <w:rFonts w:eastAsia="Times New Roman"/>
        </w:rPr>
        <w:t>rzetelne</w:t>
      </w:r>
      <w:r w:rsidR="000F0FF0" w:rsidRPr="003E0C66">
        <w:rPr>
          <w:rFonts w:eastAsia="Times New Roman"/>
        </w:rPr>
        <w:t xml:space="preserve">, musi on zbadać istnienie </w:t>
      </w:r>
      <w:r w:rsidR="00174169">
        <w:rPr>
          <w:rFonts w:eastAsia="Times New Roman"/>
        </w:rPr>
        <w:t>dostatecznych</w:t>
      </w:r>
      <w:r w:rsidR="00174169" w:rsidRPr="003E0C66">
        <w:rPr>
          <w:rFonts w:eastAsia="Times New Roman"/>
        </w:rPr>
        <w:t xml:space="preserve"> </w:t>
      </w:r>
      <w:r w:rsidR="004B2B04" w:rsidRPr="003E0C66">
        <w:rPr>
          <w:rFonts w:eastAsia="Times New Roman"/>
        </w:rPr>
        <w:t>czynników wyrównawczych także</w:t>
      </w:r>
      <w:r w:rsidR="000F0FF0" w:rsidRPr="003E0C66">
        <w:rPr>
          <w:rFonts w:eastAsia="Times New Roman"/>
        </w:rPr>
        <w:t xml:space="preserve"> w sprawach</w:t>
      </w:r>
      <w:r w:rsidR="00174169">
        <w:rPr>
          <w:rFonts w:eastAsia="Times New Roman"/>
        </w:rPr>
        <w:t>,</w:t>
      </w:r>
      <w:r w:rsidR="000F0FF0" w:rsidRPr="003E0C66">
        <w:rPr>
          <w:rFonts w:eastAsia="Times New Roman"/>
        </w:rPr>
        <w:t xml:space="preserve"> w których niezweryfikowan</w:t>
      </w:r>
      <w:r w:rsidR="00174169">
        <w:rPr>
          <w:rFonts w:eastAsia="Times New Roman"/>
        </w:rPr>
        <w:t>y</w:t>
      </w:r>
      <w:r w:rsidR="000F0FF0" w:rsidRPr="003E0C66">
        <w:rPr>
          <w:rFonts w:eastAsia="Times New Roman"/>
        </w:rPr>
        <w:t xml:space="preserve"> </w:t>
      </w:r>
      <w:r w:rsidR="00174169" w:rsidRPr="003E0C66">
        <w:rPr>
          <w:rFonts w:eastAsia="Times New Roman"/>
        </w:rPr>
        <w:t>dow</w:t>
      </w:r>
      <w:r w:rsidR="00174169">
        <w:rPr>
          <w:rFonts w:eastAsia="Times New Roman"/>
        </w:rPr>
        <w:t>ód</w:t>
      </w:r>
      <w:r w:rsidR="00174169" w:rsidRPr="003E0C66">
        <w:rPr>
          <w:rFonts w:eastAsia="Times New Roman"/>
        </w:rPr>
        <w:t xml:space="preserve"> </w:t>
      </w:r>
      <w:r w:rsidR="000F0FF0" w:rsidRPr="003E0C66">
        <w:rPr>
          <w:rFonts w:eastAsia="Times New Roman"/>
        </w:rPr>
        <w:t>z zeznań świadk</w:t>
      </w:r>
      <w:r w:rsidR="00174169">
        <w:rPr>
          <w:rFonts w:eastAsia="Times New Roman"/>
        </w:rPr>
        <w:t>a</w:t>
      </w:r>
      <w:r w:rsidR="000F0FF0" w:rsidRPr="003E0C66">
        <w:rPr>
          <w:rFonts w:eastAsia="Times New Roman"/>
        </w:rPr>
        <w:t xml:space="preserve"> </w:t>
      </w:r>
      <w:r w:rsidR="00D30F0D" w:rsidRPr="003E0C66">
        <w:rPr>
          <w:rFonts w:eastAsia="Times New Roman"/>
        </w:rPr>
        <w:t xml:space="preserve">nie był ani </w:t>
      </w:r>
      <w:r w:rsidR="00D20376" w:rsidRPr="003E0C66">
        <w:rPr>
          <w:rFonts w:eastAsia="Times New Roman"/>
        </w:rPr>
        <w:t xml:space="preserve">jedyną, ani </w:t>
      </w:r>
      <w:r w:rsidR="00174169">
        <w:rPr>
          <w:rFonts w:eastAsia="Times New Roman"/>
        </w:rPr>
        <w:t>decydującą</w:t>
      </w:r>
      <w:r w:rsidR="00174169" w:rsidRPr="003E0C66">
        <w:rPr>
          <w:rFonts w:eastAsia="Times New Roman"/>
        </w:rPr>
        <w:t xml:space="preserve"> </w:t>
      </w:r>
      <w:r w:rsidR="00D20376" w:rsidRPr="003E0C66">
        <w:rPr>
          <w:rFonts w:eastAsia="Times New Roman"/>
        </w:rPr>
        <w:t>podstawą sk</w:t>
      </w:r>
      <w:r w:rsidR="00B21B74">
        <w:rPr>
          <w:rFonts w:eastAsia="Times New Roman"/>
        </w:rPr>
        <w:t>azania oskarżonego, ale odegrał</w:t>
      </w:r>
      <w:r w:rsidR="00D20376" w:rsidRPr="003E0C66">
        <w:rPr>
          <w:rFonts w:eastAsia="Times New Roman"/>
        </w:rPr>
        <w:t xml:space="preserve"> znaczącą rolę (zobacz paragraf 11</w:t>
      </w:r>
      <w:r w:rsidR="00174169">
        <w:rPr>
          <w:rFonts w:eastAsia="Times New Roman"/>
        </w:rPr>
        <w:t>6</w:t>
      </w:r>
      <w:r w:rsidR="00D20376" w:rsidRPr="003E0C66">
        <w:rPr>
          <w:rFonts w:eastAsia="Times New Roman"/>
        </w:rPr>
        <w:t xml:space="preserve"> wyroku).  </w:t>
      </w:r>
      <w:r w:rsidR="000F0FF0" w:rsidRPr="003E0C66">
        <w:rPr>
          <w:rFonts w:eastAsia="Times New Roman"/>
        </w:rPr>
        <w:t xml:space="preserve">  </w:t>
      </w:r>
      <w:r w:rsidR="005038F3" w:rsidRPr="003E0C66">
        <w:rPr>
          <w:rFonts w:eastAsia="Times New Roman"/>
        </w:rPr>
        <w:t xml:space="preserve"> </w:t>
      </w:r>
      <w:r w:rsidRPr="003E0C66">
        <w:rPr>
          <w:rFonts w:eastAsia="Times New Roman"/>
        </w:rPr>
        <w:t>  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7.  </w:t>
      </w:r>
      <w:r w:rsidR="00D20376" w:rsidRPr="003E0C66">
        <w:rPr>
          <w:rFonts w:eastAsia="Times New Roman"/>
        </w:rPr>
        <w:t>Po trzecie</w:t>
      </w:r>
      <w:r w:rsidR="00B21B74">
        <w:rPr>
          <w:rFonts w:eastAsia="Times New Roman"/>
        </w:rPr>
        <w:t>,</w:t>
      </w:r>
      <w:r w:rsidR="00D20376" w:rsidRPr="003E0C66">
        <w:rPr>
          <w:rFonts w:eastAsia="Times New Roman"/>
        </w:rPr>
        <w:t xml:space="preserve"> uważamy również, iż kolejność w jakiej </w:t>
      </w:r>
      <w:r w:rsidR="00821EEC">
        <w:rPr>
          <w:rFonts w:eastAsia="Times New Roman"/>
        </w:rPr>
        <w:t>przeprowadzone</w:t>
      </w:r>
      <w:r w:rsidR="00821EEC" w:rsidRPr="003E0C66">
        <w:rPr>
          <w:rFonts w:eastAsia="Times New Roman"/>
        </w:rPr>
        <w:t xml:space="preserve"> </w:t>
      </w:r>
      <w:r w:rsidR="00D20376" w:rsidRPr="003E0C66">
        <w:rPr>
          <w:rFonts w:eastAsia="Times New Roman"/>
        </w:rPr>
        <w:t xml:space="preserve">zostaną trzy etapy badania, </w:t>
      </w:r>
      <w:r w:rsidR="00821EEC">
        <w:rPr>
          <w:rFonts w:eastAsia="Times New Roman"/>
        </w:rPr>
        <w:t>które</w:t>
      </w:r>
      <w:r w:rsidR="00D20376" w:rsidRPr="003E0C66">
        <w:rPr>
          <w:rFonts w:eastAsia="Times New Roman"/>
        </w:rPr>
        <w:t xml:space="preserve"> określono w sprawie </w:t>
      </w:r>
      <w:r w:rsidRPr="003E0C66">
        <w:rPr>
          <w:rFonts w:eastAsia="Times New Roman"/>
          <w:i/>
        </w:rPr>
        <w:t xml:space="preserve">Al-Khawaja </w:t>
      </w:r>
      <w:r w:rsidR="00D20376" w:rsidRPr="003E0C66">
        <w:rPr>
          <w:rFonts w:eastAsia="Times New Roman"/>
          <w:i/>
        </w:rPr>
        <w:t>i</w:t>
      </w:r>
      <w:r w:rsidRPr="003E0C66">
        <w:rPr>
          <w:rFonts w:eastAsia="Times New Roman"/>
          <w:i/>
        </w:rPr>
        <w:t xml:space="preserve"> Tahery</w:t>
      </w:r>
      <w:r w:rsidRPr="003E0C66">
        <w:rPr>
          <w:rFonts w:eastAsia="Times New Roman"/>
        </w:rPr>
        <w:t xml:space="preserve"> </w:t>
      </w:r>
      <w:r w:rsidR="00D20376" w:rsidRPr="003E0C66">
        <w:rPr>
          <w:rFonts w:eastAsia="Times New Roman"/>
        </w:rPr>
        <w:t xml:space="preserve">jest, </w:t>
      </w:r>
      <w:r w:rsidR="00821EEC">
        <w:rPr>
          <w:rFonts w:eastAsia="Times New Roman"/>
        </w:rPr>
        <w:t>co do zasady</w:t>
      </w:r>
      <w:r w:rsidR="00D20376" w:rsidRPr="003E0C66">
        <w:rPr>
          <w:rFonts w:eastAsia="Times New Roman"/>
        </w:rPr>
        <w:t>, istotn</w:t>
      </w:r>
      <w:r w:rsidR="00821EEC">
        <w:rPr>
          <w:rFonts w:eastAsia="Times New Roman"/>
        </w:rPr>
        <w:t>a</w:t>
      </w:r>
      <w:r w:rsidR="00D20376" w:rsidRPr="003E0C66">
        <w:rPr>
          <w:rFonts w:eastAsia="Times New Roman"/>
        </w:rPr>
        <w:t xml:space="preserve"> nawet jeśli w niektórych przypadkach okaże się właściwym odejście od tej kolejności (zobacz paragraf 118 wyroku). 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8. </w:t>
      </w:r>
      <w:r w:rsidR="00D20376" w:rsidRPr="003E0C66">
        <w:rPr>
          <w:rFonts w:eastAsia="Times New Roman"/>
        </w:rPr>
        <w:t xml:space="preserve"> Wreszcie zgadzamy się </w:t>
      </w:r>
      <w:r w:rsidR="00B21B74">
        <w:rPr>
          <w:rFonts w:eastAsia="Times New Roman"/>
        </w:rPr>
        <w:t xml:space="preserve">z </w:t>
      </w:r>
      <w:r w:rsidR="00D20376" w:rsidRPr="003E0C66">
        <w:rPr>
          <w:rFonts w:eastAsia="Times New Roman"/>
        </w:rPr>
        <w:t xml:space="preserve">podsumowaniem zasad dotyczących każdego z trzech etapów </w:t>
      </w:r>
      <w:r w:rsidR="00821EEC">
        <w:rPr>
          <w:rFonts w:eastAsia="Times New Roman"/>
        </w:rPr>
        <w:t>testu</w:t>
      </w:r>
      <w:r w:rsidR="00821EEC" w:rsidRPr="003E0C66">
        <w:rPr>
          <w:rFonts w:eastAsia="Times New Roman"/>
        </w:rPr>
        <w:t xml:space="preserve"> </w:t>
      </w:r>
      <w:r w:rsidRPr="003E0C66">
        <w:rPr>
          <w:rFonts w:eastAsia="Times New Roman"/>
          <w:i/>
        </w:rPr>
        <w:t>Al-Khawaja</w:t>
      </w:r>
      <w:r w:rsidR="00D20376" w:rsidRPr="003E0C66">
        <w:rPr>
          <w:rFonts w:eastAsia="Times New Roman"/>
          <w:i/>
        </w:rPr>
        <w:t xml:space="preserve"> </w:t>
      </w:r>
      <w:r w:rsidR="00D20376" w:rsidRPr="003E0C66">
        <w:rPr>
          <w:rFonts w:eastAsia="Times New Roman"/>
        </w:rPr>
        <w:t>w niniejsz</w:t>
      </w:r>
      <w:r w:rsidR="00821EEC">
        <w:rPr>
          <w:rFonts w:eastAsia="Times New Roman"/>
        </w:rPr>
        <w:t>ym orzeczeniu</w:t>
      </w:r>
      <w:r w:rsidR="00B21B74">
        <w:rPr>
          <w:rFonts w:eastAsia="Times New Roman"/>
        </w:rPr>
        <w:t xml:space="preserve"> </w:t>
      </w:r>
      <w:r w:rsidR="00D20376" w:rsidRPr="003E0C66">
        <w:rPr>
          <w:rFonts w:eastAsia="Times New Roman"/>
        </w:rPr>
        <w:t xml:space="preserve">(zobacz paragrafy 119-131 wyroku). </w:t>
      </w:r>
      <w:r w:rsidR="009E4648" w:rsidRPr="003E0C66">
        <w:rPr>
          <w:rFonts w:eastAsia="Times New Roman"/>
        </w:rPr>
        <w:t xml:space="preserve">Daje ono wskazówki, w szczególności </w:t>
      </w:r>
      <w:r w:rsidR="0034739B" w:rsidRPr="003E0C66">
        <w:rPr>
          <w:rFonts w:eastAsia="Times New Roman"/>
        </w:rPr>
        <w:t xml:space="preserve">w zakresie oceny nieosiągalności świadka oraz </w:t>
      </w:r>
      <w:r w:rsidR="00821EEC">
        <w:rPr>
          <w:rFonts w:eastAsia="Times New Roman"/>
        </w:rPr>
        <w:t xml:space="preserve">tego, </w:t>
      </w:r>
      <w:r w:rsidR="0034739B" w:rsidRPr="003E0C66">
        <w:rPr>
          <w:rFonts w:eastAsia="Times New Roman"/>
        </w:rPr>
        <w:t>jakie</w:t>
      </w:r>
      <w:r w:rsidR="00B21B74">
        <w:rPr>
          <w:rFonts w:eastAsia="Times New Roman"/>
        </w:rPr>
        <w:t>go rodzaju środki muszą</w:t>
      </w:r>
      <w:r w:rsidR="00B5563A" w:rsidRPr="003E0C66">
        <w:rPr>
          <w:rFonts w:eastAsia="Times New Roman"/>
        </w:rPr>
        <w:t xml:space="preserve"> podjąć organy krajowe w celu dotarcia do świadka, jak ocenić, czy dowód był jedyn</w:t>
      </w:r>
      <w:r w:rsidR="00821EEC">
        <w:rPr>
          <w:rFonts w:eastAsia="Times New Roman"/>
        </w:rPr>
        <w:t>ą</w:t>
      </w:r>
      <w:r w:rsidR="00B5563A" w:rsidRPr="003E0C66">
        <w:rPr>
          <w:rFonts w:eastAsia="Times New Roman"/>
        </w:rPr>
        <w:t xml:space="preserve"> lub decydując</w:t>
      </w:r>
      <w:r w:rsidR="00821EEC">
        <w:rPr>
          <w:rFonts w:eastAsia="Times New Roman"/>
        </w:rPr>
        <w:t>ą podstawą</w:t>
      </w:r>
      <w:r w:rsidR="00B5563A" w:rsidRPr="003E0C66">
        <w:rPr>
          <w:rFonts w:eastAsia="Times New Roman"/>
        </w:rPr>
        <w:t xml:space="preserve"> skazani</w:t>
      </w:r>
      <w:r w:rsidR="00821EEC">
        <w:rPr>
          <w:rFonts w:eastAsia="Times New Roman"/>
        </w:rPr>
        <w:t>a</w:t>
      </w:r>
      <w:r w:rsidR="00B5563A" w:rsidRPr="003E0C66">
        <w:rPr>
          <w:rFonts w:eastAsia="Times New Roman"/>
        </w:rPr>
        <w:t xml:space="preserve"> oskarżonego oraz jakie </w:t>
      </w:r>
      <w:r w:rsidR="00821EEC">
        <w:rPr>
          <w:rFonts w:eastAsia="Times New Roman"/>
        </w:rPr>
        <w:t>materialne</w:t>
      </w:r>
      <w:r w:rsidR="00821EEC" w:rsidRPr="003E0C66">
        <w:rPr>
          <w:rFonts w:eastAsia="Times New Roman"/>
        </w:rPr>
        <w:t xml:space="preserve"> </w:t>
      </w:r>
      <w:r w:rsidR="00B5563A" w:rsidRPr="003E0C66">
        <w:rPr>
          <w:rFonts w:eastAsia="Times New Roman"/>
        </w:rPr>
        <w:t xml:space="preserve">lub proceduralne </w:t>
      </w:r>
      <w:r w:rsidR="00821EEC">
        <w:rPr>
          <w:rFonts w:eastAsia="Times New Roman"/>
        </w:rPr>
        <w:t>czynniki</w:t>
      </w:r>
      <w:r w:rsidR="00821EEC" w:rsidRPr="003E0C66">
        <w:rPr>
          <w:rFonts w:eastAsia="Times New Roman"/>
        </w:rPr>
        <w:t xml:space="preserve"> </w:t>
      </w:r>
      <w:r w:rsidR="00B5563A" w:rsidRPr="003E0C66">
        <w:rPr>
          <w:rFonts w:eastAsia="Times New Roman"/>
        </w:rPr>
        <w:t xml:space="preserve">wyrównawcze </w:t>
      </w:r>
      <w:r w:rsidR="00E7074C">
        <w:rPr>
          <w:rFonts w:eastAsia="Times New Roman"/>
        </w:rPr>
        <w:t>mogą zastosować</w:t>
      </w:r>
      <w:r w:rsidR="00B5563A" w:rsidRPr="003E0C66">
        <w:rPr>
          <w:rFonts w:eastAsia="Times New Roman"/>
        </w:rPr>
        <w:t xml:space="preserve"> w celu zrekompensowania </w:t>
      </w:r>
      <w:r w:rsidR="00E7074C" w:rsidRPr="003E0C66">
        <w:rPr>
          <w:rFonts w:eastAsia="Times New Roman"/>
        </w:rPr>
        <w:t>utrudnie</w:t>
      </w:r>
      <w:r w:rsidR="00E7074C">
        <w:rPr>
          <w:rFonts w:eastAsia="Times New Roman"/>
        </w:rPr>
        <w:t>ń</w:t>
      </w:r>
      <w:r w:rsidR="00B5563A" w:rsidRPr="003E0C66">
        <w:rPr>
          <w:rFonts w:eastAsia="Times New Roman"/>
        </w:rPr>
        <w:t xml:space="preserve">, z którymi musiała zmierzyć się obrona </w:t>
      </w:r>
      <w:r w:rsidR="00E7074C">
        <w:rPr>
          <w:rFonts w:eastAsia="Times New Roman"/>
        </w:rPr>
        <w:t>na skutek</w:t>
      </w:r>
      <w:r w:rsidR="00B5563A" w:rsidRPr="003E0C66">
        <w:rPr>
          <w:rFonts w:eastAsia="Times New Roman"/>
        </w:rPr>
        <w:t xml:space="preserve"> </w:t>
      </w:r>
      <w:r w:rsidR="00E7074C">
        <w:rPr>
          <w:rFonts w:eastAsia="Times New Roman"/>
        </w:rPr>
        <w:t>dopuszczenia</w:t>
      </w:r>
      <w:r w:rsidR="00E7074C" w:rsidRPr="003E0C66">
        <w:rPr>
          <w:rFonts w:eastAsia="Times New Roman"/>
        </w:rPr>
        <w:t xml:space="preserve"> </w:t>
      </w:r>
      <w:r w:rsidR="00E7074C">
        <w:rPr>
          <w:rFonts w:eastAsia="Times New Roman"/>
        </w:rPr>
        <w:t xml:space="preserve">na rozprawie </w:t>
      </w:r>
      <w:r w:rsidR="00B5563A" w:rsidRPr="003E0C66">
        <w:rPr>
          <w:rFonts w:eastAsia="Times New Roman"/>
        </w:rPr>
        <w:t xml:space="preserve">dowodu z niezweryfikowanych zeznań </w:t>
      </w:r>
      <w:r w:rsidR="00E7074C" w:rsidRPr="003E0C66">
        <w:rPr>
          <w:rFonts w:eastAsia="Times New Roman"/>
        </w:rPr>
        <w:t>świadk</w:t>
      </w:r>
      <w:r w:rsidR="00E7074C">
        <w:rPr>
          <w:rFonts w:eastAsia="Times New Roman"/>
        </w:rPr>
        <w:t>a</w:t>
      </w:r>
      <w:r w:rsidR="00B5563A" w:rsidRPr="003E0C66">
        <w:rPr>
          <w:rFonts w:eastAsia="Times New Roman"/>
        </w:rPr>
        <w:t xml:space="preserve">.    </w:t>
      </w:r>
      <w:r w:rsidR="00D20376" w:rsidRPr="003E0C66">
        <w:rPr>
          <w:rFonts w:eastAsia="Times New Roman"/>
        </w:rPr>
        <w:t xml:space="preserve"> </w:t>
      </w:r>
    </w:p>
    <w:p w:rsidR="00C5349B" w:rsidRPr="003E0C66" w:rsidRDefault="00C5349B" w:rsidP="00BC0CE7">
      <w:pPr>
        <w:pStyle w:val="OpiHA"/>
        <w:rPr>
          <w:rFonts w:eastAsia="Times New Roman"/>
        </w:rPr>
      </w:pPr>
      <w:r w:rsidRPr="003E0C66">
        <w:rPr>
          <w:rFonts w:eastAsia="Times New Roman"/>
        </w:rPr>
        <w:t>B.  </w:t>
      </w:r>
      <w:r w:rsidR="00130475">
        <w:rPr>
          <w:rFonts w:eastAsia="Times New Roman"/>
        </w:rPr>
        <w:t>Co do z</w:t>
      </w:r>
      <w:r w:rsidR="007A7435" w:rsidRPr="003E0C66">
        <w:rPr>
          <w:rFonts w:eastAsia="Times New Roman"/>
        </w:rPr>
        <w:t>astosowani</w:t>
      </w:r>
      <w:r w:rsidR="00130475">
        <w:rPr>
          <w:rFonts w:eastAsia="Times New Roman"/>
        </w:rPr>
        <w:t>a</w:t>
      </w:r>
      <w:r w:rsidR="007A7435" w:rsidRPr="003E0C66">
        <w:rPr>
          <w:rFonts w:eastAsia="Times New Roman"/>
        </w:rPr>
        <w:t xml:space="preserve"> tych zasad do niniejszej sprawy  </w:t>
      </w:r>
    </w:p>
    <w:p w:rsidR="00B14674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9.  </w:t>
      </w:r>
      <w:r w:rsidR="004B2B04" w:rsidRPr="003E0C66">
        <w:rPr>
          <w:rFonts w:eastAsia="Times New Roman"/>
        </w:rPr>
        <w:t xml:space="preserve">Nie podzielamy zdania </w:t>
      </w:r>
      <w:r w:rsidR="007A7435" w:rsidRPr="003E0C66">
        <w:rPr>
          <w:rFonts w:eastAsia="Times New Roman"/>
        </w:rPr>
        <w:t>większoś</w:t>
      </w:r>
      <w:r w:rsidR="004B2B04" w:rsidRPr="003E0C66">
        <w:rPr>
          <w:rFonts w:eastAsia="Times New Roman"/>
        </w:rPr>
        <w:t xml:space="preserve">ci, </w:t>
      </w:r>
      <w:r w:rsidR="007A7435" w:rsidRPr="003E0C66">
        <w:rPr>
          <w:rFonts w:eastAsia="Times New Roman"/>
        </w:rPr>
        <w:t xml:space="preserve">jeśli chodzi o kwestię zastosowania odpowiednich zasad do niniejszej sprawy. Zgadzamy się ze stwierdzeniem większości, </w:t>
      </w:r>
      <w:r w:rsidR="00130475">
        <w:rPr>
          <w:rFonts w:eastAsia="Times New Roman"/>
        </w:rPr>
        <w:t>że</w:t>
      </w:r>
      <w:r w:rsidR="00130475" w:rsidRPr="003E0C66">
        <w:rPr>
          <w:rFonts w:eastAsia="Times New Roman"/>
        </w:rPr>
        <w:t xml:space="preserve"> </w:t>
      </w:r>
      <w:r w:rsidR="007A7435" w:rsidRPr="003E0C66">
        <w:rPr>
          <w:rFonts w:eastAsia="Times New Roman"/>
          <w:u w:val="single"/>
        </w:rPr>
        <w:t xml:space="preserve">wystąpił </w:t>
      </w:r>
      <w:r w:rsidR="00130475">
        <w:rPr>
          <w:rFonts w:eastAsia="Times New Roman"/>
          <w:u w:val="single"/>
        </w:rPr>
        <w:t>ważny</w:t>
      </w:r>
      <w:r w:rsidR="00130475" w:rsidRPr="003E0C66">
        <w:rPr>
          <w:rFonts w:eastAsia="Times New Roman"/>
          <w:u w:val="single"/>
        </w:rPr>
        <w:t xml:space="preserve"> </w:t>
      </w:r>
      <w:r w:rsidR="007A7435" w:rsidRPr="003E0C66">
        <w:rPr>
          <w:rFonts w:eastAsia="Times New Roman"/>
          <w:u w:val="single"/>
        </w:rPr>
        <w:t>powód usprawiedliwiający nieobecność świadków</w:t>
      </w:r>
      <w:r w:rsidR="007A7435" w:rsidRPr="003E0C66">
        <w:rPr>
          <w:rFonts w:eastAsia="Times New Roman"/>
        </w:rPr>
        <w:t xml:space="preserve"> O. i P. podczas rozprawy, a w konsekwencji także dopuszczeni</w:t>
      </w:r>
      <w:r w:rsidR="00130475">
        <w:rPr>
          <w:rFonts w:eastAsia="Times New Roman"/>
        </w:rPr>
        <w:t>a</w:t>
      </w:r>
      <w:r w:rsidR="007A7435" w:rsidRPr="003E0C66">
        <w:rPr>
          <w:rFonts w:eastAsia="Times New Roman"/>
        </w:rPr>
        <w:t xml:space="preserve"> </w:t>
      </w:r>
      <w:r w:rsidR="00130475">
        <w:rPr>
          <w:rFonts w:eastAsia="Times New Roman"/>
        </w:rPr>
        <w:t xml:space="preserve">jako dowodu </w:t>
      </w:r>
      <w:r w:rsidR="007A7435" w:rsidRPr="003E0C66">
        <w:rPr>
          <w:rFonts w:eastAsia="Times New Roman"/>
        </w:rPr>
        <w:t>zeznań</w:t>
      </w:r>
      <w:r w:rsidR="00130475">
        <w:rPr>
          <w:rFonts w:eastAsia="Times New Roman"/>
        </w:rPr>
        <w:t>, które złożyli</w:t>
      </w:r>
      <w:r w:rsidR="007A7435" w:rsidRPr="003E0C66">
        <w:rPr>
          <w:rFonts w:eastAsia="Times New Roman"/>
        </w:rPr>
        <w:t xml:space="preserve"> na policji oraz </w:t>
      </w:r>
      <w:r w:rsidR="00130475">
        <w:rPr>
          <w:rFonts w:eastAsia="Times New Roman"/>
        </w:rPr>
        <w:t>przed sędzią śledczym</w:t>
      </w:r>
      <w:r w:rsidR="007A7435" w:rsidRPr="003E0C66">
        <w:rPr>
          <w:rFonts w:eastAsia="Times New Roman"/>
        </w:rPr>
        <w:t xml:space="preserve"> na etapie przedprocesowym oraz z </w:t>
      </w:r>
      <w:r w:rsidR="00130475">
        <w:rPr>
          <w:rFonts w:eastAsia="Times New Roman"/>
        </w:rPr>
        <w:t>uzasadnieniem powyższego</w:t>
      </w:r>
      <w:r w:rsidR="007A7435" w:rsidRPr="003E0C66">
        <w:rPr>
          <w:rFonts w:eastAsia="Times New Roman"/>
        </w:rPr>
        <w:t xml:space="preserve">. Możemy również zaakceptować podsumowanie większości, iż dowód z zeznań nieobecnych świadków O. i P. </w:t>
      </w:r>
      <w:r w:rsidR="00C11DE1" w:rsidRPr="003E0C66">
        <w:rPr>
          <w:rFonts w:eastAsia="Times New Roman"/>
        </w:rPr>
        <w:t xml:space="preserve">był </w:t>
      </w:r>
      <w:r w:rsidR="00130475">
        <w:rPr>
          <w:rFonts w:eastAsia="Times New Roman"/>
        </w:rPr>
        <w:t>decydującą</w:t>
      </w:r>
      <w:r w:rsidR="00C11DE1" w:rsidRPr="003E0C66">
        <w:rPr>
          <w:rFonts w:eastAsia="Times New Roman"/>
        </w:rPr>
        <w:t xml:space="preserve">, </w:t>
      </w:r>
      <w:r w:rsidR="00130475">
        <w:rPr>
          <w:rFonts w:eastAsia="Times New Roman"/>
        </w:rPr>
        <w:t>ale</w:t>
      </w:r>
      <w:r w:rsidR="00130475" w:rsidRPr="003E0C66">
        <w:rPr>
          <w:rFonts w:eastAsia="Times New Roman"/>
        </w:rPr>
        <w:t xml:space="preserve"> </w:t>
      </w:r>
      <w:r w:rsidR="00C11DE1" w:rsidRPr="003E0C66">
        <w:rPr>
          <w:rFonts w:eastAsia="Times New Roman"/>
        </w:rPr>
        <w:t>nie jedyn</w:t>
      </w:r>
      <w:r w:rsidR="00130475">
        <w:rPr>
          <w:rFonts w:eastAsia="Times New Roman"/>
        </w:rPr>
        <w:t>ą podstawą</w:t>
      </w:r>
      <w:r w:rsidR="00C11DE1" w:rsidRPr="003E0C66">
        <w:rPr>
          <w:rFonts w:eastAsia="Times New Roman"/>
        </w:rPr>
        <w:t xml:space="preserve"> skazan</w:t>
      </w:r>
      <w:r w:rsidR="00130475">
        <w:rPr>
          <w:rFonts w:eastAsia="Times New Roman"/>
        </w:rPr>
        <w:t>ia</w:t>
      </w:r>
      <w:r w:rsidR="00C11DE1" w:rsidRPr="003E0C66">
        <w:rPr>
          <w:rFonts w:eastAsia="Times New Roman"/>
        </w:rPr>
        <w:t xml:space="preserve"> oskarżonego w niniejszej sprawie, z uwagi na fakt, iż O. i P. były jedynymi naocznymi świadkami </w:t>
      </w:r>
      <w:r w:rsidR="00130475">
        <w:rPr>
          <w:rFonts w:eastAsia="Times New Roman"/>
        </w:rPr>
        <w:t xml:space="preserve">przedmiotowego </w:t>
      </w:r>
      <w:r w:rsidR="00C11DE1" w:rsidRPr="003E0C66">
        <w:rPr>
          <w:rFonts w:eastAsia="Times New Roman"/>
        </w:rPr>
        <w:t xml:space="preserve">przestępstwa.  </w:t>
      </w:r>
      <w:r w:rsidR="007A7435" w:rsidRPr="003E0C66">
        <w:rPr>
          <w:rFonts w:eastAsia="Times New Roman"/>
        </w:rPr>
        <w:t xml:space="preserve">      </w:t>
      </w:r>
    </w:p>
    <w:p w:rsidR="00C5349B" w:rsidRPr="003E0C66" w:rsidRDefault="00C5349B" w:rsidP="00C11DE1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10.</w:t>
      </w:r>
      <w:r w:rsidR="00A63FCC" w:rsidRPr="003E0C66">
        <w:rPr>
          <w:rFonts w:eastAsia="Times New Roman"/>
        </w:rPr>
        <w:t>  </w:t>
      </w:r>
      <w:r w:rsidR="00C11DE1" w:rsidRPr="003E0C66">
        <w:rPr>
          <w:rFonts w:eastAsia="Times New Roman"/>
        </w:rPr>
        <w:t xml:space="preserve">W świetle powyższego stwierdzamy, iż koniecznym jest zbadanie czy wystąpiły </w:t>
      </w:r>
      <w:r w:rsidR="00C11DE1" w:rsidRPr="003E0C66">
        <w:rPr>
          <w:rFonts w:eastAsia="Times New Roman"/>
          <w:u w:val="single"/>
        </w:rPr>
        <w:t>wystarczające środki wyrównawcze</w:t>
      </w:r>
      <w:r w:rsidR="00C11DE1" w:rsidRPr="003E0C66">
        <w:rPr>
          <w:rFonts w:eastAsia="Times New Roman"/>
        </w:rPr>
        <w:t xml:space="preserve"> mające na celu zrekompensowanie obronie utrudnień, z którymi musiała się zmierzyć. W przeciwieństwie do zdania większości, </w:t>
      </w:r>
      <w:r w:rsidR="004C3174">
        <w:rPr>
          <w:rFonts w:eastAsia="Times New Roman"/>
        </w:rPr>
        <w:t>stajemy na stanowisku</w:t>
      </w:r>
      <w:r w:rsidR="00C11DE1" w:rsidRPr="003E0C66">
        <w:rPr>
          <w:rFonts w:eastAsia="Times New Roman"/>
        </w:rPr>
        <w:t xml:space="preserve">, </w:t>
      </w:r>
      <w:r w:rsidR="004C3174">
        <w:rPr>
          <w:rFonts w:eastAsia="Times New Roman"/>
        </w:rPr>
        <w:t>że</w:t>
      </w:r>
      <w:r w:rsidR="004C3174" w:rsidRPr="003E0C66">
        <w:rPr>
          <w:rFonts w:eastAsia="Times New Roman"/>
        </w:rPr>
        <w:t xml:space="preserve"> </w:t>
      </w:r>
      <w:r w:rsidR="00C11DE1" w:rsidRPr="003E0C66">
        <w:rPr>
          <w:rFonts w:eastAsia="Times New Roman"/>
        </w:rPr>
        <w:t>takowe środki były wystarczające w niniejszej sprawie</w:t>
      </w:r>
      <w:r w:rsidRPr="003E0C66">
        <w:rPr>
          <w:rFonts w:eastAsia="Times New Roman"/>
        </w:rPr>
        <w:t>.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11. </w:t>
      </w:r>
      <w:r w:rsidR="00C11DE1" w:rsidRPr="003E0C66">
        <w:rPr>
          <w:rFonts w:eastAsia="Times New Roman"/>
        </w:rPr>
        <w:t xml:space="preserve">Jeśli chodzi o ocenę </w:t>
      </w:r>
      <w:r w:rsidR="004C3174">
        <w:rPr>
          <w:rFonts w:eastAsia="Times New Roman"/>
        </w:rPr>
        <w:t xml:space="preserve">zastosowanych </w:t>
      </w:r>
      <w:r w:rsidR="00C11DE1" w:rsidRPr="003E0C66">
        <w:rPr>
          <w:rFonts w:eastAsia="Times New Roman"/>
        </w:rPr>
        <w:t>różnych czynników wyrównawczych zgadzamy się z większością, iż Sąd Okręgowy rzetelnie zbadał wiarygodność nieobecnych świadków i ich zeznań</w:t>
      </w:r>
      <w:r w:rsidR="004C3174">
        <w:rPr>
          <w:rFonts w:eastAsia="Times New Roman"/>
        </w:rPr>
        <w:t xml:space="preserve"> oraz</w:t>
      </w:r>
      <w:r w:rsidR="00C11DE1" w:rsidRPr="003E0C66">
        <w:rPr>
          <w:rFonts w:eastAsia="Times New Roman"/>
        </w:rPr>
        <w:t xml:space="preserve"> uważamy tę ocenę za szczególnie dokładną.   </w:t>
      </w:r>
      <w:r w:rsidRPr="003E0C66">
        <w:rPr>
          <w:rFonts w:eastAsia="Times New Roman"/>
        </w:rPr>
        <w:t> 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lastRenderedPageBreak/>
        <w:t>12. </w:t>
      </w:r>
      <w:r w:rsidR="00E618C0" w:rsidRPr="003E0C66">
        <w:rPr>
          <w:rFonts w:eastAsia="Times New Roman"/>
        </w:rPr>
        <w:t xml:space="preserve">Jednakże, </w:t>
      </w:r>
      <w:r w:rsidR="004B2B04" w:rsidRPr="003E0C66">
        <w:rPr>
          <w:rFonts w:eastAsia="Times New Roman"/>
        </w:rPr>
        <w:t>w przeciwieństwie do większości</w:t>
      </w:r>
      <w:r w:rsidR="00E618C0" w:rsidRPr="003E0C66">
        <w:rPr>
          <w:rFonts w:eastAsia="Times New Roman"/>
        </w:rPr>
        <w:t xml:space="preserve"> stwierdzamy</w:t>
      </w:r>
      <w:r w:rsidR="004B2B04" w:rsidRPr="003E0C66">
        <w:rPr>
          <w:rFonts w:eastAsia="Times New Roman"/>
        </w:rPr>
        <w:t>,</w:t>
      </w:r>
      <w:r w:rsidR="00E618C0" w:rsidRPr="003E0C66">
        <w:rPr>
          <w:rFonts w:eastAsia="Times New Roman"/>
        </w:rPr>
        <w:t xml:space="preserve"> </w:t>
      </w:r>
      <w:r w:rsidR="001C15DD">
        <w:rPr>
          <w:rFonts w:eastAsia="Times New Roman"/>
        </w:rPr>
        <w:t>że</w:t>
      </w:r>
      <w:r w:rsidR="00E618C0" w:rsidRPr="003E0C66">
        <w:rPr>
          <w:rFonts w:eastAsia="Times New Roman"/>
        </w:rPr>
        <w:t xml:space="preserve"> Sąd Okręgowy posiadał bardzo silne i spójne dodatkowe dowody </w:t>
      </w:r>
      <w:r w:rsidR="004C3174">
        <w:rPr>
          <w:rFonts w:eastAsia="Times New Roman"/>
        </w:rPr>
        <w:t xml:space="preserve">obciążające, </w:t>
      </w:r>
      <w:r w:rsidR="00E618C0" w:rsidRPr="003E0C66">
        <w:rPr>
          <w:rFonts w:eastAsia="Times New Roman"/>
        </w:rPr>
        <w:t xml:space="preserve">dotyczące przestępstwa </w:t>
      </w:r>
      <w:r w:rsidR="004C3174">
        <w:rPr>
          <w:rFonts w:eastAsia="Times New Roman"/>
        </w:rPr>
        <w:t>kradzieży</w:t>
      </w:r>
      <w:r w:rsidR="004C3174" w:rsidRPr="003E0C66">
        <w:rPr>
          <w:rFonts w:eastAsia="Times New Roman"/>
        </w:rPr>
        <w:t xml:space="preserve"> </w:t>
      </w:r>
      <w:r w:rsidR="00E618C0" w:rsidRPr="003E0C66">
        <w:rPr>
          <w:rFonts w:eastAsia="Times New Roman"/>
        </w:rPr>
        <w:t>z wymuszenie</w:t>
      </w:r>
      <w:r w:rsidR="00B236FE" w:rsidRPr="003E0C66">
        <w:rPr>
          <w:rFonts w:eastAsia="Times New Roman"/>
        </w:rPr>
        <w:t>m</w:t>
      </w:r>
      <w:r w:rsidR="004C3174">
        <w:rPr>
          <w:rFonts w:eastAsia="Times New Roman"/>
        </w:rPr>
        <w:t>,</w:t>
      </w:r>
      <w:r w:rsidR="00B236FE" w:rsidRPr="003E0C66">
        <w:rPr>
          <w:rFonts w:eastAsia="Times New Roman"/>
        </w:rPr>
        <w:t xml:space="preserve"> za </w:t>
      </w:r>
      <w:r w:rsidR="004C3174">
        <w:rPr>
          <w:rFonts w:eastAsia="Times New Roman"/>
        </w:rPr>
        <w:t>które</w:t>
      </w:r>
      <w:r w:rsidR="00B236FE" w:rsidRPr="003E0C66">
        <w:rPr>
          <w:rFonts w:eastAsia="Times New Roman"/>
        </w:rPr>
        <w:t xml:space="preserve"> skarżący został skazany. </w:t>
      </w:r>
      <w:r w:rsidR="00BF10B6">
        <w:rPr>
          <w:rFonts w:eastAsia="Times New Roman"/>
        </w:rPr>
        <w:t>Materiał dowodowy</w:t>
      </w:r>
      <w:r w:rsidR="00BF10B6" w:rsidRPr="003E0C66">
        <w:rPr>
          <w:rFonts w:eastAsia="Times New Roman"/>
        </w:rPr>
        <w:t xml:space="preserve"> </w:t>
      </w:r>
      <w:r w:rsidR="002539F7" w:rsidRPr="003E0C66">
        <w:rPr>
          <w:rFonts w:eastAsia="Times New Roman"/>
        </w:rPr>
        <w:t xml:space="preserve">zawierał nie tylko </w:t>
      </w:r>
      <w:r w:rsidR="00BF10B6">
        <w:rPr>
          <w:rFonts w:eastAsia="Times New Roman"/>
        </w:rPr>
        <w:t xml:space="preserve">kompletny </w:t>
      </w:r>
      <w:r w:rsidR="002539F7" w:rsidRPr="003E0C66">
        <w:rPr>
          <w:rFonts w:eastAsia="Times New Roman"/>
        </w:rPr>
        <w:t xml:space="preserve">opis wydarzeń </w:t>
      </w:r>
      <w:r w:rsidR="00BF10B6">
        <w:rPr>
          <w:rFonts w:eastAsia="Times New Roman"/>
        </w:rPr>
        <w:t>przedstawiony</w:t>
      </w:r>
      <w:r w:rsidR="00BF10B6" w:rsidRPr="003E0C66">
        <w:rPr>
          <w:rFonts w:eastAsia="Times New Roman"/>
        </w:rPr>
        <w:t xml:space="preserve"> </w:t>
      </w:r>
      <w:r w:rsidR="002539F7" w:rsidRPr="003E0C66">
        <w:rPr>
          <w:rFonts w:eastAsia="Times New Roman"/>
        </w:rPr>
        <w:t xml:space="preserve">przez dwóch dodatkowych świadków (sąsiadkę świadków E. oraz </w:t>
      </w:r>
      <w:r w:rsidR="00BF10B6">
        <w:rPr>
          <w:rFonts w:eastAsia="Times New Roman"/>
        </w:rPr>
        <w:t xml:space="preserve">ich </w:t>
      </w:r>
      <w:r w:rsidR="002539F7" w:rsidRPr="003E0C66">
        <w:rPr>
          <w:rFonts w:eastAsia="Times New Roman"/>
        </w:rPr>
        <w:t xml:space="preserve">przyjaciółkę L.), choć tylko w </w:t>
      </w:r>
      <w:r w:rsidR="00BF10B6">
        <w:rPr>
          <w:rFonts w:eastAsia="Times New Roman"/>
        </w:rPr>
        <w:t>postaci</w:t>
      </w:r>
      <w:r w:rsidR="00BF10B6" w:rsidRPr="003E0C66">
        <w:rPr>
          <w:rFonts w:eastAsia="Times New Roman"/>
        </w:rPr>
        <w:t xml:space="preserve"> </w:t>
      </w:r>
      <w:r w:rsidR="00BF10B6">
        <w:rPr>
          <w:rFonts w:eastAsia="Times New Roman"/>
        </w:rPr>
        <w:t>zeznań „ze słyszenia”</w:t>
      </w:r>
      <w:r w:rsidR="002539F7" w:rsidRPr="003E0C66">
        <w:rPr>
          <w:rFonts w:eastAsia="Times New Roman"/>
        </w:rPr>
        <w:t xml:space="preserve">. Zostały one dodatkowo poparte przez bardzo silne, bezpośrednie i wiarygodne dowody techniczne. Te ostatnie obejmowały, w szczególności, dane geograficzne oraz nagrania dwóch rozmów telefonicznych potwierdzających, iż skarżący był obecny w mieszkaniu świadków </w:t>
      </w:r>
      <w:r w:rsidR="00D2267C" w:rsidRPr="003E0C66">
        <w:rPr>
          <w:rFonts w:eastAsia="Times New Roman"/>
        </w:rPr>
        <w:t xml:space="preserve">w czasie popełnienia przestępstwa oraz że wyskoczył przez balkon, aby złapać jedną z uciekających kobiet. Wreszcie dowody dotyczące przestępstwa popełnionego </w:t>
      </w:r>
      <w:r w:rsidR="00BF10B6" w:rsidRPr="003E0C66">
        <w:rPr>
          <w:rFonts w:eastAsia="Times New Roman"/>
        </w:rPr>
        <w:t xml:space="preserve">przez skarżącego i </w:t>
      </w:r>
      <w:r w:rsidR="00BF10B6">
        <w:rPr>
          <w:rFonts w:eastAsia="Times New Roman"/>
        </w:rPr>
        <w:t xml:space="preserve">jego </w:t>
      </w:r>
      <w:r w:rsidR="00BF10B6" w:rsidRPr="003E0C66">
        <w:rPr>
          <w:rFonts w:eastAsia="Times New Roman"/>
        </w:rPr>
        <w:t xml:space="preserve">wspólnika </w:t>
      </w:r>
      <w:r w:rsidR="00D2267C" w:rsidRPr="003E0C66">
        <w:rPr>
          <w:rFonts w:eastAsia="Times New Roman"/>
        </w:rPr>
        <w:t xml:space="preserve">w Kassel </w:t>
      </w:r>
      <w:r w:rsidR="00BF10B6">
        <w:rPr>
          <w:rFonts w:eastAsia="Times New Roman"/>
        </w:rPr>
        <w:t xml:space="preserve">w dniu </w:t>
      </w:r>
      <w:r w:rsidR="00D2267C" w:rsidRPr="003E0C66">
        <w:rPr>
          <w:rFonts w:eastAsia="Times New Roman"/>
        </w:rPr>
        <w:t xml:space="preserve">14 października 2006 roku, w odniesieniu do którego wszyscy świadkowie zeznawali podczas rozprawy, </w:t>
      </w:r>
      <w:r w:rsidR="004654D3">
        <w:rPr>
          <w:rFonts w:eastAsia="Times New Roman"/>
        </w:rPr>
        <w:t xml:space="preserve">wskazują na uderzające podobieństwa </w:t>
      </w:r>
      <w:r w:rsidR="00D2267C" w:rsidRPr="003E0C66">
        <w:rPr>
          <w:rFonts w:eastAsia="Times New Roman"/>
        </w:rPr>
        <w:t xml:space="preserve">do tego popełnionego w </w:t>
      </w:r>
      <w:r w:rsidRPr="003E0C66">
        <w:rPr>
          <w:rFonts w:eastAsia="Times New Roman"/>
        </w:rPr>
        <w:t>Göttingen</w:t>
      </w:r>
      <w:r w:rsidR="00D2267C" w:rsidRPr="003E0C66">
        <w:rPr>
          <w:rFonts w:eastAsia="Times New Roman"/>
        </w:rPr>
        <w:t xml:space="preserve">, </w:t>
      </w:r>
      <w:r w:rsidR="00BF10B6">
        <w:rPr>
          <w:rFonts w:eastAsia="Times New Roman"/>
        </w:rPr>
        <w:t>co do wyboru ofiar</w:t>
      </w:r>
      <w:r w:rsidR="00D2267C" w:rsidRPr="003E0C66">
        <w:rPr>
          <w:rFonts w:eastAsia="Times New Roman"/>
        </w:rPr>
        <w:t>, miejsc</w:t>
      </w:r>
      <w:r w:rsidR="00BF10B6">
        <w:rPr>
          <w:rFonts w:eastAsia="Times New Roman"/>
        </w:rPr>
        <w:t>a</w:t>
      </w:r>
      <w:r w:rsidR="00D2267C" w:rsidRPr="003E0C66">
        <w:rPr>
          <w:rFonts w:eastAsia="Times New Roman"/>
        </w:rPr>
        <w:t xml:space="preserve"> przestępstwa oraz </w:t>
      </w:r>
      <w:r w:rsidR="00BF10B6">
        <w:rPr>
          <w:rFonts w:eastAsia="Times New Roman"/>
        </w:rPr>
        <w:t>sposobu</w:t>
      </w:r>
      <w:r w:rsidR="004654D3">
        <w:rPr>
          <w:rFonts w:eastAsia="Times New Roman"/>
        </w:rPr>
        <w:t>, w jaki działali sprawcy</w:t>
      </w:r>
      <w:r w:rsidR="00D2267C" w:rsidRPr="003E0C66">
        <w:rPr>
          <w:rFonts w:eastAsia="Times New Roman"/>
        </w:rPr>
        <w:t xml:space="preserve">. Co więcej, nie można nie zauważyć, </w:t>
      </w:r>
      <w:r w:rsidR="004654D3">
        <w:rPr>
          <w:rFonts w:eastAsia="Times New Roman"/>
        </w:rPr>
        <w:t>że</w:t>
      </w:r>
      <w:r w:rsidR="004654D3" w:rsidRPr="003E0C66">
        <w:rPr>
          <w:rFonts w:eastAsia="Times New Roman"/>
        </w:rPr>
        <w:t xml:space="preserve"> </w:t>
      </w:r>
      <w:r w:rsidR="00D2267C" w:rsidRPr="003E0C66">
        <w:rPr>
          <w:rFonts w:eastAsia="Times New Roman"/>
        </w:rPr>
        <w:t xml:space="preserve">skarżący sam w trakcie procesu przyznał, iż był w mieszkaniu </w:t>
      </w:r>
      <w:r w:rsidR="004654D3">
        <w:rPr>
          <w:rFonts w:eastAsia="Times New Roman"/>
        </w:rPr>
        <w:t>pokrzywdzonych</w:t>
      </w:r>
      <w:r w:rsidR="004654D3" w:rsidRPr="003E0C66">
        <w:rPr>
          <w:rFonts w:eastAsia="Times New Roman"/>
        </w:rPr>
        <w:t xml:space="preserve"> </w:t>
      </w:r>
      <w:r w:rsidR="00D2267C" w:rsidRPr="003E0C66">
        <w:rPr>
          <w:rFonts w:eastAsia="Times New Roman"/>
        </w:rPr>
        <w:t>w czasie popełnienia przestępstwa oraz pobieg</w:t>
      </w:r>
      <w:r w:rsidR="001C15DD">
        <w:rPr>
          <w:rFonts w:eastAsia="Times New Roman"/>
        </w:rPr>
        <w:t>ł za uciekającą przez balkon P.</w:t>
      </w:r>
      <w:r w:rsidR="00D2267C" w:rsidRPr="003E0C66">
        <w:rPr>
          <w:rFonts w:eastAsia="Times New Roman"/>
        </w:rPr>
        <w:t xml:space="preserve"> twierdząc, </w:t>
      </w:r>
      <w:r w:rsidR="001C15DD">
        <w:rPr>
          <w:rFonts w:eastAsia="Times New Roman"/>
        </w:rPr>
        <w:t>że</w:t>
      </w:r>
      <w:r w:rsidR="00D2267C" w:rsidRPr="003E0C66">
        <w:rPr>
          <w:rFonts w:eastAsia="Times New Roman"/>
        </w:rPr>
        <w:t xml:space="preserve"> zrobił to w strachu przed problemami z prostytutkami, jakie spotkały go </w:t>
      </w:r>
      <w:r w:rsidR="004654D3">
        <w:rPr>
          <w:rFonts w:eastAsia="Times New Roman"/>
        </w:rPr>
        <w:t xml:space="preserve">poprzednio </w:t>
      </w:r>
      <w:r w:rsidR="00D2267C" w:rsidRPr="003E0C66">
        <w:rPr>
          <w:rFonts w:eastAsia="Times New Roman"/>
        </w:rPr>
        <w:t xml:space="preserve">w podobnej sytuacji w Kassel (zobacz paragraf 44 wyroku).     </w:t>
      </w:r>
      <w:r w:rsidRPr="003E0C66">
        <w:rPr>
          <w:rFonts w:eastAsia="Times New Roman"/>
        </w:rPr>
        <w:t xml:space="preserve">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13.</w:t>
      </w:r>
      <w:r w:rsidR="008004D0" w:rsidRPr="003E0C66">
        <w:rPr>
          <w:rFonts w:eastAsia="Times New Roman"/>
        </w:rPr>
        <w:t xml:space="preserve"> Jeśli chodzi o środki proceduralne mające </w:t>
      </w:r>
      <w:r w:rsidR="004654D3">
        <w:rPr>
          <w:rFonts w:eastAsia="Times New Roman"/>
        </w:rPr>
        <w:t>zrekompensować</w:t>
      </w:r>
      <w:r w:rsidR="008004D0" w:rsidRPr="003E0C66">
        <w:rPr>
          <w:rFonts w:eastAsia="Times New Roman"/>
        </w:rPr>
        <w:t xml:space="preserve"> brak możliwości bezpośredniego przesłuchania świadków podczas rozprawy </w:t>
      </w:r>
      <w:r w:rsidR="004654D3">
        <w:rPr>
          <w:rFonts w:eastAsia="Times New Roman"/>
        </w:rPr>
        <w:t>za</w:t>
      </w:r>
      <w:r w:rsidR="008004D0" w:rsidRPr="003E0C66">
        <w:rPr>
          <w:rFonts w:eastAsia="Times New Roman"/>
        </w:rPr>
        <w:t xml:space="preserve">uważamy, </w:t>
      </w:r>
      <w:r w:rsidR="004654D3">
        <w:rPr>
          <w:rFonts w:eastAsia="Times New Roman"/>
        </w:rPr>
        <w:t>że</w:t>
      </w:r>
      <w:r w:rsidR="004654D3" w:rsidRPr="003E0C66">
        <w:rPr>
          <w:rFonts w:eastAsia="Times New Roman"/>
        </w:rPr>
        <w:t xml:space="preserve"> </w:t>
      </w:r>
      <w:r w:rsidR="008004D0" w:rsidRPr="003E0C66">
        <w:rPr>
          <w:rFonts w:eastAsia="Times New Roman"/>
        </w:rPr>
        <w:t>sądy krajowe nie uznały za sprzeczne z Artykułem 141 § 3 K</w:t>
      </w:r>
      <w:r w:rsidR="004654D3">
        <w:rPr>
          <w:rFonts w:eastAsia="Times New Roman"/>
        </w:rPr>
        <w:t>pk</w:t>
      </w:r>
      <w:r w:rsidR="008004D0" w:rsidRPr="003E0C66">
        <w:rPr>
          <w:rFonts w:eastAsia="Times New Roman"/>
        </w:rPr>
        <w:t xml:space="preserve"> w połączeniu z Artykułem 140 § 1 </w:t>
      </w:r>
      <w:r w:rsidR="009666ED" w:rsidRPr="003E0C66">
        <w:rPr>
          <w:rFonts w:eastAsia="Times New Roman"/>
        </w:rPr>
        <w:t xml:space="preserve">i zgodnie z </w:t>
      </w:r>
      <w:r w:rsidR="001C15DD">
        <w:rPr>
          <w:rFonts w:eastAsia="Times New Roman"/>
        </w:rPr>
        <w:t>wykładnią</w:t>
      </w:r>
      <w:r w:rsidR="009666ED" w:rsidRPr="003E0C66">
        <w:rPr>
          <w:rFonts w:eastAsia="Times New Roman"/>
        </w:rPr>
        <w:t xml:space="preserve"> Federalnego</w:t>
      </w:r>
      <w:r w:rsidR="00083C33" w:rsidRPr="003E0C66">
        <w:rPr>
          <w:rFonts w:eastAsia="Times New Roman"/>
        </w:rPr>
        <w:t xml:space="preserve"> Trybunał</w:t>
      </w:r>
      <w:r w:rsidR="009666ED" w:rsidRPr="003E0C66">
        <w:rPr>
          <w:rFonts w:eastAsia="Times New Roman"/>
        </w:rPr>
        <w:t>u</w:t>
      </w:r>
      <w:r w:rsidR="00083C33" w:rsidRPr="003E0C66">
        <w:rPr>
          <w:rFonts w:eastAsia="Times New Roman"/>
        </w:rPr>
        <w:t xml:space="preserve"> Sprawiedliwości </w:t>
      </w:r>
      <w:r w:rsidR="009666ED" w:rsidRPr="003E0C66">
        <w:rPr>
          <w:rFonts w:eastAsia="Times New Roman"/>
        </w:rPr>
        <w:t>(zobacz paragrafy 28-29, 57-59 oraz 62 wyroku)</w:t>
      </w:r>
      <w:r w:rsidR="004654D3">
        <w:rPr>
          <w:rFonts w:eastAsia="Times New Roman"/>
        </w:rPr>
        <w:t xml:space="preserve"> tego, że</w:t>
      </w:r>
      <w:r w:rsidR="009666ED" w:rsidRPr="003E0C66">
        <w:rPr>
          <w:rFonts w:eastAsia="Times New Roman"/>
        </w:rPr>
        <w:t xml:space="preserve"> </w:t>
      </w:r>
      <w:r w:rsidR="00C46DA4" w:rsidRPr="003E0C66">
        <w:rPr>
          <w:rFonts w:eastAsia="Times New Roman"/>
        </w:rPr>
        <w:t xml:space="preserve">żaden obrońca nie został wyznaczony w celu reprezentowania skarżącego podczas przesłuchania świadków przez sędziego </w:t>
      </w:r>
      <w:r w:rsidR="004654D3">
        <w:rPr>
          <w:rFonts w:eastAsia="Times New Roman"/>
        </w:rPr>
        <w:t>śledczego</w:t>
      </w:r>
      <w:r w:rsidRPr="003E0C66">
        <w:rPr>
          <w:rFonts w:eastAsia="Times New Roman"/>
        </w:rPr>
        <w:t>.</w:t>
      </w:r>
      <w:r w:rsidR="00C46DA4" w:rsidRPr="003E0C66">
        <w:rPr>
          <w:rFonts w:eastAsia="Times New Roman"/>
        </w:rPr>
        <w:t xml:space="preserve"> W tym kontekście zwracamy także uwagę na wyjaśnienia Rządu (zobacz paragraf 94 wyroku)</w:t>
      </w:r>
      <w:r w:rsidR="004654D3">
        <w:rPr>
          <w:rFonts w:eastAsia="Times New Roman"/>
        </w:rPr>
        <w:t>,</w:t>
      </w:r>
      <w:r w:rsidR="00C46DA4" w:rsidRPr="003E0C66">
        <w:rPr>
          <w:rFonts w:eastAsia="Times New Roman"/>
        </w:rPr>
        <w:t xml:space="preserve"> zgodnie z którymi na mocy Artykułu 168c §</w:t>
      </w:r>
      <w:r w:rsidR="004654D3">
        <w:rPr>
          <w:rFonts w:eastAsia="Times New Roman"/>
        </w:rPr>
        <w:t xml:space="preserve"> </w:t>
      </w:r>
      <w:r w:rsidR="00C46DA4" w:rsidRPr="003E0C66">
        <w:rPr>
          <w:rFonts w:eastAsia="Times New Roman"/>
        </w:rPr>
        <w:t>5 K</w:t>
      </w:r>
      <w:r w:rsidR="004654D3">
        <w:rPr>
          <w:rFonts w:eastAsia="Times New Roman"/>
        </w:rPr>
        <w:t>pk</w:t>
      </w:r>
      <w:r w:rsidR="00C46DA4" w:rsidRPr="003E0C66">
        <w:rPr>
          <w:rFonts w:eastAsia="Times New Roman"/>
        </w:rPr>
        <w:t xml:space="preserve"> sąd orzekający miał prawo do niepowiadamiania o przesłuchaniu prawnika skarżącego wyznaczonego do reprezentowania go, jeżeli uznał, </w:t>
      </w:r>
      <w:r w:rsidR="001C15DD">
        <w:rPr>
          <w:rFonts w:eastAsia="Times New Roman"/>
        </w:rPr>
        <w:t xml:space="preserve">że </w:t>
      </w:r>
      <w:r w:rsidR="00C46DA4" w:rsidRPr="003E0C66">
        <w:rPr>
          <w:rFonts w:eastAsia="Times New Roman"/>
        </w:rPr>
        <w:t>zawiadomienie t</w:t>
      </w:r>
      <w:r w:rsidR="004654D3">
        <w:rPr>
          <w:rFonts w:eastAsia="Times New Roman"/>
        </w:rPr>
        <w:t>o</w:t>
      </w:r>
      <w:r w:rsidR="00C46DA4" w:rsidRPr="003E0C66">
        <w:rPr>
          <w:rFonts w:eastAsia="Times New Roman"/>
        </w:rPr>
        <w:t xml:space="preserve"> mogłoby zagrozić powodzeniu dochodzenia.   </w:t>
      </w:r>
      <w:r w:rsidRPr="003E0C66">
        <w:rPr>
          <w:rFonts w:eastAsia="Times New Roman"/>
        </w:rPr>
        <w:t xml:space="preserve"> 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14. </w:t>
      </w:r>
      <w:r w:rsidR="00C46DA4" w:rsidRPr="003E0C66">
        <w:rPr>
          <w:rFonts w:eastAsia="Times New Roman"/>
        </w:rPr>
        <w:t xml:space="preserve">Zgadzamy się z większością, </w:t>
      </w:r>
      <w:r w:rsidR="001C15DD">
        <w:rPr>
          <w:rFonts w:eastAsia="Times New Roman"/>
        </w:rPr>
        <w:t>że</w:t>
      </w:r>
      <w:r w:rsidR="00C46DA4" w:rsidRPr="003E0C66">
        <w:rPr>
          <w:rFonts w:eastAsia="Times New Roman"/>
        </w:rPr>
        <w:t xml:space="preserve"> sposób w jaki świadkowie oskarżenia zostali przesłuchani na etapie dochodzenia </w:t>
      </w:r>
      <w:r w:rsidR="00D04BCC" w:rsidRPr="003E0C66">
        <w:rPr>
          <w:rFonts w:eastAsia="Times New Roman"/>
        </w:rPr>
        <w:t xml:space="preserve">ma znaczenie i może przesądzić o </w:t>
      </w:r>
      <w:r w:rsidR="001363A3">
        <w:rPr>
          <w:rFonts w:eastAsia="Times New Roman"/>
        </w:rPr>
        <w:t>rzetelności</w:t>
      </w:r>
      <w:r w:rsidR="001363A3" w:rsidRPr="003E0C66">
        <w:rPr>
          <w:rFonts w:eastAsia="Times New Roman"/>
        </w:rPr>
        <w:t xml:space="preserve"> </w:t>
      </w:r>
      <w:r w:rsidR="00D04BCC" w:rsidRPr="003E0C66">
        <w:rPr>
          <w:rFonts w:eastAsia="Times New Roman"/>
        </w:rPr>
        <w:t>procesu, podczas którego kluczowi świadkowie nie mogą zostać przesłuchani podczas rozprawy, a dowody uzyskane na etapie dochodzenia są bezpośrednio wprowadzane do procesu</w:t>
      </w:r>
      <w:r w:rsidR="0069091A" w:rsidRPr="003E0C66">
        <w:rPr>
          <w:rFonts w:eastAsia="Times New Roman"/>
        </w:rPr>
        <w:t xml:space="preserve">. Jednakże nie zgadzamy się z większością jeśli chodzi o stwierdzenie, </w:t>
      </w:r>
      <w:r w:rsidR="001C15DD">
        <w:rPr>
          <w:rFonts w:eastAsia="Times New Roman"/>
        </w:rPr>
        <w:t>że</w:t>
      </w:r>
      <w:r w:rsidR="0069091A" w:rsidRPr="003E0C66">
        <w:rPr>
          <w:rFonts w:eastAsia="Times New Roman"/>
        </w:rPr>
        <w:t xml:space="preserve"> organy ścigania podczas przesłuchiwania świadków na etapie dochodzenia, w nieobecności skarżącego </w:t>
      </w:r>
      <w:r w:rsidR="001363A3">
        <w:rPr>
          <w:rFonts w:eastAsia="Times New Roman"/>
        </w:rPr>
        <w:t>i</w:t>
      </w:r>
      <w:r w:rsidR="001363A3" w:rsidRPr="003E0C66">
        <w:rPr>
          <w:rFonts w:eastAsia="Times New Roman"/>
        </w:rPr>
        <w:t xml:space="preserve"> </w:t>
      </w:r>
      <w:r w:rsidR="0069091A" w:rsidRPr="003E0C66">
        <w:rPr>
          <w:rFonts w:eastAsia="Times New Roman"/>
        </w:rPr>
        <w:t>jego obrońcy założyły</w:t>
      </w:r>
      <w:r w:rsidR="001363A3">
        <w:rPr>
          <w:rFonts w:eastAsia="Times New Roman"/>
        </w:rPr>
        <w:t>,</w:t>
      </w:r>
      <w:r w:rsidR="0069091A" w:rsidRPr="003E0C66">
        <w:rPr>
          <w:rFonts w:eastAsia="Times New Roman"/>
        </w:rPr>
        <w:t xml:space="preserve"> </w:t>
      </w:r>
      <w:r w:rsidR="001363A3">
        <w:rPr>
          <w:rFonts w:eastAsia="Times New Roman"/>
        </w:rPr>
        <w:t>że</w:t>
      </w:r>
      <w:r w:rsidR="001363A3" w:rsidRPr="003E0C66">
        <w:rPr>
          <w:rFonts w:eastAsia="Times New Roman"/>
        </w:rPr>
        <w:t xml:space="preserve"> </w:t>
      </w:r>
      <w:r w:rsidR="0069091A" w:rsidRPr="003E0C66">
        <w:rPr>
          <w:rFonts w:eastAsia="Times New Roman"/>
        </w:rPr>
        <w:t xml:space="preserve">nie będzie możliwości przesłuchania świadków podczas rozprawy.  </w:t>
      </w:r>
      <w:r w:rsidR="00D04BCC" w:rsidRPr="003E0C66">
        <w:rPr>
          <w:rFonts w:eastAsia="Times New Roman"/>
        </w:rPr>
        <w:t xml:space="preserve"> </w:t>
      </w:r>
      <w:r w:rsidRPr="003E0C66">
        <w:rPr>
          <w:rFonts w:eastAsia="Times New Roman"/>
        </w:rPr>
        <w:t> 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lastRenderedPageBreak/>
        <w:t>15. </w:t>
      </w:r>
      <w:r w:rsidR="0069091A" w:rsidRPr="003E0C66">
        <w:rPr>
          <w:rFonts w:eastAsia="Times New Roman"/>
        </w:rPr>
        <w:t xml:space="preserve">Podzielamy zdanie skarżącego, </w:t>
      </w:r>
      <w:r w:rsidR="0049692E">
        <w:rPr>
          <w:rFonts w:eastAsia="Times New Roman"/>
        </w:rPr>
        <w:t>że</w:t>
      </w:r>
      <w:r w:rsidR="0049692E" w:rsidRPr="003E0C66">
        <w:rPr>
          <w:rFonts w:eastAsia="Times New Roman"/>
        </w:rPr>
        <w:t xml:space="preserve"> </w:t>
      </w:r>
      <w:r w:rsidR="0069091A" w:rsidRPr="003E0C66">
        <w:rPr>
          <w:rFonts w:eastAsia="Times New Roman"/>
        </w:rPr>
        <w:t xml:space="preserve">świadkowie O. i P. zostały przesłuchane przez sędziego </w:t>
      </w:r>
      <w:r w:rsidR="0049692E">
        <w:rPr>
          <w:rFonts w:eastAsia="Times New Roman"/>
        </w:rPr>
        <w:t>śledczego</w:t>
      </w:r>
      <w:r w:rsidR="0069091A" w:rsidRPr="003E0C66">
        <w:rPr>
          <w:rFonts w:eastAsia="Times New Roman"/>
        </w:rPr>
        <w:t xml:space="preserve"> ponieważ</w:t>
      </w:r>
      <w:r w:rsidR="0049692E">
        <w:rPr>
          <w:rFonts w:eastAsia="Times New Roman"/>
        </w:rPr>
        <w:t>,</w:t>
      </w:r>
      <w:r w:rsidR="0069091A" w:rsidRPr="003E0C66">
        <w:rPr>
          <w:rFonts w:eastAsia="Times New Roman"/>
        </w:rPr>
        <w:t xml:space="preserve"> </w:t>
      </w:r>
      <w:r w:rsidR="0049692E">
        <w:rPr>
          <w:rFonts w:eastAsia="Times New Roman"/>
        </w:rPr>
        <w:t>z powodu</w:t>
      </w:r>
      <w:r w:rsidR="0069091A" w:rsidRPr="003E0C66">
        <w:rPr>
          <w:rFonts w:eastAsia="Times New Roman"/>
        </w:rPr>
        <w:t xml:space="preserve"> ich nadchodzącego powrotu na Łotwę, organy ścigania stwierdziły, iż istnieje niebezpieczeństwo utracenia dowodów. Wynika to z uzasadnienia wnio</w:t>
      </w:r>
      <w:r w:rsidR="001C15DD">
        <w:rPr>
          <w:rFonts w:eastAsia="Times New Roman"/>
        </w:rPr>
        <w:t>sku prokuratora o przyśpieszenie</w:t>
      </w:r>
      <w:r w:rsidR="00267274" w:rsidRPr="003E0C66">
        <w:rPr>
          <w:rFonts w:eastAsia="Times New Roman"/>
        </w:rPr>
        <w:t xml:space="preserve"> przesłuchania świadków O. i P. Jednakże fakt, iż należy uznać za możliwe do przewidzenia, że świadkowie opuszczą Niemcy krótko po przesłuchaniu </w:t>
      </w:r>
      <w:r w:rsidR="0023360E" w:rsidRPr="003E0C66">
        <w:rPr>
          <w:rFonts w:eastAsia="Times New Roman"/>
        </w:rPr>
        <w:t xml:space="preserve">przez sędziego </w:t>
      </w:r>
      <w:r w:rsidR="0049692E">
        <w:rPr>
          <w:rFonts w:eastAsia="Times New Roman"/>
        </w:rPr>
        <w:t>śledczego</w:t>
      </w:r>
      <w:r w:rsidR="0023360E" w:rsidRPr="003E0C66">
        <w:rPr>
          <w:rFonts w:eastAsia="Times New Roman"/>
        </w:rPr>
        <w:t xml:space="preserve"> nie może być, naszym zdaniem, zrównany ze stwierdzeniem, </w:t>
      </w:r>
      <w:r w:rsidR="001C15DD">
        <w:rPr>
          <w:rFonts w:eastAsia="Times New Roman"/>
        </w:rPr>
        <w:t>że</w:t>
      </w:r>
      <w:r w:rsidR="0023360E" w:rsidRPr="003E0C66">
        <w:rPr>
          <w:rFonts w:eastAsia="Times New Roman"/>
        </w:rPr>
        <w:t xml:space="preserve"> niemożliwym będzie przesłuchanie świadków osobiście podczas rozprawy lub przynajmniej za pomocą </w:t>
      </w:r>
      <w:r w:rsidR="0049692E">
        <w:rPr>
          <w:rFonts w:eastAsia="Times New Roman"/>
        </w:rPr>
        <w:t xml:space="preserve">łącza </w:t>
      </w:r>
      <w:r w:rsidR="001C15DD">
        <w:rPr>
          <w:rFonts w:eastAsia="Times New Roman"/>
        </w:rPr>
        <w:t>w</w:t>
      </w:r>
      <w:r w:rsidR="0049692E">
        <w:rPr>
          <w:rFonts w:eastAsia="Times New Roman"/>
        </w:rPr>
        <w:t>ideo</w:t>
      </w:r>
      <w:r w:rsidR="0023360E" w:rsidRPr="003E0C66">
        <w:rPr>
          <w:rFonts w:eastAsia="Times New Roman"/>
        </w:rPr>
        <w:t>.</w:t>
      </w:r>
      <w:r w:rsidR="007C2767" w:rsidRPr="003E0C66">
        <w:rPr>
          <w:rFonts w:eastAsia="Times New Roman"/>
        </w:rPr>
        <w:t xml:space="preserve"> Świadkowie mieli wyjechać na Łotwę, związaną umowami międzynarodowymi zapewniającymi wzajemną pomoc prawną w sprawach </w:t>
      </w:r>
      <w:r w:rsidR="0063216C" w:rsidRPr="003E0C66">
        <w:rPr>
          <w:rFonts w:eastAsia="Times New Roman"/>
        </w:rPr>
        <w:t>karnych</w:t>
      </w:r>
      <w:r w:rsidR="00A92F74">
        <w:rPr>
          <w:rFonts w:eastAsia="Times New Roman"/>
        </w:rPr>
        <w:t xml:space="preserve"> organom niemieckim</w:t>
      </w:r>
      <w:r w:rsidR="0063216C" w:rsidRPr="003E0C66">
        <w:rPr>
          <w:rFonts w:eastAsia="Times New Roman"/>
        </w:rPr>
        <w:t xml:space="preserve">, w tym przesłuchanie świadków za pomocą wideokonferencji. Nasze ustalenia zostały potwierdzone przez oświadczenie samego skarżącego, </w:t>
      </w:r>
      <w:r w:rsidR="007234EA">
        <w:rPr>
          <w:rFonts w:eastAsia="Times New Roman"/>
        </w:rPr>
        <w:t>że przypuszczał, że będzie mieć możliwość</w:t>
      </w:r>
      <w:r w:rsidR="00AF25D8" w:rsidRPr="003E0C66">
        <w:rPr>
          <w:rFonts w:eastAsia="Times New Roman"/>
        </w:rPr>
        <w:t xml:space="preserve"> </w:t>
      </w:r>
      <w:r w:rsidR="007234EA" w:rsidRPr="003E0C66">
        <w:rPr>
          <w:rFonts w:eastAsia="Times New Roman"/>
        </w:rPr>
        <w:t>przesłuch</w:t>
      </w:r>
      <w:r w:rsidR="007234EA">
        <w:rPr>
          <w:rFonts w:eastAsia="Times New Roman"/>
        </w:rPr>
        <w:t>ania</w:t>
      </w:r>
      <w:r w:rsidR="00AF25D8" w:rsidRPr="003E0C66">
        <w:rPr>
          <w:rFonts w:eastAsia="Times New Roman"/>
        </w:rPr>
        <w:t xml:space="preserve"> świadków podczas rozprawy </w:t>
      </w:r>
      <w:r w:rsidR="003C38AB" w:rsidRPr="003E0C66">
        <w:rPr>
          <w:rFonts w:eastAsia="Times New Roman"/>
        </w:rPr>
        <w:t xml:space="preserve">i </w:t>
      </w:r>
      <w:r w:rsidR="007234EA">
        <w:rPr>
          <w:rFonts w:eastAsia="Times New Roman"/>
        </w:rPr>
        <w:t xml:space="preserve">dlatego </w:t>
      </w:r>
      <w:r w:rsidR="003C38AB" w:rsidRPr="003E0C66">
        <w:rPr>
          <w:rFonts w:eastAsia="Times New Roman"/>
        </w:rPr>
        <w:t xml:space="preserve">nie </w:t>
      </w:r>
      <w:r w:rsidR="007234EA">
        <w:rPr>
          <w:rFonts w:eastAsia="Times New Roman"/>
        </w:rPr>
        <w:t>miał</w:t>
      </w:r>
      <w:r w:rsidR="007234EA" w:rsidRPr="003E0C66">
        <w:rPr>
          <w:rFonts w:eastAsia="Times New Roman"/>
        </w:rPr>
        <w:t xml:space="preserve"> </w:t>
      </w:r>
      <w:r w:rsidR="003C38AB" w:rsidRPr="003E0C66">
        <w:rPr>
          <w:rFonts w:eastAsia="Times New Roman"/>
        </w:rPr>
        <w:t xml:space="preserve">żadnego </w:t>
      </w:r>
      <w:r w:rsidR="007234EA">
        <w:rPr>
          <w:rFonts w:eastAsia="Times New Roman"/>
        </w:rPr>
        <w:t>powodu</w:t>
      </w:r>
      <w:r w:rsidR="004B2B04" w:rsidRPr="003E0C66">
        <w:rPr>
          <w:rFonts w:eastAsia="Times New Roman"/>
        </w:rPr>
        <w:t>,</w:t>
      </w:r>
      <w:r w:rsidR="003C38AB" w:rsidRPr="003E0C66">
        <w:rPr>
          <w:rFonts w:eastAsia="Times New Roman"/>
        </w:rPr>
        <w:t xml:space="preserve"> aby</w:t>
      </w:r>
      <w:r w:rsidR="00AF25D8" w:rsidRPr="003E0C66">
        <w:rPr>
          <w:rFonts w:eastAsia="Times New Roman"/>
        </w:rPr>
        <w:t xml:space="preserve"> </w:t>
      </w:r>
      <w:r w:rsidR="007234EA">
        <w:rPr>
          <w:rFonts w:eastAsia="Times New Roman"/>
        </w:rPr>
        <w:t>wnosić o</w:t>
      </w:r>
      <w:r w:rsidR="007234EA" w:rsidRPr="003E0C66">
        <w:rPr>
          <w:rFonts w:eastAsia="Times New Roman"/>
        </w:rPr>
        <w:t xml:space="preserve"> </w:t>
      </w:r>
      <w:r w:rsidR="007234EA">
        <w:rPr>
          <w:rFonts w:eastAsia="Times New Roman"/>
        </w:rPr>
        <w:t>powtórzenie</w:t>
      </w:r>
      <w:r w:rsidR="007234EA" w:rsidRPr="003E0C66">
        <w:rPr>
          <w:rFonts w:eastAsia="Times New Roman"/>
        </w:rPr>
        <w:t xml:space="preserve"> </w:t>
      </w:r>
      <w:r w:rsidR="00AF25D8" w:rsidRPr="003E0C66">
        <w:rPr>
          <w:rFonts w:eastAsia="Times New Roman"/>
        </w:rPr>
        <w:t xml:space="preserve">ich przesłuchania przez sędziego </w:t>
      </w:r>
      <w:r w:rsidR="007234EA">
        <w:rPr>
          <w:rFonts w:eastAsia="Times New Roman"/>
        </w:rPr>
        <w:t>śledczego</w:t>
      </w:r>
      <w:r w:rsidR="003C38AB" w:rsidRPr="003E0C66">
        <w:rPr>
          <w:rFonts w:eastAsia="Times New Roman"/>
        </w:rPr>
        <w:t xml:space="preserve"> (zobacz paragraf 82 wyroku)</w:t>
      </w:r>
      <w:r w:rsidR="001C15DD">
        <w:rPr>
          <w:rFonts w:eastAsia="Times New Roman"/>
        </w:rPr>
        <w:t>.</w:t>
      </w:r>
      <w:r w:rsidR="0063216C" w:rsidRPr="003E0C66">
        <w:rPr>
          <w:rFonts w:eastAsia="Times New Roman"/>
        </w:rPr>
        <w:t xml:space="preserve"> </w:t>
      </w:r>
      <w:r w:rsidR="0023360E" w:rsidRPr="003E0C66">
        <w:rPr>
          <w:rFonts w:eastAsia="Times New Roman"/>
        </w:rPr>
        <w:t xml:space="preserve"> </w:t>
      </w:r>
      <w:r w:rsidR="00267274" w:rsidRPr="003E0C66">
        <w:rPr>
          <w:rFonts w:eastAsia="Times New Roman"/>
        </w:rPr>
        <w:t xml:space="preserve">  </w:t>
      </w:r>
      <w:r w:rsidR="0069091A" w:rsidRPr="003E0C66">
        <w:rPr>
          <w:rFonts w:eastAsia="Times New Roman"/>
        </w:rPr>
        <w:t xml:space="preserve">  </w:t>
      </w:r>
      <w:r w:rsidRPr="003E0C66">
        <w:rPr>
          <w:rFonts w:eastAsia="Times New Roman"/>
        </w:rPr>
        <w:t> </w:t>
      </w:r>
    </w:p>
    <w:p w:rsidR="00C5349B" w:rsidRPr="003E0C66" w:rsidRDefault="00C5349B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t>16.  </w:t>
      </w:r>
      <w:r w:rsidR="003C38AB" w:rsidRPr="003E0C66">
        <w:rPr>
          <w:rFonts w:eastAsia="Times New Roman"/>
        </w:rPr>
        <w:t xml:space="preserve">Podsumowując, zgadzamy się z większością, </w:t>
      </w:r>
      <w:r w:rsidR="001C15DD">
        <w:rPr>
          <w:rFonts w:eastAsia="Times New Roman"/>
        </w:rPr>
        <w:t>że</w:t>
      </w:r>
      <w:r w:rsidR="003C38AB" w:rsidRPr="003E0C66">
        <w:rPr>
          <w:rFonts w:eastAsia="Times New Roman"/>
        </w:rPr>
        <w:t xml:space="preserve"> zapewnienie oskarżonemu możliwości przesłuchania kluczowych świadków, chociażby na etapie przedprocesowym oraz </w:t>
      </w:r>
      <w:r w:rsidR="007234EA">
        <w:rPr>
          <w:rFonts w:eastAsia="Times New Roman"/>
        </w:rPr>
        <w:t>za pośrednictwem</w:t>
      </w:r>
      <w:r w:rsidR="007234EA" w:rsidRPr="003E0C66">
        <w:rPr>
          <w:rFonts w:eastAsia="Times New Roman"/>
        </w:rPr>
        <w:t xml:space="preserve"> </w:t>
      </w:r>
      <w:r w:rsidR="00E930E4" w:rsidRPr="003E0C66">
        <w:rPr>
          <w:rFonts w:eastAsia="Times New Roman"/>
        </w:rPr>
        <w:t xml:space="preserve">obrońcy, stanowi ważną gwarancję proceduralną, której </w:t>
      </w:r>
      <w:r w:rsidR="001C15DD">
        <w:rPr>
          <w:rFonts w:eastAsia="Times New Roman"/>
        </w:rPr>
        <w:t>brak</w:t>
      </w:r>
      <w:r w:rsidR="00E930E4" w:rsidRPr="003E0C66">
        <w:rPr>
          <w:rFonts w:eastAsia="Times New Roman"/>
        </w:rPr>
        <w:t xml:space="preserve"> poważnie wpływa na ocenę </w:t>
      </w:r>
      <w:r w:rsidR="007234EA">
        <w:rPr>
          <w:rFonts w:eastAsia="Times New Roman"/>
        </w:rPr>
        <w:t>rzetelności</w:t>
      </w:r>
      <w:r w:rsidR="007234EA" w:rsidRPr="003E0C66">
        <w:rPr>
          <w:rFonts w:eastAsia="Times New Roman"/>
        </w:rPr>
        <w:t xml:space="preserve"> </w:t>
      </w:r>
      <w:r w:rsidR="00E930E4" w:rsidRPr="003E0C66">
        <w:rPr>
          <w:rFonts w:eastAsia="Times New Roman"/>
        </w:rPr>
        <w:t xml:space="preserve">całego postępowania na mocy Artykułu 6 </w:t>
      </w:r>
      <w:r w:rsidR="007234EA" w:rsidRPr="003E0C66">
        <w:rPr>
          <w:rFonts w:eastAsia="Times New Roman"/>
        </w:rPr>
        <w:t>§</w:t>
      </w:r>
      <w:r w:rsidR="00E930E4" w:rsidRPr="003E0C66">
        <w:rPr>
          <w:rFonts w:eastAsia="Times New Roman"/>
        </w:rPr>
        <w:t xml:space="preserve"> 1 i 3 (d). Pomimo tego, w okolicznościach niniejszej sprawy </w:t>
      </w:r>
      <w:r w:rsidR="00676C2D" w:rsidRPr="003E0C66">
        <w:rPr>
          <w:rFonts w:eastAsia="Times New Roman"/>
        </w:rPr>
        <w:t>wystąpiły inne mocne gwarancje</w:t>
      </w:r>
      <w:r w:rsidR="007234EA">
        <w:rPr>
          <w:rFonts w:eastAsia="Times New Roman"/>
        </w:rPr>
        <w:t>,</w:t>
      </w:r>
      <w:r w:rsidR="00676C2D" w:rsidRPr="003E0C66">
        <w:rPr>
          <w:rFonts w:eastAsia="Times New Roman"/>
        </w:rPr>
        <w:t xml:space="preserve"> </w:t>
      </w:r>
      <w:r w:rsidR="00C738A9" w:rsidRPr="003E0C66">
        <w:rPr>
          <w:rFonts w:eastAsia="Times New Roman"/>
        </w:rPr>
        <w:t>pozwalające sądowi orzekającemu poprawnie ocenić wiaryg</w:t>
      </w:r>
      <w:r w:rsidR="001C15DD">
        <w:rPr>
          <w:rFonts w:eastAsia="Times New Roman"/>
        </w:rPr>
        <w:t>odność dowodów. W szczególności</w:t>
      </w:r>
      <w:r w:rsidR="00C738A9" w:rsidRPr="003E0C66">
        <w:rPr>
          <w:rFonts w:eastAsia="Times New Roman"/>
        </w:rPr>
        <w:t xml:space="preserve"> </w:t>
      </w:r>
      <w:r w:rsidR="007234EA">
        <w:rPr>
          <w:rFonts w:eastAsia="Times New Roman"/>
        </w:rPr>
        <w:t>istniały</w:t>
      </w:r>
      <w:r w:rsidR="007234EA" w:rsidRPr="003E0C66">
        <w:rPr>
          <w:rFonts w:eastAsia="Times New Roman"/>
        </w:rPr>
        <w:t xml:space="preserve"> </w:t>
      </w:r>
      <w:r w:rsidR="00C738A9" w:rsidRPr="003E0C66">
        <w:rPr>
          <w:rFonts w:eastAsia="Times New Roman"/>
        </w:rPr>
        <w:t>bardzo silne i spójne dodatkow</w:t>
      </w:r>
      <w:r w:rsidR="007234EA">
        <w:rPr>
          <w:rFonts w:eastAsia="Times New Roman"/>
        </w:rPr>
        <w:t>e</w:t>
      </w:r>
      <w:r w:rsidR="00C738A9" w:rsidRPr="003E0C66">
        <w:rPr>
          <w:rFonts w:eastAsia="Times New Roman"/>
        </w:rPr>
        <w:t xml:space="preserve"> </w:t>
      </w:r>
      <w:r w:rsidR="007234EA" w:rsidRPr="003E0C66">
        <w:rPr>
          <w:rFonts w:eastAsia="Times New Roman"/>
        </w:rPr>
        <w:t xml:space="preserve">dowody </w:t>
      </w:r>
      <w:r w:rsidR="00C738A9" w:rsidRPr="003E0C66">
        <w:rPr>
          <w:rFonts w:eastAsia="Times New Roman"/>
        </w:rPr>
        <w:t>obciążające</w:t>
      </w:r>
      <w:r w:rsidR="007234EA">
        <w:rPr>
          <w:rFonts w:eastAsia="Times New Roman"/>
        </w:rPr>
        <w:t>,</w:t>
      </w:r>
      <w:r w:rsidR="00C738A9" w:rsidRPr="003E0C66">
        <w:rPr>
          <w:rFonts w:eastAsia="Times New Roman"/>
        </w:rPr>
        <w:t xml:space="preserve"> dotyczące przestępstwa</w:t>
      </w:r>
      <w:r w:rsidR="007234EA">
        <w:rPr>
          <w:rFonts w:eastAsia="Times New Roman"/>
        </w:rPr>
        <w:t>, którego popełnienia skarżący został uznany winnym</w:t>
      </w:r>
      <w:r w:rsidR="00C738A9" w:rsidRPr="003E0C66">
        <w:rPr>
          <w:rFonts w:eastAsia="Times New Roman"/>
        </w:rPr>
        <w:t xml:space="preserve">. Ponadto sąd orzekający dokonał szczegółowej i </w:t>
      </w:r>
      <w:r w:rsidR="007234EA">
        <w:rPr>
          <w:rFonts w:eastAsia="Times New Roman"/>
        </w:rPr>
        <w:t>ostrożnej</w:t>
      </w:r>
      <w:r w:rsidR="007234EA" w:rsidRPr="003E0C66">
        <w:rPr>
          <w:rFonts w:eastAsia="Times New Roman"/>
        </w:rPr>
        <w:t xml:space="preserve"> </w:t>
      </w:r>
      <w:r w:rsidR="00C738A9" w:rsidRPr="003E0C66">
        <w:rPr>
          <w:rFonts w:eastAsia="Times New Roman"/>
        </w:rPr>
        <w:t xml:space="preserve">oceny wiarygodności nieobecnych świadków oraz ich zeznań. W tych okolicznościach brak możliwości przesłuchania </w:t>
      </w:r>
      <w:r w:rsidR="007234EA">
        <w:rPr>
          <w:rFonts w:eastAsia="Times New Roman"/>
        </w:rPr>
        <w:t xml:space="preserve">lub spowodowania przesłuchania </w:t>
      </w:r>
      <w:r w:rsidR="00C738A9" w:rsidRPr="003E0C66">
        <w:rPr>
          <w:rFonts w:eastAsia="Times New Roman"/>
        </w:rPr>
        <w:t>świadków O. i P. przez oskarżonego</w:t>
      </w:r>
      <w:r w:rsidR="001E06AA" w:rsidRPr="003E0C66">
        <w:rPr>
          <w:rFonts w:eastAsia="Times New Roman"/>
        </w:rPr>
        <w:t xml:space="preserve"> na ża</w:t>
      </w:r>
      <w:r w:rsidR="00C738A9" w:rsidRPr="003E0C66">
        <w:rPr>
          <w:rFonts w:eastAsia="Times New Roman"/>
        </w:rPr>
        <w:t>dnym z etapów postępowania, naszym zdaniem</w:t>
      </w:r>
      <w:r w:rsidR="007234EA">
        <w:rPr>
          <w:rFonts w:eastAsia="Times New Roman"/>
        </w:rPr>
        <w:t>,</w:t>
      </w:r>
      <w:r w:rsidR="00C738A9" w:rsidRPr="003E0C66">
        <w:rPr>
          <w:rFonts w:eastAsia="Times New Roman"/>
        </w:rPr>
        <w:t xml:space="preserve"> nie</w:t>
      </w:r>
      <w:r w:rsidR="001E06AA" w:rsidRPr="003E0C66">
        <w:rPr>
          <w:rFonts w:eastAsia="Times New Roman"/>
        </w:rPr>
        <w:t xml:space="preserve"> sprawił, </w:t>
      </w:r>
      <w:r w:rsidR="007234EA">
        <w:rPr>
          <w:rFonts w:eastAsia="Times New Roman"/>
        </w:rPr>
        <w:t>że</w:t>
      </w:r>
      <w:r w:rsidR="007234EA" w:rsidRPr="003E0C66">
        <w:rPr>
          <w:rFonts w:eastAsia="Times New Roman"/>
        </w:rPr>
        <w:t xml:space="preserve"> </w:t>
      </w:r>
      <w:r w:rsidR="001E06AA" w:rsidRPr="003E0C66">
        <w:rPr>
          <w:rFonts w:eastAsia="Times New Roman"/>
        </w:rPr>
        <w:t xml:space="preserve">proces </w:t>
      </w:r>
      <w:r w:rsidR="007234EA">
        <w:rPr>
          <w:rFonts w:eastAsia="Times New Roman"/>
        </w:rPr>
        <w:t xml:space="preserve">jako całość </w:t>
      </w:r>
      <w:r w:rsidR="001E06AA" w:rsidRPr="003E0C66">
        <w:rPr>
          <w:rFonts w:eastAsia="Times New Roman"/>
        </w:rPr>
        <w:t xml:space="preserve">był </w:t>
      </w:r>
      <w:r w:rsidR="007234EA">
        <w:rPr>
          <w:rFonts w:eastAsia="Times New Roman"/>
        </w:rPr>
        <w:t>nierzetelny</w:t>
      </w:r>
      <w:r w:rsidR="001B63B4">
        <w:rPr>
          <w:rFonts w:eastAsia="Times New Roman"/>
        </w:rPr>
        <w:t>.</w:t>
      </w:r>
    </w:p>
    <w:p w:rsidR="00BC0CE7" w:rsidRPr="003E0C66" w:rsidRDefault="00BC0CE7" w:rsidP="00BC0CE7">
      <w:pPr>
        <w:pStyle w:val="OpiPara"/>
        <w:rPr>
          <w:rFonts w:eastAsia="Times New Roman"/>
        </w:rPr>
      </w:pPr>
    </w:p>
    <w:p w:rsidR="00DC339B" w:rsidRPr="003E0C66" w:rsidRDefault="00DC339B" w:rsidP="00BC0CE7">
      <w:pPr>
        <w:jc w:val="left"/>
        <w:rPr>
          <w:rFonts w:ascii="Times New Roman" w:eastAsia="Times New Roman" w:hAnsi="Times New Roman" w:cs="Times New Roman"/>
        </w:rPr>
      </w:pPr>
      <w:r w:rsidRPr="003E0C66">
        <w:rPr>
          <w:rFonts w:ascii="Times New Roman" w:eastAsia="Times New Roman" w:hAnsi="Times New Roman" w:cs="Times New Roman"/>
        </w:rPr>
        <w:br w:type="page"/>
      </w:r>
    </w:p>
    <w:p w:rsidR="00C5349B" w:rsidRPr="003E0C66" w:rsidRDefault="00790B79" w:rsidP="00BC0CE7">
      <w:pPr>
        <w:pStyle w:val="ECHRTitleCentre1"/>
        <w:rPr>
          <w:rFonts w:eastAsia="Times New Roman"/>
        </w:rPr>
      </w:pPr>
      <w:r>
        <w:rPr>
          <w:rFonts w:eastAsia="Times New Roman"/>
        </w:rPr>
        <w:lastRenderedPageBreak/>
        <w:t xml:space="preserve">ROZBIEŻNA </w:t>
      </w:r>
      <w:r w:rsidR="001E06AA" w:rsidRPr="003E0C66">
        <w:rPr>
          <w:rFonts w:eastAsia="Times New Roman"/>
        </w:rPr>
        <w:t xml:space="preserve">OPINIA </w:t>
      </w:r>
      <w:r>
        <w:rPr>
          <w:rFonts w:eastAsia="Times New Roman"/>
        </w:rPr>
        <w:t xml:space="preserve">ODRĘBNA </w:t>
      </w:r>
      <w:r w:rsidR="001E06AA" w:rsidRPr="003E0C66">
        <w:rPr>
          <w:rFonts w:eastAsia="Times New Roman"/>
        </w:rPr>
        <w:t>SĘDZIEGO</w:t>
      </w:r>
      <w:r w:rsidR="00C5349B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  <w:szCs w:val="28"/>
        </w:rPr>
        <w:t>KJØLBRO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50282E" w:rsidRPr="003E0C66">
        <w:rPr>
          <w:rFonts w:eastAsia="Times New Roman"/>
        </w:rPr>
        <w:instrText xml:space="preserve"> SEQ level0 \*arabic \r1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</w:t>
      </w:r>
      <w:r w:rsidRPr="003E0C66">
        <w:rPr>
          <w:rFonts w:eastAsia="Times New Roman"/>
        </w:rPr>
        <w:fldChar w:fldCharType="end"/>
      </w:r>
      <w:r w:rsidR="0050282E" w:rsidRPr="003E0C66">
        <w:rPr>
          <w:rFonts w:eastAsia="Times New Roman"/>
        </w:rPr>
        <w:t>.  </w:t>
      </w:r>
      <w:r w:rsidR="001E06AA" w:rsidRPr="003E0C66">
        <w:rPr>
          <w:rFonts w:eastAsia="Times New Roman"/>
        </w:rPr>
        <w:t>Mam pewne wątpliwości</w:t>
      </w:r>
      <w:r w:rsidR="006C27AC" w:rsidRPr="003E0C66">
        <w:rPr>
          <w:rFonts w:eastAsia="Times New Roman"/>
        </w:rPr>
        <w:t>,</w:t>
      </w:r>
      <w:r w:rsidR="001E06AA" w:rsidRPr="003E0C66">
        <w:rPr>
          <w:rFonts w:eastAsia="Times New Roman"/>
        </w:rPr>
        <w:t xml:space="preserve"> jeśli chodzi o wyjaśnienie przez Wielką Izbę orzecznictwa Trybunału oraz trzech kryteriów </w:t>
      </w:r>
      <w:r w:rsidR="00727501">
        <w:rPr>
          <w:rFonts w:eastAsia="Times New Roman"/>
        </w:rPr>
        <w:t>określonych</w:t>
      </w:r>
      <w:r w:rsidR="00727501" w:rsidRPr="003E0C66">
        <w:rPr>
          <w:rFonts w:eastAsia="Times New Roman"/>
        </w:rPr>
        <w:t xml:space="preserve"> </w:t>
      </w:r>
      <w:r w:rsidR="001E06AA" w:rsidRPr="003E0C66">
        <w:rPr>
          <w:rFonts w:eastAsia="Times New Roman"/>
        </w:rPr>
        <w:t xml:space="preserve">w wyroku </w:t>
      </w:r>
      <w:r w:rsidR="00C5349B" w:rsidRPr="003E0C66">
        <w:rPr>
          <w:rFonts w:eastAsia="Times New Roman"/>
          <w:i/>
        </w:rPr>
        <w:t xml:space="preserve">Al-Khawaja </w:t>
      </w:r>
      <w:r w:rsidR="001E06AA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 </w:t>
      </w:r>
      <w:r w:rsidR="001E06AA" w:rsidRPr="003E0C66">
        <w:rPr>
          <w:rFonts w:eastAsia="Times New Roman"/>
          <w:i/>
        </w:rPr>
        <w:t>przeciwko Wielkiej Brytanii</w:t>
      </w:r>
      <w:r w:rsidR="001E06AA" w:rsidRPr="003E0C66">
        <w:rPr>
          <w:rFonts w:eastAsia="Times New Roman"/>
        </w:rPr>
        <w:t xml:space="preserve"> ([GC], </w:t>
      </w:r>
      <w:r w:rsidR="00F749AE" w:rsidRPr="003E0C66">
        <w:rPr>
          <w:rFonts w:eastAsia="Times New Roman"/>
        </w:rPr>
        <w:t>nr</w:t>
      </w:r>
      <w:r w:rsidR="001E06AA" w:rsidRPr="003E0C66">
        <w:rPr>
          <w:rFonts w:eastAsia="Times New Roman"/>
        </w:rPr>
        <w:t xml:space="preserve"> 26766/05 </w:t>
      </w:r>
      <w:r w:rsidR="001B63B4">
        <w:rPr>
          <w:rFonts w:eastAsia="Times New Roman"/>
        </w:rPr>
        <w:t>i</w:t>
      </w:r>
      <w:r w:rsidR="001E06AA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</w:rPr>
        <w:t xml:space="preserve">22228/06, </w:t>
      </w:r>
      <w:r w:rsidR="00F749AE" w:rsidRPr="003E0C66">
        <w:rPr>
          <w:rFonts w:eastAsia="Times New Roman"/>
        </w:rPr>
        <w:t>ETPCZ</w:t>
      </w:r>
      <w:r w:rsidR="00C5349B" w:rsidRPr="003E0C66">
        <w:rPr>
          <w:rFonts w:eastAsia="Times New Roman"/>
        </w:rPr>
        <w:t xml:space="preserve"> 2011).</w:t>
      </w:r>
      <w:r w:rsidR="001E06AA" w:rsidRPr="003E0C66">
        <w:rPr>
          <w:rFonts w:eastAsia="Times New Roman"/>
        </w:rPr>
        <w:t xml:space="preserve"> Co więcej</w:t>
      </w:r>
      <w:r w:rsidR="00727501">
        <w:rPr>
          <w:rFonts w:eastAsia="Times New Roman"/>
        </w:rPr>
        <w:t>,</w:t>
      </w:r>
      <w:r w:rsidR="001E06AA" w:rsidRPr="003E0C66">
        <w:rPr>
          <w:rFonts w:eastAsia="Times New Roman"/>
        </w:rPr>
        <w:t xml:space="preserve"> nie zgadzam się z oceną niniejszej sprawy dokonaną przez Wielką Izbę</w:t>
      </w:r>
      <w:r w:rsidR="00727501">
        <w:rPr>
          <w:rFonts w:eastAsia="Times New Roman"/>
        </w:rPr>
        <w:t xml:space="preserve"> i</w:t>
      </w:r>
      <w:r w:rsidR="001E06AA" w:rsidRPr="003E0C66">
        <w:rPr>
          <w:rFonts w:eastAsia="Times New Roman"/>
        </w:rPr>
        <w:t xml:space="preserve"> głosowałem przeciwko stwierdzeniu naruszenia Artykułu 6 § 1 Konwencji.</w:t>
      </w:r>
      <w:r w:rsidR="006C27AC" w:rsidRPr="003E0C66">
        <w:rPr>
          <w:rFonts w:eastAsia="Times New Roman"/>
        </w:rPr>
        <w:t xml:space="preserve"> Poniżej wyjaśnię </w:t>
      </w:r>
      <w:r w:rsidR="00727501">
        <w:rPr>
          <w:rFonts w:eastAsia="Times New Roman"/>
        </w:rPr>
        <w:t xml:space="preserve">zwięźle </w:t>
      </w:r>
      <w:r w:rsidR="006C27AC" w:rsidRPr="003E0C66">
        <w:rPr>
          <w:rFonts w:eastAsia="Times New Roman"/>
        </w:rPr>
        <w:t xml:space="preserve">mój pogląd na dwie wspomniane kwestie. </w:t>
      </w:r>
      <w:r w:rsidR="001E06AA" w:rsidRPr="003E0C66">
        <w:rPr>
          <w:rFonts w:eastAsia="Times New Roman"/>
        </w:rPr>
        <w:t xml:space="preserve">  </w:t>
      </w:r>
      <w:r w:rsidR="00C5349B" w:rsidRPr="003E0C66">
        <w:rPr>
          <w:rFonts w:eastAsia="Times New Roman"/>
        </w:rPr>
        <w:t xml:space="preserve"> </w:t>
      </w:r>
    </w:p>
    <w:p w:rsidR="00C5349B" w:rsidRPr="003E0C66" w:rsidRDefault="006C27AC" w:rsidP="00BC0CE7">
      <w:pPr>
        <w:pStyle w:val="OpiHA"/>
        <w:rPr>
          <w:rFonts w:eastAsia="Times New Roman"/>
        </w:rPr>
      </w:pPr>
      <w:r w:rsidRPr="003E0C66">
        <w:rPr>
          <w:rFonts w:eastAsia="Times New Roman"/>
        </w:rPr>
        <w:t xml:space="preserve"> Wyjaśnienie tak zwanych ‘’kryteriów </w:t>
      </w:r>
      <w:r w:rsidR="00C5349B" w:rsidRPr="003E0C66">
        <w:rPr>
          <w:rFonts w:eastAsia="Times New Roman"/>
          <w:i/>
        </w:rPr>
        <w:t>Al</w:t>
      </w:r>
      <w:r w:rsidR="00C5349B" w:rsidRPr="003E0C66">
        <w:rPr>
          <w:rFonts w:eastAsia="Times New Roman"/>
          <w:i/>
        </w:rPr>
        <w:noBreakHyphen/>
        <w:t>Khawaja</w:t>
      </w:r>
      <w:r w:rsidRPr="003E0C66">
        <w:rPr>
          <w:rFonts w:eastAsia="Times New Roman"/>
        </w:rPr>
        <w:t xml:space="preserve">’’ przez Wielką Izbę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50282E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</w:t>
      </w:r>
      <w:r w:rsidRPr="003E0C66">
        <w:rPr>
          <w:rFonts w:eastAsia="Times New Roman"/>
        </w:rPr>
        <w:fldChar w:fldCharType="end"/>
      </w:r>
      <w:r w:rsidR="0050282E" w:rsidRPr="003E0C66">
        <w:rPr>
          <w:rFonts w:eastAsia="Times New Roman"/>
        </w:rPr>
        <w:t>.  </w:t>
      </w:r>
      <w:r w:rsidR="009C4183" w:rsidRPr="003E0C66">
        <w:rPr>
          <w:rFonts w:eastAsia="Times New Roman"/>
        </w:rPr>
        <w:t xml:space="preserve">Spójność orzecznictwa Trybunału jest bardzo ważna dla wiarygodności i </w:t>
      </w:r>
      <w:r w:rsidR="00E91304">
        <w:rPr>
          <w:rFonts w:eastAsia="Times New Roman"/>
        </w:rPr>
        <w:t>prawowitości</w:t>
      </w:r>
      <w:r w:rsidR="00E91304" w:rsidRPr="003E0C66">
        <w:rPr>
          <w:rFonts w:eastAsia="Times New Roman"/>
        </w:rPr>
        <w:t xml:space="preserve"> </w:t>
      </w:r>
      <w:r w:rsidR="009C4183" w:rsidRPr="003E0C66">
        <w:rPr>
          <w:rFonts w:eastAsia="Times New Roman"/>
        </w:rPr>
        <w:t xml:space="preserve">Trybunału oraz </w:t>
      </w:r>
      <w:r w:rsidR="00E91304">
        <w:rPr>
          <w:rFonts w:eastAsia="Times New Roman"/>
        </w:rPr>
        <w:t>dla stosowania się do Konwencji i orzecznictwa Trybunału przez organy krajowe</w:t>
      </w:r>
      <w:r w:rsidR="009C4183" w:rsidRPr="003E0C66">
        <w:rPr>
          <w:rFonts w:eastAsia="Times New Roman"/>
        </w:rPr>
        <w:t xml:space="preserve">. Trybunał nie powinien, bez </w:t>
      </w:r>
      <w:r w:rsidR="00E91304">
        <w:rPr>
          <w:rFonts w:eastAsia="Times New Roman"/>
        </w:rPr>
        <w:t>ważnego</w:t>
      </w:r>
      <w:r w:rsidR="00E91304" w:rsidRPr="003E0C66">
        <w:rPr>
          <w:rFonts w:eastAsia="Times New Roman"/>
        </w:rPr>
        <w:t xml:space="preserve"> </w:t>
      </w:r>
      <w:r w:rsidR="009C4183" w:rsidRPr="003E0C66">
        <w:rPr>
          <w:rFonts w:eastAsia="Times New Roman"/>
        </w:rPr>
        <w:t>powodu, odstępowa</w:t>
      </w:r>
      <w:r w:rsidR="00287339" w:rsidRPr="003E0C66">
        <w:rPr>
          <w:rFonts w:eastAsia="Times New Roman"/>
        </w:rPr>
        <w:t xml:space="preserve">ć od precedensów </w:t>
      </w:r>
      <w:r w:rsidR="00E91304">
        <w:rPr>
          <w:rFonts w:eastAsia="Times New Roman"/>
        </w:rPr>
        <w:t>określonych we wcześniejszych</w:t>
      </w:r>
      <w:r w:rsidR="00287339" w:rsidRPr="003E0C66">
        <w:rPr>
          <w:rFonts w:eastAsia="Times New Roman"/>
        </w:rPr>
        <w:t xml:space="preserve"> spraw</w:t>
      </w:r>
      <w:r w:rsidR="00E91304">
        <w:rPr>
          <w:rFonts w:eastAsia="Times New Roman"/>
        </w:rPr>
        <w:t>ach</w:t>
      </w:r>
      <w:r w:rsidR="00287339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</w:rPr>
        <w:t>(</w:t>
      </w:r>
      <w:r w:rsidR="00287339" w:rsidRPr="003E0C66">
        <w:rPr>
          <w:rFonts w:eastAsia="Times New Roman"/>
        </w:rPr>
        <w:t>zobacz</w:t>
      </w:r>
      <w:r w:rsidR="00C5349B" w:rsidRPr="003E0C66">
        <w:rPr>
          <w:rFonts w:eastAsia="Times New Roman"/>
        </w:rPr>
        <w:t xml:space="preserve"> </w:t>
      </w:r>
      <w:proofErr w:type="spellStart"/>
      <w:r w:rsidR="00C5349B" w:rsidRPr="003E0C66">
        <w:rPr>
          <w:rFonts w:eastAsia="Times New Roman"/>
          <w:i/>
        </w:rPr>
        <w:t>Micallef</w:t>
      </w:r>
      <w:proofErr w:type="spellEnd"/>
      <w:r w:rsidR="00C5349B" w:rsidRPr="003E0C66">
        <w:rPr>
          <w:rFonts w:eastAsia="Times New Roman"/>
          <w:i/>
        </w:rPr>
        <w:t xml:space="preserve"> </w:t>
      </w:r>
      <w:r w:rsidR="00287339" w:rsidRPr="003E0C66">
        <w:rPr>
          <w:rFonts w:eastAsia="Times New Roman"/>
          <w:i/>
        </w:rPr>
        <w:t>przeciwko Malcie</w:t>
      </w:r>
      <w:r w:rsidR="00287339" w:rsidRPr="003E0C66">
        <w:rPr>
          <w:rFonts w:eastAsia="Times New Roman"/>
        </w:rPr>
        <w:t xml:space="preserve"> [GC], </w:t>
      </w:r>
      <w:r w:rsidR="00F749AE" w:rsidRPr="003E0C66">
        <w:rPr>
          <w:rFonts w:eastAsia="Times New Roman"/>
        </w:rPr>
        <w:t>nr</w:t>
      </w:r>
      <w:r w:rsidR="00C5349B" w:rsidRPr="003E0C66">
        <w:rPr>
          <w:rFonts w:eastAsia="Times New Roman"/>
        </w:rPr>
        <w:t xml:space="preserve"> 17056/06, § 81, </w:t>
      </w:r>
      <w:r w:rsidR="00F749AE" w:rsidRPr="003E0C66">
        <w:rPr>
          <w:rFonts w:eastAsia="Times New Roman"/>
        </w:rPr>
        <w:t>ETPCZ</w:t>
      </w:r>
      <w:r w:rsidR="00C5349B" w:rsidRPr="003E0C66">
        <w:rPr>
          <w:rFonts w:eastAsia="Times New Roman"/>
        </w:rPr>
        <w:t xml:space="preserve"> 2009).</w:t>
      </w:r>
      <w:r w:rsidR="00287339" w:rsidRPr="003E0C66">
        <w:rPr>
          <w:rFonts w:eastAsia="Times New Roman"/>
        </w:rPr>
        <w:t xml:space="preserve"> Dotyczy to w szczególności </w:t>
      </w:r>
      <w:r w:rsidR="00E91304">
        <w:rPr>
          <w:rFonts w:eastAsia="Times New Roman"/>
        </w:rPr>
        <w:t>najnowszych</w:t>
      </w:r>
      <w:r w:rsidR="00E91304" w:rsidRPr="003E0C66">
        <w:rPr>
          <w:rFonts w:eastAsia="Times New Roman"/>
        </w:rPr>
        <w:t xml:space="preserve"> </w:t>
      </w:r>
      <w:r w:rsidR="00287339" w:rsidRPr="003E0C66">
        <w:rPr>
          <w:rFonts w:eastAsia="Times New Roman"/>
        </w:rPr>
        <w:t xml:space="preserve">orzeczeń Trybunału. Co więcej Trybunał nie powinien wyjaśniać i rozwijać swojego orzecznictwa, dopóki nie zaistnieją ku temu </w:t>
      </w:r>
      <w:r w:rsidR="00E91304">
        <w:rPr>
          <w:rFonts w:eastAsia="Times New Roman"/>
        </w:rPr>
        <w:t>ważne</w:t>
      </w:r>
      <w:r w:rsidR="00E91304" w:rsidRPr="003E0C66">
        <w:rPr>
          <w:rFonts w:eastAsia="Times New Roman"/>
        </w:rPr>
        <w:t xml:space="preserve"> </w:t>
      </w:r>
      <w:r w:rsidR="00287339" w:rsidRPr="003E0C66">
        <w:rPr>
          <w:rFonts w:eastAsia="Times New Roman"/>
        </w:rPr>
        <w:t xml:space="preserve">powody.  </w:t>
      </w:r>
      <w:r w:rsidR="00C5349B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50282E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3</w:t>
      </w:r>
      <w:r w:rsidRPr="003E0C66">
        <w:rPr>
          <w:rFonts w:eastAsia="Times New Roman"/>
        </w:rPr>
        <w:fldChar w:fldCharType="end"/>
      </w:r>
      <w:r w:rsidR="0050282E" w:rsidRPr="003E0C66">
        <w:rPr>
          <w:rFonts w:eastAsia="Times New Roman"/>
        </w:rPr>
        <w:t>. </w:t>
      </w:r>
      <w:r w:rsidR="00287339" w:rsidRPr="003E0C66">
        <w:rPr>
          <w:rFonts w:eastAsia="Times New Roman"/>
        </w:rPr>
        <w:t>W 2011 roku Wielka Izba wyjaśniła i rozwinęła utrwalone orzecznictwo Trybunału</w:t>
      </w:r>
      <w:r w:rsidR="001B63B4">
        <w:rPr>
          <w:rFonts w:eastAsia="Times New Roman"/>
        </w:rPr>
        <w:t>,</w:t>
      </w:r>
      <w:r w:rsidR="00287339" w:rsidRPr="003E0C66">
        <w:rPr>
          <w:rFonts w:eastAsia="Times New Roman"/>
        </w:rPr>
        <w:t xml:space="preserve"> dotyczące wykorzystania jako dowodu pisemnych </w:t>
      </w:r>
      <w:r w:rsidR="00E91304">
        <w:rPr>
          <w:rFonts w:eastAsia="Times New Roman"/>
        </w:rPr>
        <w:t>zeznań</w:t>
      </w:r>
      <w:r w:rsidR="00E91304" w:rsidRPr="003E0C66">
        <w:rPr>
          <w:rFonts w:eastAsia="Times New Roman"/>
        </w:rPr>
        <w:t xml:space="preserve"> </w:t>
      </w:r>
      <w:r w:rsidR="00287339" w:rsidRPr="003E0C66">
        <w:rPr>
          <w:rFonts w:eastAsia="Times New Roman"/>
        </w:rPr>
        <w:t xml:space="preserve">nieobecnych świadków. W </w:t>
      </w:r>
      <w:r w:rsidR="00E91304">
        <w:rPr>
          <w:rFonts w:eastAsia="Times New Roman"/>
        </w:rPr>
        <w:t xml:space="preserve">sprawie </w:t>
      </w:r>
      <w:r w:rsidR="00C5349B" w:rsidRPr="003E0C66">
        <w:rPr>
          <w:rFonts w:eastAsia="Times New Roman"/>
          <w:i/>
        </w:rPr>
        <w:t>Al</w:t>
      </w:r>
      <w:r w:rsidR="00C5349B" w:rsidRPr="003E0C66">
        <w:rPr>
          <w:rFonts w:eastAsia="Times New Roman"/>
          <w:i/>
        </w:rPr>
        <w:noBreakHyphen/>
        <w:t xml:space="preserve">Khawaja </w:t>
      </w:r>
      <w:r w:rsidR="00287339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>,</w:t>
      </w:r>
      <w:r w:rsidR="00287339" w:rsidRPr="003E0C66">
        <w:rPr>
          <w:rFonts w:eastAsia="Times New Roman"/>
        </w:rPr>
        <w:t xml:space="preserve"> wspomnianej wyżej, Wielka Izba </w:t>
      </w:r>
      <w:r w:rsidR="00E91304">
        <w:rPr>
          <w:rFonts w:eastAsia="Times New Roman"/>
        </w:rPr>
        <w:t>określiła</w:t>
      </w:r>
      <w:r w:rsidR="00E91304" w:rsidRPr="003E0C66">
        <w:rPr>
          <w:rFonts w:eastAsia="Times New Roman"/>
        </w:rPr>
        <w:t xml:space="preserve"> </w:t>
      </w:r>
      <w:r w:rsidR="00287339" w:rsidRPr="003E0C66">
        <w:rPr>
          <w:rFonts w:eastAsia="Times New Roman"/>
        </w:rPr>
        <w:t>trzy kryteria, które mają być stosowane w kolejności, jako trzy badania. Po pierwsze</w:t>
      </w:r>
      <w:r w:rsidR="001B63B4">
        <w:rPr>
          <w:rFonts w:eastAsia="Times New Roman"/>
        </w:rPr>
        <w:t>,</w:t>
      </w:r>
      <w:r w:rsidR="00287339" w:rsidRPr="003E0C66">
        <w:rPr>
          <w:rFonts w:eastAsia="Times New Roman"/>
        </w:rPr>
        <w:t xml:space="preserve"> musi zaistnieć </w:t>
      </w:r>
      <w:r w:rsidR="001B63B4">
        <w:rPr>
          <w:rFonts w:eastAsia="Times New Roman"/>
        </w:rPr>
        <w:t>„</w:t>
      </w:r>
      <w:r w:rsidR="00E91304">
        <w:rPr>
          <w:rFonts w:eastAsia="Times New Roman"/>
        </w:rPr>
        <w:t>ważny</w:t>
      </w:r>
      <w:r w:rsidR="00E91304" w:rsidRPr="003E0C66">
        <w:rPr>
          <w:rFonts w:eastAsia="Times New Roman"/>
        </w:rPr>
        <w:t xml:space="preserve"> </w:t>
      </w:r>
      <w:r w:rsidR="00287339" w:rsidRPr="003E0C66">
        <w:rPr>
          <w:rFonts w:eastAsia="Times New Roman"/>
        </w:rPr>
        <w:t>powód’’ usprawiedliwiający nieobecność świadków. Po drugie</w:t>
      </w:r>
      <w:r w:rsidR="001B63B4">
        <w:rPr>
          <w:rFonts w:eastAsia="Times New Roman"/>
        </w:rPr>
        <w:t>,</w:t>
      </w:r>
      <w:r w:rsidR="00287339" w:rsidRPr="003E0C66">
        <w:rPr>
          <w:rFonts w:eastAsia="Times New Roman"/>
        </w:rPr>
        <w:t xml:space="preserve"> należy ocenić</w:t>
      </w:r>
      <w:r w:rsidR="00E91304">
        <w:rPr>
          <w:rFonts w:eastAsia="Times New Roman"/>
        </w:rPr>
        <w:t>,</w:t>
      </w:r>
      <w:r w:rsidR="00287339" w:rsidRPr="003E0C66">
        <w:rPr>
          <w:rFonts w:eastAsia="Times New Roman"/>
        </w:rPr>
        <w:t xml:space="preserve"> czy </w:t>
      </w:r>
      <w:r w:rsidR="00E91304">
        <w:rPr>
          <w:rFonts w:eastAsia="Times New Roman"/>
        </w:rPr>
        <w:t>zeznania</w:t>
      </w:r>
      <w:r w:rsidR="00E91304" w:rsidRPr="003E0C66">
        <w:rPr>
          <w:rFonts w:eastAsia="Times New Roman"/>
        </w:rPr>
        <w:t xml:space="preserve"> </w:t>
      </w:r>
      <w:r w:rsidR="001B63B4">
        <w:rPr>
          <w:rFonts w:eastAsia="Times New Roman"/>
        </w:rPr>
        <w:t>nieobecnego świadka są „</w:t>
      </w:r>
      <w:r w:rsidR="00287339" w:rsidRPr="003E0C66">
        <w:rPr>
          <w:rFonts w:eastAsia="Times New Roman"/>
        </w:rPr>
        <w:t xml:space="preserve">jedynym lub decydującym’’ dowodem. Po trzecie, jeśli pisemne </w:t>
      </w:r>
      <w:r w:rsidR="00E91304">
        <w:rPr>
          <w:rFonts w:eastAsia="Times New Roman"/>
        </w:rPr>
        <w:t>zeznania są</w:t>
      </w:r>
      <w:r w:rsidR="001B63B4">
        <w:rPr>
          <w:rFonts w:eastAsia="Times New Roman"/>
        </w:rPr>
        <w:t xml:space="preserve"> „</w:t>
      </w:r>
      <w:r w:rsidR="00287339" w:rsidRPr="003E0C66">
        <w:rPr>
          <w:rFonts w:eastAsia="Times New Roman"/>
        </w:rPr>
        <w:t>jedy</w:t>
      </w:r>
      <w:r w:rsidR="00161840" w:rsidRPr="003E0C66">
        <w:rPr>
          <w:rFonts w:eastAsia="Times New Roman"/>
        </w:rPr>
        <w:t>ną lub decydującą</w:t>
      </w:r>
      <w:r w:rsidR="00287339" w:rsidRPr="003E0C66">
        <w:rPr>
          <w:rFonts w:eastAsia="Times New Roman"/>
        </w:rPr>
        <w:t>’’</w:t>
      </w:r>
      <w:r w:rsidR="00161840" w:rsidRPr="003E0C66">
        <w:rPr>
          <w:rFonts w:eastAsia="Times New Roman"/>
        </w:rPr>
        <w:t xml:space="preserve"> podstawą skazania oskarżonego, </w:t>
      </w:r>
      <w:r w:rsidR="001B63B4">
        <w:rPr>
          <w:rFonts w:eastAsia="Times New Roman"/>
        </w:rPr>
        <w:t>muszą zaistnieć wystarczające „</w:t>
      </w:r>
      <w:r w:rsidR="00161840" w:rsidRPr="003E0C66">
        <w:rPr>
          <w:rFonts w:eastAsia="Times New Roman"/>
        </w:rPr>
        <w:t>czynniki wyrównawcze’’. Moim zdaniem Trybunał mógł łatwo rozpatrz</w:t>
      </w:r>
      <w:r w:rsidR="006E297A">
        <w:rPr>
          <w:rFonts w:eastAsia="Times New Roman"/>
        </w:rPr>
        <w:t>y</w:t>
      </w:r>
      <w:r w:rsidR="00161840" w:rsidRPr="003E0C66">
        <w:rPr>
          <w:rFonts w:eastAsia="Times New Roman"/>
        </w:rPr>
        <w:t xml:space="preserve">ć niniejszą sprawę </w:t>
      </w:r>
      <w:r w:rsidR="006E297A">
        <w:rPr>
          <w:rFonts w:eastAsia="Times New Roman"/>
        </w:rPr>
        <w:t>w oparciu o</w:t>
      </w:r>
      <w:r w:rsidR="00161840" w:rsidRPr="003E0C66">
        <w:rPr>
          <w:rFonts w:eastAsia="Times New Roman"/>
        </w:rPr>
        <w:t xml:space="preserve"> kryteri</w:t>
      </w:r>
      <w:r w:rsidR="006E297A">
        <w:rPr>
          <w:rFonts w:eastAsia="Times New Roman"/>
        </w:rPr>
        <w:t>a</w:t>
      </w:r>
      <w:r w:rsidR="00161840" w:rsidRPr="003E0C66">
        <w:rPr>
          <w:rFonts w:eastAsia="Times New Roman"/>
        </w:rPr>
        <w:t xml:space="preserve"> ustalon</w:t>
      </w:r>
      <w:r w:rsidR="006E297A">
        <w:rPr>
          <w:rFonts w:eastAsia="Times New Roman"/>
        </w:rPr>
        <w:t>e</w:t>
      </w:r>
      <w:r w:rsidR="00161840" w:rsidRPr="003E0C66">
        <w:rPr>
          <w:rFonts w:eastAsia="Times New Roman"/>
        </w:rPr>
        <w:t xml:space="preserve"> w sprawie </w:t>
      </w:r>
      <w:r w:rsidR="00161840" w:rsidRPr="003E0C66">
        <w:rPr>
          <w:rFonts w:eastAsia="Times New Roman"/>
          <w:i/>
        </w:rPr>
        <w:t>Al-Khawaja 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>,</w:t>
      </w:r>
      <w:r w:rsidR="004B2B04" w:rsidRPr="003E0C66">
        <w:rPr>
          <w:rFonts w:eastAsia="Times New Roman"/>
        </w:rPr>
        <w:t xml:space="preserve"> potwierdzając w ten sposób</w:t>
      </w:r>
      <w:r w:rsidR="00161840" w:rsidRPr="003E0C66">
        <w:rPr>
          <w:rFonts w:eastAsia="Times New Roman"/>
        </w:rPr>
        <w:t xml:space="preserve"> niedawny wyrok Wielkiej Izby.   </w:t>
      </w:r>
      <w:r w:rsidR="00C5349B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4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161840" w:rsidRPr="003E0C66">
        <w:rPr>
          <w:rFonts w:eastAsia="Times New Roman"/>
        </w:rPr>
        <w:t xml:space="preserve">Wyjaśnienia Wielkiej Izby w niniejszym wyroku nie powinny, moim zdaniem, być rozumiane jako odstąpienie od trzyetapowego badania ustalonego w wyroku </w:t>
      </w:r>
      <w:r w:rsidR="00C5349B" w:rsidRPr="003E0C66">
        <w:rPr>
          <w:rFonts w:eastAsia="Times New Roman"/>
          <w:i/>
        </w:rPr>
        <w:t xml:space="preserve">Al-Khawaja </w:t>
      </w:r>
      <w:r w:rsidR="00161840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>,</w:t>
      </w:r>
      <w:r w:rsidR="00161840" w:rsidRPr="003E0C66">
        <w:rPr>
          <w:rFonts w:eastAsia="Times New Roman"/>
        </w:rPr>
        <w:t xml:space="preserve"> któr</w:t>
      </w:r>
      <w:r w:rsidR="006E297A">
        <w:rPr>
          <w:rFonts w:eastAsia="Times New Roman"/>
        </w:rPr>
        <w:t>e</w:t>
      </w:r>
      <w:r w:rsidR="00161840" w:rsidRPr="003E0C66">
        <w:rPr>
          <w:rFonts w:eastAsia="Times New Roman"/>
        </w:rPr>
        <w:t xml:space="preserve"> zatem </w:t>
      </w:r>
      <w:r w:rsidR="006E297A">
        <w:rPr>
          <w:rFonts w:eastAsia="Times New Roman"/>
        </w:rPr>
        <w:t>powinno</w:t>
      </w:r>
      <w:r w:rsidR="006E297A" w:rsidRPr="003E0C66">
        <w:rPr>
          <w:rFonts w:eastAsia="Times New Roman"/>
        </w:rPr>
        <w:t xml:space="preserve"> </w:t>
      </w:r>
      <w:r w:rsidR="00161840" w:rsidRPr="003E0C66">
        <w:rPr>
          <w:rFonts w:eastAsia="Times New Roman"/>
        </w:rPr>
        <w:t>być dalej stosowan</w:t>
      </w:r>
      <w:r w:rsidR="006E297A">
        <w:rPr>
          <w:rFonts w:eastAsia="Times New Roman"/>
        </w:rPr>
        <w:t>e</w:t>
      </w:r>
      <w:r w:rsidR="00161840" w:rsidRPr="003E0C66">
        <w:rPr>
          <w:rFonts w:eastAsia="Times New Roman"/>
        </w:rPr>
        <w:t xml:space="preserve"> w podobnych sprawach w przyszłości. Z tego powodu uważam za konieczne </w:t>
      </w:r>
      <w:r w:rsidR="006E297A">
        <w:rPr>
          <w:rFonts w:eastAsia="Times New Roman"/>
        </w:rPr>
        <w:t>uczynienie</w:t>
      </w:r>
      <w:r w:rsidR="006E297A" w:rsidRPr="003E0C66">
        <w:rPr>
          <w:rFonts w:eastAsia="Times New Roman"/>
        </w:rPr>
        <w:t xml:space="preserve"> </w:t>
      </w:r>
      <w:r w:rsidR="00161840" w:rsidRPr="003E0C66">
        <w:rPr>
          <w:rFonts w:eastAsia="Times New Roman"/>
        </w:rPr>
        <w:t>kilku dodatkowych uwag dotyczących kryteriów, które należy zastosować</w:t>
      </w:r>
      <w:r w:rsidR="00C5349B" w:rsidRPr="003E0C66">
        <w:rPr>
          <w:rFonts w:eastAsia="Times New Roman"/>
        </w:rPr>
        <w:t>.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5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161840" w:rsidRPr="003E0C66">
        <w:rPr>
          <w:rFonts w:eastAsia="Times New Roman"/>
        </w:rPr>
        <w:t xml:space="preserve">Po pierwsze, jeśli nie ma </w:t>
      </w:r>
      <w:r w:rsidR="00A269FA">
        <w:rPr>
          <w:rFonts w:eastAsia="Times New Roman"/>
        </w:rPr>
        <w:t>ważnego</w:t>
      </w:r>
      <w:r w:rsidR="00A269FA" w:rsidRPr="003E0C66">
        <w:rPr>
          <w:rFonts w:eastAsia="Times New Roman"/>
        </w:rPr>
        <w:t xml:space="preserve"> </w:t>
      </w:r>
      <w:r w:rsidR="00161840" w:rsidRPr="003E0C66">
        <w:rPr>
          <w:rFonts w:eastAsia="Times New Roman"/>
        </w:rPr>
        <w:t>powodu usprawied</w:t>
      </w:r>
      <w:r w:rsidR="00D57807" w:rsidRPr="003E0C66">
        <w:rPr>
          <w:rFonts w:eastAsia="Times New Roman"/>
        </w:rPr>
        <w:t xml:space="preserve">liwiającego nieobecność świadka, sąd krajowy powinien, jako </w:t>
      </w:r>
      <w:r w:rsidR="00A269FA">
        <w:rPr>
          <w:rFonts w:eastAsia="Times New Roman"/>
        </w:rPr>
        <w:t>główna</w:t>
      </w:r>
      <w:r w:rsidR="00A269FA" w:rsidRPr="003E0C66">
        <w:rPr>
          <w:rFonts w:eastAsia="Times New Roman"/>
        </w:rPr>
        <w:t xml:space="preserve"> </w:t>
      </w:r>
      <w:r w:rsidR="00D57807" w:rsidRPr="003E0C66">
        <w:rPr>
          <w:rFonts w:eastAsia="Times New Roman"/>
        </w:rPr>
        <w:t xml:space="preserve">zasada, nie pozwolić prokuratorowi na użycie </w:t>
      </w:r>
      <w:r w:rsidR="00A269FA">
        <w:rPr>
          <w:rFonts w:eastAsia="Times New Roman"/>
        </w:rPr>
        <w:t xml:space="preserve">pisemnych </w:t>
      </w:r>
      <w:r w:rsidR="00D57807" w:rsidRPr="003E0C66">
        <w:rPr>
          <w:rFonts w:eastAsia="Times New Roman"/>
        </w:rPr>
        <w:t xml:space="preserve">zeznań świadków jako dowodu przeciwko oskarżonemu </w:t>
      </w:r>
      <w:r w:rsidR="00C5349B" w:rsidRPr="003E0C66">
        <w:rPr>
          <w:rFonts w:eastAsia="Times New Roman"/>
        </w:rPr>
        <w:t>(</w:t>
      </w:r>
      <w:r w:rsidR="00D57807" w:rsidRPr="003E0C66">
        <w:rPr>
          <w:rFonts w:eastAsia="Times New Roman"/>
        </w:rPr>
        <w:t>zobacz</w:t>
      </w:r>
      <w:r w:rsidR="00C5349B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  <w:i/>
        </w:rPr>
        <w:t xml:space="preserve">Al-Khawaja </w:t>
      </w:r>
      <w:r w:rsidR="00D57807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 xml:space="preserve">, </w:t>
      </w:r>
      <w:r w:rsidR="00A269FA">
        <w:rPr>
          <w:rFonts w:eastAsia="Times New Roman"/>
        </w:rPr>
        <w:t>cytowany powyżej</w:t>
      </w:r>
      <w:r w:rsidR="00C5349B" w:rsidRPr="003E0C66">
        <w:rPr>
          <w:rFonts w:eastAsia="Times New Roman"/>
        </w:rPr>
        <w:t>, §§ 120-125).</w:t>
      </w:r>
    </w:p>
    <w:p w:rsidR="00C5349B" w:rsidRPr="003E0C66" w:rsidRDefault="006B25B0" w:rsidP="00D5780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lastRenderedPageBreak/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6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D57807" w:rsidRPr="003E0C66">
        <w:rPr>
          <w:rFonts w:eastAsia="Times New Roman"/>
        </w:rPr>
        <w:t xml:space="preserve">Jeśli zeznania nieobecnego świadka, zdaniem prokuratora, </w:t>
      </w:r>
      <w:r w:rsidR="00A269FA">
        <w:rPr>
          <w:rFonts w:eastAsia="Times New Roman"/>
        </w:rPr>
        <w:t>są takiej wagi i znaczenia dla sprawy, że</w:t>
      </w:r>
      <w:r w:rsidR="00D57807" w:rsidRPr="003E0C66">
        <w:rPr>
          <w:rFonts w:eastAsia="Times New Roman"/>
        </w:rPr>
        <w:t xml:space="preserve"> </w:t>
      </w:r>
      <w:r w:rsidR="00A269FA">
        <w:rPr>
          <w:rFonts w:eastAsia="Times New Roman"/>
        </w:rPr>
        <w:t>powinny być użyte jako dowód</w:t>
      </w:r>
      <w:r w:rsidR="00D57807" w:rsidRPr="003E0C66">
        <w:rPr>
          <w:rFonts w:eastAsia="Times New Roman"/>
        </w:rPr>
        <w:t xml:space="preserve">, świadek powinien zostać wezwany do </w:t>
      </w:r>
      <w:r w:rsidR="00A269FA">
        <w:rPr>
          <w:rFonts w:eastAsia="Times New Roman"/>
        </w:rPr>
        <w:t>stawienia się</w:t>
      </w:r>
      <w:r w:rsidR="00D57807" w:rsidRPr="003E0C66">
        <w:rPr>
          <w:rFonts w:eastAsia="Times New Roman"/>
        </w:rPr>
        <w:t xml:space="preserve"> przed sądem</w:t>
      </w:r>
      <w:r w:rsidR="00A269FA">
        <w:rPr>
          <w:rFonts w:eastAsia="Times New Roman"/>
        </w:rPr>
        <w:t xml:space="preserve"> i złożenia zeznań</w:t>
      </w:r>
      <w:r w:rsidR="00D57807" w:rsidRPr="003E0C66">
        <w:rPr>
          <w:rFonts w:eastAsia="Times New Roman"/>
        </w:rPr>
        <w:t xml:space="preserve">, chyba że istnieje </w:t>
      </w:r>
      <w:r w:rsidR="00A269FA">
        <w:rPr>
          <w:rFonts w:eastAsia="Times New Roman"/>
        </w:rPr>
        <w:t>ważny</w:t>
      </w:r>
      <w:r w:rsidR="00A269FA" w:rsidRPr="003E0C66">
        <w:rPr>
          <w:rFonts w:eastAsia="Times New Roman"/>
        </w:rPr>
        <w:t xml:space="preserve"> </w:t>
      </w:r>
      <w:r w:rsidR="00D57807" w:rsidRPr="003E0C66">
        <w:rPr>
          <w:rFonts w:eastAsia="Times New Roman"/>
        </w:rPr>
        <w:t>powód usprawiedliwiający jego nieobecność</w:t>
      </w:r>
      <w:r w:rsidR="00C5349B" w:rsidRPr="003E0C66">
        <w:rPr>
          <w:rFonts w:eastAsia="Times New Roman"/>
        </w:rPr>
        <w:t>.</w:t>
      </w:r>
      <w:r w:rsidR="00D57807" w:rsidRPr="003E0C66">
        <w:rPr>
          <w:rFonts w:eastAsia="Times New Roman"/>
        </w:rPr>
        <w:t xml:space="preserve"> Jeśli takiego powodu nie ma sąd krajowy nie powinien zezwolić prokuratorowi na wykorzystanie </w:t>
      </w:r>
      <w:r w:rsidR="00A269FA">
        <w:rPr>
          <w:rFonts w:eastAsia="Times New Roman"/>
        </w:rPr>
        <w:t>pisemnych</w:t>
      </w:r>
      <w:r w:rsidR="00A269FA" w:rsidRPr="003E0C66">
        <w:rPr>
          <w:rFonts w:eastAsia="Times New Roman"/>
        </w:rPr>
        <w:t xml:space="preserve"> </w:t>
      </w:r>
      <w:r w:rsidR="00D57807" w:rsidRPr="003E0C66">
        <w:rPr>
          <w:rFonts w:eastAsia="Times New Roman"/>
        </w:rPr>
        <w:t xml:space="preserve">zeznań świadków jako dowodu obciążającego oskarżonego.  </w:t>
      </w:r>
      <w:r w:rsidR="00C5349B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7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D57807" w:rsidRPr="003E0C66">
        <w:rPr>
          <w:rFonts w:eastAsia="Times New Roman"/>
        </w:rPr>
        <w:t xml:space="preserve"> Zaniechanie wezwania świadka</w:t>
      </w:r>
      <w:r w:rsidR="005C4D27">
        <w:rPr>
          <w:rFonts w:eastAsia="Times New Roman"/>
        </w:rPr>
        <w:t>,</w:t>
      </w:r>
      <w:r w:rsidR="00D57807" w:rsidRPr="003E0C66">
        <w:rPr>
          <w:rFonts w:eastAsia="Times New Roman"/>
        </w:rPr>
        <w:t xml:space="preserve"> bez </w:t>
      </w:r>
      <w:r w:rsidR="005C4D27">
        <w:rPr>
          <w:rFonts w:eastAsia="Times New Roman"/>
        </w:rPr>
        <w:t>ważnej przyczyny,</w:t>
      </w:r>
      <w:r w:rsidR="00D57807" w:rsidRPr="003E0C66">
        <w:rPr>
          <w:rFonts w:eastAsia="Times New Roman"/>
        </w:rPr>
        <w:t xml:space="preserve"> byłoby sprzeczne z prawem do obrony zapewniającym </w:t>
      </w:r>
      <w:r w:rsidR="00FD1499" w:rsidRPr="003E0C66">
        <w:rPr>
          <w:rFonts w:eastAsia="Times New Roman"/>
        </w:rPr>
        <w:t xml:space="preserve">możliwość przesłuchania </w:t>
      </w:r>
      <w:r w:rsidR="005C4D27" w:rsidRPr="003E0C66">
        <w:rPr>
          <w:rFonts w:eastAsia="Times New Roman"/>
        </w:rPr>
        <w:t>świadk</w:t>
      </w:r>
      <w:r w:rsidR="005C4D27">
        <w:rPr>
          <w:rFonts w:eastAsia="Times New Roman"/>
        </w:rPr>
        <w:t>ów</w:t>
      </w:r>
      <w:r w:rsidR="005C4D27" w:rsidRPr="003E0C66">
        <w:rPr>
          <w:rFonts w:eastAsia="Times New Roman"/>
        </w:rPr>
        <w:t xml:space="preserve"> </w:t>
      </w:r>
      <w:r w:rsidR="00FD1499" w:rsidRPr="003E0C66">
        <w:rPr>
          <w:rFonts w:eastAsia="Times New Roman"/>
        </w:rPr>
        <w:t xml:space="preserve">oskarżenia. Mówiąc to zgadzam się, </w:t>
      </w:r>
      <w:r w:rsidR="005C4D27">
        <w:rPr>
          <w:rFonts w:eastAsia="Times New Roman"/>
        </w:rPr>
        <w:t>że</w:t>
      </w:r>
      <w:r w:rsidR="005C4D27" w:rsidRPr="003E0C66">
        <w:rPr>
          <w:rFonts w:eastAsia="Times New Roman"/>
        </w:rPr>
        <w:t xml:space="preserve"> </w:t>
      </w:r>
      <w:r w:rsidR="00FD1499" w:rsidRPr="003E0C66">
        <w:rPr>
          <w:rFonts w:eastAsia="Times New Roman"/>
        </w:rPr>
        <w:t xml:space="preserve">brak </w:t>
      </w:r>
      <w:r w:rsidR="005C4D27">
        <w:rPr>
          <w:rFonts w:eastAsia="Times New Roman"/>
        </w:rPr>
        <w:t>ważnego</w:t>
      </w:r>
      <w:r w:rsidR="005C4D27" w:rsidRPr="003E0C66">
        <w:rPr>
          <w:rFonts w:eastAsia="Times New Roman"/>
        </w:rPr>
        <w:t xml:space="preserve"> </w:t>
      </w:r>
      <w:r w:rsidR="00FD1499" w:rsidRPr="003E0C66">
        <w:rPr>
          <w:rFonts w:eastAsia="Times New Roman"/>
        </w:rPr>
        <w:t xml:space="preserve">powodu usprawiedliwiającego nieobecność świadka nie czyni automatycznie procesu </w:t>
      </w:r>
      <w:r w:rsidR="005C4D27">
        <w:rPr>
          <w:rFonts w:eastAsia="Times New Roman"/>
        </w:rPr>
        <w:t>nierzetelnym</w:t>
      </w:r>
      <w:r w:rsidR="005C4D27" w:rsidRPr="003E0C66">
        <w:rPr>
          <w:rFonts w:eastAsia="Times New Roman"/>
        </w:rPr>
        <w:t xml:space="preserve"> </w:t>
      </w:r>
      <w:r w:rsidR="00FD1499" w:rsidRPr="003E0C66">
        <w:rPr>
          <w:rFonts w:eastAsia="Times New Roman"/>
        </w:rPr>
        <w:t xml:space="preserve">(zobacz paragraf 113 wyroku). Jednakże to wyjaśnienie orzecznictwa Trybunału nie może być rozumiane jako </w:t>
      </w:r>
      <w:r w:rsidR="00121BA3" w:rsidRPr="003E0C66">
        <w:rPr>
          <w:rFonts w:eastAsia="Times New Roman"/>
        </w:rPr>
        <w:t xml:space="preserve">odejście od </w:t>
      </w:r>
      <w:r w:rsidR="005C4D27">
        <w:rPr>
          <w:rFonts w:eastAsia="Times New Roman"/>
        </w:rPr>
        <w:t xml:space="preserve">głównej </w:t>
      </w:r>
      <w:r w:rsidR="00121BA3" w:rsidRPr="003E0C66">
        <w:rPr>
          <w:rFonts w:eastAsia="Times New Roman"/>
        </w:rPr>
        <w:t xml:space="preserve">zasady. Zgodnie z tą zasadą, jeśli zeznania nieobecnego świadka </w:t>
      </w:r>
      <w:r w:rsidR="005C4D27">
        <w:rPr>
          <w:rFonts w:eastAsia="Times New Roman"/>
        </w:rPr>
        <w:t>są takiej wagi i znaczenia</w:t>
      </w:r>
      <w:r w:rsidR="00121BA3" w:rsidRPr="003E0C66">
        <w:rPr>
          <w:rFonts w:eastAsia="Times New Roman"/>
        </w:rPr>
        <w:t xml:space="preserve"> dla sprawy</w:t>
      </w:r>
      <w:r w:rsidR="005C4D27">
        <w:rPr>
          <w:rFonts w:eastAsia="Times New Roman"/>
        </w:rPr>
        <w:t>, że</w:t>
      </w:r>
      <w:r w:rsidR="00121BA3" w:rsidRPr="003E0C66">
        <w:rPr>
          <w:rFonts w:eastAsia="Times New Roman"/>
        </w:rPr>
        <w:t xml:space="preserve"> </w:t>
      </w:r>
      <w:r w:rsidR="006E547E" w:rsidRPr="003E0C66">
        <w:rPr>
          <w:rFonts w:eastAsia="Times New Roman"/>
        </w:rPr>
        <w:t>sąd krajowy zezwa</w:t>
      </w:r>
      <w:r w:rsidR="00121BA3" w:rsidRPr="003E0C66">
        <w:rPr>
          <w:rFonts w:eastAsia="Times New Roman"/>
        </w:rPr>
        <w:t>la na użycie tych dowodów przeciwko oskarżonemu</w:t>
      </w:r>
      <w:r w:rsidR="006E547E" w:rsidRPr="003E0C66">
        <w:rPr>
          <w:rFonts w:eastAsia="Times New Roman"/>
        </w:rPr>
        <w:t>, to mus</w:t>
      </w:r>
      <w:r w:rsidR="005C4D27">
        <w:rPr>
          <w:rFonts w:eastAsia="Times New Roman"/>
        </w:rPr>
        <w:t>i</w:t>
      </w:r>
      <w:r w:rsidR="006E547E" w:rsidRPr="003E0C66">
        <w:rPr>
          <w:rFonts w:eastAsia="Times New Roman"/>
        </w:rPr>
        <w:t xml:space="preserve"> zaistnieć </w:t>
      </w:r>
      <w:r w:rsidR="005C4D27">
        <w:rPr>
          <w:rFonts w:eastAsia="Times New Roman"/>
        </w:rPr>
        <w:t>ważny</w:t>
      </w:r>
      <w:r w:rsidR="005C4D27" w:rsidRPr="003E0C66">
        <w:rPr>
          <w:rFonts w:eastAsia="Times New Roman"/>
        </w:rPr>
        <w:t xml:space="preserve"> </w:t>
      </w:r>
      <w:r w:rsidR="005C4D27">
        <w:rPr>
          <w:rFonts w:eastAsia="Times New Roman"/>
        </w:rPr>
        <w:t>powód</w:t>
      </w:r>
      <w:r w:rsidR="004B2B04" w:rsidRPr="003E0C66">
        <w:rPr>
          <w:rFonts w:eastAsia="Times New Roman"/>
        </w:rPr>
        <w:t>,</w:t>
      </w:r>
      <w:r w:rsidR="006E547E" w:rsidRPr="003E0C66">
        <w:rPr>
          <w:rFonts w:eastAsia="Times New Roman"/>
        </w:rPr>
        <w:t xml:space="preserve"> aby nie wzywać świadka </w:t>
      </w:r>
      <w:r w:rsidR="005C4D27">
        <w:rPr>
          <w:rFonts w:eastAsia="Times New Roman"/>
        </w:rPr>
        <w:t xml:space="preserve">celem złożenia zeznań </w:t>
      </w:r>
      <w:r w:rsidR="006E547E" w:rsidRPr="003E0C66">
        <w:rPr>
          <w:rFonts w:eastAsia="Times New Roman"/>
        </w:rPr>
        <w:t>na rozpraw</w:t>
      </w:r>
      <w:r w:rsidR="005C4D27">
        <w:rPr>
          <w:rFonts w:eastAsia="Times New Roman"/>
        </w:rPr>
        <w:t>ie</w:t>
      </w:r>
      <w:r w:rsidR="006E547E" w:rsidRPr="003E0C66">
        <w:rPr>
          <w:rFonts w:eastAsia="Times New Roman"/>
        </w:rPr>
        <w:t xml:space="preserve">. </w:t>
      </w:r>
      <w:r w:rsidR="00121BA3" w:rsidRPr="003E0C66">
        <w:rPr>
          <w:rFonts w:eastAsia="Times New Roman"/>
        </w:rPr>
        <w:t xml:space="preserve">  </w:t>
      </w:r>
      <w:r w:rsidR="00FD1499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</w:rPr>
        <w:t> 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8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1B63B4">
        <w:rPr>
          <w:rFonts w:eastAsia="Times New Roman"/>
        </w:rPr>
        <w:t>Po drugie, badanie „</w:t>
      </w:r>
      <w:r w:rsidR="006E547E" w:rsidRPr="003E0C66">
        <w:rPr>
          <w:rFonts w:eastAsia="Times New Roman"/>
        </w:rPr>
        <w:t xml:space="preserve">wyłączności i </w:t>
      </w:r>
      <w:r w:rsidR="005C4D27">
        <w:rPr>
          <w:rFonts w:eastAsia="Times New Roman"/>
        </w:rPr>
        <w:t>decydującej roli</w:t>
      </w:r>
      <w:r w:rsidR="005C4D27" w:rsidRPr="003E0C66">
        <w:rPr>
          <w:rFonts w:eastAsia="Times New Roman"/>
        </w:rPr>
        <w:t xml:space="preserve"> </w:t>
      </w:r>
      <w:r w:rsidR="006E547E" w:rsidRPr="003E0C66">
        <w:rPr>
          <w:rFonts w:eastAsia="Times New Roman"/>
        </w:rPr>
        <w:t>dowodu’’</w:t>
      </w:r>
      <w:r w:rsidR="005C4D27">
        <w:rPr>
          <w:rFonts w:eastAsia="Times New Roman"/>
        </w:rPr>
        <w:t>,</w:t>
      </w:r>
      <w:r w:rsidR="006E547E" w:rsidRPr="003E0C66">
        <w:rPr>
          <w:rFonts w:eastAsia="Times New Roman"/>
        </w:rPr>
        <w:t xml:space="preserve"> z niewielkimi zmianami w </w:t>
      </w:r>
      <w:r w:rsidR="005C4D27">
        <w:rPr>
          <w:rFonts w:eastAsia="Times New Roman"/>
        </w:rPr>
        <w:t xml:space="preserve">zakresie </w:t>
      </w:r>
      <w:r w:rsidR="006E547E" w:rsidRPr="003E0C66">
        <w:rPr>
          <w:rFonts w:eastAsia="Times New Roman"/>
        </w:rPr>
        <w:t xml:space="preserve">terminologii, </w:t>
      </w:r>
      <w:r w:rsidR="005C4D27">
        <w:rPr>
          <w:rFonts w:eastAsia="Times New Roman"/>
        </w:rPr>
        <w:t>było stosowane</w:t>
      </w:r>
      <w:r w:rsidR="005C4D27" w:rsidRPr="003E0C66">
        <w:rPr>
          <w:rFonts w:eastAsia="Times New Roman"/>
        </w:rPr>
        <w:t xml:space="preserve"> </w:t>
      </w:r>
      <w:r w:rsidR="006E547E" w:rsidRPr="003E0C66">
        <w:rPr>
          <w:rFonts w:eastAsia="Times New Roman"/>
        </w:rPr>
        <w:t xml:space="preserve">konsekwentnie od </w:t>
      </w:r>
      <w:r w:rsidR="005C4D27">
        <w:rPr>
          <w:rFonts w:eastAsia="Times New Roman"/>
        </w:rPr>
        <w:t xml:space="preserve">wydania </w:t>
      </w:r>
      <w:r w:rsidR="006E547E" w:rsidRPr="003E0C66">
        <w:rPr>
          <w:rFonts w:eastAsia="Times New Roman"/>
        </w:rPr>
        <w:t>wyroku Trybunału w sprawie</w:t>
      </w:r>
      <w:r w:rsidR="00C5349B" w:rsidRPr="003E0C66">
        <w:rPr>
          <w:rFonts w:eastAsia="Times New Roman"/>
        </w:rPr>
        <w:t xml:space="preserve"> </w:t>
      </w:r>
      <w:proofErr w:type="spellStart"/>
      <w:r w:rsidR="00C5349B" w:rsidRPr="003E0C66">
        <w:rPr>
          <w:rFonts w:eastAsia="Times New Roman"/>
          <w:i/>
        </w:rPr>
        <w:t>Unterpertinger</w:t>
      </w:r>
      <w:proofErr w:type="spellEnd"/>
      <w:r w:rsidR="00C5349B" w:rsidRPr="003E0C66">
        <w:rPr>
          <w:rFonts w:eastAsia="Times New Roman"/>
          <w:i/>
        </w:rPr>
        <w:t xml:space="preserve"> </w:t>
      </w:r>
      <w:r w:rsidR="006E547E" w:rsidRPr="003E0C66">
        <w:rPr>
          <w:rFonts w:eastAsia="Times New Roman"/>
          <w:i/>
        </w:rPr>
        <w:t>przeciwko Austrii</w:t>
      </w:r>
      <w:r w:rsidR="00C5349B" w:rsidRPr="003E0C66">
        <w:rPr>
          <w:rFonts w:eastAsia="Times New Roman"/>
        </w:rPr>
        <w:t xml:space="preserve"> (24 </w:t>
      </w:r>
      <w:r w:rsidR="006E547E" w:rsidRPr="003E0C66">
        <w:rPr>
          <w:rFonts w:eastAsia="Times New Roman"/>
        </w:rPr>
        <w:t>listopada</w:t>
      </w:r>
      <w:r w:rsidR="00C5349B" w:rsidRPr="003E0C66">
        <w:rPr>
          <w:rFonts w:eastAsia="Times New Roman"/>
        </w:rPr>
        <w:t xml:space="preserve"> 1986, § 33, </w:t>
      </w:r>
      <w:r w:rsidR="006E547E" w:rsidRPr="003E0C66">
        <w:rPr>
          <w:rFonts w:eastAsia="Times New Roman"/>
        </w:rPr>
        <w:t>seria A</w:t>
      </w:r>
      <w:r w:rsidR="005C4D27">
        <w:rPr>
          <w:rFonts w:eastAsia="Times New Roman"/>
        </w:rPr>
        <w:t>,</w:t>
      </w:r>
      <w:r w:rsidR="006E547E" w:rsidRPr="003E0C66">
        <w:rPr>
          <w:rFonts w:eastAsia="Times New Roman"/>
        </w:rPr>
        <w:t xml:space="preserve"> </w:t>
      </w:r>
      <w:r w:rsidR="00F749AE" w:rsidRPr="003E0C66">
        <w:rPr>
          <w:rFonts w:eastAsia="Times New Roman"/>
        </w:rPr>
        <w:t>nr</w:t>
      </w:r>
      <w:r w:rsidR="00C5349B" w:rsidRPr="003E0C66">
        <w:rPr>
          <w:rFonts w:eastAsia="Times New Roman"/>
        </w:rPr>
        <w:t xml:space="preserve"> 110).</w:t>
      </w:r>
      <w:r w:rsidR="006E547E" w:rsidRPr="003E0C66">
        <w:rPr>
          <w:rFonts w:eastAsia="Times New Roman"/>
        </w:rPr>
        <w:t xml:space="preserve"> Przed wyrokiem w sprawie </w:t>
      </w:r>
      <w:r w:rsidR="00C5349B" w:rsidRPr="003E0C66">
        <w:rPr>
          <w:rFonts w:eastAsia="Times New Roman"/>
          <w:i/>
        </w:rPr>
        <w:t xml:space="preserve">Al-Khawaja </w:t>
      </w:r>
      <w:r w:rsidR="006E547E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6E547E" w:rsidRPr="003E0C66">
        <w:rPr>
          <w:rFonts w:eastAsia="Times New Roman"/>
        </w:rPr>
        <w:t xml:space="preserve"> Trybunał </w:t>
      </w:r>
      <w:r w:rsidR="005C4D27">
        <w:rPr>
          <w:rFonts w:eastAsia="Times New Roman"/>
        </w:rPr>
        <w:t>stwierdziłby</w:t>
      </w:r>
      <w:r w:rsidR="005C4D27" w:rsidRPr="003E0C66">
        <w:rPr>
          <w:rFonts w:eastAsia="Times New Roman"/>
        </w:rPr>
        <w:t xml:space="preserve"> </w:t>
      </w:r>
      <w:r w:rsidR="006E547E" w:rsidRPr="003E0C66">
        <w:rPr>
          <w:rFonts w:eastAsia="Times New Roman"/>
        </w:rPr>
        <w:t xml:space="preserve">naruszenie Artykułu 6 Konwencji, jeśli </w:t>
      </w:r>
      <w:r w:rsidR="005C4D27">
        <w:rPr>
          <w:rFonts w:eastAsia="Times New Roman"/>
        </w:rPr>
        <w:t>pisemne zeznania</w:t>
      </w:r>
      <w:r w:rsidR="006E547E" w:rsidRPr="003E0C66">
        <w:rPr>
          <w:rFonts w:eastAsia="Times New Roman"/>
        </w:rPr>
        <w:t xml:space="preserve"> nieobecnego świadka stanowiłby </w:t>
      </w:r>
      <w:r w:rsidR="005C4D27">
        <w:rPr>
          <w:rFonts w:eastAsia="Times New Roman"/>
        </w:rPr>
        <w:t>„</w:t>
      </w:r>
      <w:r w:rsidR="006E547E" w:rsidRPr="003E0C66">
        <w:rPr>
          <w:rFonts w:eastAsia="Times New Roman"/>
        </w:rPr>
        <w:t>jedyną lub decydującą</w:t>
      </w:r>
      <w:r w:rsidR="005C4D27">
        <w:rPr>
          <w:rFonts w:eastAsia="Times New Roman"/>
        </w:rPr>
        <w:t>”</w:t>
      </w:r>
      <w:r w:rsidR="006E547E" w:rsidRPr="003E0C66">
        <w:rPr>
          <w:rFonts w:eastAsia="Times New Roman"/>
        </w:rPr>
        <w:t xml:space="preserve"> podstawę skazania oskarżonego. </w:t>
      </w:r>
      <w:r w:rsidR="00C5349B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9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6E547E" w:rsidRPr="003E0C66">
        <w:rPr>
          <w:rFonts w:eastAsia="Times New Roman"/>
        </w:rPr>
        <w:t>W wyroku</w:t>
      </w:r>
      <w:r w:rsidR="00C5349B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  <w:i/>
        </w:rPr>
        <w:t xml:space="preserve">Al-Khawaja </w:t>
      </w:r>
      <w:r w:rsidR="006E547E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 xml:space="preserve"> (§ 131)</w:t>
      </w:r>
      <w:r w:rsidR="006E547E" w:rsidRPr="003E0C66">
        <w:rPr>
          <w:rFonts w:eastAsia="Times New Roman"/>
        </w:rPr>
        <w:t xml:space="preserve"> Trybun</w:t>
      </w:r>
      <w:r w:rsidR="001B63B4">
        <w:rPr>
          <w:rFonts w:eastAsia="Times New Roman"/>
        </w:rPr>
        <w:t>ał również zastosował badanie „</w:t>
      </w:r>
      <w:r w:rsidR="006E547E" w:rsidRPr="003E0C66">
        <w:rPr>
          <w:rFonts w:eastAsia="Times New Roman"/>
        </w:rPr>
        <w:t xml:space="preserve">wyłączności’’ i </w:t>
      </w:r>
      <w:r w:rsidR="001B63B4">
        <w:rPr>
          <w:rFonts w:eastAsia="Times New Roman"/>
        </w:rPr>
        <w:t>„</w:t>
      </w:r>
      <w:r w:rsidR="005C4D27">
        <w:rPr>
          <w:rFonts w:eastAsia="Times New Roman"/>
        </w:rPr>
        <w:t>decydującej roli”, definiując co było rozumiane pod tymi pojęciami</w:t>
      </w:r>
      <w:r w:rsidR="006E547E" w:rsidRPr="003E0C66">
        <w:rPr>
          <w:rFonts w:eastAsia="Times New Roman"/>
        </w:rPr>
        <w:t xml:space="preserve">. Jednocześnie Trybunał rozwinął </w:t>
      </w:r>
      <w:r w:rsidR="001B63B4">
        <w:rPr>
          <w:rFonts w:eastAsia="Times New Roman"/>
        </w:rPr>
        <w:t>swoje orzecznictwo mówiąc, iż „</w:t>
      </w:r>
      <w:r w:rsidR="006E547E" w:rsidRPr="003E0C66">
        <w:rPr>
          <w:rFonts w:eastAsia="Times New Roman"/>
        </w:rPr>
        <w:t>w przypadku</w:t>
      </w:r>
      <w:r w:rsidR="004B2B04" w:rsidRPr="003E0C66">
        <w:rPr>
          <w:rFonts w:eastAsia="Times New Roman"/>
        </w:rPr>
        <w:t>,</w:t>
      </w:r>
      <w:r w:rsidR="006E547E" w:rsidRPr="003E0C66">
        <w:rPr>
          <w:rFonts w:eastAsia="Times New Roman"/>
        </w:rPr>
        <w:t xml:space="preserve"> gdy zeznania</w:t>
      </w:r>
      <w:r w:rsidR="00360FD3">
        <w:rPr>
          <w:rFonts w:eastAsia="Times New Roman"/>
        </w:rPr>
        <w:t xml:space="preserve"> „ze słyszenia”</w:t>
      </w:r>
      <w:r w:rsidR="006E547E" w:rsidRPr="003E0C66">
        <w:rPr>
          <w:rFonts w:eastAsia="Times New Roman"/>
        </w:rPr>
        <w:t xml:space="preserve"> są jedynym lub decydującym dowodem </w:t>
      </w:r>
      <w:r w:rsidR="008F4FEB" w:rsidRPr="003E0C66">
        <w:rPr>
          <w:rFonts w:eastAsia="Times New Roman"/>
        </w:rPr>
        <w:t xml:space="preserve">przeciwko oskarżonemu, </w:t>
      </w:r>
      <w:r w:rsidR="00360FD3">
        <w:rPr>
          <w:rFonts w:eastAsia="Times New Roman"/>
        </w:rPr>
        <w:t>ich dopuszczenie</w:t>
      </w:r>
      <w:r w:rsidR="008F4FEB" w:rsidRPr="003E0C66">
        <w:rPr>
          <w:rFonts w:eastAsia="Times New Roman"/>
        </w:rPr>
        <w:t xml:space="preserve"> nie będzie automatycznie skutkowało naruszeniem Artykułu 6 § 1’’</w:t>
      </w:r>
      <w:r w:rsidR="006E547E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</w:rPr>
        <w:t>(ibid., § 147).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10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8F4FEB" w:rsidRPr="003E0C66">
        <w:rPr>
          <w:rFonts w:eastAsia="Times New Roman"/>
        </w:rPr>
        <w:t>Jednakże zarówno przed, jak i po wyroku w sprawie</w:t>
      </w:r>
      <w:r w:rsidR="00C5349B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  <w:i/>
        </w:rPr>
        <w:t>Al</w:t>
      </w:r>
      <w:r w:rsidR="00C5349B" w:rsidRPr="003E0C66">
        <w:rPr>
          <w:rFonts w:eastAsia="Times New Roman"/>
          <w:i/>
        </w:rPr>
        <w:noBreakHyphen/>
        <w:t xml:space="preserve">Khawaja </w:t>
      </w:r>
      <w:r w:rsidR="008F4FEB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8F4FEB" w:rsidRPr="003E0C66">
        <w:rPr>
          <w:rFonts w:eastAsia="Times New Roman"/>
        </w:rPr>
        <w:t xml:space="preserve"> zadawano pytania</w:t>
      </w:r>
      <w:r w:rsidR="001B63B4">
        <w:rPr>
          <w:rFonts w:eastAsia="Times New Roman"/>
        </w:rPr>
        <w:t>,</w:t>
      </w:r>
      <w:r w:rsidR="008F4FEB" w:rsidRPr="003E0C66">
        <w:rPr>
          <w:rFonts w:eastAsia="Times New Roman"/>
        </w:rPr>
        <w:t xml:space="preserve"> </w:t>
      </w:r>
      <w:r w:rsidR="00877DDF" w:rsidRPr="003E0C66">
        <w:rPr>
          <w:rFonts w:eastAsia="Times New Roman"/>
        </w:rPr>
        <w:t xml:space="preserve">czy </w:t>
      </w:r>
      <w:r w:rsidR="00360FD3">
        <w:rPr>
          <w:rFonts w:eastAsia="Times New Roman"/>
        </w:rPr>
        <w:t>pisemne</w:t>
      </w:r>
      <w:r w:rsidR="00360FD3" w:rsidRPr="003E0C66">
        <w:rPr>
          <w:rFonts w:eastAsia="Times New Roman"/>
        </w:rPr>
        <w:t xml:space="preserve"> </w:t>
      </w:r>
      <w:r w:rsidR="00877DDF" w:rsidRPr="003E0C66">
        <w:rPr>
          <w:rFonts w:eastAsia="Times New Roman"/>
        </w:rPr>
        <w:t>zeznania</w:t>
      </w:r>
      <w:r w:rsidR="001B63B4">
        <w:rPr>
          <w:rFonts w:eastAsia="Times New Roman"/>
        </w:rPr>
        <w:t xml:space="preserve"> nieobecnego świadka stanowią „</w:t>
      </w:r>
      <w:r w:rsidR="00877DDF" w:rsidRPr="003E0C66">
        <w:rPr>
          <w:rFonts w:eastAsia="Times New Roman"/>
        </w:rPr>
        <w:t xml:space="preserve">jedyny lub </w:t>
      </w:r>
      <w:r w:rsidR="00360FD3">
        <w:rPr>
          <w:rFonts w:eastAsia="Times New Roman"/>
        </w:rPr>
        <w:t>decydujący”</w:t>
      </w:r>
      <w:r w:rsidR="00360FD3" w:rsidRPr="003E0C66">
        <w:rPr>
          <w:rFonts w:eastAsia="Times New Roman"/>
        </w:rPr>
        <w:t xml:space="preserve"> </w:t>
      </w:r>
      <w:r w:rsidR="00877DDF" w:rsidRPr="003E0C66">
        <w:rPr>
          <w:rFonts w:eastAsia="Times New Roman"/>
        </w:rPr>
        <w:t xml:space="preserve">dowód. </w:t>
      </w:r>
      <w:r w:rsidR="00C5349B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11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877DDF" w:rsidRPr="003E0C66">
        <w:rPr>
          <w:rFonts w:eastAsia="Times New Roman"/>
        </w:rPr>
        <w:t xml:space="preserve">W niniejszej sprawie Wielka Izba stwierdziła, </w:t>
      </w:r>
      <w:r w:rsidR="001B63B4">
        <w:rPr>
          <w:rFonts w:eastAsia="Times New Roman"/>
        </w:rPr>
        <w:t>że „</w:t>
      </w:r>
      <w:r w:rsidR="00877DDF" w:rsidRPr="003E0C66">
        <w:rPr>
          <w:rFonts w:eastAsia="Times New Roman"/>
        </w:rPr>
        <w:t xml:space="preserve">należy zbadać istnienie wystarczających czynników wyrównawczych nie tylko w sprawach, w których dowód z zeznań nieobecnego świadka jest </w:t>
      </w:r>
      <w:r w:rsidR="00E57A37" w:rsidRPr="003E0C66">
        <w:rPr>
          <w:rFonts w:eastAsia="Times New Roman"/>
        </w:rPr>
        <w:t>jedyn</w:t>
      </w:r>
      <w:r w:rsidR="00E57A37">
        <w:rPr>
          <w:rFonts w:eastAsia="Times New Roman"/>
        </w:rPr>
        <w:t xml:space="preserve">ą </w:t>
      </w:r>
      <w:r w:rsidR="00877DDF" w:rsidRPr="003E0C66">
        <w:rPr>
          <w:rFonts w:eastAsia="Times New Roman"/>
        </w:rPr>
        <w:t xml:space="preserve">lub </w:t>
      </w:r>
      <w:r w:rsidR="00E57A37">
        <w:rPr>
          <w:rFonts w:eastAsia="Times New Roman"/>
        </w:rPr>
        <w:t>decydującą podstawą</w:t>
      </w:r>
      <w:r w:rsidR="00E57A37" w:rsidRPr="003E0C66">
        <w:rPr>
          <w:rFonts w:eastAsia="Times New Roman"/>
        </w:rPr>
        <w:t xml:space="preserve"> </w:t>
      </w:r>
      <w:r w:rsidR="00877DDF" w:rsidRPr="003E0C66">
        <w:rPr>
          <w:rFonts w:eastAsia="Times New Roman"/>
        </w:rPr>
        <w:t>skazania oskarżonego’’ ale również w</w:t>
      </w:r>
      <w:r w:rsidR="001B63B4">
        <w:rPr>
          <w:rFonts w:eastAsia="Times New Roman"/>
        </w:rPr>
        <w:t xml:space="preserve"> sprawach, w których Trybunał „</w:t>
      </w:r>
      <w:r w:rsidR="00877DDF" w:rsidRPr="003E0C66">
        <w:rPr>
          <w:rFonts w:eastAsia="Times New Roman"/>
        </w:rPr>
        <w:t xml:space="preserve">stwierdza, iż niejasnym jest czy </w:t>
      </w:r>
      <w:r w:rsidR="00E57A37" w:rsidRPr="003E0C66">
        <w:rPr>
          <w:rFonts w:eastAsia="Times New Roman"/>
        </w:rPr>
        <w:t>dan</w:t>
      </w:r>
      <w:r w:rsidR="00E57A37">
        <w:rPr>
          <w:rFonts w:eastAsia="Times New Roman"/>
        </w:rPr>
        <w:t xml:space="preserve">y </w:t>
      </w:r>
      <w:r w:rsidR="00877DDF" w:rsidRPr="003E0C66">
        <w:rPr>
          <w:rFonts w:eastAsia="Times New Roman"/>
        </w:rPr>
        <w:t>dow</w:t>
      </w:r>
      <w:r w:rsidR="00E57A37">
        <w:rPr>
          <w:rFonts w:eastAsia="Times New Roman"/>
        </w:rPr>
        <w:t>ód</w:t>
      </w:r>
      <w:r w:rsidR="00877DDF" w:rsidRPr="003E0C66">
        <w:rPr>
          <w:rFonts w:eastAsia="Times New Roman"/>
        </w:rPr>
        <w:t xml:space="preserve"> </w:t>
      </w:r>
      <w:r w:rsidR="00E57A37">
        <w:rPr>
          <w:rFonts w:eastAsia="Times New Roman"/>
        </w:rPr>
        <w:t>był</w:t>
      </w:r>
      <w:r w:rsidR="00E57A37" w:rsidRPr="003E0C66">
        <w:rPr>
          <w:rFonts w:eastAsia="Times New Roman"/>
        </w:rPr>
        <w:t xml:space="preserve"> jedyn</w:t>
      </w:r>
      <w:r w:rsidR="00E57A37">
        <w:rPr>
          <w:rFonts w:eastAsia="Times New Roman"/>
        </w:rPr>
        <w:t>ą</w:t>
      </w:r>
      <w:r w:rsidR="00E57A37" w:rsidRPr="003E0C66">
        <w:rPr>
          <w:rFonts w:eastAsia="Times New Roman"/>
        </w:rPr>
        <w:t xml:space="preserve"> </w:t>
      </w:r>
      <w:r w:rsidR="00877DDF" w:rsidRPr="003E0C66">
        <w:rPr>
          <w:rFonts w:eastAsia="Times New Roman"/>
        </w:rPr>
        <w:t xml:space="preserve">lub </w:t>
      </w:r>
      <w:r w:rsidR="00E57A37">
        <w:rPr>
          <w:rFonts w:eastAsia="Times New Roman"/>
        </w:rPr>
        <w:t>decydującą podstawą</w:t>
      </w:r>
      <w:r w:rsidR="00877DDF" w:rsidRPr="003E0C66">
        <w:rPr>
          <w:rFonts w:eastAsia="Times New Roman"/>
        </w:rPr>
        <w:t xml:space="preserve">, </w:t>
      </w:r>
      <w:r w:rsidR="00E57A37">
        <w:rPr>
          <w:rFonts w:eastAsia="Times New Roman"/>
        </w:rPr>
        <w:t>jednakże</w:t>
      </w:r>
      <w:r w:rsidR="00877DDF" w:rsidRPr="003E0C66">
        <w:rPr>
          <w:rFonts w:eastAsia="Times New Roman"/>
        </w:rPr>
        <w:t xml:space="preserve"> przekonany jest, iż </w:t>
      </w:r>
      <w:r w:rsidR="00E57A37">
        <w:rPr>
          <w:rFonts w:eastAsia="Times New Roman"/>
        </w:rPr>
        <w:t>był znaczącej wagi</w:t>
      </w:r>
      <w:r w:rsidR="00877DDF" w:rsidRPr="003E0C66">
        <w:rPr>
          <w:rFonts w:eastAsia="Times New Roman"/>
        </w:rPr>
        <w:t xml:space="preserve">’’ (zobacz paragraf 116 wyroku).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12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</w:t>
      </w:r>
      <w:r w:rsidR="00877DDF" w:rsidRPr="003E0C66">
        <w:rPr>
          <w:rFonts w:eastAsia="Times New Roman"/>
        </w:rPr>
        <w:t xml:space="preserve"> Uważam za istotne </w:t>
      </w:r>
      <w:r w:rsidR="00E57A37">
        <w:rPr>
          <w:rFonts w:eastAsia="Times New Roman"/>
        </w:rPr>
        <w:t>podkreślenie</w:t>
      </w:r>
      <w:r w:rsidR="00877DDF" w:rsidRPr="003E0C66">
        <w:rPr>
          <w:rFonts w:eastAsia="Times New Roman"/>
        </w:rPr>
        <w:t xml:space="preserve">, </w:t>
      </w:r>
      <w:r w:rsidR="001B63B4">
        <w:rPr>
          <w:rFonts w:eastAsia="Times New Roman"/>
        </w:rPr>
        <w:t>że termin „</w:t>
      </w:r>
      <w:r w:rsidR="00E57A37">
        <w:rPr>
          <w:rFonts w:eastAsia="Times New Roman"/>
        </w:rPr>
        <w:t>znacząca waga</w:t>
      </w:r>
      <w:r w:rsidR="00877DDF" w:rsidRPr="003E0C66">
        <w:rPr>
          <w:rFonts w:eastAsia="Times New Roman"/>
        </w:rPr>
        <w:t>’’ nie jest rozum</w:t>
      </w:r>
      <w:r w:rsidR="001B63B4">
        <w:rPr>
          <w:rFonts w:eastAsia="Times New Roman"/>
        </w:rPr>
        <w:t>iany jako odejście od badania „</w:t>
      </w:r>
      <w:r w:rsidR="00877DDF" w:rsidRPr="003E0C66">
        <w:rPr>
          <w:rFonts w:eastAsia="Times New Roman"/>
        </w:rPr>
        <w:t xml:space="preserve">wyłączności i </w:t>
      </w:r>
      <w:r w:rsidR="00E57A37">
        <w:rPr>
          <w:rFonts w:eastAsia="Times New Roman"/>
        </w:rPr>
        <w:t>decydującej roli”</w:t>
      </w:r>
      <w:r w:rsidR="00877DDF" w:rsidRPr="003E0C66">
        <w:rPr>
          <w:rFonts w:eastAsia="Times New Roman"/>
        </w:rPr>
        <w:t xml:space="preserve">, </w:t>
      </w:r>
      <w:r w:rsidR="00E57A37">
        <w:rPr>
          <w:rFonts w:eastAsia="Times New Roman"/>
        </w:rPr>
        <w:t xml:space="preserve">tym </w:t>
      </w:r>
      <w:r w:rsidR="00E57A37">
        <w:rPr>
          <w:rFonts w:eastAsia="Times New Roman"/>
        </w:rPr>
        <w:lastRenderedPageBreak/>
        <w:t xml:space="preserve">samym </w:t>
      </w:r>
      <w:r w:rsidR="00877DDF" w:rsidRPr="003E0C66">
        <w:rPr>
          <w:rFonts w:eastAsia="Times New Roman"/>
        </w:rPr>
        <w:t>tworzą</w:t>
      </w:r>
      <w:r w:rsidR="00E57A37">
        <w:rPr>
          <w:rFonts w:eastAsia="Times New Roman"/>
        </w:rPr>
        <w:t>c</w:t>
      </w:r>
      <w:r w:rsidR="00877DDF" w:rsidRPr="003E0C66">
        <w:rPr>
          <w:rFonts w:eastAsia="Times New Roman"/>
        </w:rPr>
        <w:t xml:space="preserve"> trzy </w:t>
      </w:r>
      <w:r w:rsidR="001B63B4">
        <w:rPr>
          <w:rFonts w:eastAsia="Times New Roman"/>
        </w:rPr>
        <w:t>kategorie: „</w:t>
      </w:r>
      <w:r w:rsidR="00E57A37">
        <w:rPr>
          <w:rFonts w:eastAsia="Times New Roman"/>
        </w:rPr>
        <w:t>jedyny</w:t>
      </w:r>
      <w:r w:rsidR="00E57A37" w:rsidRPr="003E0C66">
        <w:rPr>
          <w:rFonts w:eastAsia="Times New Roman"/>
        </w:rPr>
        <w:t xml:space="preserve"> </w:t>
      </w:r>
      <w:r w:rsidR="001B63B4">
        <w:rPr>
          <w:rFonts w:eastAsia="Times New Roman"/>
        </w:rPr>
        <w:t>dowód”, „</w:t>
      </w:r>
      <w:r w:rsidR="00E57A37">
        <w:rPr>
          <w:rFonts w:eastAsia="Times New Roman"/>
        </w:rPr>
        <w:t>decydujący</w:t>
      </w:r>
      <w:r w:rsidR="00E57A37" w:rsidRPr="003E0C66">
        <w:rPr>
          <w:rFonts w:eastAsia="Times New Roman"/>
        </w:rPr>
        <w:t xml:space="preserve"> </w:t>
      </w:r>
      <w:r w:rsidR="001B63B4">
        <w:rPr>
          <w:rFonts w:eastAsia="Times New Roman"/>
        </w:rPr>
        <w:t>dowód” lub „</w:t>
      </w:r>
      <w:r w:rsidR="0093140C" w:rsidRPr="003E0C66">
        <w:rPr>
          <w:rFonts w:eastAsia="Times New Roman"/>
        </w:rPr>
        <w:t xml:space="preserve">dowód o </w:t>
      </w:r>
      <w:r w:rsidR="00E57A37">
        <w:rPr>
          <w:rFonts w:eastAsia="Times New Roman"/>
        </w:rPr>
        <w:t>znaczącej wadze</w:t>
      </w:r>
      <w:r w:rsidR="0093140C" w:rsidRPr="003E0C66">
        <w:rPr>
          <w:rFonts w:eastAsia="Times New Roman"/>
        </w:rPr>
        <w:t>’’. Wyjaśnienie ni</w:t>
      </w:r>
      <w:r w:rsidR="001B63B4">
        <w:rPr>
          <w:rFonts w:eastAsia="Times New Roman"/>
        </w:rPr>
        <w:t>e oznacza odejścia od badania „</w:t>
      </w:r>
      <w:r w:rsidR="0093140C" w:rsidRPr="003E0C66">
        <w:rPr>
          <w:rFonts w:eastAsia="Times New Roman"/>
        </w:rPr>
        <w:t xml:space="preserve">wyłączności lub </w:t>
      </w:r>
      <w:r w:rsidR="00E57A37">
        <w:rPr>
          <w:rFonts w:eastAsia="Times New Roman"/>
        </w:rPr>
        <w:t>decydującej roli</w:t>
      </w:r>
      <w:r w:rsidR="001B63B4">
        <w:rPr>
          <w:rFonts w:eastAsia="Times New Roman"/>
        </w:rPr>
        <w:t>”</w:t>
      </w:r>
      <w:r w:rsidR="0093140C" w:rsidRPr="003E0C66">
        <w:rPr>
          <w:rFonts w:eastAsia="Times New Roman"/>
        </w:rPr>
        <w:t xml:space="preserve">, ale </w:t>
      </w:r>
      <w:r w:rsidR="00E57A37">
        <w:rPr>
          <w:rFonts w:eastAsia="Times New Roman"/>
        </w:rPr>
        <w:t>uwzględnia</w:t>
      </w:r>
      <w:r w:rsidR="0093140C" w:rsidRPr="003E0C66">
        <w:rPr>
          <w:rFonts w:eastAsia="Times New Roman"/>
        </w:rPr>
        <w:t xml:space="preserve"> fakt, </w:t>
      </w:r>
      <w:r w:rsidR="00E57A37">
        <w:rPr>
          <w:rFonts w:eastAsia="Times New Roman"/>
        </w:rPr>
        <w:t xml:space="preserve">że </w:t>
      </w:r>
      <w:r w:rsidR="0093140C" w:rsidRPr="003E0C66">
        <w:rPr>
          <w:rFonts w:eastAsia="Times New Roman"/>
        </w:rPr>
        <w:t>czasami</w:t>
      </w:r>
      <w:r w:rsidR="00C5349B" w:rsidRPr="003E0C66">
        <w:rPr>
          <w:rFonts w:eastAsia="Times New Roman"/>
        </w:rPr>
        <w:t>,</w:t>
      </w:r>
      <w:r w:rsidR="0093140C" w:rsidRPr="003E0C66">
        <w:rPr>
          <w:rFonts w:eastAsia="Times New Roman"/>
        </w:rPr>
        <w:t xml:space="preserve"> </w:t>
      </w:r>
      <w:r w:rsidR="00094B4A" w:rsidRPr="003E0C66">
        <w:rPr>
          <w:rFonts w:eastAsia="Times New Roman"/>
        </w:rPr>
        <w:t xml:space="preserve">biorąc pod uwagę </w:t>
      </w:r>
      <w:r w:rsidR="00E57A37">
        <w:rPr>
          <w:rFonts w:eastAsia="Times New Roman"/>
        </w:rPr>
        <w:t>przedmiotowe zeznanie</w:t>
      </w:r>
      <w:r w:rsidR="00094B4A" w:rsidRPr="003E0C66">
        <w:rPr>
          <w:rFonts w:eastAsia="Times New Roman"/>
        </w:rPr>
        <w:t xml:space="preserve"> i uzasadnienie sądów krajowych, może być </w:t>
      </w:r>
      <w:r w:rsidR="00037D48">
        <w:rPr>
          <w:rFonts w:eastAsia="Times New Roman"/>
        </w:rPr>
        <w:t>oczywistym, że zeznanie jest „znaczącej wagi”, ale równocześnie może być trudne</w:t>
      </w:r>
      <w:r w:rsidR="00037D48" w:rsidRPr="003E0C66">
        <w:rPr>
          <w:rFonts w:eastAsia="Times New Roman"/>
        </w:rPr>
        <w:t xml:space="preserve"> </w:t>
      </w:r>
      <w:r w:rsidR="00094B4A" w:rsidRPr="003E0C66">
        <w:rPr>
          <w:rFonts w:eastAsia="Times New Roman"/>
        </w:rPr>
        <w:t>stwierdzenie</w:t>
      </w:r>
      <w:r w:rsidR="00037D48">
        <w:rPr>
          <w:rFonts w:eastAsia="Times New Roman"/>
        </w:rPr>
        <w:t>,</w:t>
      </w:r>
      <w:r w:rsidR="00094B4A" w:rsidRPr="003E0C66">
        <w:rPr>
          <w:rFonts w:eastAsia="Times New Roman"/>
        </w:rPr>
        <w:t xml:space="preserve"> czy zeznani</w:t>
      </w:r>
      <w:r w:rsidR="00037D48">
        <w:rPr>
          <w:rFonts w:eastAsia="Times New Roman"/>
        </w:rPr>
        <w:t>e jest</w:t>
      </w:r>
      <w:r w:rsidR="001B63B4">
        <w:rPr>
          <w:rFonts w:eastAsia="Times New Roman"/>
        </w:rPr>
        <w:t xml:space="preserve"> „</w:t>
      </w:r>
      <w:r w:rsidR="00094B4A" w:rsidRPr="003E0C66">
        <w:rPr>
          <w:rFonts w:eastAsia="Times New Roman"/>
        </w:rPr>
        <w:t>decy</w:t>
      </w:r>
      <w:r w:rsidR="00037D48">
        <w:rPr>
          <w:rFonts w:eastAsia="Times New Roman"/>
        </w:rPr>
        <w:t>dujące</w:t>
      </w:r>
      <w:r w:rsidR="00094B4A" w:rsidRPr="003E0C66">
        <w:rPr>
          <w:rFonts w:eastAsia="Times New Roman"/>
        </w:rPr>
        <w:t xml:space="preserve">’’ dla </w:t>
      </w:r>
      <w:r w:rsidR="00037D48">
        <w:rPr>
          <w:rFonts w:eastAsia="Times New Roman"/>
        </w:rPr>
        <w:t>skazania</w:t>
      </w:r>
      <w:r w:rsidR="00094B4A" w:rsidRPr="003E0C66">
        <w:rPr>
          <w:rFonts w:eastAsia="Times New Roman"/>
        </w:rPr>
        <w:t xml:space="preserve">. W takim przypadku </w:t>
      </w:r>
      <w:r w:rsidR="00037D48">
        <w:rPr>
          <w:rFonts w:eastAsia="Times New Roman"/>
        </w:rPr>
        <w:t>pisemne zeznanie</w:t>
      </w:r>
      <w:r w:rsidR="004F68EA" w:rsidRPr="003E0C66">
        <w:rPr>
          <w:rFonts w:eastAsia="Times New Roman"/>
        </w:rPr>
        <w:t xml:space="preserve"> powinno być traktowane przez sąd krajowy</w:t>
      </w:r>
      <w:r w:rsidR="00037D48">
        <w:rPr>
          <w:rFonts w:eastAsia="Times New Roman"/>
        </w:rPr>
        <w:t xml:space="preserve"> i przez Trybunał</w:t>
      </w:r>
      <w:r w:rsidR="004F68EA" w:rsidRPr="003E0C66">
        <w:rPr>
          <w:rFonts w:eastAsia="Times New Roman"/>
        </w:rPr>
        <w:t xml:space="preserve"> jako </w:t>
      </w:r>
      <w:r w:rsidR="001B63B4">
        <w:rPr>
          <w:rFonts w:eastAsia="Times New Roman"/>
        </w:rPr>
        <w:t>„</w:t>
      </w:r>
      <w:r w:rsidR="00037D48">
        <w:rPr>
          <w:rFonts w:eastAsia="Times New Roman"/>
        </w:rPr>
        <w:t>decydujące</w:t>
      </w:r>
      <w:r w:rsidR="001B63B4">
        <w:rPr>
          <w:rFonts w:eastAsia="Times New Roman"/>
        </w:rPr>
        <w:t>”</w:t>
      </w:r>
      <w:r w:rsidR="004F68EA" w:rsidRPr="003E0C66">
        <w:rPr>
          <w:rFonts w:eastAsia="Times New Roman"/>
        </w:rPr>
        <w:t xml:space="preserve">. </w:t>
      </w:r>
      <w:r w:rsidR="0093140C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13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4F68EA" w:rsidRPr="003E0C66">
        <w:rPr>
          <w:rFonts w:eastAsia="Times New Roman"/>
        </w:rPr>
        <w:t>Dlatego też</w:t>
      </w:r>
      <w:r w:rsidR="00037D48">
        <w:rPr>
          <w:rFonts w:eastAsia="Times New Roman"/>
        </w:rPr>
        <w:t>,</w:t>
      </w:r>
      <w:r w:rsidR="004F68EA" w:rsidRPr="003E0C66">
        <w:rPr>
          <w:rFonts w:eastAsia="Times New Roman"/>
        </w:rPr>
        <w:t xml:space="preserve"> moim zdaniem</w:t>
      </w:r>
      <w:r w:rsidR="00037D48">
        <w:rPr>
          <w:rFonts w:eastAsia="Times New Roman"/>
        </w:rPr>
        <w:t>,</w:t>
      </w:r>
      <w:r w:rsidR="004F68EA" w:rsidRPr="003E0C66">
        <w:rPr>
          <w:rFonts w:eastAsia="Times New Roman"/>
        </w:rPr>
        <w:t xml:space="preserve"> wyjaśnienie nie </w:t>
      </w:r>
      <w:r w:rsidR="001B63B4">
        <w:rPr>
          <w:rFonts w:eastAsia="Times New Roman"/>
        </w:rPr>
        <w:t>oznacza odejścia od badania „</w:t>
      </w:r>
      <w:r w:rsidR="004F68EA" w:rsidRPr="003E0C66">
        <w:rPr>
          <w:rFonts w:eastAsia="Times New Roman"/>
        </w:rPr>
        <w:t xml:space="preserve">wyłączności lub </w:t>
      </w:r>
      <w:r w:rsidR="00037D48">
        <w:rPr>
          <w:rFonts w:eastAsia="Times New Roman"/>
        </w:rPr>
        <w:t>decydującej roli”</w:t>
      </w:r>
      <w:r w:rsidR="004F68EA" w:rsidRPr="003E0C66">
        <w:rPr>
          <w:rFonts w:eastAsia="Times New Roman"/>
        </w:rPr>
        <w:t xml:space="preserve">. </w:t>
      </w:r>
      <w:r w:rsidR="00C5349B" w:rsidRPr="003E0C66">
        <w:rPr>
          <w:rFonts w:eastAsia="Times New Roman"/>
        </w:rPr>
        <w:t> 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14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4F68EA" w:rsidRPr="003E0C66">
        <w:rPr>
          <w:rFonts w:eastAsia="Times New Roman"/>
        </w:rPr>
        <w:t>Po trzecie</w:t>
      </w:r>
      <w:r w:rsidR="001B63B4">
        <w:rPr>
          <w:rFonts w:eastAsia="Times New Roman"/>
        </w:rPr>
        <w:t>,</w:t>
      </w:r>
      <w:r w:rsidR="004F68EA" w:rsidRPr="003E0C66">
        <w:rPr>
          <w:rFonts w:eastAsia="Times New Roman"/>
        </w:rPr>
        <w:t xml:space="preserve"> </w:t>
      </w:r>
      <w:r w:rsidR="00037D48">
        <w:rPr>
          <w:rFonts w:eastAsia="Times New Roman"/>
        </w:rPr>
        <w:t>k</w:t>
      </w:r>
      <w:r w:rsidR="004F68EA" w:rsidRPr="003E0C66">
        <w:rPr>
          <w:rFonts w:eastAsia="Times New Roman"/>
        </w:rPr>
        <w:t xml:space="preserve">olejność trzech etapów </w:t>
      </w:r>
      <w:r w:rsidR="00711024">
        <w:rPr>
          <w:rFonts w:eastAsia="Times New Roman"/>
        </w:rPr>
        <w:t xml:space="preserve">badania </w:t>
      </w:r>
      <w:r w:rsidR="004F68EA" w:rsidRPr="003E0C66">
        <w:rPr>
          <w:rFonts w:eastAsia="Times New Roman"/>
        </w:rPr>
        <w:t xml:space="preserve">wynika jasno z wyroku </w:t>
      </w:r>
      <w:r w:rsidR="00C5349B" w:rsidRPr="003E0C66">
        <w:rPr>
          <w:rFonts w:eastAsia="Times New Roman"/>
          <w:i/>
        </w:rPr>
        <w:t xml:space="preserve">Al-Khawaja </w:t>
      </w:r>
      <w:r w:rsidR="004F68EA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 xml:space="preserve">. </w:t>
      </w:r>
      <w:r w:rsidR="004F68EA" w:rsidRPr="003E0C66">
        <w:rPr>
          <w:rFonts w:eastAsia="Times New Roman"/>
        </w:rPr>
        <w:t>Po pierwsze</w:t>
      </w:r>
      <w:r w:rsidR="001B63B4">
        <w:rPr>
          <w:rFonts w:eastAsia="Times New Roman"/>
        </w:rPr>
        <w:t>, musi zaistnieć „</w:t>
      </w:r>
      <w:r w:rsidR="00711024">
        <w:rPr>
          <w:rFonts w:eastAsia="Times New Roman"/>
        </w:rPr>
        <w:t>ważny</w:t>
      </w:r>
      <w:r w:rsidR="00711024" w:rsidRPr="003E0C66">
        <w:rPr>
          <w:rFonts w:eastAsia="Times New Roman"/>
        </w:rPr>
        <w:t xml:space="preserve"> </w:t>
      </w:r>
      <w:r w:rsidR="004F68EA" w:rsidRPr="003E0C66">
        <w:rPr>
          <w:rFonts w:eastAsia="Times New Roman"/>
        </w:rPr>
        <w:t xml:space="preserve">powód’’ usprawiedliwiający nieobecność świadka. Ocena kolejnych etapów będzie </w:t>
      </w:r>
      <w:r w:rsidR="00711024">
        <w:rPr>
          <w:rFonts w:eastAsia="Times New Roman"/>
        </w:rPr>
        <w:t>właściwa</w:t>
      </w:r>
      <w:r w:rsidR="00711024" w:rsidRPr="003E0C66">
        <w:rPr>
          <w:rFonts w:eastAsia="Times New Roman"/>
        </w:rPr>
        <w:t xml:space="preserve"> </w:t>
      </w:r>
      <w:r w:rsidR="004F68EA" w:rsidRPr="003E0C66">
        <w:rPr>
          <w:rFonts w:eastAsia="Times New Roman"/>
        </w:rPr>
        <w:t>tylko</w:t>
      </w:r>
      <w:r w:rsidR="00711024">
        <w:rPr>
          <w:rFonts w:eastAsia="Times New Roman"/>
        </w:rPr>
        <w:t>,</w:t>
      </w:r>
      <w:r w:rsidR="004F68EA" w:rsidRPr="003E0C66">
        <w:rPr>
          <w:rFonts w:eastAsia="Times New Roman"/>
        </w:rPr>
        <w:t xml:space="preserve"> jeśli </w:t>
      </w:r>
      <w:r w:rsidR="00711024">
        <w:rPr>
          <w:rFonts w:eastAsia="Times New Roman"/>
        </w:rPr>
        <w:t>po</w:t>
      </w:r>
      <w:r w:rsidR="00711024" w:rsidRPr="003E0C66">
        <w:rPr>
          <w:rFonts w:eastAsia="Times New Roman"/>
        </w:rPr>
        <w:t xml:space="preserve"> </w:t>
      </w:r>
      <w:r w:rsidR="004F68EA" w:rsidRPr="003E0C66">
        <w:rPr>
          <w:rFonts w:eastAsia="Times New Roman"/>
        </w:rPr>
        <w:t>pierwszy</w:t>
      </w:r>
      <w:r w:rsidR="00711024">
        <w:rPr>
          <w:rFonts w:eastAsia="Times New Roman"/>
        </w:rPr>
        <w:t>m</w:t>
      </w:r>
      <w:r w:rsidR="004F68EA" w:rsidRPr="003E0C66">
        <w:rPr>
          <w:rFonts w:eastAsia="Times New Roman"/>
        </w:rPr>
        <w:t xml:space="preserve"> uzyskamy odpowiedź twierdzącą (zobacz </w:t>
      </w:r>
      <w:r w:rsidR="00C5349B" w:rsidRPr="003E0C66">
        <w:rPr>
          <w:rFonts w:eastAsia="Times New Roman"/>
          <w:i/>
        </w:rPr>
        <w:t xml:space="preserve">Al-Khawaja </w:t>
      </w:r>
      <w:r w:rsidR="004F68EA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 xml:space="preserve">, </w:t>
      </w:r>
      <w:r w:rsidR="00711024">
        <w:rPr>
          <w:rFonts w:eastAsia="Times New Roman"/>
        </w:rPr>
        <w:t>cytowany powyżej</w:t>
      </w:r>
      <w:r w:rsidR="00C5349B" w:rsidRPr="003E0C66">
        <w:rPr>
          <w:rFonts w:eastAsia="Times New Roman"/>
        </w:rPr>
        <w:t xml:space="preserve">, § 120). </w:t>
      </w:r>
      <w:r w:rsidR="004F68EA" w:rsidRPr="003E0C66">
        <w:rPr>
          <w:rFonts w:eastAsia="Times New Roman"/>
        </w:rPr>
        <w:t>Po drugie</w:t>
      </w:r>
      <w:r w:rsidR="001B63B4">
        <w:rPr>
          <w:rFonts w:eastAsia="Times New Roman"/>
        </w:rPr>
        <w:t>,</w:t>
      </w:r>
      <w:r w:rsidR="004F68EA" w:rsidRPr="003E0C66">
        <w:rPr>
          <w:rFonts w:eastAsia="Times New Roman"/>
        </w:rPr>
        <w:t xml:space="preserve"> należy ocenić</w:t>
      </w:r>
      <w:r w:rsidR="00711024">
        <w:rPr>
          <w:rFonts w:eastAsia="Times New Roman"/>
        </w:rPr>
        <w:t>,</w:t>
      </w:r>
      <w:r w:rsidR="004F68EA" w:rsidRPr="003E0C66">
        <w:rPr>
          <w:rFonts w:eastAsia="Times New Roman"/>
        </w:rPr>
        <w:t xml:space="preserve"> czy </w:t>
      </w:r>
      <w:r w:rsidR="00711024">
        <w:rPr>
          <w:rFonts w:eastAsia="Times New Roman"/>
        </w:rPr>
        <w:t>pisemne</w:t>
      </w:r>
      <w:r w:rsidR="00711024" w:rsidRPr="003E0C66">
        <w:rPr>
          <w:rFonts w:eastAsia="Times New Roman"/>
        </w:rPr>
        <w:t xml:space="preserve"> </w:t>
      </w:r>
      <w:r w:rsidR="001B63B4">
        <w:rPr>
          <w:rFonts w:eastAsia="Times New Roman"/>
        </w:rPr>
        <w:t>zeznania świadka są „</w:t>
      </w:r>
      <w:r w:rsidR="004F68EA" w:rsidRPr="003E0C66">
        <w:rPr>
          <w:rFonts w:eastAsia="Times New Roman"/>
        </w:rPr>
        <w:t xml:space="preserve">jedynym lub decydującym dowodem’’. Ocena kolejnego etapu będzie </w:t>
      </w:r>
      <w:r w:rsidR="00711024">
        <w:rPr>
          <w:rFonts w:eastAsia="Times New Roman"/>
        </w:rPr>
        <w:t>właściwa</w:t>
      </w:r>
      <w:r w:rsidR="00711024" w:rsidRPr="003E0C66">
        <w:rPr>
          <w:rFonts w:eastAsia="Times New Roman"/>
        </w:rPr>
        <w:t xml:space="preserve"> </w:t>
      </w:r>
      <w:r w:rsidR="004F68EA" w:rsidRPr="003E0C66">
        <w:rPr>
          <w:rFonts w:eastAsia="Times New Roman"/>
        </w:rPr>
        <w:t>tylko, jeśli odpowiedź na drugie pytanie będzie twierdząca (ibid., § 147). Po trzecie</w:t>
      </w:r>
      <w:r w:rsidR="00711024">
        <w:rPr>
          <w:rFonts w:eastAsia="Times New Roman"/>
        </w:rPr>
        <w:t>,</w:t>
      </w:r>
      <w:r w:rsidR="004F68EA" w:rsidRPr="003E0C66">
        <w:rPr>
          <w:rFonts w:eastAsia="Times New Roman"/>
        </w:rPr>
        <w:t xml:space="preserve"> jeśli </w:t>
      </w:r>
      <w:r w:rsidR="00711024">
        <w:rPr>
          <w:rFonts w:eastAsia="Times New Roman"/>
        </w:rPr>
        <w:t>pisemny</w:t>
      </w:r>
      <w:r w:rsidR="00711024" w:rsidRPr="003E0C66">
        <w:rPr>
          <w:rFonts w:eastAsia="Times New Roman"/>
        </w:rPr>
        <w:t xml:space="preserve"> </w:t>
      </w:r>
      <w:r w:rsidR="004F68EA" w:rsidRPr="003E0C66">
        <w:rPr>
          <w:rFonts w:eastAsia="Times New Roman"/>
        </w:rPr>
        <w:t xml:space="preserve">dowód jest </w:t>
      </w:r>
      <w:r w:rsidR="00825DD6" w:rsidRPr="003E0C66">
        <w:rPr>
          <w:rFonts w:eastAsia="Times New Roman"/>
        </w:rPr>
        <w:t xml:space="preserve">jedyną lub decydującą podstawą </w:t>
      </w:r>
      <w:r w:rsidR="00711024">
        <w:rPr>
          <w:rFonts w:eastAsia="Times New Roman"/>
        </w:rPr>
        <w:t>skazania</w:t>
      </w:r>
      <w:r w:rsidR="001B63B4">
        <w:rPr>
          <w:rFonts w:eastAsia="Times New Roman"/>
        </w:rPr>
        <w:t xml:space="preserve"> oskarżonego, muszą istnieć „</w:t>
      </w:r>
      <w:r w:rsidR="00825DD6" w:rsidRPr="003E0C66">
        <w:rPr>
          <w:rFonts w:eastAsia="Times New Roman"/>
        </w:rPr>
        <w:t xml:space="preserve">wystarczające czynniki wyrównawcze’’ </w:t>
      </w:r>
      <w:r w:rsidR="00C5349B" w:rsidRPr="003E0C66">
        <w:rPr>
          <w:rFonts w:eastAsia="Times New Roman"/>
        </w:rPr>
        <w:t>(ibid</w:t>
      </w:r>
      <w:r w:rsidR="00C5349B" w:rsidRPr="003E0C66">
        <w:rPr>
          <w:rFonts w:eastAsia="Times New Roman"/>
          <w:i/>
        </w:rPr>
        <w:t>.</w:t>
      </w:r>
      <w:r w:rsidR="00C5349B" w:rsidRPr="003E0C66">
        <w:rPr>
          <w:rFonts w:eastAsia="Times New Roman"/>
        </w:rPr>
        <w:t>, § 147).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15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825DD6" w:rsidRPr="003E0C66">
        <w:rPr>
          <w:rFonts w:eastAsia="Times New Roman"/>
        </w:rPr>
        <w:t xml:space="preserve">Są bardzo </w:t>
      </w:r>
      <w:r w:rsidR="00711024">
        <w:rPr>
          <w:rFonts w:eastAsia="Times New Roman"/>
        </w:rPr>
        <w:t>ważne</w:t>
      </w:r>
      <w:r w:rsidR="00711024" w:rsidRPr="003E0C66">
        <w:rPr>
          <w:rFonts w:eastAsia="Times New Roman"/>
        </w:rPr>
        <w:t xml:space="preserve"> </w:t>
      </w:r>
      <w:r w:rsidR="00825DD6" w:rsidRPr="003E0C66">
        <w:rPr>
          <w:rFonts w:eastAsia="Times New Roman"/>
        </w:rPr>
        <w:t xml:space="preserve">powody </w:t>
      </w:r>
      <w:r w:rsidR="00E34813" w:rsidRPr="003E0C66">
        <w:rPr>
          <w:rFonts w:eastAsia="Times New Roman"/>
        </w:rPr>
        <w:t xml:space="preserve">dla kolejności badania. Kwestia użycia </w:t>
      </w:r>
      <w:r w:rsidR="00711024">
        <w:rPr>
          <w:rFonts w:eastAsia="Times New Roman"/>
        </w:rPr>
        <w:t>pisemnych zeznań</w:t>
      </w:r>
      <w:r w:rsidR="00E34813" w:rsidRPr="003E0C66">
        <w:rPr>
          <w:rFonts w:eastAsia="Times New Roman"/>
        </w:rPr>
        <w:t xml:space="preserve"> nieobecnych świadków pojawia się na różnych etapach postępowania. Po pierwsze</w:t>
      </w:r>
      <w:r w:rsidR="001B63B4">
        <w:rPr>
          <w:rFonts w:eastAsia="Times New Roman"/>
        </w:rPr>
        <w:t>,</w:t>
      </w:r>
      <w:r w:rsidR="00E34813" w:rsidRPr="003E0C66">
        <w:rPr>
          <w:rFonts w:eastAsia="Times New Roman"/>
        </w:rPr>
        <w:t xml:space="preserve"> taka kwestia powstaje</w:t>
      </w:r>
      <w:r w:rsidR="00711024">
        <w:rPr>
          <w:rFonts w:eastAsia="Times New Roman"/>
        </w:rPr>
        <w:t>,</w:t>
      </w:r>
      <w:r w:rsidR="00E34813" w:rsidRPr="003E0C66">
        <w:rPr>
          <w:rFonts w:eastAsia="Times New Roman"/>
        </w:rPr>
        <w:t xml:space="preserve"> </w:t>
      </w:r>
      <w:r w:rsidR="00711024">
        <w:rPr>
          <w:rFonts w:eastAsia="Times New Roman"/>
        </w:rPr>
        <w:t>gdy</w:t>
      </w:r>
      <w:r w:rsidR="00711024" w:rsidRPr="003E0C66">
        <w:rPr>
          <w:rFonts w:eastAsia="Times New Roman"/>
        </w:rPr>
        <w:t xml:space="preserve"> </w:t>
      </w:r>
      <w:r w:rsidR="00E34813" w:rsidRPr="003E0C66">
        <w:rPr>
          <w:rFonts w:eastAsia="Times New Roman"/>
        </w:rPr>
        <w:t xml:space="preserve">sąd rozpatruje wniosek prokuratora dotyczący użycia </w:t>
      </w:r>
      <w:r w:rsidR="00711024">
        <w:rPr>
          <w:rFonts w:eastAsia="Times New Roman"/>
        </w:rPr>
        <w:t>pisemnych</w:t>
      </w:r>
      <w:r w:rsidR="00711024" w:rsidRPr="003E0C66">
        <w:rPr>
          <w:rFonts w:eastAsia="Times New Roman"/>
        </w:rPr>
        <w:t xml:space="preserve"> </w:t>
      </w:r>
      <w:r w:rsidR="00E34813" w:rsidRPr="003E0C66">
        <w:rPr>
          <w:rFonts w:eastAsia="Times New Roman"/>
        </w:rPr>
        <w:t xml:space="preserve">zeznań jako dowodu obciążającego oskarżonego </w:t>
      </w:r>
      <w:r w:rsidR="00711024">
        <w:rPr>
          <w:rFonts w:eastAsia="Times New Roman"/>
        </w:rPr>
        <w:t xml:space="preserve">albo </w:t>
      </w:r>
      <w:r w:rsidR="00D73F9D" w:rsidRPr="003E0C66">
        <w:rPr>
          <w:rFonts w:eastAsia="Times New Roman"/>
        </w:rPr>
        <w:t>sprzeciw obrony co do podjęcia takich kroków. Ocena ta będzie miała miejsce podczas rozprawy. Po drugie</w:t>
      </w:r>
      <w:r w:rsidR="001B63B4">
        <w:rPr>
          <w:rFonts w:eastAsia="Times New Roman"/>
        </w:rPr>
        <w:t>,</w:t>
      </w:r>
      <w:r w:rsidR="00D73F9D" w:rsidRPr="003E0C66">
        <w:rPr>
          <w:rFonts w:eastAsia="Times New Roman"/>
        </w:rPr>
        <w:t xml:space="preserve"> kwestia ta pojawi się, gdy </w:t>
      </w:r>
      <w:r w:rsidR="00117A32" w:rsidRPr="003E0C66">
        <w:rPr>
          <w:rFonts w:eastAsia="Times New Roman"/>
        </w:rPr>
        <w:t xml:space="preserve">sąd będzie </w:t>
      </w:r>
      <w:r w:rsidR="00711024">
        <w:rPr>
          <w:rFonts w:eastAsia="Times New Roman"/>
        </w:rPr>
        <w:t>oceniał</w:t>
      </w:r>
      <w:r w:rsidR="00117A32" w:rsidRPr="003E0C66">
        <w:rPr>
          <w:rFonts w:eastAsia="Times New Roman"/>
        </w:rPr>
        <w:t xml:space="preserve">, czy </w:t>
      </w:r>
      <w:r w:rsidR="00711024">
        <w:rPr>
          <w:rFonts w:eastAsia="Times New Roman"/>
        </w:rPr>
        <w:t>istnieje</w:t>
      </w:r>
      <w:r w:rsidR="00711024" w:rsidRPr="003E0C66">
        <w:rPr>
          <w:rFonts w:eastAsia="Times New Roman"/>
        </w:rPr>
        <w:t xml:space="preserve"> </w:t>
      </w:r>
      <w:r w:rsidR="00117A32" w:rsidRPr="003E0C66">
        <w:rPr>
          <w:rFonts w:eastAsia="Times New Roman"/>
        </w:rPr>
        <w:t xml:space="preserve">wystarczająca podstawa do skazania </w:t>
      </w:r>
      <w:r w:rsidR="00665A3F">
        <w:rPr>
          <w:rFonts w:eastAsia="Times New Roman"/>
        </w:rPr>
        <w:t>oskarżonego</w:t>
      </w:r>
      <w:r w:rsidR="00117A32" w:rsidRPr="003E0C66">
        <w:rPr>
          <w:rFonts w:eastAsia="Times New Roman"/>
        </w:rPr>
        <w:t>. Będzie to miało miejsce pod koniec rozprawy. Po trzecie</w:t>
      </w:r>
      <w:r w:rsidR="001B63B4">
        <w:rPr>
          <w:rFonts w:eastAsia="Times New Roman"/>
        </w:rPr>
        <w:t>,</w:t>
      </w:r>
      <w:r w:rsidR="00117A32" w:rsidRPr="003E0C66">
        <w:rPr>
          <w:rFonts w:eastAsia="Times New Roman"/>
        </w:rPr>
        <w:t xml:space="preserve"> kwestia ta pojawi się podczas oceny </w:t>
      </w:r>
      <w:r w:rsidR="00665A3F">
        <w:rPr>
          <w:rFonts w:eastAsia="Times New Roman"/>
        </w:rPr>
        <w:t>rzetelności</w:t>
      </w:r>
      <w:r w:rsidR="00665A3F" w:rsidRPr="003E0C66">
        <w:rPr>
          <w:rFonts w:eastAsia="Times New Roman"/>
        </w:rPr>
        <w:t xml:space="preserve"> </w:t>
      </w:r>
      <w:r w:rsidR="00665A3F">
        <w:rPr>
          <w:rFonts w:eastAsia="Times New Roman"/>
        </w:rPr>
        <w:t>postępowania karnego</w:t>
      </w:r>
      <w:r w:rsidR="00117A32" w:rsidRPr="003E0C66">
        <w:rPr>
          <w:rFonts w:eastAsia="Times New Roman"/>
        </w:rPr>
        <w:t xml:space="preserve"> przez krajowy </w:t>
      </w:r>
      <w:r w:rsidR="00665A3F" w:rsidRPr="003E0C66">
        <w:rPr>
          <w:rFonts w:eastAsia="Times New Roman"/>
        </w:rPr>
        <w:t xml:space="preserve">sąd </w:t>
      </w:r>
      <w:r w:rsidR="00665A3F">
        <w:rPr>
          <w:rFonts w:eastAsia="Times New Roman"/>
        </w:rPr>
        <w:t xml:space="preserve">apelacyjny lub </w:t>
      </w:r>
      <w:r w:rsidR="00117A32" w:rsidRPr="003E0C66">
        <w:rPr>
          <w:rFonts w:eastAsia="Times New Roman"/>
        </w:rPr>
        <w:t>Trybunał. W momencie</w:t>
      </w:r>
      <w:r w:rsidR="00665A3F">
        <w:rPr>
          <w:rFonts w:eastAsia="Times New Roman"/>
        </w:rPr>
        <w:t>,</w:t>
      </w:r>
      <w:r w:rsidR="00117A32" w:rsidRPr="003E0C66">
        <w:rPr>
          <w:rFonts w:eastAsia="Times New Roman"/>
        </w:rPr>
        <w:t xml:space="preserve"> kiedy sąd orzekający decyduje</w:t>
      </w:r>
      <w:r w:rsidR="00665A3F">
        <w:rPr>
          <w:rFonts w:eastAsia="Times New Roman"/>
        </w:rPr>
        <w:t>,</w:t>
      </w:r>
      <w:r w:rsidR="00117A32" w:rsidRPr="003E0C66">
        <w:rPr>
          <w:rFonts w:eastAsia="Times New Roman"/>
        </w:rPr>
        <w:t xml:space="preserve"> czy prokurator będzie mógł użyć </w:t>
      </w:r>
      <w:r w:rsidR="00665A3F">
        <w:rPr>
          <w:rFonts w:eastAsia="Times New Roman"/>
        </w:rPr>
        <w:t>pisemnych</w:t>
      </w:r>
      <w:r w:rsidR="00665A3F" w:rsidRPr="003E0C66">
        <w:rPr>
          <w:rFonts w:eastAsia="Times New Roman"/>
        </w:rPr>
        <w:t xml:space="preserve"> </w:t>
      </w:r>
      <w:r w:rsidR="00117A32" w:rsidRPr="003E0C66">
        <w:rPr>
          <w:rFonts w:eastAsia="Times New Roman"/>
        </w:rPr>
        <w:t xml:space="preserve">zeznań nieobecnych świadków jako dowodu </w:t>
      </w:r>
      <w:r w:rsidR="00665A3F">
        <w:rPr>
          <w:rFonts w:eastAsia="Times New Roman"/>
        </w:rPr>
        <w:t>będzie</w:t>
      </w:r>
      <w:r w:rsidR="00665A3F" w:rsidRPr="003E0C66">
        <w:rPr>
          <w:rFonts w:eastAsia="Times New Roman"/>
        </w:rPr>
        <w:t xml:space="preserve"> </w:t>
      </w:r>
      <w:r w:rsidR="00665A3F">
        <w:rPr>
          <w:rFonts w:eastAsia="Times New Roman"/>
        </w:rPr>
        <w:t xml:space="preserve">często </w:t>
      </w:r>
      <w:r w:rsidR="00117A32" w:rsidRPr="003E0C66">
        <w:rPr>
          <w:rFonts w:eastAsia="Times New Roman"/>
        </w:rPr>
        <w:t>trudne</w:t>
      </w:r>
      <w:r w:rsidR="00665A3F">
        <w:rPr>
          <w:rFonts w:eastAsia="Times New Roman"/>
        </w:rPr>
        <w:t>, o ile nie</w:t>
      </w:r>
      <w:r w:rsidR="00117A32" w:rsidRPr="003E0C66">
        <w:rPr>
          <w:rFonts w:eastAsia="Times New Roman"/>
        </w:rPr>
        <w:t xml:space="preserve">  niemożliwe</w:t>
      </w:r>
      <w:r w:rsidR="00665A3F">
        <w:rPr>
          <w:rFonts w:eastAsia="Times New Roman"/>
        </w:rPr>
        <w:t>,</w:t>
      </w:r>
      <w:r w:rsidR="00117A32" w:rsidRPr="003E0C66">
        <w:rPr>
          <w:rFonts w:eastAsia="Times New Roman"/>
        </w:rPr>
        <w:t xml:space="preserve"> do ocenienia</w:t>
      </w:r>
      <w:r w:rsidR="00665A3F">
        <w:rPr>
          <w:rFonts w:eastAsia="Times New Roman"/>
        </w:rPr>
        <w:t>,</w:t>
      </w:r>
      <w:r w:rsidR="00117A32" w:rsidRPr="003E0C66">
        <w:rPr>
          <w:rFonts w:eastAsia="Times New Roman"/>
        </w:rPr>
        <w:t xml:space="preserve"> czy dowód będzie jedyną lub </w:t>
      </w:r>
      <w:r w:rsidR="00665A3F">
        <w:rPr>
          <w:rFonts w:eastAsia="Times New Roman"/>
        </w:rPr>
        <w:t>decydującą</w:t>
      </w:r>
      <w:r w:rsidR="00665A3F" w:rsidRPr="003E0C66">
        <w:rPr>
          <w:rFonts w:eastAsia="Times New Roman"/>
        </w:rPr>
        <w:t xml:space="preserve"> </w:t>
      </w:r>
      <w:r w:rsidR="00117A32" w:rsidRPr="003E0C66">
        <w:rPr>
          <w:rFonts w:eastAsia="Times New Roman"/>
        </w:rPr>
        <w:t>podstawą skazania</w:t>
      </w:r>
      <w:r w:rsidR="00C5349B" w:rsidRPr="003E0C66">
        <w:rPr>
          <w:rFonts w:eastAsia="Times New Roman"/>
        </w:rPr>
        <w:t>.</w:t>
      </w:r>
      <w:r w:rsidR="00117A32" w:rsidRPr="003E0C66">
        <w:rPr>
          <w:rFonts w:eastAsia="Times New Roman"/>
        </w:rPr>
        <w:t xml:space="preserve"> Dlatego też w praktyce te trzy etapy </w:t>
      </w:r>
      <w:r w:rsidR="00665A3F">
        <w:rPr>
          <w:rFonts w:eastAsia="Times New Roman"/>
        </w:rPr>
        <w:t xml:space="preserve">badania </w:t>
      </w:r>
      <w:r w:rsidR="00117A32" w:rsidRPr="003E0C66">
        <w:rPr>
          <w:rFonts w:eastAsia="Times New Roman"/>
        </w:rPr>
        <w:t>będą w większości spraw</w:t>
      </w:r>
      <w:r w:rsidR="00921006" w:rsidRPr="003E0C66">
        <w:rPr>
          <w:rFonts w:eastAsia="Times New Roman"/>
        </w:rPr>
        <w:t xml:space="preserve"> </w:t>
      </w:r>
      <w:r w:rsidR="00665A3F">
        <w:rPr>
          <w:rFonts w:eastAsia="Times New Roman"/>
        </w:rPr>
        <w:t>musiały zostać przeprowadzone</w:t>
      </w:r>
      <w:r w:rsidR="00921006" w:rsidRPr="003E0C66">
        <w:rPr>
          <w:rFonts w:eastAsia="Times New Roman"/>
        </w:rPr>
        <w:t xml:space="preserve"> w kolejności </w:t>
      </w:r>
      <w:r w:rsidR="00665A3F">
        <w:rPr>
          <w:rFonts w:eastAsia="Times New Roman"/>
        </w:rPr>
        <w:t>określonej w</w:t>
      </w:r>
      <w:r w:rsidR="00665A3F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  <w:i/>
        </w:rPr>
        <w:t xml:space="preserve">Al-Khawaja </w:t>
      </w:r>
      <w:r w:rsidR="00921006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665A3F">
        <w:rPr>
          <w:rFonts w:eastAsia="Times New Roman"/>
        </w:rPr>
        <w:t xml:space="preserve"> i najczęściej</w:t>
      </w:r>
      <w:r w:rsidR="00921006" w:rsidRPr="003E0C66">
        <w:rPr>
          <w:rFonts w:eastAsia="Times New Roman"/>
        </w:rPr>
        <w:t xml:space="preserve"> w różnych momentach. Ponadto zasady</w:t>
      </w:r>
      <w:r w:rsidR="00665A3F">
        <w:rPr>
          <w:rFonts w:eastAsia="Times New Roman"/>
        </w:rPr>
        <w:t>,</w:t>
      </w:r>
      <w:r w:rsidR="00921006" w:rsidRPr="003E0C66">
        <w:rPr>
          <w:rFonts w:eastAsia="Times New Roman"/>
        </w:rPr>
        <w:t xml:space="preserve"> zgodnie z którymi wszelkie dowody przeciwko oskarżonemu </w:t>
      </w:r>
      <w:r w:rsidR="00621BC3" w:rsidRPr="003E0C66">
        <w:rPr>
          <w:rFonts w:eastAsia="Times New Roman"/>
        </w:rPr>
        <w:t xml:space="preserve">muszą zostać </w:t>
      </w:r>
      <w:r w:rsidR="00665A3F">
        <w:rPr>
          <w:rFonts w:eastAsia="Times New Roman"/>
        </w:rPr>
        <w:t>przeprowadzone</w:t>
      </w:r>
      <w:r w:rsidR="00665A3F" w:rsidRPr="003E0C66">
        <w:rPr>
          <w:rFonts w:eastAsia="Times New Roman"/>
        </w:rPr>
        <w:t xml:space="preserve"> </w:t>
      </w:r>
      <w:r w:rsidR="00621BC3" w:rsidRPr="003E0C66">
        <w:rPr>
          <w:rFonts w:eastAsia="Times New Roman"/>
        </w:rPr>
        <w:t xml:space="preserve">w jego obecności na posiedzeniu jawnym w celu zapewnienia możliwości przedstawienia </w:t>
      </w:r>
      <w:r w:rsidR="00EC6B60" w:rsidRPr="003E0C66">
        <w:rPr>
          <w:rFonts w:eastAsia="Times New Roman"/>
        </w:rPr>
        <w:t>kontr</w:t>
      </w:r>
      <w:r w:rsidR="00665A3F">
        <w:rPr>
          <w:rFonts w:eastAsia="Times New Roman"/>
        </w:rPr>
        <w:t>argumentów oraz zgodnie z którymi</w:t>
      </w:r>
      <w:r w:rsidR="00621BC3" w:rsidRPr="003E0C66">
        <w:rPr>
          <w:rFonts w:eastAsia="Times New Roman"/>
        </w:rPr>
        <w:t xml:space="preserve"> oskarżonemu powinna być zapewniona odpowiednia możliwość </w:t>
      </w:r>
      <w:r w:rsidR="00665A3F">
        <w:rPr>
          <w:rFonts w:eastAsia="Times New Roman"/>
        </w:rPr>
        <w:t>zakwestionowania zeznań</w:t>
      </w:r>
      <w:r w:rsidR="00665A3F" w:rsidRPr="003E0C66">
        <w:rPr>
          <w:rFonts w:eastAsia="Times New Roman"/>
        </w:rPr>
        <w:t xml:space="preserve"> </w:t>
      </w:r>
      <w:r w:rsidR="00621BC3" w:rsidRPr="003E0C66">
        <w:rPr>
          <w:rFonts w:eastAsia="Times New Roman"/>
        </w:rPr>
        <w:t>i przesłuchania świadka zeznającego przeciw</w:t>
      </w:r>
      <w:r w:rsidR="008A7660">
        <w:rPr>
          <w:rFonts w:eastAsia="Times New Roman"/>
        </w:rPr>
        <w:t>ko</w:t>
      </w:r>
      <w:r w:rsidR="00621BC3" w:rsidRPr="003E0C66">
        <w:rPr>
          <w:rFonts w:eastAsia="Times New Roman"/>
        </w:rPr>
        <w:t xml:space="preserve"> niemu, </w:t>
      </w:r>
      <w:r w:rsidR="008A7660">
        <w:rPr>
          <w:rFonts w:eastAsia="Times New Roman"/>
        </w:rPr>
        <w:t>są tak</w:t>
      </w:r>
      <w:r w:rsidR="008A7660" w:rsidRPr="003E0C66">
        <w:rPr>
          <w:rFonts w:eastAsia="Times New Roman"/>
        </w:rPr>
        <w:t xml:space="preserve"> </w:t>
      </w:r>
      <w:r w:rsidR="00621BC3" w:rsidRPr="003E0C66">
        <w:rPr>
          <w:rFonts w:eastAsia="Times New Roman"/>
        </w:rPr>
        <w:t>ważne</w:t>
      </w:r>
      <w:r w:rsidR="004B2B04" w:rsidRPr="003E0C66">
        <w:rPr>
          <w:rFonts w:eastAsia="Times New Roman"/>
        </w:rPr>
        <w:t>,</w:t>
      </w:r>
      <w:r w:rsidR="00621BC3" w:rsidRPr="003E0C66">
        <w:rPr>
          <w:rFonts w:eastAsia="Times New Roman"/>
        </w:rPr>
        <w:t xml:space="preserve"> </w:t>
      </w:r>
      <w:r w:rsidR="008A7660">
        <w:rPr>
          <w:rFonts w:eastAsia="Times New Roman"/>
        </w:rPr>
        <w:t>że nie powinno się od nich odstępować</w:t>
      </w:r>
      <w:r w:rsidR="00621BC3" w:rsidRPr="003E0C66">
        <w:rPr>
          <w:rFonts w:eastAsia="Times New Roman"/>
        </w:rPr>
        <w:t xml:space="preserve">, chyba że zaistnieje </w:t>
      </w:r>
      <w:r w:rsidR="008A7660">
        <w:rPr>
          <w:rFonts w:eastAsia="Times New Roman"/>
        </w:rPr>
        <w:t>ważny</w:t>
      </w:r>
      <w:r w:rsidR="008A7660" w:rsidRPr="003E0C66">
        <w:rPr>
          <w:rFonts w:eastAsia="Times New Roman"/>
        </w:rPr>
        <w:t xml:space="preserve"> </w:t>
      </w:r>
      <w:r w:rsidR="00621BC3" w:rsidRPr="003E0C66">
        <w:rPr>
          <w:rFonts w:eastAsia="Times New Roman"/>
        </w:rPr>
        <w:t xml:space="preserve">powód. </w:t>
      </w:r>
      <w:r w:rsidR="008A7660" w:rsidRPr="003E0C66">
        <w:rPr>
          <w:rFonts w:eastAsia="Times New Roman"/>
        </w:rPr>
        <w:lastRenderedPageBreak/>
        <w:t>Czyni</w:t>
      </w:r>
      <w:r w:rsidR="008A7660">
        <w:rPr>
          <w:rFonts w:eastAsia="Times New Roman"/>
        </w:rPr>
        <w:t>enie</w:t>
      </w:r>
      <w:r w:rsidR="008A7660" w:rsidRPr="003E0C66">
        <w:rPr>
          <w:rFonts w:eastAsia="Times New Roman"/>
        </w:rPr>
        <w:t xml:space="preserve"> </w:t>
      </w:r>
      <w:r w:rsidR="00621BC3" w:rsidRPr="003E0C66">
        <w:rPr>
          <w:rFonts w:eastAsia="Times New Roman"/>
        </w:rPr>
        <w:t>t</w:t>
      </w:r>
      <w:r w:rsidR="008A7660">
        <w:rPr>
          <w:rFonts w:eastAsia="Times New Roman"/>
        </w:rPr>
        <w:t>ego</w:t>
      </w:r>
      <w:r w:rsidR="00621BC3" w:rsidRPr="003E0C66">
        <w:rPr>
          <w:rFonts w:eastAsia="Times New Roman"/>
        </w:rPr>
        <w:t xml:space="preserve"> bez </w:t>
      </w:r>
      <w:r w:rsidR="008A7660">
        <w:rPr>
          <w:rFonts w:eastAsia="Times New Roman"/>
        </w:rPr>
        <w:t>ważnego</w:t>
      </w:r>
      <w:r w:rsidR="008A7660" w:rsidRPr="003E0C66">
        <w:rPr>
          <w:rFonts w:eastAsia="Times New Roman"/>
        </w:rPr>
        <w:t xml:space="preserve"> </w:t>
      </w:r>
      <w:r w:rsidR="00621BC3" w:rsidRPr="003E0C66">
        <w:rPr>
          <w:rFonts w:eastAsia="Times New Roman"/>
        </w:rPr>
        <w:t>powodu w większości</w:t>
      </w:r>
      <w:r w:rsidR="008A7660">
        <w:rPr>
          <w:rFonts w:eastAsia="Times New Roman"/>
        </w:rPr>
        <w:t>, jeśli nie</w:t>
      </w:r>
      <w:r w:rsidR="00621BC3" w:rsidRPr="003E0C66">
        <w:rPr>
          <w:rFonts w:eastAsia="Times New Roman"/>
        </w:rPr>
        <w:t xml:space="preserve"> we wszystkich sprawach</w:t>
      </w:r>
      <w:r w:rsidR="008A7660">
        <w:rPr>
          <w:rFonts w:eastAsia="Times New Roman"/>
        </w:rPr>
        <w:t>,</w:t>
      </w:r>
      <w:r w:rsidR="00621BC3" w:rsidRPr="003E0C66">
        <w:rPr>
          <w:rFonts w:eastAsia="Times New Roman"/>
        </w:rPr>
        <w:t xml:space="preserve"> będzie skutkowało </w:t>
      </w:r>
      <w:r w:rsidR="008A7660">
        <w:rPr>
          <w:rFonts w:eastAsia="Times New Roman"/>
        </w:rPr>
        <w:t>nierzetelnością</w:t>
      </w:r>
      <w:r w:rsidR="008A7660" w:rsidRPr="003E0C66">
        <w:rPr>
          <w:rFonts w:eastAsia="Times New Roman"/>
        </w:rPr>
        <w:t xml:space="preserve"> postępowani</w:t>
      </w:r>
      <w:r w:rsidR="008A7660">
        <w:rPr>
          <w:rFonts w:eastAsia="Times New Roman"/>
        </w:rPr>
        <w:t>a</w:t>
      </w:r>
      <w:r w:rsidR="00621BC3" w:rsidRPr="003E0C66">
        <w:rPr>
          <w:rFonts w:eastAsia="Times New Roman"/>
        </w:rPr>
        <w:t xml:space="preserve">.     </w:t>
      </w:r>
      <w:r w:rsidR="00C5349B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16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621BC3" w:rsidRPr="003E0C66">
        <w:rPr>
          <w:rFonts w:eastAsia="Times New Roman"/>
        </w:rPr>
        <w:t xml:space="preserve">Dlatego też pragnę podkreślić </w:t>
      </w:r>
      <w:r w:rsidR="008A7660" w:rsidRPr="003E0C66">
        <w:rPr>
          <w:rFonts w:eastAsia="Times New Roman"/>
        </w:rPr>
        <w:t xml:space="preserve">znaczenie </w:t>
      </w:r>
      <w:r w:rsidR="00621BC3" w:rsidRPr="003E0C66">
        <w:rPr>
          <w:rFonts w:eastAsia="Times New Roman"/>
        </w:rPr>
        <w:t xml:space="preserve">nie tylko tych trzech etapów </w:t>
      </w:r>
      <w:r w:rsidR="008A7660">
        <w:rPr>
          <w:rFonts w:eastAsia="Times New Roman"/>
        </w:rPr>
        <w:t>określonych</w:t>
      </w:r>
      <w:r w:rsidR="008A7660" w:rsidRPr="003E0C66">
        <w:rPr>
          <w:rFonts w:eastAsia="Times New Roman"/>
        </w:rPr>
        <w:t xml:space="preserve"> </w:t>
      </w:r>
      <w:r w:rsidR="00621BC3" w:rsidRPr="003E0C66">
        <w:rPr>
          <w:rFonts w:eastAsia="Times New Roman"/>
        </w:rPr>
        <w:t xml:space="preserve">w wyroku </w:t>
      </w:r>
      <w:r w:rsidR="00C5349B" w:rsidRPr="003E0C66">
        <w:rPr>
          <w:rFonts w:eastAsia="Times New Roman"/>
          <w:i/>
        </w:rPr>
        <w:t xml:space="preserve">Al-Khawaja </w:t>
      </w:r>
      <w:r w:rsidR="00621BC3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621BC3" w:rsidRPr="003E0C66">
        <w:rPr>
          <w:rFonts w:eastAsia="Times New Roman"/>
        </w:rPr>
        <w:t>, ale także ich kolejnoś</w:t>
      </w:r>
      <w:r w:rsidR="00CA1026">
        <w:rPr>
          <w:rFonts w:eastAsia="Times New Roman"/>
        </w:rPr>
        <w:t>ci</w:t>
      </w:r>
      <w:r w:rsidR="00621BC3" w:rsidRPr="003E0C66">
        <w:rPr>
          <w:rFonts w:eastAsia="Times New Roman"/>
        </w:rPr>
        <w:t>. Mówiąc to nie wykluczam możliwości wystąpieni</w:t>
      </w:r>
      <w:r w:rsidR="008A7660">
        <w:rPr>
          <w:rFonts w:eastAsia="Times New Roman"/>
        </w:rPr>
        <w:t>a</w:t>
      </w:r>
      <w:r w:rsidR="00621BC3" w:rsidRPr="003E0C66">
        <w:rPr>
          <w:rFonts w:eastAsia="Times New Roman"/>
        </w:rPr>
        <w:t xml:space="preserve"> sytuacji, w której te trzy etapy można ocenić w innej kolejności. Na przykład w niektórych sprawach jasnym dla sądu orzekającego </w:t>
      </w:r>
      <w:r w:rsidR="008A7660">
        <w:rPr>
          <w:rFonts w:eastAsia="Times New Roman"/>
        </w:rPr>
        <w:t xml:space="preserve">od początku </w:t>
      </w:r>
      <w:r w:rsidR="00621BC3" w:rsidRPr="003E0C66">
        <w:rPr>
          <w:rFonts w:eastAsia="Times New Roman"/>
        </w:rPr>
        <w:t xml:space="preserve">będzie, iż </w:t>
      </w:r>
      <w:r w:rsidR="00383159" w:rsidRPr="003E0C66">
        <w:rPr>
          <w:rFonts w:eastAsia="Times New Roman"/>
        </w:rPr>
        <w:t xml:space="preserve">pisemne </w:t>
      </w:r>
      <w:r w:rsidR="008A7660">
        <w:rPr>
          <w:rFonts w:eastAsia="Times New Roman"/>
        </w:rPr>
        <w:t>zeznanie</w:t>
      </w:r>
      <w:r w:rsidR="008A7660" w:rsidRPr="003E0C66">
        <w:rPr>
          <w:rFonts w:eastAsia="Times New Roman"/>
        </w:rPr>
        <w:t xml:space="preserve"> </w:t>
      </w:r>
      <w:r w:rsidR="008A7660">
        <w:rPr>
          <w:rFonts w:eastAsia="Times New Roman"/>
        </w:rPr>
        <w:t>będzie</w:t>
      </w:r>
      <w:r w:rsidR="008A7660" w:rsidRPr="003E0C66">
        <w:rPr>
          <w:rFonts w:eastAsia="Times New Roman"/>
        </w:rPr>
        <w:t xml:space="preserve"> </w:t>
      </w:r>
      <w:r w:rsidR="00383159" w:rsidRPr="003E0C66">
        <w:rPr>
          <w:rFonts w:eastAsia="Times New Roman"/>
        </w:rPr>
        <w:t xml:space="preserve">jedynym </w:t>
      </w:r>
      <w:r w:rsidR="008A7660">
        <w:rPr>
          <w:rFonts w:eastAsia="Times New Roman"/>
        </w:rPr>
        <w:t>lub</w:t>
      </w:r>
      <w:r w:rsidR="008A7660" w:rsidRPr="003E0C66">
        <w:rPr>
          <w:rFonts w:eastAsia="Times New Roman"/>
        </w:rPr>
        <w:t xml:space="preserve"> </w:t>
      </w:r>
      <w:r w:rsidR="00383159" w:rsidRPr="003E0C66">
        <w:rPr>
          <w:rFonts w:eastAsia="Times New Roman"/>
        </w:rPr>
        <w:t xml:space="preserve">decydującym dowodem, a zatem jego </w:t>
      </w:r>
      <w:r w:rsidR="008A7660">
        <w:rPr>
          <w:rFonts w:eastAsia="Times New Roman"/>
        </w:rPr>
        <w:t>dopuszczenie</w:t>
      </w:r>
      <w:r w:rsidR="008A7660" w:rsidRPr="003E0C66">
        <w:rPr>
          <w:rFonts w:eastAsia="Times New Roman"/>
        </w:rPr>
        <w:t xml:space="preserve"> </w:t>
      </w:r>
      <w:r w:rsidR="00383159" w:rsidRPr="003E0C66">
        <w:rPr>
          <w:rFonts w:eastAsia="Times New Roman"/>
        </w:rPr>
        <w:t xml:space="preserve">i użycie spowoduje, </w:t>
      </w:r>
      <w:r w:rsidR="008A7660">
        <w:rPr>
          <w:rFonts w:eastAsia="Times New Roman"/>
        </w:rPr>
        <w:t>że</w:t>
      </w:r>
      <w:r w:rsidR="008A7660" w:rsidRPr="003E0C66">
        <w:rPr>
          <w:rFonts w:eastAsia="Times New Roman"/>
        </w:rPr>
        <w:t xml:space="preserve"> </w:t>
      </w:r>
      <w:r w:rsidR="008A7660">
        <w:rPr>
          <w:rFonts w:eastAsia="Times New Roman"/>
        </w:rPr>
        <w:t>postępowanie</w:t>
      </w:r>
      <w:r w:rsidR="008A7660" w:rsidRPr="003E0C66">
        <w:rPr>
          <w:rFonts w:eastAsia="Times New Roman"/>
        </w:rPr>
        <w:t xml:space="preserve"> </w:t>
      </w:r>
      <w:r w:rsidR="00383159" w:rsidRPr="003E0C66">
        <w:rPr>
          <w:rFonts w:eastAsia="Times New Roman"/>
        </w:rPr>
        <w:t xml:space="preserve">będzie </w:t>
      </w:r>
      <w:r w:rsidR="008A7660">
        <w:rPr>
          <w:rFonts w:eastAsia="Times New Roman"/>
        </w:rPr>
        <w:t>nierzetelne</w:t>
      </w:r>
      <w:r w:rsidR="00C5349B" w:rsidRPr="003E0C66">
        <w:rPr>
          <w:rFonts w:eastAsia="Times New Roman"/>
        </w:rPr>
        <w:t>.</w:t>
      </w:r>
      <w:r w:rsidR="00383159" w:rsidRPr="003E0C66">
        <w:rPr>
          <w:rFonts w:eastAsia="Times New Roman"/>
        </w:rPr>
        <w:t xml:space="preserve"> Podobnie może zaistnieć sytuacja, w której Trybunał, ze względów praktycznych, uzna za właściwe zastosowanie trzech etapów w innej kolejności. Niemniej jednak te trzy etapy powinny, co do zasady, zostać ocenione w sposób </w:t>
      </w:r>
      <w:r w:rsidR="008A7660">
        <w:rPr>
          <w:rFonts w:eastAsia="Times New Roman"/>
        </w:rPr>
        <w:t>określony</w:t>
      </w:r>
      <w:r w:rsidR="008A7660" w:rsidRPr="003E0C66">
        <w:rPr>
          <w:rFonts w:eastAsia="Times New Roman"/>
        </w:rPr>
        <w:t xml:space="preserve"> </w:t>
      </w:r>
      <w:r w:rsidR="00383159" w:rsidRPr="003E0C66">
        <w:rPr>
          <w:rFonts w:eastAsia="Times New Roman"/>
        </w:rPr>
        <w:t xml:space="preserve">w wyroku </w:t>
      </w:r>
      <w:r w:rsidR="00C5349B" w:rsidRPr="003E0C66">
        <w:rPr>
          <w:rFonts w:eastAsia="Times New Roman"/>
          <w:i/>
        </w:rPr>
        <w:t>Al-Khawaja</w:t>
      </w:r>
      <w:r w:rsidR="00383159" w:rsidRPr="003E0C66">
        <w:rPr>
          <w:rFonts w:eastAsia="Times New Roman"/>
          <w:i/>
        </w:rPr>
        <w:t xml:space="preserve"> 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>.</w:t>
      </w:r>
    </w:p>
    <w:p w:rsidR="00C5349B" w:rsidRPr="003E0C66" w:rsidRDefault="00383159" w:rsidP="00BC0CE7">
      <w:pPr>
        <w:pStyle w:val="OpiHA"/>
        <w:rPr>
          <w:rFonts w:eastAsia="Times New Roman"/>
        </w:rPr>
      </w:pPr>
      <w:r w:rsidRPr="003E0C66">
        <w:rPr>
          <w:rFonts w:eastAsia="Times New Roman"/>
        </w:rPr>
        <w:t xml:space="preserve"> Ocena niniejszej sprawy przez Wielką Izbę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17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7F3C96" w:rsidRPr="003E0C66">
        <w:rPr>
          <w:rFonts w:eastAsia="Times New Roman"/>
        </w:rPr>
        <w:t xml:space="preserve">Zgadzam się z większością, </w:t>
      </w:r>
      <w:r w:rsidR="00CA1026">
        <w:rPr>
          <w:rFonts w:eastAsia="Times New Roman"/>
        </w:rPr>
        <w:t>że</w:t>
      </w:r>
      <w:r w:rsidR="007F3C96" w:rsidRPr="003E0C66">
        <w:rPr>
          <w:rFonts w:eastAsia="Times New Roman"/>
        </w:rPr>
        <w:t xml:space="preserve"> wystąpił </w:t>
      </w:r>
      <w:r w:rsidR="00D47812">
        <w:rPr>
          <w:rFonts w:eastAsia="Times New Roman"/>
        </w:rPr>
        <w:t>ważny</w:t>
      </w:r>
      <w:r w:rsidR="00D47812" w:rsidRPr="003E0C66">
        <w:rPr>
          <w:rFonts w:eastAsia="Times New Roman"/>
        </w:rPr>
        <w:t xml:space="preserve"> </w:t>
      </w:r>
      <w:r w:rsidR="007F3C96" w:rsidRPr="003E0C66">
        <w:rPr>
          <w:rFonts w:eastAsia="Times New Roman"/>
        </w:rPr>
        <w:t>powód usprawiedliwiający nieobecność dwóch świadków oskarżenia O. i P. (zobacz paragrafy 132-140 wyroku)</w:t>
      </w:r>
      <w:r w:rsidR="00D47812">
        <w:rPr>
          <w:rFonts w:eastAsia="Times New Roman"/>
        </w:rPr>
        <w:t>.</w:t>
      </w:r>
      <w:r w:rsidR="007F3C96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18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7F3C96" w:rsidRPr="003E0C66">
        <w:rPr>
          <w:rFonts w:eastAsia="Times New Roman"/>
        </w:rPr>
        <w:t xml:space="preserve">Zgadzam się również z większością w kwestii, </w:t>
      </w:r>
      <w:r w:rsidR="00D47812">
        <w:rPr>
          <w:rFonts w:eastAsia="Times New Roman"/>
        </w:rPr>
        <w:t>że</w:t>
      </w:r>
      <w:r w:rsidR="00D47812" w:rsidRPr="003E0C66">
        <w:rPr>
          <w:rFonts w:eastAsia="Times New Roman"/>
        </w:rPr>
        <w:t xml:space="preserve"> </w:t>
      </w:r>
      <w:r w:rsidR="00D47812">
        <w:rPr>
          <w:rFonts w:eastAsia="Times New Roman"/>
        </w:rPr>
        <w:t>pisemne zeznania</w:t>
      </w:r>
      <w:r w:rsidR="007F3C96" w:rsidRPr="003E0C66">
        <w:rPr>
          <w:rFonts w:eastAsia="Times New Roman"/>
        </w:rPr>
        <w:t xml:space="preserve"> dwóch nieobecnych świadków O. i P. były </w:t>
      </w:r>
      <w:r w:rsidR="00D47812">
        <w:rPr>
          <w:rFonts w:eastAsia="Times New Roman"/>
        </w:rPr>
        <w:t>„decydujące”</w:t>
      </w:r>
      <w:r w:rsidR="00D47812" w:rsidRPr="003E0C66">
        <w:rPr>
          <w:rFonts w:eastAsia="Times New Roman"/>
        </w:rPr>
        <w:t xml:space="preserve"> </w:t>
      </w:r>
      <w:r w:rsidR="007F3C96" w:rsidRPr="003E0C66">
        <w:rPr>
          <w:rFonts w:eastAsia="Times New Roman"/>
        </w:rPr>
        <w:t>dla skazania skarżącego, w rozumieniu orzecznictwa Trybunału (zobacz paragrafy 141-144 wyroku</w:t>
      </w:r>
      <w:r w:rsidR="00C5349B" w:rsidRPr="003E0C66">
        <w:rPr>
          <w:rFonts w:eastAsia="Times New Roman"/>
        </w:rPr>
        <w:t>).</w:t>
      </w:r>
    </w:p>
    <w:p w:rsidR="00133305" w:rsidRPr="003E0C66" w:rsidRDefault="006B25B0" w:rsidP="00CA1026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19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7F3C96" w:rsidRPr="003E0C66">
        <w:rPr>
          <w:rFonts w:eastAsia="Times New Roman"/>
        </w:rPr>
        <w:t xml:space="preserve">Jednakże nie zgadzam się z większością jeśli chodzi o </w:t>
      </w:r>
      <w:r w:rsidR="006278C6">
        <w:rPr>
          <w:rFonts w:eastAsia="Times New Roman"/>
        </w:rPr>
        <w:t>rzetelność</w:t>
      </w:r>
      <w:r w:rsidR="006278C6" w:rsidRPr="003E0C66">
        <w:rPr>
          <w:rFonts w:eastAsia="Times New Roman"/>
        </w:rPr>
        <w:t xml:space="preserve"> </w:t>
      </w:r>
      <w:r w:rsidR="00133305" w:rsidRPr="003E0C66">
        <w:rPr>
          <w:rFonts w:eastAsia="Times New Roman"/>
        </w:rPr>
        <w:t xml:space="preserve">procesu. Moim zdaniem, </w:t>
      </w:r>
      <w:r w:rsidR="006278C6">
        <w:rPr>
          <w:rFonts w:eastAsia="Times New Roman"/>
        </w:rPr>
        <w:t>co wyjaśnię</w:t>
      </w:r>
      <w:r w:rsidR="00CA1026">
        <w:rPr>
          <w:rFonts w:eastAsia="Times New Roman"/>
        </w:rPr>
        <w:t xml:space="preserve"> poniżej, istniały „</w:t>
      </w:r>
      <w:r w:rsidR="00133305" w:rsidRPr="003E0C66">
        <w:rPr>
          <w:rFonts w:eastAsia="Times New Roman"/>
        </w:rPr>
        <w:t>wystarczające czynniki</w:t>
      </w:r>
      <w:r w:rsidR="00CA1026">
        <w:rPr>
          <w:rFonts w:eastAsia="Times New Roman"/>
        </w:rPr>
        <w:t xml:space="preserve"> </w:t>
      </w:r>
      <w:r w:rsidR="00133305" w:rsidRPr="003E0C66">
        <w:rPr>
          <w:rFonts w:eastAsia="Times New Roman"/>
        </w:rPr>
        <w:t xml:space="preserve">wyrównawcze’’ </w:t>
      </w:r>
      <w:r w:rsidR="006278C6" w:rsidRPr="003E0C66">
        <w:rPr>
          <w:rFonts w:eastAsia="Times New Roman"/>
        </w:rPr>
        <w:t>zapewniani</w:t>
      </w:r>
      <w:r w:rsidR="006278C6">
        <w:rPr>
          <w:rFonts w:eastAsia="Times New Roman"/>
        </w:rPr>
        <w:t>ające</w:t>
      </w:r>
      <w:r w:rsidR="00133305" w:rsidRPr="003E0C66">
        <w:rPr>
          <w:rFonts w:eastAsia="Times New Roman"/>
        </w:rPr>
        <w:t xml:space="preserve"> </w:t>
      </w:r>
      <w:r w:rsidR="006278C6">
        <w:rPr>
          <w:rFonts w:eastAsia="Times New Roman"/>
        </w:rPr>
        <w:t>rzetelność</w:t>
      </w:r>
      <w:r w:rsidR="006278C6" w:rsidRPr="003E0C66">
        <w:rPr>
          <w:rFonts w:eastAsia="Times New Roman"/>
        </w:rPr>
        <w:t xml:space="preserve"> </w:t>
      </w:r>
      <w:r w:rsidR="00133305" w:rsidRPr="003E0C66">
        <w:rPr>
          <w:rFonts w:eastAsia="Times New Roman"/>
        </w:rPr>
        <w:t>procesu</w:t>
      </w:r>
      <w:r w:rsidR="006278C6">
        <w:rPr>
          <w:rFonts w:eastAsia="Times New Roman"/>
        </w:rPr>
        <w:t xml:space="preserve"> </w:t>
      </w:r>
      <w:r w:rsidR="00CA1026">
        <w:rPr>
          <w:rFonts w:eastAsia="Times New Roman"/>
        </w:rPr>
        <w:t>skarżącego</w:t>
      </w:r>
      <w:r w:rsidR="00133305" w:rsidRPr="003E0C66">
        <w:rPr>
          <w:rFonts w:eastAsia="Times New Roman"/>
        </w:rPr>
        <w:t xml:space="preserve">.  </w:t>
      </w:r>
      <w:r w:rsidR="007F3C96" w:rsidRPr="003E0C66">
        <w:rPr>
          <w:rFonts w:eastAsia="Times New Roman"/>
        </w:rPr>
        <w:t xml:space="preserve">  </w:t>
      </w:r>
      <w:r w:rsidR="00C5349B" w:rsidRPr="003E0C66">
        <w:rPr>
          <w:rFonts w:eastAsia="Times New Roman"/>
        </w:rPr>
        <w:t> 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20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133305" w:rsidRPr="003E0C66">
        <w:rPr>
          <w:rFonts w:eastAsia="Times New Roman"/>
        </w:rPr>
        <w:t>W sprawie</w:t>
      </w:r>
      <w:r w:rsidR="00C5349B" w:rsidRPr="003E0C66">
        <w:rPr>
          <w:rFonts w:eastAsia="Times New Roman"/>
        </w:rPr>
        <w:t xml:space="preserve"> </w:t>
      </w:r>
      <w:r w:rsidR="00C5349B" w:rsidRPr="003E0C66">
        <w:rPr>
          <w:rFonts w:eastAsia="Times New Roman"/>
          <w:i/>
        </w:rPr>
        <w:t xml:space="preserve">Al-Khawaja </w:t>
      </w:r>
      <w:r w:rsidR="00133305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 xml:space="preserve"> (§ 147) </w:t>
      </w:r>
      <w:r w:rsidR="00133305" w:rsidRPr="003E0C66">
        <w:rPr>
          <w:rFonts w:eastAsia="Times New Roman"/>
        </w:rPr>
        <w:t>T</w:t>
      </w:r>
      <w:r w:rsidR="00CA1026">
        <w:rPr>
          <w:rFonts w:eastAsia="Times New Roman"/>
        </w:rPr>
        <w:t>rybunał orzekł, co następuje: „</w:t>
      </w:r>
      <w:r w:rsidR="000E0E11" w:rsidRPr="003E0C66">
        <w:rPr>
          <w:rFonts w:eastAsia="Times New Roman"/>
        </w:rPr>
        <w:t>W każdej sprawie pytaniem jest,</w:t>
      </w:r>
      <w:r w:rsidR="00133305" w:rsidRPr="003E0C66">
        <w:rPr>
          <w:rFonts w:eastAsia="Times New Roman"/>
        </w:rPr>
        <w:t xml:space="preserve"> czy wystąpiły wystarczające czynniki wyrównawcze, w tym środki umożliwiające </w:t>
      </w:r>
      <w:r w:rsidR="003C15D5">
        <w:rPr>
          <w:rFonts w:eastAsia="Times New Roman"/>
        </w:rPr>
        <w:t>rzetelną</w:t>
      </w:r>
      <w:r w:rsidR="003C15D5" w:rsidRPr="003E0C66">
        <w:rPr>
          <w:rFonts w:eastAsia="Times New Roman"/>
        </w:rPr>
        <w:t xml:space="preserve"> </w:t>
      </w:r>
      <w:r w:rsidR="00133305" w:rsidRPr="003E0C66">
        <w:rPr>
          <w:rFonts w:eastAsia="Times New Roman"/>
        </w:rPr>
        <w:t xml:space="preserve">i </w:t>
      </w:r>
      <w:r w:rsidR="003C15D5">
        <w:rPr>
          <w:rFonts w:eastAsia="Times New Roman"/>
        </w:rPr>
        <w:t>właściwą ocenę</w:t>
      </w:r>
      <w:r w:rsidR="003C15D5" w:rsidRPr="003E0C66">
        <w:rPr>
          <w:rFonts w:eastAsia="Times New Roman"/>
        </w:rPr>
        <w:t xml:space="preserve"> </w:t>
      </w:r>
      <w:r w:rsidR="00133305" w:rsidRPr="003E0C66">
        <w:rPr>
          <w:rFonts w:eastAsia="Times New Roman"/>
        </w:rPr>
        <w:t xml:space="preserve">wiarygodności </w:t>
      </w:r>
      <w:r w:rsidR="003C15D5">
        <w:rPr>
          <w:rFonts w:eastAsia="Times New Roman"/>
        </w:rPr>
        <w:t xml:space="preserve">przeprowadzonych </w:t>
      </w:r>
      <w:r w:rsidR="00133305" w:rsidRPr="003E0C66">
        <w:rPr>
          <w:rFonts w:eastAsia="Times New Roman"/>
        </w:rPr>
        <w:t>dowodów</w:t>
      </w:r>
      <w:r w:rsidR="000E0E11" w:rsidRPr="003E0C66">
        <w:rPr>
          <w:rFonts w:eastAsia="Times New Roman"/>
        </w:rPr>
        <w:t xml:space="preserve">. Umożliwiłoby </w:t>
      </w:r>
      <w:r w:rsidR="00710BBF" w:rsidRPr="003E0C66">
        <w:rPr>
          <w:rFonts w:eastAsia="Times New Roman"/>
        </w:rPr>
        <w:t xml:space="preserve">to oparcie </w:t>
      </w:r>
      <w:r w:rsidR="000F1D29" w:rsidRPr="003E0C66">
        <w:rPr>
          <w:rFonts w:eastAsia="Times New Roman"/>
        </w:rPr>
        <w:t xml:space="preserve">wyroku </w:t>
      </w:r>
      <w:r w:rsidR="00710BBF" w:rsidRPr="003E0C66">
        <w:rPr>
          <w:rFonts w:eastAsia="Times New Roman"/>
        </w:rPr>
        <w:t xml:space="preserve">na </w:t>
      </w:r>
      <w:r w:rsidR="000F1D29" w:rsidRPr="003E0C66">
        <w:rPr>
          <w:rFonts w:eastAsia="Times New Roman"/>
        </w:rPr>
        <w:t>ty</w:t>
      </w:r>
      <w:r w:rsidR="000F1D29">
        <w:rPr>
          <w:rFonts w:eastAsia="Times New Roman"/>
        </w:rPr>
        <w:t>m</w:t>
      </w:r>
      <w:r w:rsidR="000F1D29" w:rsidRPr="003E0C66">
        <w:rPr>
          <w:rFonts w:eastAsia="Times New Roman"/>
        </w:rPr>
        <w:t xml:space="preserve"> dowod</w:t>
      </w:r>
      <w:r w:rsidR="000F1D29">
        <w:rPr>
          <w:rFonts w:eastAsia="Times New Roman"/>
        </w:rPr>
        <w:t>zie</w:t>
      </w:r>
      <w:r w:rsidR="000F1D29" w:rsidRPr="003E0C66">
        <w:rPr>
          <w:rFonts w:eastAsia="Times New Roman"/>
        </w:rPr>
        <w:t xml:space="preserve"> </w:t>
      </w:r>
      <w:r w:rsidR="00710BBF" w:rsidRPr="003E0C66">
        <w:rPr>
          <w:rFonts w:eastAsia="Times New Roman"/>
        </w:rPr>
        <w:t>tylko wtedy, gdy byłby on wystarczająco wiarygodn</w:t>
      </w:r>
      <w:r w:rsidR="000F1D29">
        <w:rPr>
          <w:rFonts w:eastAsia="Times New Roman"/>
        </w:rPr>
        <w:t>y</w:t>
      </w:r>
      <w:r w:rsidR="001B7C7E" w:rsidRPr="003E0C66">
        <w:rPr>
          <w:rFonts w:eastAsia="Times New Roman"/>
        </w:rPr>
        <w:t xml:space="preserve"> i ważn</w:t>
      </w:r>
      <w:r w:rsidR="000F1D29">
        <w:rPr>
          <w:rFonts w:eastAsia="Times New Roman"/>
        </w:rPr>
        <w:t>y</w:t>
      </w:r>
      <w:r w:rsidR="001B7C7E" w:rsidRPr="003E0C66">
        <w:rPr>
          <w:rFonts w:eastAsia="Times New Roman"/>
        </w:rPr>
        <w:t xml:space="preserve"> w danej sprawie</w:t>
      </w:r>
      <w:r w:rsidR="004615D3" w:rsidRPr="003E0C66">
        <w:rPr>
          <w:rFonts w:eastAsia="Times New Roman"/>
        </w:rPr>
        <w:t>’’.</w:t>
      </w:r>
      <w:r w:rsidR="00CA1026">
        <w:rPr>
          <w:rFonts w:eastAsia="Times New Roman"/>
        </w:rPr>
        <w:t xml:space="preserve"> Tak więc celem „</w:t>
      </w:r>
      <w:r w:rsidR="001B7C7E" w:rsidRPr="003E0C66">
        <w:rPr>
          <w:rFonts w:eastAsia="Times New Roman"/>
        </w:rPr>
        <w:t>czynników wyrównawczych’’ jest zapewnienie</w:t>
      </w:r>
      <w:r w:rsidR="003C15D5">
        <w:rPr>
          <w:rFonts w:eastAsia="Times New Roman"/>
        </w:rPr>
        <w:t xml:space="preserve"> przeprowadzenia</w:t>
      </w:r>
      <w:r w:rsidR="001B7C7E" w:rsidRPr="003E0C66">
        <w:rPr>
          <w:rFonts w:eastAsia="Times New Roman"/>
        </w:rPr>
        <w:t xml:space="preserve"> rzetelnej i właściwej </w:t>
      </w:r>
      <w:r w:rsidR="004615D3" w:rsidRPr="003E0C66">
        <w:rPr>
          <w:rFonts w:eastAsia="Times New Roman"/>
        </w:rPr>
        <w:t>oceny wiarygodności dowod</w:t>
      </w:r>
      <w:r w:rsidR="000F1D29">
        <w:rPr>
          <w:rFonts w:eastAsia="Times New Roman"/>
        </w:rPr>
        <w:t>u</w:t>
      </w:r>
      <w:r w:rsidR="004615D3" w:rsidRPr="003E0C66">
        <w:rPr>
          <w:rFonts w:eastAsia="Times New Roman"/>
        </w:rPr>
        <w:t>’’</w:t>
      </w:r>
      <w:r w:rsidR="000F1D29">
        <w:rPr>
          <w:rFonts w:eastAsia="Times New Roman"/>
        </w:rPr>
        <w:t xml:space="preserve"> i tego, że dowód „jest wystarczająco wiarygodny”.</w:t>
      </w:r>
      <w:r w:rsidR="004859DE" w:rsidRPr="003E0C66">
        <w:rPr>
          <w:rFonts w:eastAsia="Times New Roman"/>
        </w:rPr>
        <w:t xml:space="preserve"> </w:t>
      </w:r>
      <w:r w:rsidR="00133305" w:rsidRPr="003E0C66">
        <w:rPr>
          <w:rFonts w:eastAsia="Times New Roman"/>
        </w:rPr>
        <w:t xml:space="preserve">   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21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4859DE" w:rsidRPr="003E0C66">
        <w:rPr>
          <w:rFonts w:eastAsia="Times New Roman"/>
        </w:rPr>
        <w:t>Jak słusznie wskazała większość, sąd orzekający podszedł do dowodów z ostrożnością (zobacz parag</w:t>
      </w:r>
      <w:r w:rsidR="00CA1026">
        <w:rPr>
          <w:rFonts w:eastAsia="Times New Roman"/>
        </w:rPr>
        <w:t xml:space="preserve">rafy 146-150 wyroku). Jednakże </w:t>
      </w:r>
      <w:r w:rsidR="004859DE" w:rsidRPr="003E0C66">
        <w:rPr>
          <w:rFonts w:eastAsia="Times New Roman"/>
        </w:rPr>
        <w:t xml:space="preserve">moim zdaniem </w:t>
      </w:r>
      <w:r w:rsidR="000F1D29">
        <w:rPr>
          <w:rFonts w:eastAsia="Times New Roman"/>
        </w:rPr>
        <w:t>w</w:t>
      </w:r>
      <w:r w:rsidR="004859DE" w:rsidRPr="003E0C66">
        <w:rPr>
          <w:rFonts w:eastAsia="Times New Roman"/>
        </w:rPr>
        <w:t xml:space="preserve">iększość przywiązała zbyt małą wagę do dostępności i mocy innych obciążających dowodów (zobacz paragraf 151, w odniesieniu do paragrafów 143-144). </w:t>
      </w:r>
      <w:r w:rsidR="00C5349B" w:rsidRPr="003E0C66">
        <w:rPr>
          <w:rFonts w:eastAsia="Times New Roman"/>
        </w:rPr>
        <w:t> 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22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CA1026">
        <w:rPr>
          <w:rFonts w:eastAsia="Times New Roman"/>
        </w:rPr>
        <w:t>W mojej opinii</w:t>
      </w:r>
      <w:r w:rsidR="004859DE" w:rsidRPr="003E0C66">
        <w:rPr>
          <w:rFonts w:eastAsia="Times New Roman"/>
        </w:rPr>
        <w:t xml:space="preserve"> Sąd Okręgowy był w posiadaniu bardzo mocnych i spójnych dodatkowych dowodów</w:t>
      </w:r>
      <w:r w:rsidR="000F1D29">
        <w:rPr>
          <w:rFonts w:eastAsia="Times New Roman"/>
        </w:rPr>
        <w:t xml:space="preserve"> obciążających,</w:t>
      </w:r>
      <w:r w:rsidR="004859DE" w:rsidRPr="003E0C66">
        <w:rPr>
          <w:rFonts w:eastAsia="Times New Roman"/>
        </w:rPr>
        <w:t xml:space="preserve"> dotyczących przestępstwa</w:t>
      </w:r>
      <w:r w:rsidR="000F1D29">
        <w:rPr>
          <w:rFonts w:eastAsia="Times New Roman"/>
        </w:rPr>
        <w:t>, za</w:t>
      </w:r>
      <w:r w:rsidR="004859DE" w:rsidRPr="003E0C66">
        <w:rPr>
          <w:rFonts w:eastAsia="Times New Roman"/>
        </w:rPr>
        <w:t xml:space="preserve"> popełnienie którego skarżący został </w:t>
      </w:r>
      <w:r w:rsidR="000F1D29">
        <w:rPr>
          <w:rFonts w:eastAsia="Times New Roman"/>
        </w:rPr>
        <w:t>skazany</w:t>
      </w:r>
      <w:r w:rsidR="004859DE" w:rsidRPr="003E0C66">
        <w:rPr>
          <w:rFonts w:eastAsia="Times New Roman"/>
        </w:rPr>
        <w:t xml:space="preserve">. Na podstawie dodatkowych </w:t>
      </w:r>
      <w:r w:rsidR="004859DE" w:rsidRPr="003E0C66">
        <w:rPr>
          <w:rFonts w:eastAsia="Times New Roman"/>
        </w:rPr>
        <w:lastRenderedPageBreak/>
        <w:t>dowodów możliwym było</w:t>
      </w:r>
      <w:r w:rsidR="000F1D29">
        <w:rPr>
          <w:rFonts w:eastAsia="Times New Roman"/>
        </w:rPr>
        <w:t xml:space="preserve"> dokonanie przez</w:t>
      </w:r>
      <w:r w:rsidR="004859DE" w:rsidRPr="003E0C66">
        <w:rPr>
          <w:rFonts w:eastAsia="Times New Roman"/>
        </w:rPr>
        <w:t xml:space="preserve"> Sąd Okręgowy oceny wiarygodności zeznań nieobecnych świadków O. </w:t>
      </w:r>
      <w:r w:rsidR="00CA1026">
        <w:rPr>
          <w:rFonts w:eastAsia="Times New Roman"/>
        </w:rPr>
        <w:t>i P. Zdaniem sądu orzekającego „</w:t>
      </w:r>
      <w:r w:rsidR="004859DE" w:rsidRPr="003E0C66">
        <w:rPr>
          <w:rFonts w:eastAsia="Times New Roman"/>
        </w:rPr>
        <w:t>materiał dowodowy</w:t>
      </w:r>
      <w:r w:rsidR="000F1D29">
        <w:rPr>
          <w:rFonts w:eastAsia="Times New Roman"/>
        </w:rPr>
        <w:t>, wzięty pod uwagę całościowo,</w:t>
      </w:r>
      <w:r w:rsidR="004859DE" w:rsidRPr="003E0C66">
        <w:rPr>
          <w:rFonts w:eastAsia="Times New Roman"/>
        </w:rPr>
        <w:t xml:space="preserve"> dał spójny i kompletny obraz wydarzeń, któr</w:t>
      </w:r>
      <w:r w:rsidR="000F1D29">
        <w:rPr>
          <w:rFonts w:eastAsia="Times New Roman"/>
        </w:rPr>
        <w:t>y</w:t>
      </w:r>
      <w:r w:rsidR="004859DE" w:rsidRPr="003E0C66">
        <w:rPr>
          <w:rFonts w:eastAsia="Times New Roman"/>
        </w:rPr>
        <w:t xml:space="preserve"> potwierdzał wersję wydarzeń przedstawioną przez </w:t>
      </w:r>
      <w:r w:rsidR="00352ED0" w:rsidRPr="003E0C66">
        <w:rPr>
          <w:rFonts w:eastAsia="Times New Roman"/>
        </w:rPr>
        <w:t xml:space="preserve">świadków O. i P., </w:t>
      </w:r>
      <w:r w:rsidR="000F1D29">
        <w:rPr>
          <w:rFonts w:eastAsia="Times New Roman"/>
        </w:rPr>
        <w:t xml:space="preserve">a </w:t>
      </w:r>
      <w:r w:rsidR="00352ED0" w:rsidRPr="003E0C66">
        <w:rPr>
          <w:rFonts w:eastAsia="Times New Roman"/>
        </w:rPr>
        <w:t xml:space="preserve">zarazem </w:t>
      </w:r>
      <w:r w:rsidR="000F1D29">
        <w:rPr>
          <w:rFonts w:eastAsia="Times New Roman"/>
        </w:rPr>
        <w:t>obalił</w:t>
      </w:r>
      <w:r w:rsidR="000F1D29" w:rsidRPr="003E0C66">
        <w:rPr>
          <w:rFonts w:eastAsia="Times New Roman"/>
        </w:rPr>
        <w:t xml:space="preserve"> </w:t>
      </w:r>
      <w:r w:rsidR="000F1D29">
        <w:rPr>
          <w:rFonts w:eastAsia="Times New Roman"/>
        </w:rPr>
        <w:t>odmienne</w:t>
      </w:r>
      <w:r w:rsidR="000F1D29" w:rsidRPr="003E0C66">
        <w:rPr>
          <w:rFonts w:eastAsia="Times New Roman"/>
        </w:rPr>
        <w:t xml:space="preserve"> </w:t>
      </w:r>
      <w:r w:rsidR="00352ED0" w:rsidRPr="003E0C66">
        <w:rPr>
          <w:rFonts w:eastAsia="Times New Roman"/>
        </w:rPr>
        <w:t xml:space="preserve">wersje </w:t>
      </w:r>
      <w:r w:rsidR="000F1D29">
        <w:rPr>
          <w:rFonts w:eastAsia="Times New Roman"/>
        </w:rPr>
        <w:t>wy</w:t>
      </w:r>
      <w:r w:rsidR="00352ED0" w:rsidRPr="003E0C66">
        <w:rPr>
          <w:rFonts w:eastAsia="Times New Roman"/>
        </w:rPr>
        <w:t xml:space="preserve">darzeń przedstawione przez skarżącego i jego wspólników podczas rozprawy” (zobacz paragraf 46 wyroku). </w:t>
      </w:r>
      <w:r w:rsidR="004859DE" w:rsidRPr="003E0C66">
        <w:rPr>
          <w:rFonts w:eastAsia="Times New Roman"/>
        </w:rPr>
        <w:t xml:space="preserve">    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23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352ED0" w:rsidRPr="003E0C66">
        <w:rPr>
          <w:rFonts w:eastAsia="Times New Roman"/>
        </w:rPr>
        <w:t>Ponadto</w:t>
      </w:r>
      <w:r w:rsidR="001F2CC4">
        <w:rPr>
          <w:rFonts w:eastAsia="Times New Roman"/>
        </w:rPr>
        <w:t>,</w:t>
      </w:r>
      <w:r w:rsidR="00352ED0" w:rsidRPr="003E0C66">
        <w:rPr>
          <w:rFonts w:eastAsia="Times New Roman"/>
        </w:rPr>
        <w:t xml:space="preserve"> jak słusznie wskazała większość, skarżący miał możliwość przedstawienia swojej wersji wydarzeń oraz przesłuchania innych świadków </w:t>
      </w:r>
      <w:r w:rsidR="001F2CC4">
        <w:rPr>
          <w:rFonts w:eastAsia="Times New Roman"/>
        </w:rPr>
        <w:t>stawających</w:t>
      </w:r>
      <w:r w:rsidR="001F2CC4" w:rsidRPr="003E0C66">
        <w:rPr>
          <w:rFonts w:eastAsia="Times New Roman"/>
        </w:rPr>
        <w:t xml:space="preserve"> </w:t>
      </w:r>
      <w:r w:rsidR="00352ED0" w:rsidRPr="003E0C66">
        <w:rPr>
          <w:rFonts w:eastAsia="Times New Roman"/>
        </w:rPr>
        <w:t>przed sądem orzekającym w tej sprawie (zobacz paragraf 152 wyroku). Co więcej</w:t>
      </w:r>
      <w:r w:rsidR="001F2CC4">
        <w:rPr>
          <w:rFonts w:eastAsia="Times New Roman"/>
        </w:rPr>
        <w:t>,</w:t>
      </w:r>
      <w:r w:rsidR="00352ED0" w:rsidRPr="003E0C66">
        <w:rPr>
          <w:rFonts w:eastAsia="Times New Roman"/>
        </w:rPr>
        <w:t xml:space="preserve"> skarżący miał możliwość zakwestionowania użycia i znaczenia pisemnych </w:t>
      </w:r>
      <w:r w:rsidR="001F2CC4">
        <w:rPr>
          <w:rFonts w:eastAsia="Times New Roman"/>
        </w:rPr>
        <w:t>zeznań</w:t>
      </w:r>
      <w:r w:rsidR="00352ED0" w:rsidRPr="003E0C66">
        <w:rPr>
          <w:rFonts w:eastAsia="Times New Roman"/>
        </w:rPr>
        <w:t xml:space="preserve">.    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24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CA1026">
        <w:rPr>
          <w:rFonts w:eastAsia="Times New Roman"/>
        </w:rPr>
        <w:t xml:space="preserve"> W istocie</w:t>
      </w:r>
      <w:r w:rsidR="00352ED0" w:rsidRPr="003E0C66">
        <w:rPr>
          <w:rFonts w:eastAsia="Times New Roman"/>
        </w:rPr>
        <w:t xml:space="preserve"> podstawowym argumentem przemawiającym za </w:t>
      </w:r>
      <w:r w:rsidR="001F2CC4">
        <w:rPr>
          <w:rFonts w:eastAsia="Times New Roman"/>
        </w:rPr>
        <w:t xml:space="preserve">stwierdzeniem </w:t>
      </w:r>
      <w:r w:rsidR="00352ED0" w:rsidRPr="003E0C66">
        <w:rPr>
          <w:rFonts w:eastAsia="Times New Roman"/>
        </w:rPr>
        <w:t>naruszeni</w:t>
      </w:r>
      <w:r w:rsidR="001F2CC4">
        <w:rPr>
          <w:rFonts w:eastAsia="Times New Roman"/>
        </w:rPr>
        <w:t>a</w:t>
      </w:r>
      <w:r w:rsidR="00352ED0" w:rsidRPr="003E0C66">
        <w:rPr>
          <w:rFonts w:eastAsia="Times New Roman"/>
        </w:rPr>
        <w:t xml:space="preserve"> Artykułu 6 Konwencji w tej sprawie wydaje się być fakt, iż władze krajowe nie </w:t>
      </w:r>
      <w:r w:rsidR="001F2CC4">
        <w:rPr>
          <w:rFonts w:eastAsia="Times New Roman"/>
        </w:rPr>
        <w:t>ustanowiły</w:t>
      </w:r>
      <w:r w:rsidR="001F2CC4" w:rsidRPr="003E0C66">
        <w:rPr>
          <w:rFonts w:eastAsia="Times New Roman"/>
        </w:rPr>
        <w:t xml:space="preserve"> </w:t>
      </w:r>
      <w:r w:rsidR="00352ED0" w:rsidRPr="003E0C66">
        <w:rPr>
          <w:rFonts w:eastAsia="Times New Roman"/>
        </w:rPr>
        <w:t xml:space="preserve">obrońcy dla oskarżonego przed przesłuchaniem dwóch świadków, co dałoby skarżącemu możliwość przesłuchania świadków </w:t>
      </w:r>
      <w:r w:rsidR="001F2CC4">
        <w:rPr>
          <w:rFonts w:eastAsia="Times New Roman"/>
        </w:rPr>
        <w:t>za pośrednictwem</w:t>
      </w:r>
      <w:r w:rsidR="00352ED0" w:rsidRPr="003E0C66">
        <w:rPr>
          <w:rFonts w:eastAsia="Times New Roman"/>
        </w:rPr>
        <w:t xml:space="preserve"> </w:t>
      </w:r>
      <w:r w:rsidR="00CA1026">
        <w:rPr>
          <w:rFonts w:eastAsia="Times New Roman"/>
        </w:rPr>
        <w:t xml:space="preserve">prawnika </w:t>
      </w:r>
      <w:r w:rsidR="00352ED0" w:rsidRPr="003E0C66">
        <w:rPr>
          <w:rFonts w:eastAsia="Times New Roman"/>
        </w:rPr>
        <w:t xml:space="preserve">wyznaczonego </w:t>
      </w:r>
      <w:r w:rsidR="001F2CC4">
        <w:rPr>
          <w:rFonts w:eastAsia="Times New Roman"/>
        </w:rPr>
        <w:t>do reprezentowania go</w:t>
      </w:r>
      <w:r w:rsidR="00352ED0" w:rsidRPr="003E0C66">
        <w:rPr>
          <w:rFonts w:eastAsia="Times New Roman"/>
        </w:rPr>
        <w:t xml:space="preserve"> na etapie dochodzenia (zobacz paragrafy 153-160 wyroku)</w:t>
      </w:r>
      <w:r w:rsidR="001F2CC4">
        <w:rPr>
          <w:rFonts w:eastAsia="Times New Roman"/>
        </w:rPr>
        <w:t>.</w:t>
      </w:r>
      <w:r w:rsidR="00C5349B" w:rsidRPr="003E0C66">
        <w:rPr>
          <w:rFonts w:eastAsia="Times New Roman"/>
        </w:rPr>
        <w:t> 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25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352ED0" w:rsidRPr="003E0C66">
        <w:rPr>
          <w:rFonts w:eastAsia="Times New Roman"/>
        </w:rPr>
        <w:t xml:space="preserve">Nie zgadzam się z większością w ocenie znaczenia postępowania </w:t>
      </w:r>
      <w:proofErr w:type="spellStart"/>
      <w:r w:rsidR="00352ED0" w:rsidRPr="003E0C66">
        <w:rPr>
          <w:rFonts w:eastAsia="Times New Roman"/>
        </w:rPr>
        <w:t>przedprocesowego</w:t>
      </w:r>
      <w:proofErr w:type="spellEnd"/>
      <w:r w:rsidR="00352ED0" w:rsidRPr="003E0C66">
        <w:rPr>
          <w:rFonts w:eastAsia="Times New Roman"/>
        </w:rPr>
        <w:t xml:space="preserve"> dla ogólnej </w:t>
      </w:r>
      <w:r w:rsidR="001F2CC4">
        <w:rPr>
          <w:rFonts w:eastAsia="Times New Roman"/>
        </w:rPr>
        <w:t>rzetelności</w:t>
      </w:r>
      <w:r w:rsidR="001F2CC4" w:rsidRPr="003E0C66">
        <w:rPr>
          <w:rFonts w:eastAsia="Times New Roman"/>
        </w:rPr>
        <w:t xml:space="preserve"> </w:t>
      </w:r>
      <w:r w:rsidR="001F2CC4">
        <w:rPr>
          <w:rFonts w:eastAsia="Times New Roman"/>
        </w:rPr>
        <w:t>postępowania</w:t>
      </w:r>
      <w:r w:rsidR="001F2CC4" w:rsidRPr="003E0C66">
        <w:rPr>
          <w:rFonts w:eastAsia="Times New Roman"/>
        </w:rPr>
        <w:t xml:space="preserve"> </w:t>
      </w:r>
      <w:r w:rsidR="00352ED0" w:rsidRPr="003E0C66">
        <w:rPr>
          <w:rFonts w:eastAsia="Times New Roman"/>
        </w:rPr>
        <w:t xml:space="preserve">w niniejszej sprawie. </w:t>
      </w:r>
      <w:r w:rsidR="00C5349B" w:rsidRPr="003E0C66">
        <w:rPr>
          <w:rFonts w:eastAsia="Times New Roman"/>
        </w:rPr>
        <w:t> 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26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352ED0" w:rsidRPr="003E0C66">
        <w:rPr>
          <w:rFonts w:eastAsia="Times New Roman"/>
        </w:rPr>
        <w:t xml:space="preserve">Po pierwsze, gdyby </w:t>
      </w:r>
      <w:r w:rsidR="00FA6D82" w:rsidRPr="003E0C66">
        <w:rPr>
          <w:rFonts w:eastAsia="Times New Roman"/>
        </w:rPr>
        <w:t xml:space="preserve">został </w:t>
      </w:r>
      <w:r w:rsidR="00FA6D82">
        <w:rPr>
          <w:rFonts w:eastAsia="Times New Roman"/>
        </w:rPr>
        <w:t>wyznaczony</w:t>
      </w:r>
      <w:r w:rsidR="00FA6D82" w:rsidRPr="003E0C66">
        <w:rPr>
          <w:rFonts w:eastAsia="Times New Roman"/>
        </w:rPr>
        <w:t xml:space="preserve"> </w:t>
      </w:r>
      <w:r w:rsidR="00FA6D82">
        <w:rPr>
          <w:rFonts w:eastAsia="Times New Roman"/>
        </w:rPr>
        <w:t>prawnik</w:t>
      </w:r>
      <w:r w:rsidR="00FA6D82" w:rsidRPr="003E0C66">
        <w:rPr>
          <w:rFonts w:eastAsia="Times New Roman"/>
        </w:rPr>
        <w:t xml:space="preserve"> </w:t>
      </w:r>
      <w:r w:rsidR="00352ED0" w:rsidRPr="003E0C66">
        <w:rPr>
          <w:rFonts w:eastAsia="Times New Roman"/>
        </w:rPr>
        <w:t xml:space="preserve">do reprezentowania skarżącego na </w:t>
      </w:r>
      <w:r w:rsidR="00FA6D82">
        <w:rPr>
          <w:rFonts w:eastAsia="Times New Roman"/>
        </w:rPr>
        <w:t>wczesnym</w:t>
      </w:r>
      <w:r w:rsidR="00FA6D82" w:rsidRPr="003E0C66">
        <w:rPr>
          <w:rFonts w:eastAsia="Times New Roman"/>
        </w:rPr>
        <w:t xml:space="preserve"> </w:t>
      </w:r>
      <w:r w:rsidR="00352ED0" w:rsidRPr="003E0C66">
        <w:rPr>
          <w:rFonts w:eastAsia="Times New Roman"/>
        </w:rPr>
        <w:t xml:space="preserve">etapie </w:t>
      </w:r>
      <w:r w:rsidR="006A2438" w:rsidRPr="003E0C66">
        <w:rPr>
          <w:rFonts w:eastAsia="Times New Roman"/>
        </w:rPr>
        <w:t xml:space="preserve">postępowania, kiedy dwoje świadków O. i P. </w:t>
      </w:r>
      <w:r w:rsidR="00FA6D82">
        <w:rPr>
          <w:rFonts w:eastAsia="Times New Roman"/>
        </w:rPr>
        <w:t>były</w:t>
      </w:r>
      <w:r w:rsidR="00FA6D82" w:rsidRPr="003E0C66">
        <w:rPr>
          <w:rFonts w:eastAsia="Times New Roman"/>
        </w:rPr>
        <w:t xml:space="preserve"> przesłuch</w:t>
      </w:r>
      <w:r w:rsidR="00FA6D82">
        <w:rPr>
          <w:rFonts w:eastAsia="Times New Roman"/>
        </w:rPr>
        <w:t>iwane</w:t>
      </w:r>
      <w:r w:rsidR="00FA6D82" w:rsidRPr="003E0C66">
        <w:rPr>
          <w:rFonts w:eastAsia="Times New Roman"/>
        </w:rPr>
        <w:t xml:space="preserve"> </w:t>
      </w:r>
      <w:r w:rsidR="006A2438" w:rsidRPr="003E0C66">
        <w:rPr>
          <w:rFonts w:eastAsia="Times New Roman"/>
        </w:rPr>
        <w:t xml:space="preserve">przez sędziego </w:t>
      </w:r>
      <w:r w:rsidR="00FA6D82">
        <w:rPr>
          <w:rFonts w:eastAsia="Times New Roman"/>
        </w:rPr>
        <w:t>śledczego</w:t>
      </w:r>
      <w:r w:rsidR="006A2438" w:rsidRPr="003E0C66">
        <w:rPr>
          <w:rFonts w:eastAsia="Times New Roman"/>
        </w:rPr>
        <w:t xml:space="preserve"> oraz jeśli skarżący i jego prawnik zostaliby poinformowani o przesłuchaniu świadków oraz dano by im możliwość przesłuchania świadków </w:t>
      </w:r>
      <w:r w:rsidR="00FA6D82">
        <w:rPr>
          <w:rFonts w:eastAsia="Times New Roman"/>
        </w:rPr>
        <w:t>w czasie, gdy składały zeznania,</w:t>
      </w:r>
      <w:r w:rsidR="006A2438" w:rsidRPr="003E0C66">
        <w:rPr>
          <w:rFonts w:eastAsia="Times New Roman"/>
        </w:rPr>
        <w:t xml:space="preserve"> nie byłoby </w:t>
      </w:r>
      <w:r w:rsidR="00FA6D82">
        <w:rPr>
          <w:rFonts w:eastAsia="Times New Roman"/>
        </w:rPr>
        <w:t xml:space="preserve">po prostu </w:t>
      </w:r>
      <w:r w:rsidR="006A2438" w:rsidRPr="003E0C66">
        <w:rPr>
          <w:rFonts w:eastAsia="Times New Roman"/>
        </w:rPr>
        <w:t xml:space="preserve">skargi </w:t>
      </w:r>
      <w:r w:rsidR="00FA6D82">
        <w:rPr>
          <w:rFonts w:eastAsia="Times New Roman"/>
        </w:rPr>
        <w:t>na podstawie Konwencji</w:t>
      </w:r>
      <w:r w:rsidR="006A2438" w:rsidRPr="003E0C66">
        <w:rPr>
          <w:rFonts w:eastAsia="Times New Roman"/>
        </w:rPr>
        <w:t>. Orzecznictwo Trybunału</w:t>
      </w:r>
      <w:r w:rsidR="00FA6D82">
        <w:rPr>
          <w:rFonts w:eastAsia="Times New Roman"/>
        </w:rPr>
        <w:t>,</w:t>
      </w:r>
      <w:r w:rsidR="006A2438" w:rsidRPr="003E0C66">
        <w:rPr>
          <w:rFonts w:eastAsia="Times New Roman"/>
        </w:rPr>
        <w:t xml:space="preserve"> </w:t>
      </w:r>
      <w:r w:rsidR="00FA6D82">
        <w:rPr>
          <w:rFonts w:eastAsia="Times New Roman"/>
        </w:rPr>
        <w:t>odnoszące się do</w:t>
      </w:r>
      <w:r w:rsidR="00FA6D82" w:rsidRPr="003E0C66">
        <w:rPr>
          <w:rFonts w:eastAsia="Times New Roman"/>
        </w:rPr>
        <w:t xml:space="preserve"> </w:t>
      </w:r>
      <w:r w:rsidR="006A2438" w:rsidRPr="003E0C66">
        <w:rPr>
          <w:rFonts w:eastAsia="Times New Roman"/>
        </w:rPr>
        <w:t xml:space="preserve">użycia </w:t>
      </w:r>
      <w:r w:rsidR="00FA6D82">
        <w:rPr>
          <w:rFonts w:eastAsia="Times New Roman"/>
        </w:rPr>
        <w:t>pisemnych</w:t>
      </w:r>
      <w:r w:rsidR="00FA6D82" w:rsidRPr="003E0C66">
        <w:rPr>
          <w:rFonts w:eastAsia="Times New Roman"/>
        </w:rPr>
        <w:t xml:space="preserve"> </w:t>
      </w:r>
      <w:r w:rsidR="006A2438" w:rsidRPr="003E0C66">
        <w:rPr>
          <w:rFonts w:eastAsia="Times New Roman"/>
        </w:rPr>
        <w:t>zeznań nieobecnych świadków</w:t>
      </w:r>
      <w:r w:rsidR="00CA1026">
        <w:rPr>
          <w:rFonts w:eastAsia="Times New Roman"/>
        </w:rPr>
        <w:t xml:space="preserve"> dotyczy „</w:t>
      </w:r>
      <w:r w:rsidR="00FA6D82">
        <w:rPr>
          <w:rFonts w:eastAsia="Times New Roman"/>
        </w:rPr>
        <w:t>zeznań osoby</w:t>
      </w:r>
      <w:r w:rsidR="006A2438" w:rsidRPr="003E0C66">
        <w:rPr>
          <w:rFonts w:eastAsia="Times New Roman"/>
        </w:rPr>
        <w:t>, której oskarżony nie miał możliwości przesłuchać</w:t>
      </w:r>
      <w:r w:rsidR="00FA6D82">
        <w:rPr>
          <w:rFonts w:eastAsia="Times New Roman"/>
        </w:rPr>
        <w:t xml:space="preserve"> ani spowodować przesłuchania,</w:t>
      </w:r>
      <w:r w:rsidR="006A2438" w:rsidRPr="003E0C66">
        <w:rPr>
          <w:rFonts w:eastAsia="Times New Roman"/>
        </w:rPr>
        <w:t xml:space="preserve"> podczas dochodzenia </w:t>
      </w:r>
      <w:r w:rsidR="00FA6D82">
        <w:rPr>
          <w:rFonts w:eastAsia="Times New Roman"/>
        </w:rPr>
        <w:t>albo</w:t>
      </w:r>
      <w:r w:rsidR="00FA6D82" w:rsidRPr="003E0C66">
        <w:rPr>
          <w:rFonts w:eastAsia="Times New Roman"/>
        </w:rPr>
        <w:t xml:space="preserve"> </w:t>
      </w:r>
      <w:r w:rsidR="006A2438" w:rsidRPr="003E0C66">
        <w:rPr>
          <w:rFonts w:eastAsia="Times New Roman"/>
        </w:rPr>
        <w:t xml:space="preserve">procesu” (zobacz </w:t>
      </w:r>
      <w:r w:rsidR="00C5349B" w:rsidRPr="003E0C66">
        <w:rPr>
          <w:rFonts w:eastAsia="Times New Roman"/>
          <w:i/>
        </w:rPr>
        <w:t xml:space="preserve">Al-Khawaja </w:t>
      </w:r>
      <w:r w:rsidR="006A2438" w:rsidRPr="003E0C66">
        <w:rPr>
          <w:rFonts w:eastAsia="Times New Roman"/>
          <w:i/>
        </w:rPr>
        <w:t>i</w:t>
      </w:r>
      <w:r w:rsidR="00C5349B" w:rsidRPr="003E0C66">
        <w:rPr>
          <w:rFonts w:eastAsia="Times New Roman"/>
          <w:i/>
        </w:rPr>
        <w:t xml:space="preserve"> Tahery</w:t>
      </w:r>
      <w:r w:rsidR="00C5349B" w:rsidRPr="003E0C66">
        <w:rPr>
          <w:rFonts w:eastAsia="Times New Roman"/>
        </w:rPr>
        <w:t xml:space="preserve">, </w:t>
      </w:r>
      <w:r w:rsidR="00FA6D82">
        <w:rPr>
          <w:rFonts w:eastAsia="Times New Roman"/>
        </w:rPr>
        <w:t>cytowany powyżej</w:t>
      </w:r>
      <w:r w:rsidR="00C5349B" w:rsidRPr="003E0C66">
        <w:rPr>
          <w:rFonts w:eastAsia="Times New Roman"/>
        </w:rPr>
        <w:t xml:space="preserve">, § 119). </w:t>
      </w:r>
      <w:r w:rsidR="006A2438" w:rsidRPr="003E0C66">
        <w:rPr>
          <w:rFonts w:eastAsia="Times New Roman"/>
        </w:rPr>
        <w:t xml:space="preserve">Innymi słowy, gdyby skarżący miał możliwość przesłuchania świadków O. i P. podczas </w:t>
      </w:r>
      <w:r w:rsidR="00FA6D82">
        <w:rPr>
          <w:rFonts w:eastAsia="Times New Roman"/>
        </w:rPr>
        <w:t>gdy</w:t>
      </w:r>
      <w:r w:rsidR="006A2438" w:rsidRPr="003E0C66">
        <w:rPr>
          <w:rFonts w:eastAsia="Times New Roman"/>
        </w:rPr>
        <w:t xml:space="preserve"> były</w:t>
      </w:r>
      <w:r w:rsidR="00FA6D82">
        <w:rPr>
          <w:rFonts w:eastAsia="Times New Roman"/>
        </w:rPr>
        <w:t xml:space="preserve"> one</w:t>
      </w:r>
      <w:r w:rsidR="006A2438" w:rsidRPr="003E0C66">
        <w:rPr>
          <w:rFonts w:eastAsia="Times New Roman"/>
        </w:rPr>
        <w:t xml:space="preserve"> przesłuchiwane przez sędziego </w:t>
      </w:r>
      <w:r w:rsidR="00FA6D82">
        <w:rPr>
          <w:rFonts w:eastAsia="Times New Roman"/>
        </w:rPr>
        <w:t>śledczego</w:t>
      </w:r>
      <w:r w:rsidR="001A7000" w:rsidRPr="003E0C66">
        <w:rPr>
          <w:rFonts w:eastAsia="Times New Roman"/>
        </w:rPr>
        <w:t xml:space="preserve">, późniejsze </w:t>
      </w:r>
      <w:r w:rsidR="00FA6D82">
        <w:rPr>
          <w:rFonts w:eastAsia="Times New Roman"/>
        </w:rPr>
        <w:t>użycie</w:t>
      </w:r>
      <w:r w:rsidR="00FA6D82" w:rsidRPr="003E0C66">
        <w:rPr>
          <w:rFonts w:eastAsia="Times New Roman"/>
        </w:rPr>
        <w:t xml:space="preserve"> </w:t>
      </w:r>
      <w:r w:rsidR="001A7000" w:rsidRPr="003E0C66">
        <w:rPr>
          <w:rFonts w:eastAsia="Times New Roman"/>
        </w:rPr>
        <w:t xml:space="preserve">ich zeznań nie </w:t>
      </w:r>
      <w:r w:rsidR="00FA6D82">
        <w:rPr>
          <w:rFonts w:eastAsia="Times New Roman"/>
        </w:rPr>
        <w:t>wywołałoby</w:t>
      </w:r>
      <w:r w:rsidR="001A7000" w:rsidRPr="003E0C66">
        <w:rPr>
          <w:rFonts w:eastAsia="Times New Roman"/>
        </w:rPr>
        <w:t xml:space="preserve"> kwestii </w:t>
      </w:r>
      <w:r w:rsidR="00FA6D82">
        <w:rPr>
          <w:rFonts w:eastAsia="Times New Roman"/>
        </w:rPr>
        <w:t xml:space="preserve">rzetelności </w:t>
      </w:r>
      <w:r w:rsidR="00EC6B60" w:rsidRPr="003E0C66">
        <w:rPr>
          <w:rFonts w:eastAsia="Times New Roman"/>
        </w:rPr>
        <w:t>postępowania</w:t>
      </w:r>
      <w:r w:rsidR="001A7000" w:rsidRPr="003E0C66">
        <w:rPr>
          <w:rFonts w:eastAsia="Times New Roman"/>
        </w:rPr>
        <w:t xml:space="preserve"> (zobacz, na przykład, </w:t>
      </w:r>
      <w:proofErr w:type="spellStart"/>
      <w:r w:rsidR="00C5349B" w:rsidRPr="003E0C66">
        <w:rPr>
          <w:rFonts w:eastAsia="Times New Roman"/>
          <w:i/>
        </w:rPr>
        <w:t>Sadak</w:t>
      </w:r>
      <w:proofErr w:type="spellEnd"/>
      <w:r w:rsidR="00C5349B" w:rsidRPr="003E0C66">
        <w:rPr>
          <w:rFonts w:eastAsia="Times New Roman"/>
          <w:i/>
        </w:rPr>
        <w:t xml:space="preserve"> </w:t>
      </w:r>
      <w:r w:rsidR="001A7000" w:rsidRPr="003E0C66">
        <w:rPr>
          <w:rFonts w:eastAsia="Times New Roman"/>
          <w:i/>
        </w:rPr>
        <w:t>i Inni przeciwko Turcji (</w:t>
      </w:r>
      <w:r w:rsidR="00F749AE" w:rsidRPr="003E0C66">
        <w:rPr>
          <w:rFonts w:eastAsia="Times New Roman"/>
          <w:i/>
        </w:rPr>
        <w:t>nr</w:t>
      </w:r>
      <w:r w:rsidR="00C5349B" w:rsidRPr="003E0C66">
        <w:rPr>
          <w:rFonts w:eastAsia="Times New Roman"/>
          <w:i/>
        </w:rPr>
        <w:t xml:space="preserve"> 1)</w:t>
      </w:r>
      <w:r w:rsidR="001A7000" w:rsidRPr="003E0C66">
        <w:rPr>
          <w:rFonts w:eastAsia="Times New Roman"/>
        </w:rPr>
        <w:t xml:space="preserve">, </w:t>
      </w:r>
      <w:r w:rsidR="00F749AE" w:rsidRPr="003E0C66">
        <w:rPr>
          <w:rFonts w:eastAsia="Times New Roman"/>
        </w:rPr>
        <w:t>nr</w:t>
      </w:r>
      <w:r w:rsidR="001A7000" w:rsidRPr="003E0C66">
        <w:rPr>
          <w:rFonts w:eastAsia="Times New Roman"/>
        </w:rPr>
        <w:t xml:space="preserve"> 29900/96, 29901/96, 29902/96 oraz</w:t>
      </w:r>
      <w:r w:rsidR="00C5349B" w:rsidRPr="003E0C66">
        <w:rPr>
          <w:rFonts w:eastAsia="Times New Roman"/>
        </w:rPr>
        <w:t xml:space="preserve"> 29903/96, § 65, </w:t>
      </w:r>
      <w:r w:rsidR="00F749AE" w:rsidRPr="003E0C66">
        <w:rPr>
          <w:rFonts w:eastAsia="Times New Roman"/>
        </w:rPr>
        <w:t>ETPCZ</w:t>
      </w:r>
      <w:r w:rsidR="00C5349B" w:rsidRPr="003E0C66">
        <w:rPr>
          <w:rFonts w:eastAsia="Times New Roman"/>
        </w:rPr>
        <w:t xml:space="preserve"> 2001</w:t>
      </w:r>
      <w:r w:rsidR="00C5349B" w:rsidRPr="003E0C66">
        <w:rPr>
          <w:rFonts w:eastAsia="Times New Roman"/>
        </w:rPr>
        <w:noBreakHyphen/>
        <w:t xml:space="preserve">VIII; </w:t>
      </w:r>
      <w:r w:rsidR="00C5349B" w:rsidRPr="003E0C66">
        <w:rPr>
          <w:rFonts w:eastAsia="Times New Roman"/>
          <w:i/>
        </w:rPr>
        <w:t xml:space="preserve">Sommer </w:t>
      </w:r>
      <w:r w:rsidR="001A7000" w:rsidRPr="003E0C66">
        <w:rPr>
          <w:rFonts w:eastAsia="Times New Roman"/>
          <w:i/>
        </w:rPr>
        <w:t>przeciwko Włochom</w:t>
      </w:r>
      <w:r w:rsidR="00C5349B" w:rsidRPr="003E0C66">
        <w:rPr>
          <w:rFonts w:eastAsia="Times New Roman"/>
        </w:rPr>
        <w:t xml:space="preserve"> (</w:t>
      </w:r>
      <w:proofErr w:type="spellStart"/>
      <w:r w:rsidR="00C5349B" w:rsidRPr="003E0C66">
        <w:rPr>
          <w:rFonts w:eastAsia="Times New Roman"/>
        </w:rPr>
        <w:t>dec</w:t>
      </w:r>
      <w:proofErr w:type="spellEnd"/>
      <w:r w:rsidR="00C5349B" w:rsidRPr="003E0C66">
        <w:rPr>
          <w:rFonts w:eastAsia="Times New Roman"/>
        </w:rPr>
        <w:t xml:space="preserve">.), </w:t>
      </w:r>
      <w:r w:rsidR="00F749AE" w:rsidRPr="003E0C66">
        <w:rPr>
          <w:rFonts w:eastAsia="Times New Roman"/>
        </w:rPr>
        <w:t>nr</w:t>
      </w:r>
      <w:r w:rsidR="00C5349B" w:rsidRPr="003E0C66">
        <w:rPr>
          <w:rFonts w:eastAsia="Times New Roman"/>
        </w:rPr>
        <w:t xml:space="preserve"> 36586/08, 23 </w:t>
      </w:r>
      <w:r w:rsidR="001A7000" w:rsidRPr="003E0C66">
        <w:rPr>
          <w:rFonts w:eastAsia="Times New Roman"/>
        </w:rPr>
        <w:t>marca</w:t>
      </w:r>
      <w:r w:rsidR="00C5349B" w:rsidRPr="003E0C66">
        <w:rPr>
          <w:rFonts w:eastAsia="Times New Roman"/>
        </w:rPr>
        <w:t xml:space="preserve"> 2010</w:t>
      </w:r>
      <w:r w:rsidR="00FA6D82">
        <w:rPr>
          <w:rFonts w:eastAsia="Times New Roman"/>
        </w:rPr>
        <w:t xml:space="preserve"> roku</w:t>
      </w:r>
      <w:r w:rsidR="00C5349B" w:rsidRPr="003E0C66">
        <w:rPr>
          <w:rFonts w:eastAsia="Times New Roman"/>
        </w:rPr>
        <w:t xml:space="preserve">; </w:t>
      </w:r>
      <w:r w:rsidR="00C5349B" w:rsidRPr="003E0C66">
        <w:rPr>
          <w:rFonts w:eastAsia="Times New Roman"/>
          <w:i/>
        </w:rPr>
        <w:t xml:space="preserve">Chmura </w:t>
      </w:r>
      <w:r w:rsidR="001A7000" w:rsidRPr="003E0C66">
        <w:rPr>
          <w:rFonts w:eastAsia="Times New Roman"/>
          <w:i/>
        </w:rPr>
        <w:t>przeciwko Polsce</w:t>
      </w:r>
      <w:r w:rsidR="00C5349B" w:rsidRPr="003E0C66">
        <w:rPr>
          <w:rFonts w:eastAsia="Times New Roman"/>
        </w:rPr>
        <w:t xml:space="preserve">, </w:t>
      </w:r>
      <w:r w:rsidR="00F749AE" w:rsidRPr="003E0C66">
        <w:rPr>
          <w:rFonts w:eastAsia="Times New Roman"/>
        </w:rPr>
        <w:t>nr</w:t>
      </w:r>
      <w:r w:rsidR="00C5349B" w:rsidRPr="003E0C66">
        <w:rPr>
          <w:rFonts w:eastAsia="Times New Roman"/>
        </w:rPr>
        <w:t xml:space="preserve"> 18475/05</w:t>
      </w:r>
      <w:r w:rsidR="00C5349B" w:rsidRPr="003E0C66">
        <w:rPr>
          <w:rFonts w:eastAsia="Times New Roman"/>
          <w:snapToGrid w:val="0"/>
          <w:szCs w:val="24"/>
        </w:rPr>
        <w:t xml:space="preserve">, §§ 49-59, 3 </w:t>
      </w:r>
      <w:r w:rsidR="001A7000" w:rsidRPr="003E0C66">
        <w:rPr>
          <w:rFonts w:eastAsia="Times New Roman"/>
          <w:snapToGrid w:val="0"/>
          <w:szCs w:val="24"/>
        </w:rPr>
        <w:t>kwietnia</w:t>
      </w:r>
      <w:r w:rsidR="00C5349B" w:rsidRPr="003E0C66">
        <w:rPr>
          <w:rFonts w:eastAsia="Times New Roman"/>
          <w:snapToGrid w:val="0"/>
          <w:szCs w:val="24"/>
        </w:rPr>
        <w:t xml:space="preserve"> 2012</w:t>
      </w:r>
      <w:r w:rsidR="00FA6D82">
        <w:rPr>
          <w:rFonts w:eastAsia="Times New Roman"/>
          <w:snapToGrid w:val="0"/>
          <w:szCs w:val="24"/>
        </w:rPr>
        <w:t xml:space="preserve"> roku</w:t>
      </w:r>
      <w:r w:rsidR="00C5349B" w:rsidRPr="003E0C66">
        <w:rPr>
          <w:rFonts w:eastAsia="Times New Roman"/>
          <w:snapToGrid w:val="0"/>
          <w:szCs w:val="24"/>
        </w:rPr>
        <w:t xml:space="preserve"> </w:t>
      </w:r>
      <w:r w:rsidR="001A7000" w:rsidRPr="003E0C66">
        <w:rPr>
          <w:rFonts w:eastAsia="Times New Roman"/>
          <w:snapToGrid w:val="0"/>
          <w:szCs w:val="24"/>
        </w:rPr>
        <w:t>oraz</w:t>
      </w:r>
      <w:r w:rsidR="00C5349B" w:rsidRPr="003E0C66">
        <w:rPr>
          <w:rFonts w:eastAsia="Times New Roman"/>
          <w:snapToGrid w:val="0"/>
          <w:szCs w:val="24"/>
        </w:rPr>
        <w:t xml:space="preserve"> </w:t>
      </w:r>
      <w:proofErr w:type="spellStart"/>
      <w:r w:rsidR="00C5349B" w:rsidRPr="003E0C66">
        <w:rPr>
          <w:rFonts w:eastAsia="Times New Roman"/>
          <w:i/>
        </w:rPr>
        <w:t>Aigner</w:t>
      </w:r>
      <w:proofErr w:type="spellEnd"/>
      <w:r w:rsidR="00C5349B" w:rsidRPr="003E0C66">
        <w:rPr>
          <w:rFonts w:eastAsia="Times New Roman"/>
          <w:i/>
        </w:rPr>
        <w:t xml:space="preserve"> </w:t>
      </w:r>
      <w:r w:rsidR="001A7000" w:rsidRPr="003E0C66">
        <w:rPr>
          <w:rFonts w:eastAsia="Times New Roman"/>
          <w:i/>
        </w:rPr>
        <w:t>przeciwko Austrii</w:t>
      </w:r>
      <w:r w:rsidR="00C5349B" w:rsidRPr="003E0C66">
        <w:rPr>
          <w:rFonts w:eastAsia="Times New Roman"/>
        </w:rPr>
        <w:t xml:space="preserve">, </w:t>
      </w:r>
      <w:r w:rsidR="00F749AE" w:rsidRPr="003E0C66">
        <w:rPr>
          <w:rFonts w:eastAsia="Times New Roman"/>
        </w:rPr>
        <w:t>nr</w:t>
      </w:r>
      <w:r w:rsidR="00C5349B" w:rsidRPr="003E0C66">
        <w:rPr>
          <w:rFonts w:eastAsia="Times New Roman"/>
        </w:rPr>
        <w:t xml:space="preserve"> 28328/03</w:t>
      </w:r>
      <w:r w:rsidR="00C5349B" w:rsidRPr="003E0C66">
        <w:rPr>
          <w:rFonts w:eastAsia="Times New Roman"/>
          <w:snapToGrid w:val="0"/>
          <w:szCs w:val="24"/>
        </w:rPr>
        <w:t xml:space="preserve">, § 41, 10 </w:t>
      </w:r>
      <w:r w:rsidR="001A7000" w:rsidRPr="003E0C66">
        <w:rPr>
          <w:rFonts w:eastAsia="Times New Roman"/>
          <w:snapToGrid w:val="0"/>
          <w:szCs w:val="24"/>
        </w:rPr>
        <w:t>maja</w:t>
      </w:r>
      <w:r w:rsidR="00C5349B" w:rsidRPr="003E0C66">
        <w:rPr>
          <w:rFonts w:eastAsia="Times New Roman"/>
          <w:snapToGrid w:val="0"/>
          <w:szCs w:val="24"/>
        </w:rPr>
        <w:t xml:space="preserve"> 2012</w:t>
      </w:r>
      <w:r w:rsidR="00FA6D82">
        <w:rPr>
          <w:rFonts w:eastAsia="Times New Roman"/>
          <w:snapToGrid w:val="0"/>
          <w:szCs w:val="24"/>
        </w:rPr>
        <w:t xml:space="preserve"> roku</w:t>
      </w:r>
      <w:r w:rsidR="00C5349B" w:rsidRPr="003E0C66">
        <w:rPr>
          <w:rFonts w:eastAsia="Times New Roman"/>
        </w:rPr>
        <w:t>).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27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1A7000" w:rsidRPr="003E0C66">
        <w:rPr>
          <w:rFonts w:eastAsia="Times New Roman"/>
        </w:rPr>
        <w:t xml:space="preserve">Po drugie większość wydaje się zwracać małą uwagę na </w:t>
      </w:r>
      <w:r w:rsidR="00626448" w:rsidRPr="003E0C66">
        <w:rPr>
          <w:rFonts w:eastAsia="Times New Roman"/>
        </w:rPr>
        <w:t>powody</w:t>
      </w:r>
      <w:r w:rsidR="00626448">
        <w:rPr>
          <w:rFonts w:eastAsia="Times New Roman"/>
        </w:rPr>
        <w:t xml:space="preserve"> przedstawione przez</w:t>
      </w:r>
      <w:r w:rsidR="001A7000" w:rsidRPr="003E0C66">
        <w:rPr>
          <w:rFonts w:eastAsia="Times New Roman"/>
        </w:rPr>
        <w:t xml:space="preserve"> sędzi</w:t>
      </w:r>
      <w:r w:rsidR="00626448">
        <w:rPr>
          <w:rFonts w:eastAsia="Times New Roman"/>
        </w:rPr>
        <w:t>ego</w:t>
      </w:r>
      <w:r w:rsidR="001A7000" w:rsidRPr="003E0C66">
        <w:rPr>
          <w:rFonts w:eastAsia="Times New Roman"/>
        </w:rPr>
        <w:t xml:space="preserve"> </w:t>
      </w:r>
      <w:r w:rsidR="00626448">
        <w:rPr>
          <w:rFonts w:eastAsia="Times New Roman"/>
        </w:rPr>
        <w:t>śledczego</w:t>
      </w:r>
      <w:r w:rsidR="001A7000" w:rsidRPr="003E0C66">
        <w:rPr>
          <w:rFonts w:eastAsia="Times New Roman"/>
        </w:rPr>
        <w:t xml:space="preserve"> </w:t>
      </w:r>
      <w:r w:rsidR="00626448">
        <w:rPr>
          <w:rFonts w:eastAsia="Times New Roman"/>
        </w:rPr>
        <w:t xml:space="preserve">w uzasadnieniu </w:t>
      </w:r>
      <w:r w:rsidR="001A7000" w:rsidRPr="003E0C66">
        <w:rPr>
          <w:rFonts w:eastAsia="Times New Roman"/>
        </w:rPr>
        <w:t xml:space="preserve"> niepoinformowani</w:t>
      </w:r>
      <w:r w:rsidR="00626448">
        <w:rPr>
          <w:rFonts w:eastAsia="Times New Roman"/>
        </w:rPr>
        <w:t>a</w:t>
      </w:r>
      <w:r w:rsidR="001A7000" w:rsidRPr="003E0C66">
        <w:rPr>
          <w:rFonts w:eastAsia="Times New Roman"/>
        </w:rPr>
        <w:t xml:space="preserve"> skarżącego o przesłuchaniu dwóch świadków O. i P. Skarżący nie został</w:t>
      </w:r>
      <w:r w:rsidR="00CA1026">
        <w:rPr>
          <w:rFonts w:eastAsia="Times New Roman"/>
        </w:rPr>
        <w:t xml:space="preserve"> powiadomiony o przesłuchaniu „</w:t>
      </w:r>
      <w:r w:rsidR="001A7000" w:rsidRPr="003E0C66">
        <w:rPr>
          <w:rFonts w:eastAsia="Times New Roman"/>
        </w:rPr>
        <w:t xml:space="preserve">aby nie </w:t>
      </w:r>
      <w:r w:rsidR="00626448">
        <w:rPr>
          <w:rFonts w:eastAsia="Times New Roman"/>
        </w:rPr>
        <w:t xml:space="preserve">narazić </w:t>
      </w:r>
      <w:r w:rsidR="00626448">
        <w:rPr>
          <w:rFonts w:eastAsia="Times New Roman"/>
        </w:rPr>
        <w:lastRenderedPageBreak/>
        <w:t>dochodzenia na ryzyko</w:t>
      </w:r>
      <w:r w:rsidR="001A7000" w:rsidRPr="003E0C66">
        <w:rPr>
          <w:rFonts w:eastAsia="Times New Roman"/>
        </w:rPr>
        <w:t xml:space="preserve">’’ (zobacz paragraf 21 wyroku). Ponadto sędzia </w:t>
      </w:r>
      <w:r w:rsidR="00626448">
        <w:rPr>
          <w:rFonts w:eastAsia="Times New Roman"/>
        </w:rPr>
        <w:t xml:space="preserve">śledczy </w:t>
      </w:r>
      <w:r w:rsidR="001A7000" w:rsidRPr="003E0C66">
        <w:rPr>
          <w:rFonts w:eastAsia="Times New Roman"/>
        </w:rPr>
        <w:t>wykluczył skarżącego z przesłuchania świadków zgodnie z prawem krajowy</w:t>
      </w:r>
      <w:r w:rsidR="00626448">
        <w:rPr>
          <w:rFonts w:eastAsia="Times New Roman"/>
        </w:rPr>
        <w:t>m</w:t>
      </w:r>
      <w:r w:rsidR="00CA1026">
        <w:rPr>
          <w:rFonts w:eastAsia="Times New Roman"/>
        </w:rPr>
        <w:t>, ponieważ „</w:t>
      </w:r>
      <w:r w:rsidR="001A7000" w:rsidRPr="003E0C66">
        <w:rPr>
          <w:rFonts w:eastAsia="Times New Roman"/>
        </w:rPr>
        <w:t xml:space="preserve">obawiał się on, </w:t>
      </w:r>
      <w:r w:rsidR="00626448">
        <w:rPr>
          <w:rFonts w:eastAsia="Times New Roman"/>
        </w:rPr>
        <w:t>że</w:t>
      </w:r>
      <w:r w:rsidR="00626448" w:rsidRPr="003E0C66">
        <w:rPr>
          <w:rFonts w:eastAsia="Times New Roman"/>
        </w:rPr>
        <w:t xml:space="preserve"> </w:t>
      </w:r>
      <w:r w:rsidR="001A7000" w:rsidRPr="003E0C66">
        <w:rPr>
          <w:rFonts w:eastAsia="Times New Roman"/>
        </w:rPr>
        <w:t xml:space="preserve">świadkowie, którzy w jego ocenie byli zszokowani i </w:t>
      </w:r>
      <w:r w:rsidR="00626448">
        <w:rPr>
          <w:rFonts w:eastAsia="Times New Roman"/>
        </w:rPr>
        <w:t>przygnębieni</w:t>
      </w:r>
      <w:r w:rsidR="00626448" w:rsidRPr="003E0C66">
        <w:rPr>
          <w:rFonts w:eastAsia="Times New Roman"/>
        </w:rPr>
        <w:t xml:space="preserve"> </w:t>
      </w:r>
      <w:r w:rsidR="00DF2700" w:rsidRPr="003E0C66">
        <w:rPr>
          <w:rFonts w:eastAsia="Times New Roman"/>
        </w:rPr>
        <w:t xml:space="preserve">przestępstwem, mogliby bać się powiedzieć prawdę w obecności skarżącego’’ (zobacz paragraf 21 wyroku). Moim zdaniem Trybunał powinien w swoim orzecznictwie poświęcić tyle samo uwagi </w:t>
      </w:r>
      <w:r w:rsidR="00626448">
        <w:rPr>
          <w:rFonts w:eastAsia="Times New Roman"/>
        </w:rPr>
        <w:t>i chronić</w:t>
      </w:r>
      <w:r w:rsidR="00626448" w:rsidRPr="003E0C66">
        <w:rPr>
          <w:rFonts w:eastAsia="Times New Roman"/>
        </w:rPr>
        <w:t xml:space="preserve"> </w:t>
      </w:r>
      <w:r w:rsidR="00DF2700" w:rsidRPr="003E0C66">
        <w:rPr>
          <w:rFonts w:eastAsia="Times New Roman"/>
        </w:rPr>
        <w:t>praw</w:t>
      </w:r>
      <w:r w:rsidR="00626448">
        <w:rPr>
          <w:rFonts w:eastAsia="Times New Roman"/>
        </w:rPr>
        <w:t>a</w:t>
      </w:r>
      <w:r w:rsidR="00DF2700" w:rsidRPr="003E0C66">
        <w:rPr>
          <w:rFonts w:eastAsia="Times New Roman"/>
        </w:rPr>
        <w:t xml:space="preserve"> i intere</w:t>
      </w:r>
      <w:r w:rsidR="00626448">
        <w:rPr>
          <w:rFonts w:eastAsia="Times New Roman"/>
        </w:rPr>
        <w:t>sy</w:t>
      </w:r>
      <w:r w:rsidR="00DF2700" w:rsidRPr="003E0C66">
        <w:rPr>
          <w:rFonts w:eastAsia="Times New Roman"/>
        </w:rPr>
        <w:t xml:space="preserve"> </w:t>
      </w:r>
      <w:r w:rsidR="00626448">
        <w:rPr>
          <w:rFonts w:eastAsia="Times New Roman"/>
        </w:rPr>
        <w:t>pokrzywdzonych</w:t>
      </w:r>
      <w:r w:rsidR="00DF2700" w:rsidRPr="003E0C66">
        <w:rPr>
          <w:rFonts w:eastAsia="Times New Roman"/>
        </w:rPr>
        <w:t xml:space="preserve">; w konkretnych okolicznościach tej sprawy istniały </w:t>
      </w:r>
      <w:r w:rsidR="00626448">
        <w:rPr>
          <w:rFonts w:eastAsia="Times New Roman"/>
        </w:rPr>
        <w:t>ważne do tego</w:t>
      </w:r>
      <w:r w:rsidR="00DF2700" w:rsidRPr="003E0C66">
        <w:rPr>
          <w:rFonts w:eastAsia="Times New Roman"/>
        </w:rPr>
        <w:t xml:space="preserve"> powody. Ponadto sądy krajowe nie uznały sprzeczności z Artykułem 141 § 3 </w:t>
      </w:r>
      <w:r w:rsidR="00626448" w:rsidRPr="003E0C66">
        <w:rPr>
          <w:rFonts w:eastAsia="Times New Roman"/>
        </w:rPr>
        <w:t>K</w:t>
      </w:r>
      <w:r w:rsidR="00626448">
        <w:rPr>
          <w:rFonts w:eastAsia="Times New Roman"/>
        </w:rPr>
        <w:t>pk</w:t>
      </w:r>
      <w:r w:rsidR="00DF2700" w:rsidRPr="003E0C66">
        <w:rPr>
          <w:rFonts w:eastAsia="Times New Roman"/>
        </w:rPr>
        <w:t>, w połączeniu z Artykułem 140 § 1</w:t>
      </w:r>
      <w:r w:rsidR="00626448">
        <w:rPr>
          <w:rFonts w:eastAsia="Times New Roman"/>
        </w:rPr>
        <w:t xml:space="preserve"> i wykładnią </w:t>
      </w:r>
      <w:r w:rsidR="00DF2700" w:rsidRPr="003E0C66">
        <w:rPr>
          <w:rFonts w:eastAsia="Times New Roman"/>
        </w:rPr>
        <w:t>Federaln</w:t>
      </w:r>
      <w:r w:rsidR="00626448">
        <w:rPr>
          <w:rFonts w:eastAsia="Times New Roman"/>
        </w:rPr>
        <w:t>ego</w:t>
      </w:r>
      <w:r w:rsidR="00DF2700" w:rsidRPr="003E0C66">
        <w:rPr>
          <w:rFonts w:eastAsia="Times New Roman"/>
        </w:rPr>
        <w:t xml:space="preserve"> Trybunał</w:t>
      </w:r>
      <w:r w:rsidR="00626448">
        <w:rPr>
          <w:rFonts w:eastAsia="Times New Roman"/>
        </w:rPr>
        <w:t>u</w:t>
      </w:r>
      <w:r w:rsidR="00DF2700" w:rsidRPr="003E0C66">
        <w:rPr>
          <w:rFonts w:eastAsia="Times New Roman"/>
        </w:rPr>
        <w:t xml:space="preserve"> Sprawiedliwości (zobacz paragrafy 28-29, 57-59 oraz 62 powyżej)</w:t>
      </w:r>
      <w:r w:rsidR="00626448">
        <w:rPr>
          <w:rFonts w:eastAsia="Times New Roman"/>
        </w:rPr>
        <w:t xml:space="preserve"> tego, że</w:t>
      </w:r>
      <w:r w:rsidR="00DF2700" w:rsidRPr="003E0C66">
        <w:rPr>
          <w:rFonts w:eastAsia="Times New Roman"/>
        </w:rPr>
        <w:t xml:space="preserve"> nie został wyznaczony żaden obrońca mający</w:t>
      </w:r>
      <w:r w:rsidR="00E37D6F" w:rsidRPr="003E0C66">
        <w:rPr>
          <w:rFonts w:eastAsia="Times New Roman"/>
        </w:rPr>
        <w:t xml:space="preserve"> reprezentować oskarżonego podczas przesłuchania świadków przez sędziego </w:t>
      </w:r>
      <w:r w:rsidR="00626448">
        <w:rPr>
          <w:rFonts w:eastAsia="Times New Roman"/>
        </w:rPr>
        <w:t>śledczego</w:t>
      </w:r>
      <w:r w:rsidR="00E8195D" w:rsidRPr="003E0C66">
        <w:rPr>
          <w:rFonts w:eastAsia="Times New Roman"/>
        </w:rPr>
        <w:t xml:space="preserve">. W tym kontekście </w:t>
      </w:r>
      <w:r w:rsidR="0060303A">
        <w:rPr>
          <w:rFonts w:eastAsia="Times New Roman"/>
        </w:rPr>
        <w:t>odnotowuję</w:t>
      </w:r>
      <w:r w:rsidR="00E37D6F" w:rsidRPr="003E0C66">
        <w:rPr>
          <w:rFonts w:eastAsia="Times New Roman"/>
        </w:rPr>
        <w:t xml:space="preserve"> wyjaśnieni</w:t>
      </w:r>
      <w:r w:rsidR="0060303A">
        <w:rPr>
          <w:rFonts w:eastAsia="Times New Roman"/>
        </w:rPr>
        <w:t>e</w:t>
      </w:r>
      <w:r w:rsidR="00E8195D" w:rsidRPr="003E0C66">
        <w:rPr>
          <w:rFonts w:eastAsia="Times New Roman"/>
        </w:rPr>
        <w:t xml:space="preserve"> Rządu</w:t>
      </w:r>
      <w:r w:rsidR="00E37D6F" w:rsidRPr="003E0C66">
        <w:rPr>
          <w:rFonts w:eastAsia="Times New Roman"/>
        </w:rPr>
        <w:t xml:space="preserve"> (zobacz paragraf 94 wyroku)</w:t>
      </w:r>
      <w:r w:rsidR="0060303A">
        <w:rPr>
          <w:rFonts w:eastAsia="Times New Roman"/>
        </w:rPr>
        <w:t>,</w:t>
      </w:r>
      <w:r w:rsidR="00E8195D" w:rsidRPr="003E0C66">
        <w:rPr>
          <w:rFonts w:eastAsia="Times New Roman"/>
        </w:rPr>
        <w:t xml:space="preserve"> zgodnie z którym na mocy Artykułu 168c § 5 K</w:t>
      </w:r>
      <w:r w:rsidR="0060303A">
        <w:rPr>
          <w:rFonts w:eastAsia="Times New Roman"/>
        </w:rPr>
        <w:t>pk</w:t>
      </w:r>
      <w:r w:rsidR="00E8195D" w:rsidRPr="003E0C66">
        <w:rPr>
          <w:rFonts w:eastAsia="Times New Roman"/>
        </w:rPr>
        <w:t xml:space="preserve"> sąd orzekający miał prawo n</w:t>
      </w:r>
      <w:r w:rsidR="00E9522E" w:rsidRPr="003E0C66">
        <w:rPr>
          <w:rFonts w:eastAsia="Times New Roman"/>
        </w:rPr>
        <w:t xml:space="preserve">ie </w:t>
      </w:r>
      <w:r w:rsidR="0060303A">
        <w:rPr>
          <w:rFonts w:eastAsia="Times New Roman"/>
        </w:rPr>
        <w:t>wysłać</w:t>
      </w:r>
      <w:r w:rsidR="0060303A" w:rsidRPr="003E0C66">
        <w:rPr>
          <w:rFonts w:eastAsia="Times New Roman"/>
        </w:rPr>
        <w:t xml:space="preserve"> </w:t>
      </w:r>
      <w:r w:rsidR="00E8195D" w:rsidRPr="003E0C66">
        <w:rPr>
          <w:rFonts w:eastAsia="Times New Roman"/>
        </w:rPr>
        <w:t xml:space="preserve">zawiadomienia o przesłuchaniu do </w:t>
      </w:r>
      <w:r w:rsidR="00E9522E" w:rsidRPr="003E0C66">
        <w:rPr>
          <w:rFonts w:eastAsia="Times New Roman"/>
        </w:rPr>
        <w:t xml:space="preserve">prawnika </w:t>
      </w:r>
      <w:r w:rsidR="0060303A">
        <w:rPr>
          <w:rFonts w:eastAsia="Times New Roman"/>
        </w:rPr>
        <w:t xml:space="preserve">wyznaczonego do reprezentowania </w:t>
      </w:r>
      <w:r w:rsidR="00E9522E" w:rsidRPr="003E0C66">
        <w:rPr>
          <w:rFonts w:eastAsia="Times New Roman"/>
        </w:rPr>
        <w:t xml:space="preserve">skarżącego, jeśli uznał, </w:t>
      </w:r>
      <w:r w:rsidR="00CA1026">
        <w:rPr>
          <w:rFonts w:eastAsia="Times New Roman"/>
        </w:rPr>
        <w:t>że</w:t>
      </w:r>
      <w:r w:rsidR="00E9522E" w:rsidRPr="003E0C66">
        <w:rPr>
          <w:rFonts w:eastAsia="Times New Roman"/>
        </w:rPr>
        <w:t xml:space="preserve"> mogłoby to zaszkodzić </w:t>
      </w:r>
      <w:r w:rsidR="0060303A">
        <w:rPr>
          <w:rFonts w:eastAsia="Times New Roman"/>
        </w:rPr>
        <w:t xml:space="preserve">powodzeniu </w:t>
      </w:r>
      <w:r w:rsidR="00E9522E" w:rsidRPr="003E0C66">
        <w:rPr>
          <w:rFonts w:eastAsia="Times New Roman"/>
        </w:rPr>
        <w:t>dochodzeni</w:t>
      </w:r>
      <w:r w:rsidR="0060303A">
        <w:rPr>
          <w:rFonts w:eastAsia="Times New Roman"/>
        </w:rPr>
        <w:t>a</w:t>
      </w:r>
      <w:r w:rsidR="00E9522E" w:rsidRPr="003E0C66">
        <w:rPr>
          <w:rFonts w:eastAsia="Times New Roman"/>
        </w:rPr>
        <w:t xml:space="preserve">.   </w:t>
      </w:r>
      <w:r w:rsidR="00E37D6F" w:rsidRPr="003E0C66">
        <w:rPr>
          <w:rFonts w:eastAsia="Times New Roman"/>
        </w:rPr>
        <w:t xml:space="preserve"> 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28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E9522E" w:rsidRPr="003E0C66">
        <w:rPr>
          <w:rFonts w:eastAsia="Times New Roman"/>
        </w:rPr>
        <w:t xml:space="preserve">Po trzecie fakt, </w:t>
      </w:r>
      <w:r w:rsidR="00CA1026">
        <w:rPr>
          <w:rFonts w:eastAsia="Times New Roman"/>
        </w:rPr>
        <w:t>że</w:t>
      </w:r>
      <w:r w:rsidR="00E9522E" w:rsidRPr="003E0C66">
        <w:rPr>
          <w:rFonts w:eastAsia="Times New Roman"/>
        </w:rPr>
        <w:t xml:space="preserve"> </w:t>
      </w:r>
      <w:r w:rsidR="00CA1026">
        <w:rPr>
          <w:rFonts w:eastAsia="Times New Roman"/>
        </w:rPr>
        <w:t>„</w:t>
      </w:r>
      <w:r w:rsidR="00E9522E" w:rsidRPr="003E0C66">
        <w:rPr>
          <w:rFonts w:eastAsia="Times New Roman"/>
        </w:rPr>
        <w:t>może nie być możliwym przesłuchanie świadków podczas rozprawy</w:t>
      </w:r>
      <w:r w:rsidR="00D82D7A">
        <w:rPr>
          <w:rFonts w:eastAsia="Times New Roman"/>
        </w:rPr>
        <w:t xml:space="preserve"> w sprawie</w:t>
      </w:r>
      <w:r w:rsidR="00E9522E" w:rsidRPr="003E0C66">
        <w:rPr>
          <w:rFonts w:eastAsia="Times New Roman"/>
        </w:rPr>
        <w:t xml:space="preserve"> przeciwko skarżącemu’’ (zobacz paragraf 159 wyroku) nie może, moim zdaniem</w:t>
      </w:r>
      <w:r w:rsidR="00D82D7A">
        <w:rPr>
          <w:rFonts w:eastAsia="Times New Roman"/>
        </w:rPr>
        <w:t>,</w:t>
      </w:r>
      <w:r w:rsidR="00E9522E" w:rsidRPr="003E0C66">
        <w:rPr>
          <w:rFonts w:eastAsia="Times New Roman"/>
        </w:rPr>
        <w:t xml:space="preserve"> prowadzić do wniosku, iż niewyznaczenie skarżącemu obrońcy oraz niedanie skarżącemu możliwości przesłuchania świadków O. i P. przez reprezentującego go </w:t>
      </w:r>
      <w:r w:rsidR="00D82D7A">
        <w:rPr>
          <w:rFonts w:eastAsia="Times New Roman"/>
        </w:rPr>
        <w:t>obrońcę</w:t>
      </w:r>
      <w:r w:rsidR="00D82D7A" w:rsidRPr="003E0C66">
        <w:rPr>
          <w:rFonts w:eastAsia="Times New Roman"/>
        </w:rPr>
        <w:t xml:space="preserve"> </w:t>
      </w:r>
      <w:r w:rsidR="00E9522E" w:rsidRPr="003E0C66">
        <w:rPr>
          <w:rFonts w:eastAsia="Times New Roman"/>
        </w:rPr>
        <w:t xml:space="preserve">na etapie dochodzenia (zobacz paragraf 160) </w:t>
      </w:r>
      <w:r w:rsidR="00D82D7A">
        <w:rPr>
          <w:rFonts w:eastAsia="Times New Roman"/>
        </w:rPr>
        <w:t>uczyniło</w:t>
      </w:r>
      <w:r w:rsidR="00D82D7A" w:rsidRPr="003E0C66">
        <w:rPr>
          <w:rFonts w:eastAsia="Times New Roman"/>
        </w:rPr>
        <w:t xml:space="preserve"> proces </w:t>
      </w:r>
      <w:r w:rsidR="00104867" w:rsidRPr="003E0C66">
        <w:rPr>
          <w:rFonts w:eastAsia="Times New Roman"/>
        </w:rPr>
        <w:t>nie</w:t>
      </w:r>
      <w:r w:rsidR="00D82D7A">
        <w:rPr>
          <w:rFonts w:eastAsia="Times New Roman"/>
        </w:rPr>
        <w:t>rzetelnym</w:t>
      </w:r>
      <w:r w:rsidR="00104867" w:rsidRPr="003E0C66">
        <w:rPr>
          <w:rFonts w:eastAsia="Times New Roman"/>
        </w:rPr>
        <w:t xml:space="preserve">. Wprawdzie istniało ryzyko, </w:t>
      </w:r>
      <w:r w:rsidR="00D82D7A">
        <w:rPr>
          <w:rFonts w:eastAsia="Times New Roman"/>
        </w:rPr>
        <w:t xml:space="preserve">że </w:t>
      </w:r>
      <w:r w:rsidR="00104867" w:rsidRPr="003E0C66">
        <w:rPr>
          <w:rFonts w:eastAsia="Times New Roman"/>
        </w:rPr>
        <w:t xml:space="preserve">świadkowie nie </w:t>
      </w:r>
      <w:r w:rsidR="00D82D7A">
        <w:rPr>
          <w:rFonts w:eastAsia="Times New Roman"/>
        </w:rPr>
        <w:t>stawią</w:t>
      </w:r>
      <w:r w:rsidR="00D82D7A" w:rsidRPr="003E0C66">
        <w:rPr>
          <w:rFonts w:eastAsia="Times New Roman"/>
        </w:rPr>
        <w:t xml:space="preserve"> </w:t>
      </w:r>
      <w:r w:rsidR="00104867" w:rsidRPr="003E0C66">
        <w:rPr>
          <w:rFonts w:eastAsia="Times New Roman"/>
        </w:rPr>
        <w:t xml:space="preserve">się na rozprawie, ale takie ryzyko istnieje zawsze, kiedy dowody są zabezpieczane na etapie dochodzenia. Jednakże w szczególnych okolicznościach </w:t>
      </w:r>
      <w:r w:rsidR="00D82D7A">
        <w:rPr>
          <w:rFonts w:eastAsia="Times New Roman"/>
        </w:rPr>
        <w:t xml:space="preserve">niniejszej </w:t>
      </w:r>
      <w:r w:rsidR="00104867" w:rsidRPr="003E0C66">
        <w:rPr>
          <w:rFonts w:eastAsia="Times New Roman"/>
        </w:rPr>
        <w:t xml:space="preserve">sprawy </w:t>
      </w:r>
      <w:r w:rsidR="00D82D7A">
        <w:rPr>
          <w:rFonts w:eastAsia="Times New Roman"/>
        </w:rPr>
        <w:t>brak jest</w:t>
      </w:r>
      <w:r w:rsidR="00104867" w:rsidRPr="003E0C66">
        <w:rPr>
          <w:rFonts w:eastAsia="Times New Roman"/>
        </w:rPr>
        <w:t xml:space="preserve"> wystarczających podstaw </w:t>
      </w:r>
      <w:r w:rsidR="00D82D7A">
        <w:rPr>
          <w:rFonts w:eastAsia="Times New Roman"/>
        </w:rPr>
        <w:t>do</w:t>
      </w:r>
      <w:r w:rsidR="00D82D7A" w:rsidRPr="003E0C66">
        <w:rPr>
          <w:rFonts w:eastAsia="Times New Roman"/>
        </w:rPr>
        <w:t xml:space="preserve"> </w:t>
      </w:r>
      <w:r w:rsidR="00104867" w:rsidRPr="003E0C66">
        <w:rPr>
          <w:rFonts w:eastAsia="Times New Roman"/>
        </w:rPr>
        <w:t>twierdzeni</w:t>
      </w:r>
      <w:r w:rsidR="00D82D7A">
        <w:rPr>
          <w:rFonts w:eastAsia="Times New Roman"/>
        </w:rPr>
        <w:t>a</w:t>
      </w:r>
      <w:r w:rsidR="00104867" w:rsidRPr="003E0C66">
        <w:rPr>
          <w:rFonts w:eastAsia="Times New Roman"/>
        </w:rPr>
        <w:t xml:space="preserve">, iż można było przewidzieć fakt, </w:t>
      </w:r>
      <w:r w:rsidR="00D82D7A">
        <w:rPr>
          <w:rFonts w:eastAsia="Times New Roman"/>
        </w:rPr>
        <w:t>że</w:t>
      </w:r>
      <w:r w:rsidR="00D82D7A" w:rsidRPr="003E0C66">
        <w:rPr>
          <w:rFonts w:eastAsia="Times New Roman"/>
        </w:rPr>
        <w:t xml:space="preserve"> </w:t>
      </w:r>
      <w:r w:rsidR="00104867" w:rsidRPr="003E0C66">
        <w:rPr>
          <w:rFonts w:eastAsia="Times New Roman"/>
        </w:rPr>
        <w:t xml:space="preserve">świadkowie O. i P. nie </w:t>
      </w:r>
      <w:r w:rsidR="00D82D7A">
        <w:rPr>
          <w:rFonts w:eastAsia="Times New Roman"/>
        </w:rPr>
        <w:t>stawią</w:t>
      </w:r>
      <w:r w:rsidR="00D82D7A" w:rsidRPr="003E0C66">
        <w:rPr>
          <w:rFonts w:eastAsia="Times New Roman"/>
        </w:rPr>
        <w:t xml:space="preserve"> </w:t>
      </w:r>
      <w:r w:rsidR="00104867" w:rsidRPr="003E0C66">
        <w:rPr>
          <w:rFonts w:eastAsia="Times New Roman"/>
        </w:rPr>
        <w:t xml:space="preserve">się na rozprawie </w:t>
      </w:r>
      <w:r w:rsidR="00D82D7A">
        <w:rPr>
          <w:rFonts w:eastAsia="Times New Roman"/>
        </w:rPr>
        <w:t>i nie</w:t>
      </w:r>
      <w:r w:rsidR="00104867" w:rsidRPr="003E0C66">
        <w:rPr>
          <w:rFonts w:eastAsia="Times New Roman"/>
        </w:rPr>
        <w:t xml:space="preserve"> </w:t>
      </w:r>
      <w:r w:rsidR="00D82D7A" w:rsidRPr="003E0C66">
        <w:rPr>
          <w:rFonts w:eastAsia="Times New Roman"/>
        </w:rPr>
        <w:t>złoż</w:t>
      </w:r>
      <w:r w:rsidR="00D82D7A">
        <w:rPr>
          <w:rFonts w:eastAsia="Times New Roman"/>
        </w:rPr>
        <w:t>ą</w:t>
      </w:r>
      <w:r w:rsidR="00D82D7A" w:rsidRPr="003E0C66">
        <w:rPr>
          <w:rFonts w:eastAsia="Times New Roman"/>
        </w:rPr>
        <w:t xml:space="preserve"> </w:t>
      </w:r>
      <w:r w:rsidR="00104867" w:rsidRPr="003E0C66">
        <w:rPr>
          <w:rFonts w:eastAsia="Times New Roman"/>
        </w:rPr>
        <w:t xml:space="preserve">zeznań. Fakt, </w:t>
      </w:r>
      <w:r w:rsidR="00D82D7A">
        <w:rPr>
          <w:rFonts w:eastAsia="Times New Roman"/>
        </w:rPr>
        <w:t>że</w:t>
      </w:r>
      <w:r w:rsidR="00D82D7A" w:rsidRPr="003E0C66">
        <w:rPr>
          <w:rFonts w:eastAsia="Times New Roman"/>
        </w:rPr>
        <w:t xml:space="preserve"> </w:t>
      </w:r>
      <w:r w:rsidR="00D82D7A">
        <w:rPr>
          <w:rFonts w:eastAsia="Times New Roman"/>
        </w:rPr>
        <w:t>przewidywalnym było</w:t>
      </w:r>
      <w:r w:rsidR="00104867" w:rsidRPr="003E0C66">
        <w:rPr>
          <w:rFonts w:eastAsia="Times New Roman"/>
        </w:rPr>
        <w:t xml:space="preserve">, że świadkowie wyjadą z Niemiec zaraz po przesłuchaniu przez sędziego </w:t>
      </w:r>
      <w:r w:rsidR="00D82D7A">
        <w:rPr>
          <w:rFonts w:eastAsia="Times New Roman"/>
        </w:rPr>
        <w:t>śledczego</w:t>
      </w:r>
      <w:r w:rsidR="00104867" w:rsidRPr="003E0C66">
        <w:rPr>
          <w:rFonts w:eastAsia="Times New Roman"/>
        </w:rPr>
        <w:t xml:space="preserve">, nie może zostać uznany za </w:t>
      </w:r>
      <w:r w:rsidR="00D82D7A">
        <w:rPr>
          <w:rFonts w:eastAsia="Times New Roman"/>
        </w:rPr>
        <w:t xml:space="preserve">równoznaczny </w:t>
      </w:r>
      <w:r w:rsidR="00D65B87">
        <w:rPr>
          <w:rFonts w:eastAsia="Times New Roman"/>
        </w:rPr>
        <w:t xml:space="preserve">ze </w:t>
      </w:r>
      <w:r w:rsidR="00104867" w:rsidRPr="003E0C66">
        <w:rPr>
          <w:rFonts w:eastAsia="Times New Roman"/>
        </w:rPr>
        <w:t>stwierdzenie</w:t>
      </w:r>
      <w:r w:rsidR="00D65B87">
        <w:rPr>
          <w:rFonts w:eastAsia="Times New Roman"/>
        </w:rPr>
        <w:t>m, że będzie niemożliwe</w:t>
      </w:r>
      <w:r w:rsidR="00104867" w:rsidRPr="003E0C66">
        <w:rPr>
          <w:rFonts w:eastAsia="Times New Roman"/>
        </w:rPr>
        <w:t xml:space="preserve"> przesłuchanie ich podczas rozprawy, </w:t>
      </w:r>
      <w:r w:rsidR="00D65B87">
        <w:rPr>
          <w:rFonts w:eastAsia="Times New Roman"/>
        </w:rPr>
        <w:t xml:space="preserve">czy to </w:t>
      </w:r>
      <w:r w:rsidR="00104867" w:rsidRPr="003E0C66">
        <w:rPr>
          <w:rFonts w:eastAsia="Times New Roman"/>
        </w:rPr>
        <w:t xml:space="preserve">osobiście </w:t>
      </w:r>
      <w:r w:rsidR="00D65B87">
        <w:rPr>
          <w:rFonts w:eastAsia="Times New Roman"/>
        </w:rPr>
        <w:t>czy</w:t>
      </w:r>
      <w:r w:rsidR="00D65B87" w:rsidRPr="003E0C66">
        <w:rPr>
          <w:rFonts w:eastAsia="Times New Roman"/>
        </w:rPr>
        <w:t xml:space="preserve"> </w:t>
      </w:r>
      <w:r w:rsidR="00104867" w:rsidRPr="003E0C66">
        <w:rPr>
          <w:rFonts w:eastAsia="Times New Roman"/>
        </w:rPr>
        <w:t xml:space="preserve">za pomocą </w:t>
      </w:r>
      <w:r w:rsidR="00D65B87">
        <w:rPr>
          <w:rFonts w:eastAsia="Times New Roman"/>
        </w:rPr>
        <w:t xml:space="preserve">łącza </w:t>
      </w:r>
      <w:r w:rsidR="00C11990">
        <w:rPr>
          <w:rFonts w:eastAsia="Times New Roman"/>
        </w:rPr>
        <w:t>w</w:t>
      </w:r>
      <w:r w:rsidR="00D65B87">
        <w:rPr>
          <w:rFonts w:eastAsia="Times New Roman"/>
        </w:rPr>
        <w:t>ideo</w:t>
      </w:r>
      <w:r w:rsidR="00104867" w:rsidRPr="003E0C66">
        <w:rPr>
          <w:rFonts w:eastAsia="Times New Roman"/>
        </w:rPr>
        <w:t>. W tym aspekcie chciałbym również odwołać się do oświad</w:t>
      </w:r>
      <w:r w:rsidR="006151FC" w:rsidRPr="003E0C66">
        <w:rPr>
          <w:rFonts w:eastAsia="Times New Roman"/>
        </w:rPr>
        <w:t xml:space="preserve">czenia samego skarżącego, </w:t>
      </w:r>
      <w:r w:rsidR="00D65B87">
        <w:rPr>
          <w:rFonts w:eastAsia="Times New Roman"/>
        </w:rPr>
        <w:t>że przypuszczał,</w:t>
      </w:r>
      <w:r w:rsidR="006151FC" w:rsidRPr="003E0C66">
        <w:rPr>
          <w:rFonts w:eastAsia="Times New Roman"/>
        </w:rPr>
        <w:t xml:space="preserve"> </w:t>
      </w:r>
      <w:r w:rsidR="00D65B87">
        <w:rPr>
          <w:rFonts w:eastAsia="Times New Roman"/>
        </w:rPr>
        <w:t xml:space="preserve">iż </w:t>
      </w:r>
      <w:r w:rsidR="006151FC" w:rsidRPr="003E0C66">
        <w:rPr>
          <w:rFonts w:eastAsia="Times New Roman"/>
        </w:rPr>
        <w:t>będzie miał możliwość przesłuchania świadków podczas rozprawy</w:t>
      </w:r>
      <w:r w:rsidR="00D65B87">
        <w:rPr>
          <w:rFonts w:eastAsia="Times New Roman"/>
        </w:rPr>
        <w:t>, zatem</w:t>
      </w:r>
      <w:r w:rsidR="006151FC" w:rsidRPr="003E0C66">
        <w:rPr>
          <w:rFonts w:eastAsia="Times New Roman"/>
        </w:rPr>
        <w:t xml:space="preserve"> nie </w:t>
      </w:r>
      <w:r w:rsidR="00D65B87">
        <w:rPr>
          <w:rFonts w:eastAsia="Times New Roman"/>
        </w:rPr>
        <w:t>miał żadnego</w:t>
      </w:r>
      <w:r w:rsidR="006151FC" w:rsidRPr="003E0C66">
        <w:rPr>
          <w:rFonts w:eastAsia="Times New Roman"/>
        </w:rPr>
        <w:t xml:space="preserve"> powodu, aby </w:t>
      </w:r>
      <w:r w:rsidR="00D65B87">
        <w:rPr>
          <w:rFonts w:eastAsia="Times New Roman"/>
        </w:rPr>
        <w:t>wnosić o</w:t>
      </w:r>
      <w:r w:rsidR="00D65B87" w:rsidRPr="003E0C66">
        <w:rPr>
          <w:rFonts w:eastAsia="Times New Roman"/>
        </w:rPr>
        <w:t xml:space="preserve"> </w:t>
      </w:r>
      <w:r w:rsidR="006151FC" w:rsidRPr="003E0C66">
        <w:rPr>
          <w:rFonts w:eastAsia="Times New Roman"/>
        </w:rPr>
        <w:t>ponowne przesłuchani</w:t>
      </w:r>
      <w:r w:rsidR="00D65B87">
        <w:rPr>
          <w:rFonts w:eastAsia="Times New Roman"/>
        </w:rPr>
        <w:t>e</w:t>
      </w:r>
      <w:r w:rsidR="006151FC" w:rsidRPr="003E0C66">
        <w:rPr>
          <w:rFonts w:eastAsia="Times New Roman"/>
        </w:rPr>
        <w:t xml:space="preserve"> świadków przez sędziego </w:t>
      </w:r>
      <w:r w:rsidR="00D65B87">
        <w:rPr>
          <w:rFonts w:eastAsia="Times New Roman"/>
        </w:rPr>
        <w:t>śledczego</w:t>
      </w:r>
      <w:r w:rsidR="006151FC" w:rsidRPr="003E0C66">
        <w:rPr>
          <w:rFonts w:eastAsia="Times New Roman"/>
        </w:rPr>
        <w:t xml:space="preserve"> (zobacz paragraf 82</w:t>
      </w:r>
      <w:r w:rsidR="00D65B87">
        <w:rPr>
          <w:rFonts w:eastAsia="Times New Roman"/>
        </w:rPr>
        <w:t xml:space="preserve"> wyroku</w:t>
      </w:r>
      <w:r w:rsidR="006151FC" w:rsidRPr="003E0C66">
        <w:rPr>
          <w:rFonts w:eastAsia="Times New Roman"/>
        </w:rPr>
        <w:t>).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29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6151FC" w:rsidRPr="003E0C66">
        <w:rPr>
          <w:rFonts w:eastAsia="Times New Roman"/>
        </w:rPr>
        <w:t xml:space="preserve">Moim zdaniem większość nadmiernie koncentruje się na etapie przedprocesowym i decyzji o niewyznaczeniu prawnika oraz niepowiadomieniu obrońcy oskarżonego o przesłuchaniu świadków.   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30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6151FC" w:rsidRPr="003E0C66">
        <w:rPr>
          <w:rFonts w:eastAsia="Times New Roman"/>
        </w:rPr>
        <w:t xml:space="preserve">Ponadto większość nie przywiązuje wystarczającej wagi do </w:t>
      </w:r>
      <w:r w:rsidR="00D65B87">
        <w:rPr>
          <w:rFonts w:eastAsia="Times New Roman"/>
        </w:rPr>
        <w:t xml:space="preserve">celu </w:t>
      </w:r>
      <w:r w:rsidR="00C11990">
        <w:rPr>
          <w:rFonts w:eastAsia="Times New Roman"/>
        </w:rPr>
        <w:t>„</w:t>
      </w:r>
      <w:r w:rsidR="006151FC" w:rsidRPr="003E0C66">
        <w:rPr>
          <w:rFonts w:eastAsia="Times New Roman"/>
        </w:rPr>
        <w:t xml:space="preserve">czynników wyrównujących’’, </w:t>
      </w:r>
      <w:r w:rsidR="00D65B87" w:rsidRPr="003E0C66">
        <w:rPr>
          <w:rFonts w:eastAsia="Times New Roman"/>
        </w:rPr>
        <w:t>któr</w:t>
      </w:r>
      <w:r w:rsidR="00D65B87">
        <w:rPr>
          <w:rFonts w:eastAsia="Times New Roman"/>
        </w:rPr>
        <w:t>ym jest</w:t>
      </w:r>
      <w:r w:rsidR="00D65B87" w:rsidRPr="003E0C66">
        <w:rPr>
          <w:rFonts w:eastAsia="Times New Roman"/>
        </w:rPr>
        <w:t xml:space="preserve"> </w:t>
      </w:r>
      <w:r w:rsidR="006151FC" w:rsidRPr="003E0C66">
        <w:rPr>
          <w:rFonts w:eastAsia="Times New Roman"/>
        </w:rPr>
        <w:t xml:space="preserve">zapewnienie </w:t>
      </w:r>
      <w:r w:rsidR="00C11990">
        <w:rPr>
          <w:rFonts w:eastAsia="Times New Roman"/>
        </w:rPr>
        <w:t>„</w:t>
      </w:r>
      <w:r w:rsidR="00D65B87">
        <w:rPr>
          <w:rFonts w:eastAsia="Times New Roman"/>
        </w:rPr>
        <w:t>rzetelnej</w:t>
      </w:r>
      <w:r w:rsidR="00D65B87" w:rsidRPr="003E0C66">
        <w:rPr>
          <w:rFonts w:eastAsia="Times New Roman"/>
        </w:rPr>
        <w:t xml:space="preserve"> </w:t>
      </w:r>
      <w:r w:rsidR="006151FC" w:rsidRPr="003E0C66">
        <w:rPr>
          <w:rFonts w:eastAsia="Times New Roman"/>
        </w:rPr>
        <w:t xml:space="preserve">i </w:t>
      </w:r>
      <w:r w:rsidR="00D65B87">
        <w:rPr>
          <w:rFonts w:eastAsia="Times New Roman"/>
        </w:rPr>
        <w:t>właściwej</w:t>
      </w:r>
      <w:r w:rsidR="00D65B87" w:rsidRPr="003E0C66">
        <w:rPr>
          <w:rFonts w:eastAsia="Times New Roman"/>
        </w:rPr>
        <w:t xml:space="preserve"> </w:t>
      </w:r>
      <w:r w:rsidR="006151FC" w:rsidRPr="003E0C66">
        <w:rPr>
          <w:rFonts w:eastAsia="Times New Roman"/>
        </w:rPr>
        <w:t>oceny wiarygodności dowodów’’</w:t>
      </w:r>
      <w:r w:rsidR="007A550B" w:rsidRPr="003E0C66">
        <w:rPr>
          <w:rFonts w:eastAsia="Times New Roman"/>
        </w:rPr>
        <w:t xml:space="preserve">. W szczegółowym i dobrze </w:t>
      </w:r>
      <w:r w:rsidR="007A550B" w:rsidRPr="003E0C66">
        <w:rPr>
          <w:rFonts w:eastAsia="Times New Roman"/>
        </w:rPr>
        <w:lastRenderedPageBreak/>
        <w:t xml:space="preserve">uargumentowanym wyroku </w:t>
      </w:r>
      <w:r w:rsidR="00D65B87">
        <w:rPr>
          <w:rFonts w:eastAsia="Times New Roman"/>
        </w:rPr>
        <w:t>sądy</w:t>
      </w:r>
      <w:r w:rsidR="00D65B87" w:rsidRPr="003E0C66">
        <w:rPr>
          <w:rFonts w:eastAsia="Times New Roman"/>
        </w:rPr>
        <w:t xml:space="preserve"> </w:t>
      </w:r>
      <w:r w:rsidR="007A550B" w:rsidRPr="003E0C66">
        <w:rPr>
          <w:rFonts w:eastAsia="Times New Roman"/>
        </w:rPr>
        <w:t xml:space="preserve">krajowe </w:t>
      </w:r>
      <w:r w:rsidR="00D65B87">
        <w:rPr>
          <w:rFonts w:eastAsia="Times New Roman"/>
        </w:rPr>
        <w:t>wyjaśniły</w:t>
      </w:r>
      <w:r w:rsidR="005A4E30" w:rsidRPr="003E0C66">
        <w:rPr>
          <w:rFonts w:eastAsia="Times New Roman"/>
        </w:rPr>
        <w:t>,</w:t>
      </w:r>
      <w:r w:rsidR="007A550B" w:rsidRPr="003E0C66">
        <w:rPr>
          <w:rFonts w:eastAsia="Times New Roman"/>
        </w:rPr>
        <w:t xml:space="preserve"> dlaczego dow</w:t>
      </w:r>
      <w:r w:rsidR="005A4E30" w:rsidRPr="003E0C66">
        <w:rPr>
          <w:rFonts w:eastAsia="Times New Roman"/>
        </w:rPr>
        <w:t>ody z zeznań nieobecnych świadków O. i P.  zostały uznane</w:t>
      </w:r>
      <w:r w:rsidR="00D65B87">
        <w:rPr>
          <w:rFonts w:eastAsia="Times New Roman"/>
        </w:rPr>
        <w:t>,</w:t>
      </w:r>
      <w:r w:rsidR="005A4E30" w:rsidRPr="003E0C66">
        <w:rPr>
          <w:rFonts w:eastAsia="Times New Roman"/>
        </w:rPr>
        <w:t xml:space="preserve"> w świetle wszystkich dowodów</w:t>
      </w:r>
      <w:r w:rsidR="00D65B87">
        <w:rPr>
          <w:rFonts w:eastAsia="Times New Roman"/>
        </w:rPr>
        <w:t>,</w:t>
      </w:r>
      <w:r w:rsidR="005A4E30" w:rsidRPr="003E0C66">
        <w:rPr>
          <w:rFonts w:eastAsia="Times New Roman"/>
        </w:rPr>
        <w:t xml:space="preserve"> za wiarygodne. Jak już wspomniałem, na podstawie dodatkowych dowodów możliwe było</w:t>
      </w:r>
      <w:r w:rsidR="00D65B87">
        <w:rPr>
          <w:rFonts w:eastAsia="Times New Roman"/>
        </w:rPr>
        <w:t xml:space="preserve"> dokonanie przez</w:t>
      </w:r>
      <w:r w:rsidR="005A4E30" w:rsidRPr="003E0C66">
        <w:rPr>
          <w:rFonts w:eastAsia="Times New Roman"/>
        </w:rPr>
        <w:t xml:space="preserve"> sąd ocen</w:t>
      </w:r>
      <w:r w:rsidR="00D65B87">
        <w:rPr>
          <w:rFonts w:eastAsia="Times New Roman"/>
        </w:rPr>
        <w:t>y</w:t>
      </w:r>
      <w:r w:rsidR="005A4E30" w:rsidRPr="003E0C66">
        <w:rPr>
          <w:rFonts w:eastAsia="Times New Roman"/>
        </w:rPr>
        <w:t xml:space="preserve"> wiarygodności zezna</w:t>
      </w:r>
      <w:r w:rsidR="00E24E94" w:rsidRPr="003E0C66">
        <w:rPr>
          <w:rFonts w:eastAsia="Times New Roman"/>
        </w:rPr>
        <w:t xml:space="preserve">ń złożonych przez nieobecnych świadków O. i P. Zdaniem sądu orzekającego </w:t>
      </w:r>
      <w:r w:rsidR="00D65B87">
        <w:rPr>
          <w:rFonts w:eastAsia="Times New Roman"/>
        </w:rPr>
        <w:t>„</w:t>
      </w:r>
      <w:r w:rsidR="00E24E94" w:rsidRPr="003E0C66">
        <w:rPr>
          <w:rFonts w:eastAsia="Times New Roman"/>
        </w:rPr>
        <w:t xml:space="preserve">materiał dowodowy, </w:t>
      </w:r>
      <w:r w:rsidR="00D65B87">
        <w:rPr>
          <w:rFonts w:eastAsia="Times New Roman"/>
        </w:rPr>
        <w:t xml:space="preserve">jako całość, </w:t>
      </w:r>
      <w:r w:rsidR="00E24E94" w:rsidRPr="003E0C66">
        <w:rPr>
          <w:rFonts w:eastAsia="Times New Roman"/>
        </w:rPr>
        <w:t>dał spójny i kompletny obraz wydarzeń, któr</w:t>
      </w:r>
      <w:r w:rsidR="00B6344F">
        <w:rPr>
          <w:rFonts w:eastAsia="Times New Roman"/>
        </w:rPr>
        <w:t>y</w:t>
      </w:r>
      <w:r w:rsidR="00E24E94" w:rsidRPr="003E0C66">
        <w:rPr>
          <w:rFonts w:eastAsia="Times New Roman"/>
        </w:rPr>
        <w:t xml:space="preserve"> potwierdzał wersję wydarzeń przedstawioną przez świadków O. i P.</w:t>
      </w:r>
      <w:r w:rsidR="00B6344F">
        <w:rPr>
          <w:rFonts w:eastAsia="Times New Roman"/>
        </w:rPr>
        <w:t xml:space="preserve"> i zaprzeczył</w:t>
      </w:r>
      <w:r w:rsidR="00E24E94" w:rsidRPr="003E0C66">
        <w:rPr>
          <w:rFonts w:eastAsia="Times New Roman"/>
        </w:rPr>
        <w:t xml:space="preserve"> wersj</w:t>
      </w:r>
      <w:r w:rsidR="00B6344F">
        <w:rPr>
          <w:rFonts w:eastAsia="Times New Roman"/>
        </w:rPr>
        <w:t>i</w:t>
      </w:r>
      <w:r w:rsidR="00E24E94" w:rsidRPr="003E0C66">
        <w:rPr>
          <w:rFonts w:eastAsia="Times New Roman"/>
        </w:rPr>
        <w:t xml:space="preserve"> zdarzeń przedstawione</w:t>
      </w:r>
      <w:r w:rsidR="00B6344F">
        <w:rPr>
          <w:rFonts w:eastAsia="Times New Roman"/>
        </w:rPr>
        <w:t>j</w:t>
      </w:r>
      <w:r w:rsidR="00E24E94" w:rsidRPr="003E0C66">
        <w:rPr>
          <w:rFonts w:eastAsia="Times New Roman"/>
        </w:rPr>
        <w:t xml:space="preserve"> przez skarżącego i jego wspólników podczas rozprawy’’</w:t>
      </w:r>
      <w:r w:rsidR="00C11990">
        <w:rPr>
          <w:rFonts w:eastAsia="Times New Roman"/>
        </w:rPr>
        <w:t>.</w:t>
      </w:r>
      <w:r w:rsidR="005A4E30" w:rsidRPr="003E0C66">
        <w:rPr>
          <w:rFonts w:eastAsia="Times New Roman"/>
        </w:rPr>
        <w:t xml:space="preserve"> </w:t>
      </w:r>
      <w:r w:rsidR="007A550B" w:rsidRPr="003E0C66">
        <w:rPr>
          <w:rFonts w:eastAsia="Times New Roman"/>
        </w:rPr>
        <w:t xml:space="preserve">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31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E24E94" w:rsidRPr="003E0C66">
        <w:rPr>
          <w:rFonts w:eastAsia="Times New Roman"/>
        </w:rPr>
        <w:t xml:space="preserve">Dlatego </w:t>
      </w:r>
      <w:r w:rsidR="00C11990">
        <w:rPr>
          <w:rFonts w:eastAsia="Times New Roman"/>
        </w:rPr>
        <w:t>według mnie</w:t>
      </w:r>
      <w:r w:rsidR="00E24E94" w:rsidRPr="003E0C66">
        <w:rPr>
          <w:rFonts w:eastAsia="Times New Roman"/>
        </w:rPr>
        <w:t xml:space="preserve"> wykorzystanie </w:t>
      </w:r>
      <w:r w:rsidR="00B6344F">
        <w:rPr>
          <w:rFonts w:eastAsia="Times New Roman"/>
        </w:rPr>
        <w:t>pisemnych</w:t>
      </w:r>
      <w:r w:rsidR="00B6344F" w:rsidRPr="003E0C66">
        <w:rPr>
          <w:rFonts w:eastAsia="Times New Roman"/>
        </w:rPr>
        <w:t xml:space="preserve"> </w:t>
      </w:r>
      <w:r w:rsidR="00E24E94" w:rsidRPr="003E0C66">
        <w:rPr>
          <w:rFonts w:eastAsia="Times New Roman"/>
        </w:rPr>
        <w:t xml:space="preserve">zeznań nieobecnych świadków O. i P. oraz brak możliwości przesłuchania ich </w:t>
      </w:r>
      <w:r w:rsidR="00B6344F">
        <w:rPr>
          <w:rFonts w:eastAsia="Times New Roman"/>
        </w:rPr>
        <w:t xml:space="preserve">lub spowodowania ich przesłuchania </w:t>
      </w:r>
      <w:r w:rsidR="00E24E94" w:rsidRPr="003E0C66">
        <w:rPr>
          <w:rFonts w:eastAsia="Times New Roman"/>
        </w:rPr>
        <w:t xml:space="preserve">przez skarżącego nie </w:t>
      </w:r>
      <w:r w:rsidR="00B6344F">
        <w:rPr>
          <w:rFonts w:eastAsia="Times New Roman"/>
        </w:rPr>
        <w:t>sprawił</w:t>
      </w:r>
      <w:r w:rsidR="00E24E94" w:rsidRPr="003E0C66">
        <w:rPr>
          <w:rFonts w:eastAsia="Times New Roman"/>
        </w:rPr>
        <w:t xml:space="preserve">, </w:t>
      </w:r>
      <w:r w:rsidR="00B6344F">
        <w:rPr>
          <w:rFonts w:eastAsia="Times New Roman"/>
        </w:rPr>
        <w:t>że</w:t>
      </w:r>
      <w:r w:rsidR="00B6344F" w:rsidRPr="003E0C66">
        <w:rPr>
          <w:rFonts w:eastAsia="Times New Roman"/>
        </w:rPr>
        <w:t xml:space="preserve"> </w:t>
      </w:r>
      <w:r w:rsidR="00E24E94" w:rsidRPr="003E0C66">
        <w:rPr>
          <w:rFonts w:eastAsia="Times New Roman"/>
        </w:rPr>
        <w:t xml:space="preserve">proces był, jako całość, </w:t>
      </w:r>
      <w:r w:rsidR="00B6344F">
        <w:rPr>
          <w:rFonts w:eastAsia="Times New Roman"/>
        </w:rPr>
        <w:t>nierzetelny</w:t>
      </w:r>
      <w:r w:rsidR="00E24E94" w:rsidRPr="003E0C66">
        <w:rPr>
          <w:rFonts w:eastAsia="Times New Roman"/>
        </w:rPr>
        <w:t xml:space="preserve">.  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32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</w:t>
      </w:r>
      <w:r w:rsidR="00A170E1" w:rsidRPr="003E0C66">
        <w:rPr>
          <w:rFonts w:eastAsia="Times New Roman"/>
        </w:rPr>
        <w:t xml:space="preserve">Moim zdaniem wyrok jest kolejnym przykładem koncentrowania się </w:t>
      </w:r>
      <w:r w:rsidR="00B6344F">
        <w:rPr>
          <w:rFonts w:eastAsia="Times New Roman"/>
        </w:rPr>
        <w:t xml:space="preserve">przez </w:t>
      </w:r>
      <w:r w:rsidR="00A170E1" w:rsidRPr="003E0C66">
        <w:rPr>
          <w:rFonts w:eastAsia="Times New Roman"/>
        </w:rPr>
        <w:t>Trybunał na znaczeniu etapu dochodzenia dla przygotowania postępowania karnego (zobacz</w:t>
      </w:r>
      <w:r w:rsidR="00C5349B" w:rsidRPr="003E0C66">
        <w:rPr>
          <w:rFonts w:eastAsia="Times New Roman"/>
        </w:rPr>
        <w:t xml:space="preserve"> </w:t>
      </w:r>
      <w:proofErr w:type="spellStart"/>
      <w:r w:rsidR="00C5349B" w:rsidRPr="003E0C66">
        <w:rPr>
          <w:rFonts w:eastAsia="Times New Roman"/>
          <w:i/>
        </w:rPr>
        <w:t>Salduz</w:t>
      </w:r>
      <w:proofErr w:type="spellEnd"/>
      <w:r w:rsidR="00C5349B" w:rsidRPr="003E0C66">
        <w:rPr>
          <w:rFonts w:eastAsia="Times New Roman"/>
          <w:i/>
        </w:rPr>
        <w:t xml:space="preserve"> </w:t>
      </w:r>
      <w:r w:rsidR="00A170E1" w:rsidRPr="003E0C66">
        <w:rPr>
          <w:rFonts w:eastAsia="Times New Roman"/>
          <w:i/>
        </w:rPr>
        <w:t>przeciwko Turcji</w:t>
      </w:r>
      <w:r w:rsidR="00C5349B" w:rsidRPr="003E0C66">
        <w:rPr>
          <w:rFonts w:eastAsia="Times New Roman"/>
          <w:i/>
        </w:rPr>
        <w:t xml:space="preserve"> </w:t>
      </w:r>
      <w:r w:rsidR="00A170E1" w:rsidRPr="003E0C66">
        <w:rPr>
          <w:rFonts w:eastAsia="Times New Roman"/>
        </w:rPr>
        <w:t xml:space="preserve">[GC], </w:t>
      </w:r>
      <w:r w:rsidR="00F749AE" w:rsidRPr="003E0C66">
        <w:rPr>
          <w:rFonts w:eastAsia="Times New Roman"/>
        </w:rPr>
        <w:t>nr</w:t>
      </w:r>
      <w:r w:rsidR="00C5349B" w:rsidRPr="003E0C66">
        <w:rPr>
          <w:rFonts w:eastAsia="Times New Roman"/>
        </w:rPr>
        <w:t xml:space="preserve"> 36391/02, § 54, </w:t>
      </w:r>
      <w:r w:rsidR="00F749AE" w:rsidRPr="003E0C66">
        <w:rPr>
          <w:rFonts w:eastAsia="Times New Roman"/>
        </w:rPr>
        <w:t>ETPCZ</w:t>
      </w:r>
      <w:r w:rsidR="00C5349B" w:rsidRPr="003E0C66">
        <w:rPr>
          <w:rFonts w:eastAsia="Times New Roman"/>
        </w:rPr>
        <w:t xml:space="preserve"> 2008), </w:t>
      </w:r>
      <w:r w:rsidR="00A170E1" w:rsidRPr="003E0C66">
        <w:rPr>
          <w:rFonts w:eastAsia="Times New Roman"/>
        </w:rPr>
        <w:t xml:space="preserve">co </w:t>
      </w:r>
      <w:r w:rsidR="00B6344F">
        <w:rPr>
          <w:rFonts w:eastAsia="Times New Roman"/>
        </w:rPr>
        <w:t>oznacza</w:t>
      </w:r>
      <w:r w:rsidR="00A170E1" w:rsidRPr="003E0C66">
        <w:rPr>
          <w:rFonts w:eastAsia="Times New Roman"/>
        </w:rPr>
        <w:t xml:space="preserve">, że niezastosowanie pewnych proceduralnych gwarancji na etapie dochodzenia </w:t>
      </w:r>
      <w:r w:rsidR="00B6344F" w:rsidRPr="003E0C66">
        <w:rPr>
          <w:rFonts w:eastAsia="Times New Roman"/>
        </w:rPr>
        <w:t>w konsekwencji</w:t>
      </w:r>
      <w:r w:rsidR="00B6344F">
        <w:rPr>
          <w:rFonts w:eastAsia="Times New Roman"/>
        </w:rPr>
        <w:t>,</w:t>
      </w:r>
      <w:r w:rsidR="00B6344F" w:rsidRPr="003E0C66">
        <w:rPr>
          <w:rFonts w:eastAsia="Times New Roman"/>
        </w:rPr>
        <w:t xml:space="preserve"> </w:t>
      </w:r>
      <w:r w:rsidR="00A170E1" w:rsidRPr="003E0C66">
        <w:rPr>
          <w:rFonts w:eastAsia="Times New Roman"/>
        </w:rPr>
        <w:t>mniej lub bardziej automatycznie</w:t>
      </w:r>
      <w:r w:rsidR="009A1D77" w:rsidRPr="003E0C66">
        <w:rPr>
          <w:rFonts w:eastAsia="Times New Roman"/>
        </w:rPr>
        <w:t xml:space="preserve"> </w:t>
      </w:r>
      <w:r w:rsidR="00A170E1" w:rsidRPr="003E0C66">
        <w:rPr>
          <w:rFonts w:eastAsia="Times New Roman"/>
        </w:rPr>
        <w:t>powoduje</w:t>
      </w:r>
      <w:r w:rsidR="009A1D77" w:rsidRPr="003E0C66">
        <w:rPr>
          <w:rFonts w:eastAsia="Times New Roman"/>
        </w:rPr>
        <w:t xml:space="preserve">, </w:t>
      </w:r>
      <w:r w:rsidR="00B6344F">
        <w:rPr>
          <w:rFonts w:eastAsia="Times New Roman"/>
        </w:rPr>
        <w:t>że</w:t>
      </w:r>
      <w:r w:rsidR="00B6344F" w:rsidRPr="003E0C66">
        <w:rPr>
          <w:rFonts w:eastAsia="Times New Roman"/>
        </w:rPr>
        <w:t xml:space="preserve"> </w:t>
      </w:r>
      <w:r w:rsidR="009A1D77" w:rsidRPr="003E0C66">
        <w:rPr>
          <w:rFonts w:eastAsia="Times New Roman"/>
        </w:rPr>
        <w:t xml:space="preserve">dowody uzyskane na etapie dochodzenia nie mogą zostać </w:t>
      </w:r>
      <w:r w:rsidR="00B6344F">
        <w:rPr>
          <w:rFonts w:eastAsia="Times New Roman"/>
        </w:rPr>
        <w:t>użyte</w:t>
      </w:r>
      <w:r w:rsidR="00B6344F" w:rsidRPr="003E0C66">
        <w:rPr>
          <w:rFonts w:eastAsia="Times New Roman"/>
        </w:rPr>
        <w:t xml:space="preserve"> </w:t>
      </w:r>
      <w:r w:rsidR="009A1D77" w:rsidRPr="003E0C66">
        <w:rPr>
          <w:rFonts w:eastAsia="Times New Roman"/>
        </w:rPr>
        <w:t>przeciwko oskarżonemu</w:t>
      </w:r>
      <w:r w:rsidR="00B6344F">
        <w:rPr>
          <w:rFonts w:eastAsia="Times New Roman"/>
        </w:rPr>
        <w:t>.</w:t>
      </w:r>
    </w:p>
    <w:p w:rsidR="00C5349B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33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9A1D77" w:rsidRPr="003E0C66">
        <w:rPr>
          <w:rFonts w:eastAsia="Times New Roman"/>
        </w:rPr>
        <w:t>Jest to szczególnie godne ubolewania w sytuacji, gdy powodem ograniczenia pewnych gwarancji proceduralnych jest</w:t>
      </w:r>
      <w:r w:rsidR="00B6344F">
        <w:rPr>
          <w:rFonts w:eastAsia="Times New Roman"/>
        </w:rPr>
        <w:t xml:space="preserve"> potrzeba</w:t>
      </w:r>
      <w:r w:rsidR="009A1D77" w:rsidRPr="003E0C66">
        <w:rPr>
          <w:rFonts w:eastAsia="Times New Roman"/>
        </w:rPr>
        <w:t xml:space="preserve"> ochron</w:t>
      </w:r>
      <w:r w:rsidR="00B6344F">
        <w:rPr>
          <w:rFonts w:eastAsia="Times New Roman"/>
        </w:rPr>
        <w:t>y osób pokrzywdzonych</w:t>
      </w:r>
      <w:r w:rsidR="009A1D77" w:rsidRPr="003E0C66">
        <w:rPr>
          <w:rFonts w:eastAsia="Times New Roman"/>
        </w:rPr>
        <w:t xml:space="preserve"> przestępstw</w:t>
      </w:r>
      <w:r w:rsidR="00B6344F">
        <w:rPr>
          <w:rFonts w:eastAsia="Times New Roman"/>
        </w:rPr>
        <w:t>em</w:t>
      </w:r>
      <w:r w:rsidR="009A1D77" w:rsidRPr="003E0C66">
        <w:rPr>
          <w:rFonts w:eastAsia="Times New Roman"/>
        </w:rPr>
        <w:t xml:space="preserve"> </w:t>
      </w:r>
      <w:r w:rsidR="00BC2F73" w:rsidRPr="003E0C66">
        <w:rPr>
          <w:rFonts w:eastAsia="Times New Roman"/>
        </w:rPr>
        <w:t>oraz w sytuacjach</w:t>
      </w:r>
      <w:r w:rsidR="005A2A17" w:rsidRPr="003E0C66">
        <w:rPr>
          <w:rFonts w:eastAsia="Times New Roman"/>
        </w:rPr>
        <w:t>,</w:t>
      </w:r>
      <w:r w:rsidR="00BC2F73" w:rsidRPr="003E0C66">
        <w:rPr>
          <w:rFonts w:eastAsia="Times New Roman"/>
        </w:rPr>
        <w:t xml:space="preserve"> gdy </w:t>
      </w:r>
      <w:r w:rsidR="00B6344F">
        <w:rPr>
          <w:rFonts w:eastAsia="Times New Roman"/>
        </w:rPr>
        <w:t>istnieje</w:t>
      </w:r>
      <w:r w:rsidR="00B6344F" w:rsidRPr="003E0C66">
        <w:rPr>
          <w:rFonts w:eastAsia="Times New Roman"/>
        </w:rPr>
        <w:t xml:space="preserve"> </w:t>
      </w:r>
      <w:r w:rsidR="005A2A17" w:rsidRPr="003E0C66">
        <w:rPr>
          <w:rFonts w:eastAsia="Times New Roman"/>
        </w:rPr>
        <w:t xml:space="preserve">na tym etapie istotny dowód, który </w:t>
      </w:r>
      <w:r w:rsidR="00B6344F" w:rsidRPr="003E0C66">
        <w:rPr>
          <w:rFonts w:eastAsia="Times New Roman"/>
        </w:rPr>
        <w:t>pozw</w:t>
      </w:r>
      <w:r w:rsidR="00B6344F">
        <w:rPr>
          <w:rFonts w:eastAsia="Times New Roman"/>
        </w:rPr>
        <w:t>ala sądowi orzekającemu ocenić</w:t>
      </w:r>
      <w:r w:rsidR="00B6344F" w:rsidRPr="003E0C66">
        <w:rPr>
          <w:rFonts w:eastAsia="Times New Roman"/>
        </w:rPr>
        <w:t xml:space="preserve"> </w:t>
      </w:r>
      <w:r w:rsidR="005A2A17" w:rsidRPr="003E0C66">
        <w:rPr>
          <w:rFonts w:eastAsia="Times New Roman"/>
        </w:rPr>
        <w:t>wiarygodnoś</w:t>
      </w:r>
      <w:r w:rsidR="00B6344F">
        <w:rPr>
          <w:rFonts w:eastAsia="Times New Roman"/>
        </w:rPr>
        <w:t>ć zeznań</w:t>
      </w:r>
      <w:r w:rsidR="005A2A17" w:rsidRPr="003E0C66">
        <w:rPr>
          <w:rFonts w:eastAsia="Times New Roman"/>
        </w:rPr>
        <w:t xml:space="preserve"> </w:t>
      </w:r>
      <w:r w:rsidR="00B6344F" w:rsidRPr="003E0C66">
        <w:rPr>
          <w:rFonts w:eastAsia="Times New Roman"/>
        </w:rPr>
        <w:t>nieobecny</w:t>
      </w:r>
      <w:r w:rsidR="00B6344F">
        <w:rPr>
          <w:rFonts w:eastAsia="Times New Roman"/>
        </w:rPr>
        <w:t xml:space="preserve">ch </w:t>
      </w:r>
      <w:r w:rsidR="00B6344F" w:rsidRPr="003E0C66">
        <w:rPr>
          <w:rFonts w:eastAsia="Times New Roman"/>
        </w:rPr>
        <w:t>świadk</w:t>
      </w:r>
      <w:r w:rsidR="00B6344F">
        <w:rPr>
          <w:rFonts w:eastAsia="Times New Roman"/>
        </w:rPr>
        <w:t>ów</w:t>
      </w:r>
      <w:r w:rsidR="005A2A17" w:rsidRPr="003E0C66">
        <w:rPr>
          <w:rFonts w:eastAsia="Times New Roman"/>
        </w:rPr>
        <w:t xml:space="preserve">.  </w:t>
      </w:r>
      <w:r w:rsidR="009A1D77" w:rsidRPr="003E0C66">
        <w:rPr>
          <w:rFonts w:eastAsia="Times New Roman"/>
        </w:rPr>
        <w:t xml:space="preserve"> </w:t>
      </w:r>
    </w:p>
    <w:p w:rsidR="00BC0CE7" w:rsidRPr="003E0C66" w:rsidRDefault="006B25B0" w:rsidP="00BC0CE7">
      <w:pPr>
        <w:pStyle w:val="OpiPara"/>
        <w:rPr>
          <w:rFonts w:eastAsia="Times New Roman"/>
        </w:rPr>
      </w:pPr>
      <w:r w:rsidRPr="003E0C66">
        <w:rPr>
          <w:rFonts w:eastAsia="Times New Roman"/>
        </w:rPr>
        <w:fldChar w:fldCharType="begin"/>
      </w:r>
      <w:r w:rsidR="00C5349B" w:rsidRPr="003E0C66">
        <w:rPr>
          <w:rFonts w:eastAsia="Times New Roman"/>
        </w:rPr>
        <w:instrText xml:space="preserve"> SEQ level0 \*arabic </w:instrText>
      </w:r>
      <w:r w:rsidRPr="003E0C66">
        <w:rPr>
          <w:rFonts w:eastAsia="Times New Roman"/>
        </w:rPr>
        <w:fldChar w:fldCharType="separate"/>
      </w:r>
      <w:r w:rsidR="00CC1F60" w:rsidRPr="003E0C66">
        <w:rPr>
          <w:rFonts w:eastAsia="Times New Roman"/>
          <w:noProof/>
        </w:rPr>
        <w:t>34</w:t>
      </w:r>
      <w:r w:rsidRPr="003E0C66">
        <w:rPr>
          <w:rFonts w:eastAsia="Times New Roman"/>
        </w:rPr>
        <w:fldChar w:fldCharType="end"/>
      </w:r>
      <w:r w:rsidR="00C5349B" w:rsidRPr="003E0C66">
        <w:rPr>
          <w:rFonts w:eastAsia="Times New Roman"/>
        </w:rPr>
        <w:t>.  </w:t>
      </w:r>
      <w:r w:rsidR="005A2A17" w:rsidRPr="003E0C66">
        <w:rPr>
          <w:rFonts w:eastAsia="Times New Roman"/>
        </w:rPr>
        <w:t xml:space="preserve">Wyrok ten jest przykładem bardziej </w:t>
      </w:r>
      <w:r w:rsidR="00B6344F">
        <w:rPr>
          <w:rFonts w:eastAsia="Times New Roman"/>
        </w:rPr>
        <w:t>formalistycznego</w:t>
      </w:r>
      <w:r w:rsidR="00B6344F" w:rsidRPr="003E0C66">
        <w:rPr>
          <w:rFonts w:eastAsia="Times New Roman"/>
        </w:rPr>
        <w:t xml:space="preserve"> </w:t>
      </w:r>
      <w:r w:rsidR="005A2A17" w:rsidRPr="003E0C66">
        <w:rPr>
          <w:rFonts w:eastAsia="Times New Roman"/>
        </w:rPr>
        <w:t xml:space="preserve">podejścia do znaczenia gwarancji proceduralnych, gdzie </w:t>
      </w:r>
      <w:r w:rsidR="000F07C8">
        <w:rPr>
          <w:rFonts w:eastAsia="Times New Roman"/>
        </w:rPr>
        <w:t>niepodporządkowanie się</w:t>
      </w:r>
      <w:r w:rsidR="000F07C8" w:rsidRPr="003E0C66">
        <w:rPr>
          <w:rFonts w:eastAsia="Times New Roman"/>
        </w:rPr>
        <w:t xml:space="preserve"> </w:t>
      </w:r>
      <w:r w:rsidR="005A2A17" w:rsidRPr="003E0C66">
        <w:rPr>
          <w:rFonts w:eastAsia="Times New Roman"/>
        </w:rPr>
        <w:t xml:space="preserve">lub niezabezpieczenie pewnych gwarancji procesowych na etapie przedprocesowym czyni dowody uzyskanymi </w:t>
      </w:r>
      <w:r w:rsidR="000F07C8">
        <w:rPr>
          <w:rFonts w:eastAsia="Times New Roman"/>
        </w:rPr>
        <w:t>niezgodnie z prawem</w:t>
      </w:r>
      <w:r w:rsidR="005A2A17" w:rsidRPr="003E0C66">
        <w:rPr>
          <w:rFonts w:eastAsia="Times New Roman"/>
        </w:rPr>
        <w:t xml:space="preserve">, nawet jeśli </w:t>
      </w:r>
      <w:r w:rsidR="00CB122C" w:rsidRPr="003E0C66">
        <w:rPr>
          <w:rFonts w:eastAsia="Times New Roman"/>
        </w:rPr>
        <w:t>użycie tych dowodów, na podstawie ogólnej oceny, nie sprawia</w:t>
      </w:r>
      <w:r w:rsidR="000F07C8">
        <w:rPr>
          <w:rFonts w:eastAsia="Times New Roman"/>
        </w:rPr>
        <w:t>,</w:t>
      </w:r>
      <w:r w:rsidR="00CB122C" w:rsidRPr="003E0C66">
        <w:rPr>
          <w:rFonts w:eastAsia="Times New Roman"/>
        </w:rPr>
        <w:t xml:space="preserve"> </w:t>
      </w:r>
      <w:r w:rsidR="000F07C8">
        <w:rPr>
          <w:rFonts w:eastAsia="Times New Roman"/>
        </w:rPr>
        <w:t>że</w:t>
      </w:r>
      <w:r w:rsidR="000F07C8" w:rsidRPr="003E0C66">
        <w:rPr>
          <w:rFonts w:eastAsia="Times New Roman"/>
        </w:rPr>
        <w:t xml:space="preserve"> </w:t>
      </w:r>
      <w:r w:rsidR="000F07C8">
        <w:rPr>
          <w:rFonts w:eastAsia="Times New Roman"/>
        </w:rPr>
        <w:t xml:space="preserve">postępowanie, jako całość, stanie </w:t>
      </w:r>
      <w:r w:rsidR="00CB122C" w:rsidRPr="003E0C66">
        <w:rPr>
          <w:rFonts w:eastAsia="Times New Roman"/>
        </w:rPr>
        <w:t xml:space="preserve">się </w:t>
      </w:r>
      <w:r w:rsidR="000F07C8">
        <w:rPr>
          <w:rFonts w:eastAsia="Times New Roman"/>
        </w:rPr>
        <w:t>nierzetelne</w:t>
      </w:r>
      <w:r w:rsidR="00CB122C" w:rsidRPr="003E0C66">
        <w:rPr>
          <w:rFonts w:eastAsia="Times New Roman"/>
        </w:rPr>
        <w:t xml:space="preserve">. </w:t>
      </w:r>
    </w:p>
    <w:p w:rsidR="00BC0CE7" w:rsidRPr="003E0C66" w:rsidRDefault="00BC0CE7" w:rsidP="00BC0CE7">
      <w:pPr>
        <w:pStyle w:val="OpiPara"/>
        <w:rPr>
          <w:rFonts w:eastAsia="Times New Roman"/>
        </w:rPr>
      </w:pPr>
    </w:p>
    <w:sectPr w:rsidR="00BC0CE7" w:rsidRPr="003E0C66" w:rsidSect="001B627B">
      <w:headerReference w:type="even" r:id="rId18"/>
      <w:headerReference w:type="default" r:id="rId19"/>
      <w:footnotePr>
        <w:numRestart w:val="eachPage"/>
      </w:footnotePr>
      <w:pgSz w:w="11906" w:h="16838"/>
      <w:pgMar w:top="2274" w:right="2274" w:bottom="2274" w:left="2274" w:header="17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2A" w:rsidRDefault="005C7E2A" w:rsidP="00DC4033">
      <w:r>
        <w:separator/>
      </w:r>
    </w:p>
  </w:endnote>
  <w:endnote w:type="continuationSeparator" w:id="0">
    <w:p w:rsidR="005C7E2A" w:rsidRDefault="005C7E2A" w:rsidP="00DC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EE" w:rsidRDefault="003372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35" w:rsidRPr="00150BFA" w:rsidRDefault="00E11235" w:rsidP="00DC339B">
    <w:pPr>
      <w:jc w:val="center"/>
    </w:pPr>
    <w:r>
      <w:rPr>
        <w:noProof/>
        <w:lang w:eastAsia="pl-PL"/>
      </w:rPr>
      <w:drawing>
        <wp:inline distT="0" distB="0" distL="0" distR="0" wp14:anchorId="0EF67D1C" wp14:editId="212A523F">
          <wp:extent cx="771525" cy="619125"/>
          <wp:effectExtent l="0" t="0" r="9525" b="9525"/>
          <wp:docPr id="14" name="Picture 14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235" w:rsidRPr="00A737D1" w:rsidRDefault="00E11235" w:rsidP="00A737D1">
    <w:pPr>
      <w:pStyle w:val="Stopka"/>
      <w:jc w:val="center"/>
      <w:rPr>
        <w:sz w:val="4"/>
        <w:szCs w:val="4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EE" w:rsidRDefault="003372E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35" w:rsidRPr="00F6348B" w:rsidRDefault="00E11235" w:rsidP="00DC339B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2A" w:rsidRDefault="005C7E2A" w:rsidP="00DC4033">
      <w:r>
        <w:separator/>
      </w:r>
    </w:p>
  </w:footnote>
  <w:footnote w:type="continuationSeparator" w:id="0">
    <w:p w:rsidR="005C7E2A" w:rsidRDefault="005C7E2A" w:rsidP="00DC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EE" w:rsidRDefault="003372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35" w:rsidRPr="00A45145" w:rsidRDefault="00E11235" w:rsidP="00DC339B">
    <w:pPr>
      <w:jc w:val="center"/>
    </w:pPr>
    <w:r>
      <w:rPr>
        <w:noProof/>
        <w:lang w:eastAsia="pl-PL"/>
      </w:rPr>
      <w:drawing>
        <wp:inline distT="0" distB="0" distL="0" distR="0" wp14:anchorId="64701CA4" wp14:editId="3C07B6A4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235" w:rsidRDefault="00E11235" w:rsidP="00DC339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EE" w:rsidRDefault="003372E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35" w:rsidRPr="006A1F8B" w:rsidRDefault="00E11235" w:rsidP="006A1F8B">
    <w:pPr>
      <w:pStyle w:val="ECHRHead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956C3">
      <w:rPr>
        <w:rStyle w:val="Numerstrony"/>
        <w:noProof/>
      </w:rPr>
      <w:t>42</w:t>
    </w:r>
    <w:r>
      <w:rPr>
        <w:rStyle w:val="Numerstrony"/>
      </w:rPr>
      <w:fldChar w:fldCharType="end"/>
    </w:r>
    <w:r w:rsidRPr="006A1F8B">
      <w:tab/>
    </w:r>
    <w:r>
      <w:t>WYROK W SPRAWIE SCHATSCHASCHWILI PRZECIWKO NIEMCOM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35" w:rsidRPr="0017354A" w:rsidRDefault="00E11235" w:rsidP="00DC4033">
    <w:pPr>
      <w:pStyle w:val="ECHRHeader"/>
    </w:pPr>
    <w:r>
      <w:tab/>
      <w:t>WYROK W SPRAWIE SCHATSCHASCHWILI PRZECIWKO NIEMCOM</w:t>
    </w:r>
    <w:r>
      <w:tab/>
    </w:r>
    <w:r>
      <w:rPr>
        <w:rStyle w:val="Numerstrony"/>
        <w:lang w:val="en-GB"/>
      </w:rPr>
      <w:fldChar w:fldCharType="begin"/>
    </w:r>
    <w:r w:rsidRPr="0017354A">
      <w:rPr>
        <w:rStyle w:val="Numerstrony"/>
      </w:rPr>
      <w:instrText xml:space="preserve"> PAGE </w:instrText>
    </w:r>
    <w:r>
      <w:rPr>
        <w:rStyle w:val="Numerstrony"/>
        <w:lang w:val="en-GB"/>
      </w:rPr>
      <w:fldChar w:fldCharType="separate"/>
    </w:r>
    <w:r w:rsidR="001956C3">
      <w:rPr>
        <w:rStyle w:val="Numerstrony"/>
        <w:noProof/>
      </w:rPr>
      <w:t>1</w:t>
    </w:r>
    <w:r>
      <w:rPr>
        <w:rStyle w:val="Numerstrony"/>
        <w:lang w:val="en-GB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35" w:rsidRPr="0017354A" w:rsidRDefault="00E11235" w:rsidP="00DC339B">
    <w:pPr>
      <w:pStyle w:val="ECHRHeader"/>
    </w:pPr>
    <w:r>
      <w:rPr>
        <w:rStyle w:val="Numerstrony"/>
        <w:lang w:val="en-GB"/>
      </w:rPr>
      <w:fldChar w:fldCharType="begin"/>
    </w:r>
    <w:r w:rsidRPr="0017354A">
      <w:rPr>
        <w:rStyle w:val="Numerstrony"/>
      </w:rPr>
      <w:instrText xml:space="preserve"> PAGE </w:instrText>
    </w:r>
    <w:r>
      <w:rPr>
        <w:rStyle w:val="Numerstrony"/>
        <w:lang w:val="en-GB"/>
      </w:rPr>
      <w:fldChar w:fldCharType="separate"/>
    </w:r>
    <w:r w:rsidR="001956C3">
      <w:rPr>
        <w:rStyle w:val="Numerstrony"/>
        <w:noProof/>
      </w:rPr>
      <w:t>58</w:t>
    </w:r>
    <w:r>
      <w:rPr>
        <w:rStyle w:val="Numerstrony"/>
        <w:lang w:val="en-GB"/>
      </w:rPr>
      <w:fldChar w:fldCharType="end"/>
    </w:r>
    <w:r w:rsidRPr="0017354A">
      <w:rPr>
        <w:rStyle w:val="Numerstrony"/>
      </w:rPr>
      <w:tab/>
    </w:r>
    <w:r>
      <w:t>WYROK W SPRAWIE SCHATSCHASCHWILI P. NIEMCOM – OPINIE ODRĘBNE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35" w:rsidRDefault="00E11235" w:rsidP="00DC339B">
    <w:pPr>
      <w:pStyle w:val="ECHRHeader"/>
    </w:pPr>
    <w:r>
      <w:tab/>
      <w:t xml:space="preserve">WYROK W SPRAWIE SCHATSCHASCHWILI P. NIEMCOM – OPINIE ODRĘBNE </w:t>
    </w:r>
    <w:r>
      <w:tab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956C3">
      <w:rPr>
        <w:rStyle w:val="Numerstrony"/>
        <w:noProof/>
      </w:rPr>
      <w:t>57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60303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4EE56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BE1DE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9C1F3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F83F5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D2623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88B3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5C667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5680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1A51D14"/>
    <w:multiLevelType w:val="hybridMultilevel"/>
    <w:tmpl w:val="8B745B60"/>
    <w:lvl w:ilvl="0" w:tplc="2C0648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62467"/>
    <w:multiLevelType w:val="hybridMultilevel"/>
    <w:tmpl w:val="85C8E6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E3CBE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2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9466D8E"/>
    <w:multiLevelType w:val="multilevel"/>
    <w:tmpl w:val="040C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9955ACB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5">
    <w:nsid w:val="450D3BA1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>
    <w:nsid w:val="52316A4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5351956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8">
    <w:nsid w:val="67E457A0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FD1241"/>
    <w:multiLevelType w:val="hybridMultilevel"/>
    <w:tmpl w:val="F6D86CC2"/>
    <w:lvl w:ilvl="0" w:tplc="E4205412">
      <w:start w:val="1"/>
      <w:numFmt w:val="bullet"/>
      <w:pStyle w:val="Listapunktowana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76903243"/>
    <w:multiLevelType w:val="multilevel"/>
    <w:tmpl w:val="E884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7"/>
  </w:num>
  <w:num w:numId="7">
    <w:abstractNumId w:val="15"/>
  </w:num>
  <w:num w:numId="8">
    <w:abstractNumId w:val="19"/>
  </w:num>
  <w:num w:numId="9">
    <w:abstractNumId w:val="18"/>
  </w:num>
  <w:num w:numId="10">
    <w:abstractNumId w:val="16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0"/>
  </w:num>
  <w:num w:numId="25">
    <w:abstractNumId w:val="10"/>
  </w:num>
  <w:num w:numId="2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NatAutre" w:val="1"/>
    <w:docVar w:name="DocVarPREMATURE" w:val="0"/>
    <w:docVar w:name="EMM" w:val="0"/>
    <w:docVar w:name="ETRANSMISSION" w:val="BY E-TRANSMISSION ONLY"/>
    <w:docVar w:name="L4_1Annex" w:val="0"/>
    <w:docVar w:name="L4_1Anonymity" w:val="1"/>
    <w:docVar w:name="L4_1AppNatList" w:val="German, allemand, Serbian, Georgian"/>
    <w:docVar w:name="NBEMMDOC" w:val="0"/>
    <w:docVar w:name="SignForeName" w:val="0"/>
  </w:docVars>
  <w:rsids>
    <w:rsidRoot w:val="00E05B22"/>
    <w:rsid w:val="000041F8"/>
    <w:rsid w:val="000042A8"/>
    <w:rsid w:val="00004308"/>
    <w:rsid w:val="00005BF0"/>
    <w:rsid w:val="00006170"/>
    <w:rsid w:val="00007154"/>
    <w:rsid w:val="00007A11"/>
    <w:rsid w:val="000103AE"/>
    <w:rsid w:val="00010668"/>
    <w:rsid w:val="00010B34"/>
    <w:rsid w:val="00010F60"/>
    <w:rsid w:val="00011D69"/>
    <w:rsid w:val="000121F4"/>
    <w:rsid w:val="00012AD3"/>
    <w:rsid w:val="0001411E"/>
    <w:rsid w:val="00015C2D"/>
    <w:rsid w:val="00015F00"/>
    <w:rsid w:val="00016C66"/>
    <w:rsid w:val="0002174E"/>
    <w:rsid w:val="00021D30"/>
    <w:rsid w:val="000226A6"/>
    <w:rsid w:val="00022A00"/>
    <w:rsid w:val="00022C1D"/>
    <w:rsid w:val="00022E3B"/>
    <w:rsid w:val="00022F6A"/>
    <w:rsid w:val="00025577"/>
    <w:rsid w:val="00031CF5"/>
    <w:rsid w:val="0003300B"/>
    <w:rsid w:val="00034987"/>
    <w:rsid w:val="00035B85"/>
    <w:rsid w:val="00035EBD"/>
    <w:rsid w:val="0003711B"/>
    <w:rsid w:val="000376B1"/>
    <w:rsid w:val="00037D48"/>
    <w:rsid w:val="000409AB"/>
    <w:rsid w:val="00041B35"/>
    <w:rsid w:val="00042137"/>
    <w:rsid w:val="000442E7"/>
    <w:rsid w:val="0004732A"/>
    <w:rsid w:val="000477C3"/>
    <w:rsid w:val="00050D97"/>
    <w:rsid w:val="00051481"/>
    <w:rsid w:val="000516E4"/>
    <w:rsid w:val="00051BB8"/>
    <w:rsid w:val="00051F75"/>
    <w:rsid w:val="0005666D"/>
    <w:rsid w:val="00057259"/>
    <w:rsid w:val="000601F4"/>
    <w:rsid w:val="000602DF"/>
    <w:rsid w:val="00061B05"/>
    <w:rsid w:val="00061F7A"/>
    <w:rsid w:val="000632D5"/>
    <w:rsid w:val="00064008"/>
    <w:rsid w:val="000644EE"/>
    <w:rsid w:val="00065F3C"/>
    <w:rsid w:val="00065F6F"/>
    <w:rsid w:val="000715BA"/>
    <w:rsid w:val="0007361D"/>
    <w:rsid w:val="00075B82"/>
    <w:rsid w:val="00076783"/>
    <w:rsid w:val="00076E4C"/>
    <w:rsid w:val="00083C33"/>
    <w:rsid w:val="00083C9F"/>
    <w:rsid w:val="000847BE"/>
    <w:rsid w:val="00084CB9"/>
    <w:rsid w:val="00085119"/>
    <w:rsid w:val="0008676D"/>
    <w:rsid w:val="000925AD"/>
    <w:rsid w:val="0009331B"/>
    <w:rsid w:val="000942F1"/>
    <w:rsid w:val="00094B4A"/>
    <w:rsid w:val="000964AC"/>
    <w:rsid w:val="000970A3"/>
    <w:rsid w:val="000A0AEA"/>
    <w:rsid w:val="000A235E"/>
    <w:rsid w:val="000A24EB"/>
    <w:rsid w:val="000A31B4"/>
    <w:rsid w:val="000A480E"/>
    <w:rsid w:val="000A4FF8"/>
    <w:rsid w:val="000A5157"/>
    <w:rsid w:val="000B39C8"/>
    <w:rsid w:val="000B48D0"/>
    <w:rsid w:val="000B6653"/>
    <w:rsid w:val="000B6923"/>
    <w:rsid w:val="000C117A"/>
    <w:rsid w:val="000C5F3C"/>
    <w:rsid w:val="000C6DCC"/>
    <w:rsid w:val="000D0879"/>
    <w:rsid w:val="000D1425"/>
    <w:rsid w:val="000D47AA"/>
    <w:rsid w:val="000D4829"/>
    <w:rsid w:val="000D5844"/>
    <w:rsid w:val="000D6053"/>
    <w:rsid w:val="000D721F"/>
    <w:rsid w:val="000E069B"/>
    <w:rsid w:val="000E0E11"/>
    <w:rsid w:val="000E0E82"/>
    <w:rsid w:val="000E0EA3"/>
    <w:rsid w:val="000E1DC5"/>
    <w:rsid w:val="000E223F"/>
    <w:rsid w:val="000E27E9"/>
    <w:rsid w:val="000E3A4E"/>
    <w:rsid w:val="000E6CC6"/>
    <w:rsid w:val="000E6DCC"/>
    <w:rsid w:val="000E7D45"/>
    <w:rsid w:val="000F07C8"/>
    <w:rsid w:val="000F0CB2"/>
    <w:rsid w:val="000F0FF0"/>
    <w:rsid w:val="000F1963"/>
    <w:rsid w:val="000F1D29"/>
    <w:rsid w:val="000F246B"/>
    <w:rsid w:val="000F509B"/>
    <w:rsid w:val="000F6983"/>
    <w:rsid w:val="000F7851"/>
    <w:rsid w:val="000F7B1E"/>
    <w:rsid w:val="0010154A"/>
    <w:rsid w:val="0010317B"/>
    <w:rsid w:val="001034A7"/>
    <w:rsid w:val="00104867"/>
    <w:rsid w:val="00104E23"/>
    <w:rsid w:val="001054DF"/>
    <w:rsid w:val="001055EA"/>
    <w:rsid w:val="00105D45"/>
    <w:rsid w:val="00106966"/>
    <w:rsid w:val="00111B0C"/>
    <w:rsid w:val="00111CFD"/>
    <w:rsid w:val="00112009"/>
    <w:rsid w:val="00114852"/>
    <w:rsid w:val="00114C54"/>
    <w:rsid w:val="00117A32"/>
    <w:rsid w:val="00120D6C"/>
    <w:rsid w:val="00121BA3"/>
    <w:rsid w:val="00123298"/>
    <w:rsid w:val="001239C7"/>
    <w:rsid w:val="001257EC"/>
    <w:rsid w:val="00126968"/>
    <w:rsid w:val="00126FAD"/>
    <w:rsid w:val="00127564"/>
    <w:rsid w:val="00130475"/>
    <w:rsid w:val="00131A20"/>
    <w:rsid w:val="00132DD1"/>
    <w:rsid w:val="00133305"/>
    <w:rsid w:val="00133D33"/>
    <w:rsid w:val="00134D64"/>
    <w:rsid w:val="00135281"/>
    <w:rsid w:val="00135A30"/>
    <w:rsid w:val="0013612C"/>
    <w:rsid w:val="001363A3"/>
    <w:rsid w:val="0013678E"/>
    <w:rsid w:val="00137FF6"/>
    <w:rsid w:val="00141650"/>
    <w:rsid w:val="00147086"/>
    <w:rsid w:val="001476C4"/>
    <w:rsid w:val="001501C0"/>
    <w:rsid w:val="001508C3"/>
    <w:rsid w:val="00152E38"/>
    <w:rsid w:val="001612DD"/>
    <w:rsid w:val="00161840"/>
    <w:rsid w:val="00162A12"/>
    <w:rsid w:val="00164C78"/>
    <w:rsid w:val="00165F0E"/>
    <w:rsid w:val="001661B9"/>
    <w:rsid w:val="00166530"/>
    <w:rsid w:val="00172D04"/>
    <w:rsid w:val="0017354A"/>
    <w:rsid w:val="00174169"/>
    <w:rsid w:val="00174395"/>
    <w:rsid w:val="0018005B"/>
    <w:rsid w:val="0018226E"/>
    <w:rsid w:val="00182408"/>
    <w:rsid w:val="001832BD"/>
    <w:rsid w:val="0018461A"/>
    <w:rsid w:val="00184B8D"/>
    <w:rsid w:val="001860BE"/>
    <w:rsid w:val="00186FE3"/>
    <w:rsid w:val="001875F8"/>
    <w:rsid w:val="00190F34"/>
    <w:rsid w:val="00191C02"/>
    <w:rsid w:val="00192C2F"/>
    <w:rsid w:val="001943B5"/>
    <w:rsid w:val="00195134"/>
    <w:rsid w:val="001956C3"/>
    <w:rsid w:val="0019577D"/>
    <w:rsid w:val="0019741B"/>
    <w:rsid w:val="001A145B"/>
    <w:rsid w:val="001A3410"/>
    <w:rsid w:val="001A4353"/>
    <w:rsid w:val="001A674C"/>
    <w:rsid w:val="001A7000"/>
    <w:rsid w:val="001B02A6"/>
    <w:rsid w:val="001B36A3"/>
    <w:rsid w:val="001B3B24"/>
    <w:rsid w:val="001B45CB"/>
    <w:rsid w:val="001B4F25"/>
    <w:rsid w:val="001B627B"/>
    <w:rsid w:val="001B63B4"/>
    <w:rsid w:val="001B7C7E"/>
    <w:rsid w:val="001B7F24"/>
    <w:rsid w:val="001C0F98"/>
    <w:rsid w:val="001C15DD"/>
    <w:rsid w:val="001C2A42"/>
    <w:rsid w:val="001C3533"/>
    <w:rsid w:val="001C7AF1"/>
    <w:rsid w:val="001D15E4"/>
    <w:rsid w:val="001D1FA3"/>
    <w:rsid w:val="001D556F"/>
    <w:rsid w:val="001D63ED"/>
    <w:rsid w:val="001D7348"/>
    <w:rsid w:val="001D75E9"/>
    <w:rsid w:val="001E035B"/>
    <w:rsid w:val="001E06AA"/>
    <w:rsid w:val="001E0961"/>
    <w:rsid w:val="001E1B80"/>
    <w:rsid w:val="001E2B38"/>
    <w:rsid w:val="001E38C4"/>
    <w:rsid w:val="001E3EAE"/>
    <w:rsid w:val="001E5824"/>
    <w:rsid w:val="001E5CCC"/>
    <w:rsid w:val="001E6F32"/>
    <w:rsid w:val="001F1CD9"/>
    <w:rsid w:val="001F2145"/>
    <w:rsid w:val="001F2C6C"/>
    <w:rsid w:val="001F2CC4"/>
    <w:rsid w:val="001F6262"/>
    <w:rsid w:val="001F67B0"/>
    <w:rsid w:val="001F7B3D"/>
    <w:rsid w:val="0020541C"/>
    <w:rsid w:val="00205EB3"/>
    <w:rsid w:val="00205F9F"/>
    <w:rsid w:val="00206050"/>
    <w:rsid w:val="00207FEB"/>
    <w:rsid w:val="00210338"/>
    <w:rsid w:val="002115FC"/>
    <w:rsid w:val="00213357"/>
    <w:rsid w:val="00213CA6"/>
    <w:rsid w:val="0021423C"/>
    <w:rsid w:val="00215CF8"/>
    <w:rsid w:val="0021695D"/>
    <w:rsid w:val="00216CDE"/>
    <w:rsid w:val="00217B07"/>
    <w:rsid w:val="00217FA2"/>
    <w:rsid w:val="002220B4"/>
    <w:rsid w:val="00223704"/>
    <w:rsid w:val="00224487"/>
    <w:rsid w:val="00225E4F"/>
    <w:rsid w:val="00230D00"/>
    <w:rsid w:val="00231DF7"/>
    <w:rsid w:val="00231FD1"/>
    <w:rsid w:val="0023360E"/>
    <w:rsid w:val="002339E0"/>
    <w:rsid w:val="00233CF8"/>
    <w:rsid w:val="0023575D"/>
    <w:rsid w:val="00237148"/>
    <w:rsid w:val="0024222D"/>
    <w:rsid w:val="00243156"/>
    <w:rsid w:val="00244B0E"/>
    <w:rsid w:val="00244F6C"/>
    <w:rsid w:val="002462FC"/>
    <w:rsid w:val="002471D8"/>
    <w:rsid w:val="002532C5"/>
    <w:rsid w:val="002539F7"/>
    <w:rsid w:val="002543B3"/>
    <w:rsid w:val="0025666E"/>
    <w:rsid w:val="002608D2"/>
    <w:rsid w:val="00260C03"/>
    <w:rsid w:val="00263C26"/>
    <w:rsid w:val="00264B69"/>
    <w:rsid w:val="0026533F"/>
    <w:rsid w:val="0026540E"/>
    <w:rsid w:val="00265A4C"/>
    <w:rsid w:val="00267274"/>
    <w:rsid w:val="00267E05"/>
    <w:rsid w:val="002715D3"/>
    <w:rsid w:val="00273220"/>
    <w:rsid w:val="0027410E"/>
    <w:rsid w:val="00274465"/>
    <w:rsid w:val="002747D2"/>
    <w:rsid w:val="00275123"/>
    <w:rsid w:val="002779FB"/>
    <w:rsid w:val="00282240"/>
    <w:rsid w:val="00282759"/>
    <w:rsid w:val="002837A3"/>
    <w:rsid w:val="00287339"/>
    <w:rsid w:val="00287671"/>
    <w:rsid w:val="002948AD"/>
    <w:rsid w:val="00296E6D"/>
    <w:rsid w:val="00297222"/>
    <w:rsid w:val="002A01CC"/>
    <w:rsid w:val="002A17FB"/>
    <w:rsid w:val="002A1D37"/>
    <w:rsid w:val="002A2316"/>
    <w:rsid w:val="002A61B1"/>
    <w:rsid w:val="002A663C"/>
    <w:rsid w:val="002A684B"/>
    <w:rsid w:val="002B3134"/>
    <w:rsid w:val="002B38E5"/>
    <w:rsid w:val="002B444B"/>
    <w:rsid w:val="002B5887"/>
    <w:rsid w:val="002B5D38"/>
    <w:rsid w:val="002B614D"/>
    <w:rsid w:val="002B664C"/>
    <w:rsid w:val="002C0E27"/>
    <w:rsid w:val="002C3040"/>
    <w:rsid w:val="002C3F81"/>
    <w:rsid w:val="002C4C07"/>
    <w:rsid w:val="002C620C"/>
    <w:rsid w:val="002C6676"/>
    <w:rsid w:val="002D022D"/>
    <w:rsid w:val="002D24BB"/>
    <w:rsid w:val="002D45C3"/>
    <w:rsid w:val="002D485D"/>
    <w:rsid w:val="002D6418"/>
    <w:rsid w:val="002E31D5"/>
    <w:rsid w:val="002E4A13"/>
    <w:rsid w:val="002E75D7"/>
    <w:rsid w:val="002F066E"/>
    <w:rsid w:val="002F2AF7"/>
    <w:rsid w:val="002F7E1C"/>
    <w:rsid w:val="0030001C"/>
    <w:rsid w:val="003006BF"/>
    <w:rsid w:val="00300F23"/>
    <w:rsid w:val="00301173"/>
    <w:rsid w:val="00301A75"/>
    <w:rsid w:val="0030237A"/>
    <w:rsid w:val="00302F70"/>
    <w:rsid w:val="0030336F"/>
    <w:rsid w:val="0030375E"/>
    <w:rsid w:val="00304001"/>
    <w:rsid w:val="003043C7"/>
    <w:rsid w:val="003043D3"/>
    <w:rsid w:val="00312A30"/>
    <w:rsid w:val="00313D4F"/>
    <w:rsid w:val="00315375"/>
    <w:rsid w:val="00316FC6"/>
    <w:rsid w:val="00317C48"/>
    <w:rsid w:val="00320F72"/>
    <w:rsid w:val="00321A66"/>
    <w:rsid w:val="0032276C"/>
    <w:rsid w:val="00323468"/>
    <w:rsid w:val="0032373E"/>
    <w:rsid w:val="0032463E"/>
    <w:rsid w:val="003260DF"/>
    <w:rsid w:val="00326224"/>
    <w:rsid w:val="00326E68"/>
    <w:rsid w:val="003311CF"/>
    <w:rsid w:val="00331C1A"/>
    <w:rsid w:val="00334BA7"/>
    <w:rsid w:val="00336879"/>
    <w:rsid w:val="003372EE"/>
    <w:rsid w:val="00337EE4"/>
    <w:rsid w:val="00340FFD"/>
    <w:rsid w:val="00341FB7"/>
    <w:rsid w:val="00343089"/>
    <w:rsid w:val="0034383F"/>
    <w:rsid w:val="00345846"/>
    <w:rsid w:val="0034739B"/>
    <w:rsid w:val="003506B1"/>
    <w:rsid w:val="00352298"/>
    <w:rsid w:val="00352ED0"/>
    <w:rsid w:val="003553B9"/>
    <w:rsid w:val="003557A3"/>
    <w:rsid w:val="00356AC7"/>
    <w:rsid w:val="003609FA"/>
    <w:rsid w:val="00360FD3"/>
    <w:rsid w:val="00361A8B"/>
    <w:rsid w:val="00367E37"/>
    <w:rsid w:val="00370BD5"/>
    <w:rsid w:val="003710C8"/>
    <w:rsid w:val="0037182B"/>
    <w:rsid w:val="00371D96"/>
    <w:rsid w:val="003725D1"/>
    <w:rsid w:val="00372CDD"/>
    <w:rsid w:val="003750BE"/>
    <w:rsid w:val="003774BB"/>
    <w:rsid w:val="00380D2C"/>
    <w:rsid w:val="00383159"/>
    <w:rsid w:val="0038387E"/>
    <w:rsid w:val="003843D2"/>
    <w:rsid w:val="00386C5A"/>
    <w:rsid w:val="00387B9D"/>
    <w:rsid w:val="00391D75"/>
    <w:rsid w:val="0039364F"/>
    <w:rsid w:val="00396686"/>
    <w:rsid w:val="003975C8"/>
    <w:rsid w:val="0039778E"/>
    <w:rsid w:val="003A0886"/>
    <w:rsid w:val="003B3B9A"/>
    <w:rsid w:val="003B47D8"/>
    <w:rsid w:val="003B4941"/>
    <w:rsid w:val="003B5471"/>
    <w:rsid w:val="003C02F4"/>
    <w:rsid w:val="003C15D5"/>
    <w:rsid w:val="003C2659"/>
    <w:rsid w:val="003C2814"/>
    <w:rsid w:val="003C38AB"/>
    <w:rsid w:val="003C5714"/>
    <w:rsid w:val="003C6751"/>
    <w:rsid w:val="003C6B9F"/>
    <w:rsid w:val="003C6E2A"/>
    <w:rsid w:val="003D0299"/>
    <w:rsid w:val="003D097F"/>
    <w:rsid w:val="003D28E6"/>
    <w:rsid w:val="003D315E"/>
    <w:rsid w:val="003D46D0"/>
    <w:rsid w:val="003D5F20"/>
    <w:rsid w:val="003E0C66"/>
    <w:rsid w:val="003E231C"/>
    <w:rsid w:val="003E362A"/>
    <w:rsid w:val="003E38F3"/>
    <w:rsid w:val="003E444B"/>
    <w:rsid w:val="003E505D"/>
    <w:rsid w:val="003E6D80"/>
    <w:rsid w:val="003F05FA"/>
    <w:rsid w:val="003F244A"/>
    <w:rsid w:val="003F30B8"/>
    <w:rsid w:val="003F4949"/>
    <w:rsid w:val="003F4C45"/>
    <w:rsid w:val="003F5735"/>
    <w:rsid w:val="003F5F7B"/>
    <w:rsid w:val="003F73B0"/>
    <w:rsid w:val="003F7D64"/>
    <w:rsid w:val="00400C38"/>
    <w:rsid w:val="0040412F"/>
    <w:rsid w:val="00404941"/>
    <w:rsid w:val="004058F3"/>
    <w:rsid w:val="00405E6C"/>
    <w:rsid w:val="00411195"/>
    <w:rsid w:val="00411876"/>
    <w:rsid w:val="0041202D"/>
    <w:rsid w:val="00414300"/>
    <w:rsid w:val="00414596"/>
    <w:rsid w:val="00414A2A"/>
    <w:rsid w:val="004153B0"/>
    <w:rsid w:val="00420385"/>
    <w:rsid w:val="00422488"/>
    <w:rsid w:val="00425C67"/>
    <w:rsid w:val="00427E7A"/>
    <w:rsid w:val="00432C7E"/>
    <w:rsid w:val="00434549"/>
    <w:rsid w:val="00436C49"/>
    <w:rsid w:val="0044397A"/>
    <w:rsid w:val="00445054"/>
    <w:rsid w:val="00445366"/>
    <w:rsid w:val="00445B8C"/>
    <w:rsid w:val="0044629D"/>
    <w:rsid w:val="004474FE"/>
    <w:rsid w:val="00447F5B"/>
    <w:rsid w:val="00452019"/>
    <w:rsid w:val="00452FAF"/>
    <w:rsid w:val="004546AD"/>
    <w:rsid w:val="004605E2"/>
    <w:rsid w:val="00460A1F"/>
    <w:rsid w:val="00461327"/>
    <w:rsid w:val="004615D3"/>
    <w:rsid w:val="00461DB0"/>
    <w:rsid w:val="00461EBE"/>
    <w:rsid w:val="004634B4"/>
    <w:rsid w:val="00463926"/>
    <w:rsid w:val="00463AE6"/>
    <w:rsid w:val="00463BC3"/>
    <w:rsid w:val="00464C9A"/>
    <w:rsid w:val="00465338"/>
    <w:rsid w:val="004654D3"/>
    <w:rsid w:val="00465782"/>
    <w:rsid w:val="0047084A"/>
    <w:rsid w:val="00472292"/>
    <w:rsid w:val="00474F3D"/>
    <w:rsid w:val="00476DA9"/>
    <w:rsid w:val="00477E3A"/>
    <w:rsid w:val="00480CEF"/>
    <w:rsid w:val="00481A0A"/>
    <w:rsid w:val="00483E5F"/>
    <w:rsid w:val="0048496B"/>
    <w:rsid w:val="004859DE"/>
    <w:rsid w:val="00485FF9"/>
    <w:rsid w:val="00487BB7"/>
    <w:rsid w:val="004907F0"/>
    <w:rsid w:val="0049140B"/>
    <w:rsid w:val="00491974"/>
    <w:rsid w:val="004923A5"/>
    <w:rsid w:val="00493F74"/>
    <w:rsid w:val="0049692E"/>
    <w:rsid w:val="00496993"/>
    <w:rsid w:val="00496BFB"/>
    <w:rsid w:val="004972F1"/>
    <w:rsid w:val="004A00D5"/>
    <w:rsid w:val="004A15C7"/>
    <w:rsid w:val="004A27B1"/>
    <w:rsid w:val="004A472E"/>
    <w:rsid w:val="004A4969"/>
    <w:rsid w:val="004A4B97"/>
    <w:rsid w:val="004A523E"/>
    <w:rsid w:val="004B013B"/>
    <w:rsid w:val="004B112B"/>
    <w:rsid w:val="004B29B8"/>
    <w:rsid w:val="004B2AD5"/>
    <w:rsid w:val="004B2B04"/>
    <w:rsid w:val="004B5D23"/>
    <w:rsid w:val="004C01E4"/>
    <w:rsid w:val="004C086C"/>
    <w:rsid w:val="004C1F56"/>
    <w:rsid w:val="004C27BC"/>
    <w:rsid w:val="004C3174"/>
    <w:rsid w:val="004C35A4"/>
    <w:rsid w:val="004C40F0"/>
    <w:rsid w:val="004D066B"/>
    <w:rsid w:val="004D1489"/>
    <w:rsid w:val="004D15F3"/>
    <w:rsid w:val="004D1C49"/>
    <w:rsid w:val="004D2529"/>
    <w:rsid w:val="004D2A4E"/>
    <w:rsid w:val="004D3C43"/>
    <w:rsid w:val="004D3CE8"/>
    <w:rsid w:val="004D5311"/>
    <w:rsid w:val="004D5469"/>
    <w:rsid w:val="004D5596"/>
    <w:rsid w:val="004D5DCC"/>
    <w:rsid w:val="004D62F5"/>
    <w:rsid w:val="004D75CE"/>
    <w:rsid w:val="004E074D"/>
    <w:rsid w:val="004E112B"/>
    <w:rsid w:val="004E44A6"/>
    <w:rsid w:val="004E63F3"/>
    <w:rsid w:val="004F0FF7"/>
    <w:rsid w:val="004F10AF"/>
    <w:rsid w:val="004F11A4"/>
    <w:rsid w:val="004F2004"/>
    <w:rsid w:val="004F2389"/>
    <w:rsid w:val="004F304D"/>
    <w:rsid w:val="004F3065"/>
    <w:rsid w:val="004F3977"/>
    <w:rsid w:val="004F4687"/>
    <w:rsid w:val="004F52E9"/>
    <w:rsid w:val="004F5777"/>
    <w:rsid w:val="004F5C7F"/>
    <w:rsid w:val="004F61BE"/>
    <w:rsid w:val="004F659C"/>
    <w:rsid w:val="004F66B1"/>
    <w:rsid w:val="004F68EA"/>
    <w:rsid w:val="00500449"/>
    <w:rsid w:val="0050282E"/>
    <w:rsid w:val="005038F3"/>
    <w:rsid w:val="0050486E"/>
    <w:rsid w:val="00505EB9"/>
    <w:rsid w:val="00506D40"/>
    <w:rsid w:val="00507A4F"/>
    <w:rsid w:val="00511934"/>
    <w:rsid w:val="00511C07"/>
    <w:rsid w:val="005139B2"/>
    <w:rsid w:val="005142A8"/>
    <w:rsid w:val="00515091"/>
    <w:rsid w:val="00515AFA"/>
    <w:rsid w:val="005173A6"/>
    <w:rsid w:val="00520BAA"/>
    <w:rsid w:val="005230A4"/>
    <w:rsid w:val="005248B9"/>
    <w:rsid w:val="00525208"/>
    <w:rsid w:val="005257A5"/>
    <w:rsid w:val="00526394"/>
    <w:rsid w:val="005264C0"/>
    <w:rsid w:val="00526A8A"/>
    <w:rsid w:val="00531B4C"/>
    <w:rsid w:val="00531DF2"/>
    <w:rsid w:val="00532627"/>
    <w:rsid w:val="0053494A"/>
    <w:rsid w:val="00537BA6"/>
    <w:rsid w:val="00540136"/>
    <w:rsid w:val="005442EE"/>
    <w:rsid w:val="005461EB"/>
    <w:rsid w:val="00547353"/>
    <w:rsid w:val="00547495"/>
    <w:rsid w:val="005474E7"/>
    <w:rsid w:val="005512A3"/>
    <w:rsid w:val="00552BB6"/>
    <w:rsid w:val="00552E05"/>
    <w:rsid w:val="005578CE"/>
    <w:rsid w:val="00561349"/>
    <w:rsid w:val="00562781"/>
    <w:rsid w:val="00566478"/>
    <w:rsid w:val="00567C68"/>
    <w:rsid w:val="00571262"/>
    <w:rsid w:val="0057215F"/>
    <w:rsid w:val="0057271C"/>
    <w:rsid w:val="00572845"/>
    <w:rsid w:val="00574866"/>
    <w:rsid w:val="00575AAE"/>
    <w:rsid w:val="00577DFE"/>
    <w:rsid w:val="00583211"/>
    <w:rsid w:val="00587E33"/>
    <w:rsid w:val="00590D5E"/>
    <w:rsid w:val="00592772"/>
    <w:rsid w:val="0059574A"/>
    <w:rsid w:val="005A0503"/>
    <w:rsid w:val="005A196C"/>
    <w:rsid w:val="005A1B9B"/>
    <w:rsid w:val="005A2A17"/>
    <w:rsid w:val="005A3B1C"/>
    <w:rsid w:val="005A471F"/>
    <w:rsid w:val="005A4E30"/>
    <w:rsid w:val="005A6284"/>
    <w:rsid w:val="005A6751"/>
    <w:rsid w:val="005B092E"/>
    <w:rsid w:val="005B152C"/>
    <w:rsid w:val="005B1EE0"/>
    <w:rsid w:val="005B1F19"/>
    <w:rsid w:val="005B2B24"/>
    <w:rsid w:val="005B3072"/>
    <w:rsid w:val="005B4425"/>
    <w:rsid w:val="005B4B94"/>
    <w:rsid w:val="005B5E26"/>
    <w:rsid w:val="005B790A"/>
    <w:rsid w:val="005C2335"/>
    <w:rsid w:val="005C29EC"/>
    <w:rsid w:val="005C2E73"/>
    <w:rsid w:val="005C3EE8"/>
    <w:rsid w:val="005C45B7"/>
    <w:rsid w:val="005C494B"/>
    <w:rsid w:val="005C4D27"/>
    <w:rsid w:val="005C64B2"/>
    <w:rsid w:val="005C7E2A"/>
    <w:rsid w:val="005D04D2"/>
    <w:rsid w:val="005D34F9"/>
    <w:rsid w:val="005D372C"/>
    <w:rsid w:val="005D3804"/>
    <w:rsid w:val="005D38E1"/>
    <w:rsid w:val="005D4190"/>
    <w:rsid w:val="005D671A"/>
    <w:rsid w:val="005D67A3"/>
    <w:rsid w:val="005E2988"/>
    <w:rsid w:val="005E3085"/>
    <w:rsid w:val="005E45B9"/>
    <w:rsid w:val="005E7814"/>
    <w:rsid w:val="005F2BCD"/>
    <w:rsid w:val="005F51E1"/>
    <w:rsid w:val="00600B16"/>
    <w:rsid w:val="0060303A"/>
    <w:rsid w:val="00603F89"/>
    <w:rsid w:val="00604A02"/>
    <w:rsid w:val="00611872"/>
    <w:rsid w:val="00611C80"/>
    <w:rsid w:val="006122B9"/>
    <w:rsid w:val="00613157"/>
    <w:rsid w:val="006151FC"/>
    <w:rsid w:val="006167EE"/>
    <w:rsid w:val="00620692"/>
    <w:rsid w:val="00620D8D"/>
    <w:rsid w:val="006214BA"/>
    <w:rsid w:val="00621BC3"/>
    <w:rsid w:val="00622562"/>
    <w:rsid w:val="00623547"/>
    <w:rsid w:val="006242CA"/>
    <w:rsid w:val="00624ECF"/>
    <w:rsid w:val="006257CD"/>
    <w:rsid w:val="00625C5B"/>
    <w:rsid w:val="00625E7E"/>
    <w:rsid w:val="00626448"/>
    <w:rsid w:val="006274B6"/>
    <w:rsid w:val="00627507"/>
    <w:rsid w:val="006278C6"/>
    <w:rsid w:val="0063095F"/>
    <w:rsid w:val="0063216C"/>
    <w:rsid w:val="00633717"/>
    <w:rsid w:val="006344E1"/>
    <w:rsid w:val="00642267"/>
    <w:rsid w:val="00644A40"/>
    <w:rsid w:val="00645696"/>
    <w:rsid w:val="00645995"/>
    <w:rsid w:val="00646DB9"/>
    <w:rsid w:val="00647371"/>
    <w:rsid w:val="00650508"/>
    <w:rsid w:val="006545C4"/>
    <w:rsid w:val="00661971"/>
    <w:rsid w:val="00661CE8"/>
    <w:rsid w:val="006620C6"/>
    <w:rsid w:val="006623D9"/>
    <w:rsid w:val="0066550C"/>
    <w:rsid w:val="00665A3F"/>
    <w:rsid w:val="00670122"/>
    <w:rsid w:val="00670C90"/>
    <w:rsid w:val="00671608"/>
    <w:rsid w:val="006716F2"/>
    <w:rsid w:val="00671768"/>
    <w:rsid w:val="00672F8C"/>
    <w:rsid w:val="00674349"/>
    <w:rsid w:val="006748A4"/>
    <w:rsid w:val="00674CEB"/>
    <w:rsid w:val="00675438"/>
    <w:rsid w:val="0067556B"/>
    <w:rsid w:val="00676C2D"/>
    <w:rsid w:val="00681C2C"/>
    <w:rsid w:val="00682BF2"/>
    <w:rsid w:val="006844C1"/>
    <w:rsid w:val="006859CE"/>
    <w:rsid w:val="0068646F"/>
    <w:rsid w:val="00687AAD"/>
    <w:rsid w:val="0069091A"/>
    <w:rsid w:val="00691270"/>
    <w:rsid w:val="006944AF"/>
    <w:rsid w:val="00694BA8"/>
    <w:rsid w:val="00695373"/>
    <w:rsid w:val="006A037C"/>
    <w:rsid w:val="006A06D6"/>
    <w:rsid w:val="006A1F8B"/>
    <w:rsid w:val="006A2438"/>
    <w:rsid w:val="006A36F4"/>
    <w:rsid w:val="006A406F"/>
    <w:rsid w:val="006A536E"/>
    <w:rsid w:val="006A53BE"/>
    <w:rsid w:val="006A5D3A"/>
    <w:rsid w:val="006A61D7"/>
    <w:rsid w:val="006B03DB"/>
    <w:rsid w:val="006B0F25"/>
    <w:rsid w:val="006B2502"/>
    <w:rsid w:val="006B25B0"/>
    <w:rsid w:val="006B431B"/>
    <w:rsid w:val="006B4371"/>
    <w:rsid w:val="006C1003"/>
    <w:rsid w:val="006C1524"/>
    <w:rsid w:val="006C190F"/>
    <w:rsid w:val="006C23D4"/>
    <w:rsid w:val="006C27AC"/>
    <w:rsid w:val="006C7AE9"/>
    <w:rsid w:val="006C7BB0"/>
    <w:rsid w:val="006D0890"/>
    <w:rsid w:val="006D1758"/>
    <w:rsid w:val="006D3237"/>
    <w:rsid w:val="006D3504"/>
    <w:rsid w:val="006D3AC5"/>
    <w:rsid w:val="006D5EE1"/>
    <w:rsid w:val="006D6999"/>
    <w:rsid w:val="006D7C91"/>
    <w:rsid w:val="006E1AF8"/>
    <w:rsid w:val="006E297A"/>
    <w:rsid w:val="006E2E37"/>
    <w:rsid w:val="006E36AC"/>
    <w:rsid w:val="006E3CF1"/>
    <w:rsid w:val="006E547E"/>
    <w:rsid w:val="006E6B0C"/>
    <w:rsid w:val="006E7E80"/>
    <w:rsid w:val="006F1C9B"/>
    <w:rsid w:val="006F48CA"/>
    <w:rsid w:val="006F64DD"/>
    <w:rsid w:val="006F768A"/>
    <w:rsid w:val="006F78C7"/>
    <w:rsid w:val="00702BB8"/>
    <w:rsid w:val="007058D5"/>
    <w:rsid w:val="00706DC0"/>
    <w:rsid w:val="00710192"/>
    <w:rsid w:val="00710BBF"/>
    <w:rsid w:val="00711024"/>
    <w:rsid w:val="0071479F"/>
    <w:rsid w:val="00715127"/>
    <w:rsid w:val="00715E8E"/>
    <w:rsid w:val="00717174"/>
    <w:rsid w:val="0072143B"/>
    <w:rsid w:val="0072340E"/>
    <w:rsid w:val="007234EA"/>
    <w:rsid w:val="00723580"/>
    <w:rsid w:val="00723755"/>
    <w:rsid w:val="00726278"/>
    <w:rsid w:val="00727296"/>
    <w:rsid w:val="00727453"/>
    <w:rsid w:val="00727501"/>
    <w:rsid w:val="007304CA"/>
    <w:rsid w:val="00730CF9"/>
    <w:rsid w:val="0073136C"/>
    <w:rsid w:val="00731F0F"/>
    <w:rsid w:val="00733250"/>
    <w:rsid w:val="00741404"/>
    <w:rsid w:val="00743FCF"/>
    <w:rsid w:val="007449E5"/>
    <w:rsid w:val="00746F88"/>
    <w:rsid w:val="00747FF0"/>
    <w:rsid w:val="00750B0B"/>
    <w:rsid w:val="007529BC"/>
    <w:rsid w:val="007550AA"/>
    <w:rsid w:val="00761EFD"/>
    <w:rsid w:val="00762142"/>
    <w:rsid w:val="00764D4E"/>
    <w:rsid w:val="00765A1F"/>
    <w:rsid w:val="00767AD3"/>
    <w:rsid w:val="00773BB8"/>
    <w:rsid w:val="0077491B"/>
    <w:rsid w:val="00775B6D"/>
    <w:rsid w:val="00776B8F"/>
    <w:rsid w:val="00776D68"/>
    <w:rsid w:val="007771B4"/>
    <w:rsid w:val="00781D0C"/>
    <w:rsid w:val="00781F37"/>
    <w:rsid w:val="00782EF8"/>
    <w:rsid w:val="007832BC"/>
    <w:rsid w:val="007850EE"/>
    <w:rsid w:val="00785B95"/>
    <w:rsid w:val="00790B79"/>
    <w:rsid w:val="00790C7C"/>
    <w:rsid w:val="00790E96"/>
    <w:rsid w:val="0079213E"/>
    <w:rsid w:val="00793366"/>
    <w:rsid w:val="0079514F"/>
    <w:rsid w:val="00795583"/>
    <w:rsid w:val="00795B57"/>
    <w:rsid w:val="007A03CB"/>
    <w:rsid w:val="007A3FCB"/>
    <w:rsid w:val="007A4F87"/>
    <w:rsid w:val="007A550B"/>
    <w:rsid w:val="007A5D80"/>
    <w:rsid w:val="007A716F"/>
    <w:rsid w:val="007A72B3"/>
    <w:rsid w:val="007A7435"/>
    <w:rsid w:val="007B0BDF"/>
    <w:rsid w:val="007B1AF8"/>
    <w:rsid w:val="007B2029"/>
    <w:rsid w:val="007B270A"/>
    <w:rsid w:val="007B3B32"/>
    <w:rsid w:val="007B4291"/>
    <w:rsid w:val="007B5DF7"/>
    <w:rsid w:val="007B64F0"/>
    <w:rsid w:val="007C0695"/>
    <w:rsid w:val="007C2767"/>
    <w:rsid w:val="007C419A"/>
    <w:rsid w:val="007C4CC8"/>
    <w:rsid w:val="007C5426"/>
    <w:rsid w:val="007C5798"/>
    <w:rsid w:val="007D0E4D"/>
    <w:rsid w:val="007D1E33"/>
    <w:rsid w:val="007D356D"/>
    <w:rsid w:val="007D4832"/>
    <w:rsid w:val="007D4A08"/>
    <w:rsid w:val="007E21B2"/>
    <w:rsid w:val="007E2AFD"/>
    <w:rsid w:val="007E2C4E"/>
    <w:rsid w:val="007E41C5"/>
    <w:rsid w:val="007E4982"/>
    <w:rsid w:val="007E6FCC"/>
    <w:rsid w:val="007F1905"/>
    <w:rsid w:val="007F3C96"/>
    <w:rsid w:val="007F74FE"/>
    <w:rsid w:val="008004D0"/>
    <w:rsid w:val="008012CE"/>
    <w:rsid w:val="00802C64"/>
    <w:rsid w:val="00803713"/>
    <w:rsid w:val="008045B2"/>
    <w:rsid w:val="00805D05"/>
    <w:rsid w:val="00805E52"/>
    <w:rsid w:val="008061D0"/>
    <w:rsid w:val="00806D07"/>
    <w:rsid w:val="00810880"/>
    <w:rsid w:val="00810B38"/>
    <w:rsid w:val="00810E9C"/>
    <w:rsid w:val="00812BE5"/>
    <w:rsid w:val="0081435C"/>
    <w:rsid w:val="00814F43"/>
    <w:rsid w:val="008152E6"/>
    <w:rsid w:val="008170A8"/>
    <w:rsid w:val="00817AEB"/>
    <w:rsid w:val="008204C7"/>
    <w:rsid w:val="00820992"/>
    <w:rsid w:val="00821EEC"/>
    <w:rsid w:val="00823602"/>
    <w:rsid w:val="008236DF"/>
    <w:rsid w:val="0082392A"/>
    <w:rsid w:val="008255F5"/>
    <w:rsid w:val="00825DD6"/>
    <w:rsid w:val="0083014E"/>
    <w:rsid w:val="00830D7A"/>
    <w:rsid w:val="0083214A"/>
    <w:rsid w:val="00834220"/>
    <w:rsid w:val="008420CC"/>
    <w:rsid w:val="00843708"/>
    <w:rsid w:val="0084481C"/>
    <w:rsid w:val="008454BF"/>
    <w:rsid w:val="00845723"/>
    <w:rsid w:val="00850D6F"/>
    <w:rsid w:val="00850F09"/>
    <w:rsid w:val="00851EF9"/>
    <w:rsid w:val="00853703"/>
    <w:rsid w:val="008577AE"/>
    <w:rsid w:val="008577FD"/>
    <w:rsid w:val="00860B03"/>
    <w:rsid w:val="0086185C"/>
    <w:rsid w:val="0086497A"/>
    <w:rsid w:val="00871072"/>
    <w:rsid w:val="008713A1"/>
    <w:rsid w:val="00874412"/>
    <w:rsid w:val="00874D53"/>
    <w:rsid w:val="008754AB"/>
    <w:rsid w:val="00877DDF"/>
    <w:rsid w:val="0088060C"/>
    <w:rsid w:val="008849BC"/>
    <w:rsid w:val="00886A3D"/>
    <w:rsid w:val="00893576"/>
    <w:rsid w:val="00893E73"/>
    <w:rsid w:val="008945EE"/>
    <w:rsid w:val="00894788"/>
    <w:rsid w:val="008A0165"/>
    <w:rsid w:val="008A0925"/>
    <w:rsid w:val="008A0AF5"/>
    <w:rsid w:val="008A35A6"/>
    <w:rsid w:val="008A5014"/>
    <w:rsid w:val="008A50BC"/>
    <w:rsid w:val="008A611F"/>
    <w:rsid w:val="008A6DCA"/>
    <w:rsid w:val="008A7660"/>
    <w:rsid w:val="008B02DC"/>
    <w:rsid w:val="008B1311"/>
    <w:rsid w:val="008B1C82"/>
    <w:rsid w:val="008B1F39"/>
    <w:rsid w:val="008B4E29"/>
    <w:rsid w:val="008B57CE"/>
    <w:rsid w:val="008C26DE"/>
    <w:rsid w:val="008C30F2"/>
    <w:rsid w:val="008C50E5"/>
    <w:rsid w:val="008D1834"/>
    <w:rsid w:val="008D2225"/>
    <w:rsid w:val="008D2C9A"/>
    <w:rsid w:val="008D4752"/>
    <w:rsid w:val="008D4E4F"/>
    <w:rsid w:val="008D5265"/>
    <w:rsid w:val="008E1488"/>
    <w:rsid w:val="008E2468"/>
    <w:rsid w:val="008E271C"/>
    <w:rsid w:val="008E418E"/>
    <w:rsid w:val="008E4A39"/>
    <w:rsid w:val="008E4E66"/>
    <w:rsid w:val="008E5BC6"/>
    <w:rsid w:val="008E6A25"/>
    <w:rsid w:val="008F0446"/>
    <w:rsid w:val="008F077D"/>
    <w:rsid w:val="008F1FF7"/>
    <w:rsid w:val="008F34D3"/>
    <w:rsid w:val="008F4200"/>
    <w:rsid w:val="008F4FEB"/>
    <w:rsid w:val="008F5193"/>
    <w:rsid w:val="008F64B5"/>
    <w:rsid w:val="009013A7"/>
    <w:rsid w:val="009017FB"/>
    <w:rsid w:val="009017FC"/>
    <w:rsid w:val="00903D1D"/>
    <w:rsid w:val="00904E3D"/>
    <w:rsid w:val="0090506B"/>
    <w:rsid w:val="009050C9"/>
    <w:rsid w:val="00906095"/>
    <w:rsid w:val="009066FC"/>
    <w:rsid w:val="00907489"/>
    <w:rsid w:val="009104BE"/>
    <w:rsid w:val="009111E5"/>
    <w:rsid w:val="00913075"/>
    <w:rsid w:val="009140A3"/>
    <w:rsid w:val="009144A2"/>
    <w:rsid w:val="00914A3F"/>
    <w:rsid w:val="0091510C"/>
    <w:rsid w:val="0091654E"/>
    <w:rsid w:val="009166A5"/>
    <w:rsid w:val="00917527"/>
    <w:rsid w:val="00920A3E"/>
    <w:rsid w:val="00921006"/>
    <w:rsid w:val="00922094"/>
    <w:rsid w:val="009255B1"/>
    <w:rsid w:val="009259AC"/>
    <w:rsid w:val="0092652A"/>
    <w:rsid w:val="00926F38"/>
    <w:rsid w:val="009279E3"/>
    <w:rsid w:val="00927AE7"/>
    <w:rsid w:val="0093140C"/>
    <w:rsid w:val="0093226A"/>
    <w:rsid w:val="00932868"/>
    <w:rsid w:val="00933400"/>
    <w:rsid w:val="00934301"/>
    <w:rsid w:val="00935BE7"/>
    <w:rsid w:val="009366CB"/>
    <w:rsid w:val="00936CD1"/>
    <w:rsid w:val="00937603"/>
    <w:rsid w:val="0093767D"/>
    <w:rsid w:val="00941747"/>
    <w:rsid w:val="00941EFB"/>
    <w:rsid w:val="0094432B"/>
    <w:rsid w:val="00944B1C"/>
    <w:rsid w:val="00944E77"/>
    <w:rsid w:val="00947AFB"/>
    <w:rsid w:val="00951D7D"/>
    <w:rsid w:val="009535CD"/>
    <w:rsid w:val="00953A7D"/>
    <w:rsid w:val="00955FA3"/>
    <w:rsid w:val="00957637"/>
    <w:rsid w:val="00960FF6"/>
    <w:rsid w:val="00961046"/>
    <w:rsid w:val="009624F2"/>
    <w:rsid w:val="009630C7"/>
    <w:rsid w:val="00964E9E"/>
    <w:rsid w:val="009666ED"/>
    <w:rsid w:val="0097297E"/>
    <w:rsid w:val="00972B55"/>
    <w:rsid w:val="009739D0"/>
    <w:rsid w:val="009743B7"/>
    <w:rsid w:val="009753D6"/>
    <w:rsid w:val="009759ED"/>
    <w:rsid w:val="0097624E"/>
    <w:rsid w:val="009771DF"/>
    <w:rsid w:val="0098228B"/>
    <w:rsid w:val="009827C1"/>
    <w:rsid w:val="009828DA"/>
    <w:rsid w:val="00984473"/>
    <w:rsid w:val="00984837"/>
    <w:rsid w:val="00985BAB"/>
    <w:rsid w:val="0098662F"/>
    <w:rsid w:val="0099357B"/>
    <w:rsid w:val="00993ED6"/>
    <w:rsid w:val="00993F25"/>
    <w:rsid w:val="00995A7B"/>
    <w:rsid w:val="00996DAA"/>
    <w:rsid w:val="009A0ADF"/>
    <w:rsid w:val="009A1D77"/>
    <w:rsid w:val="009A7B99"/>
    <w:rsid w:val="009B1B5F"/>
    <w:rsid w:val="009B3274"/>
    <w:rsid w:val="009B3B8E"/>
    <w:rsid w:val="009B4325"/>
    <w:rsid w:val="009B57F5"/>
    <w:rsid w:val="009B6673"/>
    <w:rsid w:val="009C191B"/>
    <w:rsid w:val="009C2BD6"/>
    <w:rsid w:val="009C3D41"/>
    <w:rsid w:val="009C4183"/>
    <w:rsid w:val="009C4A62"/>
    <w:rsid w:val="009C587C"/>
    <w:rsid w:val="009D1D89"/>
    <w:rsid w:val="009D7F3B"/>
    <w:rsid w:val="009E1F32"/>
    <w:rsid w:val="009E2015"/>
    <w:rsid w:val="009E2A46"/>
    <w:rsid w:val="009E38AD"/>
    <w:rsid w:val="009E4648"/>
    <w:rsid w:val="009E4CC3"/>
    <w:rsid w:val="009E5A73"/>
    <w:rsid w:val="009E776C"/>
    <w:rsid w:val="009E7ABD"/>
    <w:rsid w:val="009F0851"/>
    <w:rsid w:val="009F18FF"/>
    <w:rsid w:val="009F4F16"/>
    <w:rsid w:val="00A0091A"/>
    <w:rsid w:val="00A01650"/>
    <w:rsid w:val="00A041D1"/>
    <w:rsid w:val="00A049C8"/>
    <w:rsid w:val="00A07256"/>
    <w:rsid w:val="00A1039F"/>
    <w:rsid w:val="00A10CCC"/>
    <w:rsid w:val="00A1222B"/>
    <w:rsid w:val="00A170E1"/>
    <w:rsid w:val="00A1726E"/>
    <w:rsid w:val="00A204CF"/>
    <w:rsid w:val="00A21369"/>
    <w:rsid w:val="00A2291C"/>
    <w:rsid w:val="00A23D49"/>
    <w:rsid w:val="00A269FA"/>
    <w:rsid w:val="00A27004"/>
    <w:rsid w:val="00A3044C"/>
    <w:rsid w:val="00A30C29"/>
    <w:rsid w:val="00A31017"/>
    <w:rsid w:val="00A3172A"/>
    <w:rsid w:val="00A34DD6"/>
    <w:rsid w:val="00A36819"/>
    <w:rsid w:val="00A36989"/>
    <w:rsid w:val="00A421A5"/>
    <w:rsid w:val="00A42A0C"/>
    <w:rsid w:val="00A43628"/>
    <w:rsid w:val="00A46A1D"/>
    <w:rsid w:val="00A477CC"/>
    <w:rsid w:val="00A47D04"/>
    <w:rsid w:val="00A509EF"/>
    <w:rsid w:val="00A51304"/>
    <w:rsid w:val="00A514DB"/>
    <w:rsid w:val="00A54192"/>
    <w:rsid w:val="00A600C9"/>
    <w:rsid w:val="00A6035E"/>
    <w:rsid w:val="00A6144C"/>
    <w:rsid w:val="00A63F41"/>
    <w:rsid w:val="00A63FCC"/>
    <w:rsid w:val="00A64674"/>
    <w:rsid w:val="00A66617"/>
    <w:rsid w:val="00A6676E"/>
    <w:rsid w:val="00A671F8"/>
    <w:rsid w:val="00A673A4"/>
    <w:rsid w:val="00A67F42"/>
    <w:rsid w:val="00A724AE"/>
    <w:rsid w:val="00A732F4"/>
    <w:rsid w:val="00A73329"/>
    <w:rsid w:val="00A737D1"/>
    <w:rsid w:val="00A74E76"/>
    <w:rsid w:val="00A75043"/>
    <w:rsid w:val="00A75871"/>
    <w:rsid w:val="00A80AC8"/>
    <w:rsid w:val="00A80C05"/>
    <w:rsid w:val="00A82359"/>
    <w:rsid w:val="00A8273D"/>
    <w:rsid w:val="00A82A33"/>
    <w:rsid w:val="00A865D2"/>
    <w:rsid w:val="00A87316"/>
    <w:rsid w:val="00A87C45"/>
    <w:rsid w:val="00A90F3B"/>
    <w:rsid w:val="00A92F74"/>
    <w:rsid w:val="00A94B14"/>
    <w:rsid w:val="00A94C20"/>
    <w:rsid w:val="00A97069"/>
    <w:rsid w:val="00AA044B"/>
    <w:rsid w:val="00AA1F08"/>
    <w:rsid w:val="00AA227F"/>
    <w:rsid w:val="00AA3BC7"/>
    <w:rsid w:val="00AA5330"/>
    <w:rsid w:val="00AA714D"/>
    <w:rsid w:val="00AA754A"/>
    <w:rsid w:val="00AB099E"/>
    <w:rsid w:val="00AB1742"/>
    <w:rsid w:val="00AB2FDA"/>
    <w:rsid w:val="00AB40A2"/>
    <w:rsid w:val="00AB4328"/>
    <w:rsid w:val="00AB658F"/>
    <w:rsid w:val="00AB7102"/>
    <w:rsid w:val="00AC03F7"/>
    <w:rsid w:val="00AC29CE"/>
    <w:rsid w:val="00AC56F7"/>
    <w:rsid w:val="00AC5F1E"/>
    <w:rsid w:val="00AD2010"/>
    <w:rsid w:val="00AD639E"/>
    <w:rsid w:val="00AE0112"/>
    <w:rsid w:val="00AE0832"/>
    <w:rsid w:val="00AE0A2E"/>
    <w:rsid w:val="00AE1326"/>
    <w:rsid w:val="00AE21EE"/>
    <w:rsid w:val="00AE354C"/>
    <w:rsid w:val="00AE40B3"/>
    <w:rsid w:val="00AE5035"/>
    <w:rsid w:val="00AE61D9"/>
    <w:rsid w:val="00AE62C7"/>
    <w:rsid w:val="00AE688F"/>
    <w:rsid w:val="00AE7BD0"/>
    <w:rsid w:val="00AF25D8"/>
    <w:rsid w:val="00AF4B07"/>
    <w:rsid w:val="00AF6186"/>
    <w:rsid w:val="00AF658F"/>
    <w:rsid w:val="00AF7A3A"/>
    <w:rsid w:val="00B02E6B"/>
    <w:rsid w:val="00B04CC8"/>
    <w:rsid w:val="00B05DFD"/>
    <w:rsid w:val="00B07462"/>
    <w:rsid w:val="00B07C92"/>
    <w:rsid w:val="00B14674"/>
    <w:rsid w:val="00B1543F"/>
    <w:rsid w:val="00B15DD4"/>
    <w:rsid w:val="00B160DB"/>
    <w:rsid w:val="00B204D3"/>
    <w:rsid w:val="00B20836"/>
    <w:rsid w:val="00B20A41"/>
    <w:rsid w:val="00B21A60"/>
    <w:rsid w:val="00B21B74"/>
    <w:rsid w:val="00B235BB"/>
    <w:rsid w:val="00B236FE"/>
    <w:rsid w:val="00B23DCD"/>
    <w:rsid w:val="00B25BD6"/>
    <w:rsid w:val="00B262D7"/>
    <w:rsid w:val="00B26C74"/>
    <w:rsid w:val="00B27A44"/>
    <w:rsid w:val="00B30BBF"/>
    <w:rsid w:val="00B33457"/>
    <w:rsid w:val="00B33C03"/>
    <w:rsid w:val="00B343F3"/>
    <w:rsid w:val="00B353AC"/>
    <w:rsid w:val="00B35F46"/>
    <w:rsid w:val="00B4187D"/>
    <w:rsid w:val="00B4290F"/>
    <w:rsid w:val="00B43BB8"/>
    <w:rsid w:val="00B44992"/>
    <w:rsid w:val="00B44E56"/>
    <w:rsid w:val="00B46543"/>
    <w:rsid w:val="00B47D33"/>
    <w:rsid w:val="00B5038C"/>
    <w:rsid w:val="00B50FC6"/>
    <w:rsid w:val="00B515D8"/>
    <w:rsid w:val="00B51634"/>
    <w:rsid w:val="00B526D9"/>
    <w:rsid w:val="00B52BE0"/>
    <w:rsid w:val="00B54133"/>
    <w:rsid w:val="00B5563A"/>
    <w:rsid w:val="00B57843"/>
    <w:rsid w:val="00B6229E"/>
    <w:rsid w:val="00B6344F"/>
    <w:rsid w:val="00B645B5"/>
    <w:rsid w:val="00B64ED9"/>
    <w:rsid w:val="00B659C1"/>
    <w:rsid w:val="00B67C22"/>
    <w:rsid w:val="00B701ED"/>
    <w:rsid w:val="00B74C61"/>
    <w:rsid w:val="00B74F6F"/>
    <w:rsid w:val="00B756BF"/>
    <w:rsid w:val="00B77047"/>
    <w:rsid w:val="00B8086C"/>
    <w:rsid w:val="00B85668"/>
    <w:rsid w:val="00B861B4"/>
    <w:rsid w:val="00B86315"/>
    <w:rsid w:val="00B86DFE"/>
    <w:rsid w:val="00B9050A"/>
    <w:rsid w:val="00B90952"/>
    <w:rsid w:val="00B90990"/>
    <w:rsid w:val="00B90FB4"/>
    <w:rsid w:val="00B9148A"/>
    <w:rsid w:val="00B922FF"/>
    <w:rsid w:val="00B92331"/>
    <w:rsid w:val="00B9281E"/>
    <w:rsid w:val="00B93925"/>
    <w:rsid w:val="00B95187"/>
    <w:rsid w:val="00B96E3F"/>
    <w:rsid w:val="00BA1A69"/>
    <w:rsid w:val="00BA2D55"/>
    <w:rsid w:val="00BA3D7A"/>
    <w:rsid w:val="00BA71B1"/>
    <w:rsid w:val="00BB0637"/>
    <w:rsid w:val="00BB2198"/>
    <w:rsid w:val="00BB2557"/>
    <w:rsid w:val="00BB345F"/>
    <w:rsid w:val="00BB3E3C"/>
    <w:rsid w:val="00BB4497"/>
    <w:rsid w:val="00BB5F74"/>
    <w:rsid w:val="00BB68EA"/>
    <w:rsid w:val="00BC0CE7"/>
    <w:rsid w:val="00BC1C27"/>
    <w:rsid w:val="00BC2A12"/>
    <w:rsid w:val="00BC2F38"/>
    <w:rsid w:val="00BC2F73"/>
    <w:rsid w:val="00BC39D2"/>
    <w:rsid w:val="00BC65D1"/>
    <w:rsid w:val="00BC6BBF"/>
    <w:rsid w:val="00BD1572"/>
    <w:rsid w:val="00BD1BFF"/>
    <w:rsid w:val="00BD43AC"/>
    <w:rsid w:val="00BD7745"/>
    <w:rsid w:val="00BD7E08"/>
    <w:rsid w:val="00BE07D3"/>
    <w:rsid w:val="00BE14E3"/>
    <w:rsid w:val="00BE2031"/>
    <w:rsid w:val="00BE3774"/>
    <w:rsid w:val="00BE41E5"/>
    <w:rsid w:val="00BE51BC"/>
    <w:rsid w:val="00BF10B6"/>
    <w:rsid w:val="00BF2B92"/>
    <w:rsid w:val="00BF4109"/>
    <w:rsid w:val="00BF4CC3"/>
    <w:rsid w:val="00BF576A"/>
    <w:rsid w:val="00BF62E8"/>
    <w:rsid w:val="00BF69A0"/>
    <w:rsid w:val="00C0167B"/>
    <w:rsid w:val="00C0261F"/>
    <w:rsid w:val="00C054C7"/>
    <w:rsid w:val="00C057B5"/>
    <w:rsid w:val="00C0777F"/>
    <w:rsid w:val="00C1046D"/>
    <w:rsid w:val="00C11990"/>
    <w:rsid w:val="00C11DE1"/>
    <w:rsid w:val="00C14173"/>
    <w:rsid w:val="00C1568F"/>
    <w:rsid w:val="00C20466"/>
    <w:rsid w:val="00C216D4"/>
    <w:rsid w:val="00C2235B"/>
    <w:rsid w:val="00C22687"/>
    <w:rsid w:val="00C306E9"/>
    <w:rsid w:val="00C317E7"/>
    <w:rsid w:val="00C32E4D"/>
    <w:rsid w:val="00C333A0"/>
    <w:rsid w:val="00C3356D"/>
    <w:rsid w:val="00C3491B"/>
    <w:rsid w:val="00C36A81"/>
    <w:rsid w:val="00C40D3C"/>
    <w:rsid w:val="00C41974"/>
    <w:rsid w:val="00C43C45"/>
    <w:rsid w:val="00C44B14"/>
    <w:rsid w:val="00C45AF1"/>
    <w:rsid w:val="00C4697B"/>
    <w:rsid w:val="00C46DA4"/>
    <w:rsid w:val="00C4735E"/>
    <w:rsid w:val="00C4766F"/>
    <w:rsid w:val="00C4782F"/>
    <w:rsid w:val="00C479F9"/>
    <w:rsid w:val="00C5087C"/>
    <w:rsid w:val="00C52F90"/>
    <w:rsid w:val="00C5349B"/>
    <w:rsid w:val="00C53F4A"/>
    <w:rsid w:val="00C54125"/>
    <w:rsid w:val="00C54F78"/>
    <w:rsid w:val="00C55B54"/>
    <w:rsid w:val="00C56A26"/>
    <w:rsid w:val="00C6098E"/>
    <w:rsid w:val="00C6141A"/>
    <w:rsid w:val="00C6152C"/>
    <w:rsid w:val="00C7127F"/>
    <w:rsid w:val="00C7274B"/>
    <w:rsid w:val="00C738A9"/>
    <w:rsid w:val="00C739B6"/>
    <w:rsid w:val="00C747D9"/>
    <w:rsid w:val="00C74810"/>
    <w:rsid w:val="00C823D6"/>
    <w:rsid w:val="00C8668A"/>
    <w:rsid w:val="00C86F21"/>
    <w:rsid w:val="00C86FE2"/>
    <w:rsid w:val="00C90457"/>
    <w:rsid w:val="00C90D68"/>
    <w:rsid w:val="00C93901"/>
    <w:rsid w:val="00C939FE"/>
    <w:rsid w:val="00C94CE3"/>
    <w:rsid w:val="00C95B99"/>
    <w:rsid w:val="00C96F10"/>
    <w:rsid w:val="00C97406"/>
    <w:rsid w:val="00CA0211"/>
    <w:rsid w:val="00CA0654"/>
    <w:rsid w:val="00CA1026"/>
    <w:rsid w:val="00CA3336"/>
    <w:rsid w:val="00CA4BDA"/>
    <w:rsid w:val="00CA4DBB"/>
    <w:rsid w:val="00CA6508"/>
    <w:rsid w:val="00CB0315"/>
    <w:rsid w:val="00CB122C"/>
    <w:rsid w:val="00CB1F66"/>
    <w:rsid w:val="00CB2951"/>
    <w:rsid w:val="00CC152C"/>
    <w:rsid w:val="00CC1F60"/>
    <w:rsid w:val="00CC4FAE"/>
    <w:rsid w:val="00CD282B"/>
    <w:rsid w:val="00CD4C35"/>
    <w:rsid w:val="00CD5546"/>
    <w:rsid w:val="00CD6819"/>
    <w:rsid w:val="00CD6946"/>
    <w:rsid w:val="00CD7369"/>
    <w:rsid w:val="00CE02F9"/>
    <w:rsid w:val="00CE0B0E"/>
    <w:rsid w:val="00CE3831"/>
    <w:rsid w:val="00CE39C1"/>
    <w:rsid w:val="00CF202F"/>
    <w:rsid w:val="00CF3A8F"/>
    <w:rsid w:val="00CF7BDE"/>
    <w:rsid w:val="00D00ABB"/>
    <w:rsid w:val="00D01CFD"/>
    <w:rsid w:val="00D01D4E"/>
    <w:rsid w:val="00D02EEC"/>
    <w:rsid w:val="00D02FAC"/>
    <w:rsid w:val="00D03551"/>
    <w:rsid w:val="00D04BCC"/>
    <w:rsid w:val="00D06A63"/>
    <w:rsid w:val="00D06DAE"/>
    <w:rsid w:val="00D07E0E"/>
    <w:rsid w:val="00D10ACD"/>
    <w:rsid w:val="00D11478"/>
    <w:rsid w:val="00D124BF"/>
    <w:rsid w:val="00D12830"/>
    <w:rsid w:val="00D15ED0"/>
    <w:rsid w:val="00D171AE"/>
    <w:rsid w:val="00D17756"/>
    <w:rsid w:val="00D17C33"/>
    <w:rsid w:val="00D20376"/>
    <w:rsid w:val="00D21B3E"/>
    <w:rsid w:val="00D21FED"/>
    <w:rsid w:val="00D221D4"/>
    <w:rsid w:val="00D2267C"/>
    <w:rsid w:val="00D22DEE"/>
    <w:rsid w:val="00D230B4"/>
    <w:rsid w:val="00D24251"/>
    <w:rsid w:val="00D30F0D"/>
    <w:rsid w:val="00D342E9"/>
    <w:rsid w:val="00D343E2"/>
    <w:rsid w:val="00D361A2"/>
    <w:rsid w:val="00D36A3D"/>
    <w:rsid w:val="00D40E3E"/>
    <w:rsid w:val="00D44C2E"/>
    <w:rsid w:val="00D45414"/>
    <w:rsid w:val="00D45E20"/>
    <w:rsid w:val="00D460BB"/>
    <w:rsid w:val="00D461EB"/>
    <w:rsid w:val="00D47812"/>
    <w:rsid w:val="00D50C81"/>
    <w:rsid w:val="00D51B19"/>
    <w:rsid w:val="00D52ED4"/>
    <w:rsid w:val="00D53F12"/>
    <w:rsid w:val="00D566BD"/>
    <w:rsid w:val="00D56BC1"/>
    <w:rsid w:val="00D57807"/>
    <w:rsid w:val="00D57A4D"/>
    <w:rsid w:val="00D606FC"/>
    <w:rsid w:val="00D60AA7"/>
    <w:rsid w:val="00D60CFA"/>
    <w:rsid w:val="00D63343"/>
    <w:rsid w:val="00D6435F"/>
    <w:rsid w:val="00D653D7"/>
    <w:rsid w:val="00D659DC"/>
    <w:rsid w:val="00D65B87"/>
    <w:rsid w:val="00D65F8D"/>
    <w:rsid w:val="00D673D7"/>
    <w:rsid w:val="00D6764A"/>
    <w:rsid w:val="00D676FF"/>
    <w:rsid w:val="00D72D9E"/>
    <w:rsid w:val="00D7322F"/>
    <w:rsid w:val="00D73F9D"/>
    <w:rsid w:val="00D75E28"/>
    <w:rsid w:val="00D761D6"/>
    <w:rsid w:val="00D772C2"/>
    <w:rsid w:val="00D8008E"/>
    <w:rsid w:val="00D810AC"/>
    <w:rsid w:val="00D82C45"/>
    <w:rsid w:val="00D82D7A"/>
    <w:rsid w:val="00D83A64"/>
    <w:rsid w:val="00D83D6B"/>
    <w:rsid w:val="00D8456D"/>
    <w:rsid w:val="00D85798"/>
    <w:rsid w:val="00D908A8"/>
    <w:rsid w:val="00D920C4"/>
    <w:rsid w:val="00D96ED4"/>
    <w:rsid w:val="00D977B0"/>
    <w:rsid w:val="00D977B6"/>
    <w:rsid w:val="00DA1236"/>
    <w:rsid w:val="00DA145F"/>
    <w:rsid w:val="00DA35D2"/>
    <w:rsid w:val="00DA3A3D"/>
    <w:rsid w:val="00DA4332"/>
    <w:rsid w:val="00DA4A31"/>
    <w:rsid w:val="00DA7813"/>
    <w:rsid w:val="00DA7B04"/>
    <w:rsid w:val="00DB21D4"/>
    <w:rsid w:val="00DB2E65"/>
    <w:rsid w:val="00DB2F78"/>
    <w:rsid w:val="00DB3677"/>
    <w:rsid w:val="00DB36C2"/>
    <w:rsid w:val="00DC0443"/>
    <w:rsid w:val="00DC07A7"/>
    <w:rsid w:val="00DC0A52"/>
    <w:rsid w:val="00DC0EED"/>
    <w:rsid w:val="00DC169B"/>
    <w:rsid w:val="00DC2AB9"/>
    <w:rsid w:val="00DC3059"/>
    <w:rsid w:val="00DC339B"/>
    <w:rsid w:val="00DC4033"/>
    <w:rsid w:val="00DC4975"/>
    <w:rsid w:val="00DC63F0"/>
    <w:rsid w:val="00DC6A02"/>
    <w:rsid w:val="00DC7401"/>
    <w:rsid w:val="00DC7DFF"/>
    <w:rsid w:val="00DD047E"/>
    <w:rsid w:val="00DD0EF0"/>
    <w:rsid w:val="00DD207B"/>
    <w:rsid w:val="00DD6134"/>
    <w:rsid w:val="00DD690D"/>
    <w:rsid w:val="00DD69B2"/>
    <w:rsid w:val="00DD6EE5"/>
    <w:rsid w:val="00DD76E9"/>
    <w:rsid w:val="00DE0258"/>
    <w:rsid w:val="00DE2D71"/>
    <w:rsid w:val="00DE386C"/>
    <w:rsid w:val="00DE38D3"/>
    <w:rsid w:val="00DE4D35"/>
    <w:rsid w:val="00DE577B"/>
    <w:rsid w:val="00DF098B"/>
    <w:rsid w:val="00DF11C4"/>
    <w:rsid w:val="00DF210C"/>
    <w:rsid w:val="00DF2700"/>
    <w:rsid w:val="00DF4B6A"/>
    <w:rsid w:val="00DF74FE"/>
    <w:rsid w:val="00DF7B83"/>
    <w:rsid w:val="00E02C09"/>
    <w:rsid w:val="00E030BD"/>
    <w:rsid w:val="00E04D59"/>
    <w:rsid w:val="00E05B22"/>
    <w:rsid w:val="00E0625C"/>
    <w:rsid w:val="00E07DA1"/>
    <w:rsid w:val="00E1016B"/>
    <w:rsid w:val="00E10984"/>
    <w:rsid w:val="00E11235"/>
    <w:rsid w:val="00E123CB"/>
    <w:rsid w:val="00E13871"/>
    <w:rsid w:val="00E14F86"/>
    <w:rsid w:val="00E20E13"/>
    <w:rsid w:val="00E214B8"/>
    <w:rsid w:val="00E21DBC"/>
    <w:rsid w:val="00E24E94"/>
    <w:rsid w:val="00E251C8"/>
    <w:rsid w:val="00E275D7"/>
    <w:rsid w:val="00E27DBE"/>
    <w:rsid w:val="00E3053F"/>
    <w:rsid w:val="00E308F3"/>
    <w:rsid w:val="00E32756"/>
    <w:rsid w:val="00E32AB1"/>
    <w:rsid w:val="00E33E20"/>
    <w:rsid w:val="00E3412D"/>
    <w:rsid w:val="00E34813"/>
    <w:rsid w:val="00E36C71"/>
    <w:rsid w:val="00E37C5E"/>
    <w:rsid w:val="00E37D6F"/>
    <w:rsid w:val="00E40211"/>
    <w:rsid w:val="00E40404"/>
    <w:rsid w:val="00E42EA6"/>
    <w:rsid w:val="00E43C98"/>
    <w:rsid w:val="00E4413F"/>
    <w:rsid w:val="00E459C6"/>
    <w:rsid w:val="00E46716"/>
    <w:rsid w:val="00E47589"/>
    <w:rsid w:val="00E561E3"/>
    <w:rsid w:val="00E56924"/>
    <w:rsid w:val="00E57A37"/>
    <w:rsid w:val="00E618C0"/>
    <w:rsid w:val="00E6281B"/>
    <w:rsid w:val="00E63346"/>
    <w:rsid w:val="00E63475"/>
    <w:rsid w:val="00E64915"/>
    <w:rsid w:val="00E6536B"/>
    <w:rsid w:val="00E6574C"/>
    <w:rsid w:val="00E661D4"/>
    <w:rsid w:val="00E70091"/>
    <w:rsid w:val="00E7074C"/>
    <w:rsid w:val="00E71DAB"/>
    <w:rsid w:val="00E720F5"/>
    <w:rsid w:val="00E76D47"/>
    <w:rsid w:val="00E77B90"/>
    <w:rsid w:val="00E80169"/>
    <w:rsid w:val="00E80D53"/>
    <w:rsid w:val="00E8195D"/>
    <w:rsid w:val="00E82D96"/>
    <w:rsid w:val="00E83621"/>
    <w:rsid w:val="00E849F7"/>
    <w:rsid w:val="00E876D3"/>
    <w:rsid w:val="00E90139"/>
    <w:rsid w:val="00E90302"/>
    <w:rsid w:val="00E9070B"/>
    <w:rsid w:val="00E91304"/>
    <w:rsid w:val="00E930E4"/>
    <w:rsid w:val="00E933E7"/>
    <w:rsid w:val="00E93F82"/>
    <w:rsid w:val="00E9522E"/>
    <w:rsid w:val="00E96A74"/>
    <w:rsid w:val="00E97396"/>
    <w:rsid w:val="00EA185E"/>
    <w:rsid w:val="00EA2515"/>
    <w:rsid w:val="00EA36FE"/>
    <w:rsid w:val="00EA4E02"/>
    <w:rsid w:val="00EA592A"/>
    <w:rsid w:val="00EA7E37"/>
    <w:rsid w:val="00EB14E4"/>
    <w:rsid w:val="00EB32A5"/>
    <w:rsid w:val="00EB34ED"/>
    <w:rsid w:val="00EB447C"/>
    <w:rsid w:val="00EB47F2"/>
    <w:rsid w:val="00EB5321"/>
    <w:rsid w:val="00EB562F"/>
    <w:rsid w:val="00EB71B7"/>
    <w:rsid w:val="00EB7BE0"/>
    <w:rsid w:val="00EC09F9"/>
    <w:rsid w:val="00EC315E"/>
    <w:rsid w:val="00EC6B60"/>
    <w:rsid w:val="00ED0752"/>
    <w:rsid w:val="00ED077C"/>
    <w:rsid w:val="00ED0FD4"/>
    <w:rsid w:val="00ED1190"/>
    <w:rsid w:val="00ED4854"/>
    <w:rsid w:val="00ED56C6"/>
    <w:rsid w:val="00ED6544"/>
    <w:rsid w:val="00EE0277"/>
    <w:rsid w:val="00EE2E4B"/>
    <w:rsid w:val="00EE2F15"/>
    <w:rsid w:val="00EE3E00"/>
    <w:rsid w:val="00EE41C5"/>
    <w:rsid w:val="00EE4610"/>
    <w:rsid w:val="00EE4B39"/>
    <w:rsid w:val="00EE4C75"/>
    <w:rsid w:val="00EE53BC"/>
    <w:rsid w:val="00EE5DD2"/>
    <w:rsid w:val="00EF0833"/>
    <w:rsid w:val="00EF2353"/>
    <w:rsid w:val="00EF2EB7"/>
    <w:rsid w:val="00EF37D6"/>
    <w:rsid w:val="00EF3C99"/>
    <w:rsid w:val="00EF54E9"/>
    <w:rsid w:val="00EF55B2"/>
    <w:rsid w:val="00EF5D8B"/>
    <w:rsid w:val="00F00A79"/>
    <w:rsid w:val="00F00E86"/>
    <w:rsid w:val="00F01B63"/>
    <w:rsid w:val="00F01E3C"/>
    <w:rsid w:val="00F03BF3"/>
    <w:rsid w:val="00F05971"/>
    <w:rsid w:val="00F0622E"/>
    <w:rsid w:val="00F07C1E"/>
    <w:rsid w:val="00F105DB"/>
    <w:rsid w:val="00F12C31"/>
    <w:rsid w:val="00F132BC"/>
    <w:rsid w:val="00F136FD"/>
    <w:rsid w:val="00F13D80"/>
    <w:rsid w:val="00F15818"/>
    <w:rsid w:val="00F16AAA"/>
    <w:rsid w:val="00F17560"/>
    <w:rsid w:val="00F21161"/>
    <w:rsid w:val="00F21185"/>
    <w:rsid w:val="00F218EF"/>
    <w:rsid w:val="00F21BC7"/>
    <w:rsid w:val="00F22886"/>
    <w:rsid w:val="00F266A2"/>
    <w:rsid w:val="00F26A23"/>
    <w:rsid w:val="00F311A8"/>
    <w:rsid w:val="00F32269"/>
    <w:rsid w:val="00F37217"/>
    <w:rsid w:val="00F3772F"/>
    <w:rsid w:val="00F3776C"/>
    <w:rsid w:val="00F434A6"/>
    <w:rsid w:val="00F43806"/>
    <w:rsid w:val="00F44119"/>
    <w:rsid w:val="00F4731F"/>
    <w:rsid w:val="00F47A2A"/>
    <w:rsid w:val="00F51A31"/>
    <w:rsid w:val="00F52B4D"/>
    <w:rsid w:val="00F55B56"/>
    <w:rsid w:val="00F56A6F"/>
    <w:rsid w:val="00F5709C"/>
    <w:rsid w:val="00F608B3"/>
    <w:rsid w:val="00F61CBB"/>
    <w:rsid w:val="00F62A85"/>
    <w:rsid w:val="00F6348B"/>
    <w:rsid w:val="00F64EF1"/>
    <w:rsid w:val="00F73209"/>
    <w:rsid w:val="00F744B5"/>
    <w:rsid w:val="00F744EE"/>
    <w:rsid w:val="00F749AE"/>
    <w:rsid w:val="00F8175C"/>
    <w:rsid w:val="00F821E9"/>
    <w:rsid w:val="00F837F6"/>
    <w:rsid w:val="00F839D9"/>
    <w:rsid w:val="00F83FFA"/>
    <w:rsid w:val="00F84D0D"/>
    <w:rsid w:val="00F8582D"/>
    <w:rsid w:val="00F8765F"/>
    <w:rsid w:val="00F90767"/>
    <w:rsid w:val="00F9078D"/>
    <w:rsid w:val="00F92B86"/>
    <w:rsid w:val="00F96143"/>
    <w:rsid w:val="00F9632E"/>
    <w:rsid w:val="00FA3031"/>
    <w:rsid w:val="00FA37F0"/>
    <w:rsid w:val="00FA437F"/>
    <w:rsid w:val="00FA685B"/>
    <w:rsid w:val="00FA6D82"/>
    <w:rsid w:val="00FA7184"/>
    <w:rsid w:val="00FB0C01"/>
    <w:rsid w:val="00FB2B19"/>
    <w:rsid w:val="00FB2C90"/>
    <w:rsid w:val="00FB3A21"/>
    <w:rsid w:val="00FB5646"/>
    <w:rsid w:val="00FC1862"/>
    <w:rsid w:val="00FC18F2"/>
    <w:rsid w:val="00FC33C4"/>
    <w:rsid w:val="00FC350C"/>
    <w:rsid w:val="00FC39E5"/>
    <w:rsid w:val="00FC3A78"/>
    <w:rsid w:val="00FC5193"/>
    <w:rsid w:val="00FD1005"/>
    <w:rsid w:val="00FD10FC"/>
    <w:rsid w:val="00FD1499"/>
    <w:rsid w:val="00FD2A43"/>
    <w:rsid w:val="00FD467C"/>
    <w:rsid w:val="00FD4745"/>
    <w:rsid w:val="00FD54DD"/>
    <w:rsid w:val="00FD6C75"/>
    <w:rsid w:val="00FE250F"/>
    <w:rsid w:val="00FE3444"/>
    <w:rsid w:val="00FE3805"/>
    <w:rsid w:val="00FE45CC"/>
    <w:rsid w:val="00FE4C5E"/>
    <w:rsid w:val="00FE6219"/>
    <w:rsid w:val="00FE71B3"/>
    <w:rsid w:val="00FF0D1C"/>
    <w:rsid w:val="00FF2843"/>
    <w:rsid w:val="00FF42C5"/>
    <w:rsid w:val="00FF45F1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page number" w:uiPriority="0"/>
    <w:lsdException w:name="List" w:unhideWhenUsed="0"/>
    <w:lsdException w:name="List 2" w:unhideWhenUsed="0"/>
    <w:lsdException w:name="List 3" w:unhideWhenUsed="0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nhideWhenUsed="0"/>
    <w:lsdException w:name="TOC Heading" w:qFormat="1"/>
  </w:latentStyles>
  <w:style w:type="paragraph" w:default="1" w:styleId="Normalny">
    <w:name w:val="Normal"/>
    <w:semiHidden/>
    <w:rsid w:val="00DC4033"/>
    <w:pPr>
      <w:jc w:val="both"/>
    </w:pPr>
    <w:rPr>
      <w:rFonts w:eastAsiaTheme="minorEastAsia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4174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rsid w:val="0094174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rsid w:val="0094174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Nagwek4">
    <w:name w:val="heading 4"/>
    <w:basedOn w:val="Normalny"/>
    <w:next w:val="Normalny"/>
    <w:link w:val="Nagwek4Znak"/>
    <w:uiPriority w:val="99"/>
    <w:semiHidden/>
    <w:rsid w:val="0094174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DC403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Nagwek6">
    <w:name w:val="heading 6"/>
    <w:basedOn w:val="Normalny"/>
    <w:next w:val="Normalny"/>
    <w:link w:val="Nagwek6Znak"/>
    <w:uiPriority w:val="99"/>
    <w:semiHidden/>
    <w:rsid w:val="0094174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Nagwek7">
    <w:name w:val="heading 7"/>
    <w:basedOn w:val="Normalny"/>
    <w:next w:val="Normalny"/>
    <w:link w:val="Nagwek7Znak"/>
    <w:uiPriority w:val="99"/>
    <w:semiHidden/>
    <w:qFormat/>
    <w:rsid w:val="00DC4033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Nagwek8">
    <w:name w:val="heading 8"/>
    <w:basedOn w:val="Normalny"/>
    <w:next w:val="Normalny"/>
    <w:link w:val="Nagwek8Znak"/>
    <w:uiPriority w:val="99"/>
    <w:semiHidden/>
    <w:qFormat/>
    <w:rsid w:val="00DC4033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9"/>
    <w:semiHidden/>
    <w:qFormat/>
    <w:rsid w:val="00DC403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417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1F8"/>
    <w:rPr>
      <w:rFonts w:ascii="Tahoma" w:eastAsiaTheme="minorEastAsia" w:hAnsi="Tahoma" w:cs="Tahoma"/>
      <w:sz w:val="16"/>
      <w:szCs w:val="16"/>
    </w:rPr>
  </w:style>
  <w:style w:type="character" w:styleId="Tytuksiki">
    <w:name w:val="Book Title"/>
    <w:uiPriority w:val="99"/>
    <w:semiHidden/>
    <w:qFormat/>
    <w:rsid w:val="00DC4033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Nagwek"/>
    <w:uiPriority w:val="4"/>
    <w:qFormat/>
    <w:rsid w:val="00DC4033"/>
    <w:pPr>
      <w:tabs>
        <w:tab w:val="clear" w:pos="4536"/>
        <w:tab w:val="clear" w:pos="9696"/>
        <w:tab w:val="center" w:pos="3686"/>
        <w:tab w:val="right" w:pos="7371"/>
      </w:tabs>
      <w:ind w:left="0" w:right="0"/>
      <w:jc w:val="left"/>
    </w:pPr>
    <w:rPr>
      <w:rFonts w:eastAsiaTheme="minorHAnsi"/>
      <w:sz w:val="18"/>
    </w:rPr>
  </w:style>
  <w:style w:type="paragraph" w:customStyle="1" w:styleId="OpiPara">
    <w:name w:val="Opi_Para"/>
    <w:basedOn w:val="ECHRPara"/>
    <w:uiPriority w:val="46"/>
    <w:qFormat/>
    <w:rsid w:val="00DC4033"/>
  </w:style>
  <w:style w:type="character" w:styleId="Pogrubienie">
    <w:name w:val="Strong"/>
    <w:uiPriority w:val="99"/>
    <w:semiHidden/>
    <w:qFormat/>
    <w:rsid w:val="00DC4033"/>
    <w:rPr>
      <w:b/>
      <w:bCs/>
    </w:rPr>
  </w:style>
  <w:style w:type="paragraph" w:styleId="Bezodstpw">
    <w:name w:val="No Spacing"/>
    <w:basedOn w:val="Normalny"/>
    <w:link w:val="BezodstpwZnak"/>
    <w:semiHidden/>
    <w:qFormat/>
    <w:rsid w:val="00DC4033"/>
    <w:rPr>
      <w:sz w:val="22"/>
    </w:rPr>
  </w:style>
  <w:style w:type="character" w:customStyle="1" w:styleId="BezodstpwZnak">
    <w:name w:val="Bez odstępów Znak"/>
    <w:basedOn w:val="Domylnaczcionkaakapitu"/>
    <w:link w:val="Bezodstpw"/>
    <w:semiHidden/>
    <w:rsid w:val="00DC4033"/>
    <w:rPr>
      <w:rFonts w:eastAsiaTheme="minorEastAsia"/>
    </w:rPr>
  </w:style>
  <w:style w:type="paragraph" w:customStyle="1" w:styleId="ECHRParaQuote">
    <w:name w:val="ECHR_Para_Quote"/>
    <w:aliases w:val="Ju_Quot"/>
    <w:basedOn w:val="Normalny"/>
    <w:qFormat/>
    <w:rsid w:val="00DC4033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DC4033"/>
    <w:pPr>
      <w:ind w:left="284"/>
    </w:pPr>
  </w:style>
  <w:style w:type="paragraph" w:customStyle="1" w:styleId="OpiParaSub">
    <w:name w:val="Opi_Para_Sub"/>
    <w:basedOn w:val="JuParaSub"/>
    <w:uiPriority w:val="47"/>
    <w:qFormat/>
    <w:rsid w:val="00DC4033"/>
  </w:style>
  <w:style w:type="paragraph" w:customStyle="1" w:styleId="OpiQuot">
    <w:name w:val="Opi_Quot"/>
    <w:basedOn w:val="ECHRParaQuote"/>
    <w:uiPriority w:val="48"/>
    <w:qFormat/>
    <w:rsid w:val="00DC4033"/>
  </w:style>
  <w:style w:type="paragraph" w:customStyle="1" w:styleId="OpiQuotSub">
    <w:name w:val="Opi_Quot_Sub"/>
    <w:basedOn w:val="JuQuotSub"/>
    <w:uiPriority w:val="49"/>
    <w:qFormat/>
    <w:rsid w:val="00DC4033"/>
  </w:style>
  <w:style w:type="paragraph" w:customStyle="1" w:styleId="ECHRTitleCentre3">
    <w:name w:val="ECHR_Title_Centre_3"/>
    <w:aliases w:val="Ju_H_Article"/>
    <w:basedOn w:val="Normalny"/>
    <w:next w:val="ECHRParaQuote"/>
    <w:uiPriority w:val="27"/>
    <w:qFormat/>
    <w:rsid w:val="00DC4033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ny"/>
    <w:next w:val="OpiPara"/>
    <w:uiPriority w:val="39"/>
    <w:qFormat/>
    <w:rsid w:val="00DC4033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DC4033"/>
    <w:pPr>
      <w:ind w:left="567"/>
    </w:pPr>
  </w:style>
  <w:style w:type="paragraph" w:customStyle="1" w:styleId="ECHRTitle1">
    <w:name w:val="ECHR_Title_1"/>
    <w:aliases w:val="Ju_H_Head"/>
    <w:basedOn w:val="Normalny"/>
    <w:next w:val="ECHRPara"/>
    <w:uiPriority w:val="18"/>
    <w:qFormat/>
    <w:rsid w:val="00DC4033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Normalny"/>
    <w:uiPriority w:val="31"/>
    <w:qFormat/>
    <w:rsid w:val="00DC4033"/>
    <w:pPr>
      <w:tabs>
        <w:tab w:val="center" w:pos="6407"/>
      </w:tabs>
      <w:spacing w:before="720"/>
      <w:jc w:val="right"/>
    </w:pPr>
  </w:style>
  <w:style w:type="paragraph" w:customStyle="1" w:styleId="JuSigned">
    <w:name w:val="Ju_Signed"/>
    <w:basedOn w:val="Normalny"/>
    <w:next w:val="JuParaLast"/>
    <w:uiPriority w:val="32"/>
    <w:qFormat/>
    <w:rsid w:val="00DC4033"/>
    <w:pPr>
      <w:tabs>
        <w:tab w:val="center" w:pos="851"/>
        <w:tab w:val="center" w:pos="6407"/>
      </w:tabs>
      <w:spacing w:before="720"/>
      <w:jc w:val="left"/>
    </w:pPr>
  </w:style>
  <w:style w:type="paragraph" w:styleId="Tytu">
    <w:name w:val="Title"/>
    <w:basedOn w:val="Normalny"/>
    <w:next w:val="Normalny"/>
    <w:link w:val="TytuZnak"/>
    <w:uiPriority w:val="99"/>
    <w:semiHidden/>
    <w:qFormat/>
    <w:rsid w:val="00DC403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DC403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OpiHA">
    <w:name w:val="Opi_H_A"/>
    <w:basedOn w:val="ECHRHeading1"/>
    <w:next w:val="OpiPara"/>
    <w:uiPriority w:val="41"/>
    <w:qFormat/>
    <w:rsid w:val="00DC4033"/>
    <w:pPr>
      <w:tabs>
        <w:tab w:val="clear" w:pos="357"/>
      </w:tabs>
      <w:outlineLvl w:val="1"/>
    </w:pPr>
    <w:rPr>
      <w:b/>
    </w:rPr>
  </w:style>
  <w:style w:type="character" w:customStyle="1" w:styleId="JUNAMES">
    <w:name w:val="JU_NAMES"/>
    <w:uiPriority w:val="17"/>
    <w:qFormat/>
    <w:rsid w:val="00DC4033"/>
    <w:rPr>
      <w:caps w:val="0"/>
      <w:smallCaps/>
    </w:rPr>
  </w:style>
  <w:style w:type="character" w:customStyle="1" w:styleId="JuITMark">
    <w:name w:val="Ju_ITMark"/>
    <w:basedOn w:val="Domylnaczcionkaakapitu"/>
    <w:uiPriority w:val="38"/>
    <w:qFormat/>
    <w:rsid w:val="00DC4033"/>
    <w:rPr>
      <w:vanish/>
      <w:color w:val="339966"/>
      <w:sz w:val="14"/>
    </w:rPr>
  </w:style>
  <w:style w:type="paragraph" w:customStyle="1" w:styleId="OpiTranslation">
    <w:name w:val="Opi_Translation"/>
    <w:basedOn w:val="Normalny"/>
    <w:next w:val="OpiPara"/>
    <w:uiPriority w:val="40"/>
    <w:qFormat/>
    <w:rsid w:val="00DC4033"/>
    <w:pPr>
      <w:jc w:val="center"/>
      <w:outlineLvl w:val="0"/>
    </w:pPr>
    <w:rPr>
      <w:i/>
    </w:rPr>
  </w:style>
  <w:style w:type="paragraph" w:customStyle="1" w:styleId="JuCourt">
    <w:name w:val="Ju_Court"/>
    <w:basedOn w:val="Normalny"/>
    <w:next w:val="Normalny"/>
    <w:uiPriority w:val="16"/>
    <w:qFormat/>
    <w:rsid w:val="00DC4033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DC4033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Nagwek2"/>
    <w:next w:val="ECHRPara"/>
    <w:uiPriority w:val="20"/>
    <w:qFormat/>
    <w:rsid w:val="00DC4033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DC4033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styleId="Nagwek">
    <w:name w:val="header"/>
    <w:basedOn w:val="Normalny"/>
    <w:link w:val="NagwekZnak"/>
    <w:uiPriority w:val="57"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NagwekZnak">
    <w:name w:val="Nagłówek Znak"/>
    <w:basedOn w:val="Domylnaczcionkaakapitu"/>
    <w:link w:val="Nagwek"/>
    <w:uiPriority w:val="57"/>
    <w:rsid w:val="008D4752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A671F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4">
    <w:name w:val="ECHR_Heading_4"/>
    <w:aliases w:val="Ju_H_a"/>
    <w:basedOn w:val="Nagwek4"/>
    <w:next w:val="ECHRPara"/>
    <w:uiPriority w:val="22"/>
    <w:qFormat/>
    <w:rsid w:val="00DC4033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Nagwek5"/>
    <w:next w:val="ECHRPara"/>
    <w:uiPriority w:val="23"/>
    <w:qFormat/>
    <w:rsid w:val="00DC4033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671F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6">
    <w:name w:val="ECHR_Heading_6"/>
    <w:aliases w:val="Ju_H_alpha"/>
    <w:basedOn w:val="Nagwek6"/>
    <w:next w:val="ECHRPara"/>
    <w:uiPriority w:val="24"/>
    <w:qFormat/>
    <w:rsid w:val="00DC4033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</w:rPr>
  </w:style>
  <w:style w:type="paragraph" w:customStyle="1" w:styleId="ECHRHeading7">
    <w:name w:val="ECHR_Heading_7"/>
    <w:aliases w:val="Ju_H_–"/>
    <w:basedOn w:val="Nagwek7"/>
    <w:next w:val="ECHRPara"/>
    <w:uiPriority w:val="25"/>
    <w:qFormat/>
    <w:rsid w:val="00DC4033"/>
    <w:pPr>
      <w:keepNext/>
      <w:keepLines/>
      <w:spacing w:before="240" w:after="120"/>
      <w:ind w:left="1236"/>
    </w:pPr>
    <w:rPr>
      <w:sz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A671F8"/>
    <w:rPr>
      <w:rFonts w:asciiTheme="majorHAnsi" w:eastAsiaTheme="majorEastAsia" w:hAnsiTheme="majorHAnsi" w:cstheme="majorBidi"/>
      <w:b/>
      <w:bCs/>
      <w:color w:val="5F5F5F"/>
    </w:rPr>
  </w:style>
  <w:style w:type="paragraph" w:customStyle="1" w:styleId="JuParaLast">
    <w:name w:val="Ju_Para_Last"/>
    <w:basedOn w:val="Normalny"/>
    <w:next w:val="ECHRPara"/>
    <w:uiPriority w:val="30"/>
    <w:qFormat/>
    <w:rsid w:val="00DC4033"/>
    <w:pPr>
      <w:keepNext/>
      <w:keepLines/>
      <w:spacing w:before="240"/>
      <w:ind w:firstLine="284"/>
    </w:pPr>
  </w:style>
  <w:style w:type="paragraph" w:customStyle="1" w:styleId="ECHRDecisionBody">
    <w:name w:val="ECHR_Decision_Body"/>
    <w:aliases w:val="Ju_Judges"/>
    <w:basedOn w:val="Normalny"/>
    <w:uiPriority w:val="11"/>
    <w:qFormat/>
    <w:rsid w:val="00DC4033"/>
    <w:pPr>
      <w:tabs>
        <w:tab w:val="left" w:pos="567"/>
        <w:tab w:val="left" w:pos="1134"/>
      </w:tabs>
      <w:jc w:val="left"/>
    </w:p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customStyle="1" w:styleId="JuList">
    <w:name w:val="Ju_List"/>
    <w:basedOn w:val="Normalny"/>
    <w:uiPriority w:val="28"/>
    <w:qFormat/>
    <w:rsid w:val="00DC4033"/>
    <w:pPr>
      <w:ind w:left="340" w:hanging="340"/>
    </w:p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DC4033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JuLista">
    <w:name w:val="Ju_List_a"/>
    <w:basedOn w:val="JuList"/>
    <w:uiPriority w:val="28"/>
    <w:qFormat/>
    <w:rsid w:val="00DC4033"/>
    <w:pPr>
      <w:ind w:left="346" w:firstLine="0"/>
    </w:pPr>
  </w:style>
  <w:style w:type="paragraph" w:customStyle="1" w:styleId="JuListi">
    <w:name w:val="Ju_List_i"/>
    <w:basedOn w:val="Normalny"/>
    <w:next w:val="JuLista"/>
    <w:uiPriority w:val="28"/>
    <w:qFormat/>
    <w:rsid w:val="00DC4033"/>
    <w:pPr>
      <w:ind w:left="794"/>
    </w:pPr>
  </w:style>
  <w:style w:type="character" w:styleId="Wyrnieniedelikatne">
    <w:name w:val="Subtle Emphasis"/>
    <w:uiPriority w:val="99"/>
    <w:semiHidden/>
    <w:qFormat/>
    <w:rsid w:val="00DC4033"/>
    <w:rPr>
      <w:i/>
      <w:iCs/>
    </w:rPr>
  </w:style>
  <w:style w:type="paragraph" w:customStyle="1" w:styleId="OpiH1">
    <w:name w:val="Opi_H_1"/>
    <w:basedOn w:val="ECHRHeading2"/>
    <w:uiPriority w:val="42"/>
    <w:qFormat/>
    <w:rsid w:val="00DC4033"/>
    <w:pPr>
      <w:ind w:left="635" w:hanging="357"/>
      <w:outlineLvl w:val="2"/>
    </w:pPr>
  </w:style>
  <w:style w:type="table" w:customStyle="1" w:styleId="ECHRTable">
    <w:name w:val="ECHR_Table"/>
    <w:basedOn w:val="Standardowy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Standardowy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OpiHa0">
    <w:name w:val="Opi_H_a"/>
    <w:basedOn w:val="ECHRHeading3"/>
    <w:uiPriority w:val="43"/>
    <w:qFormat/>
    <w:rsid w:val="00DC4033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DC4033"/>
    <w:pPr>
      <w:ind w:left="1037" w:hanging="357"/>
      <w:outlineLvl w:val="4"/>
    </w:pPr>
    <w:rPr>
      <w:b w:val="0"/>
      <w:i/>
    </w:rPr>
  </w:style>
  <w:style w:type="paragraph" w:customStyle="1" w:styleId="DummyStyle">
    <w:name w:val="Dummy_Style"/>
    <w:basedOn w:val="Normalny"/>
    <w:semiHidden/>
    <w:qFormat/>
    <w:rsid w:val="00DC4033"/>
    <w:rPr>
      <w:color w:val="00B050"/>
    </w:rPr>
  </w:style>
  <w:style w:type="character" w:styleId="Uwydatnienie">
    <w:name w:val="Emphasis"/>
    <w:uiPriority w:val="99"/>
    <w:semiHidden/>
    <w:qFormat/>
    <w:rsid w:val="00DC40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topka">
    <w:name w:val="footer"/>
    <w:basedOn w:val="Normalny"/>
    <w:link w:val="StopkaZnak"/>
    <w:uiPriority w:val="57"/>
    <w:semiHidden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StopkaZnak">
    <w:name w:val="Stopka Znak"/>
    <w:basedOn w:val="Domylnaczcionkaakapitu"/>
    <w:link w:val="Stopka"/>
    <w:uiPriority w:val="57"/>
    <w:semiHidden/>
    <w:rsid w:val="008D4752"/>
  </w:style>
  <w:style w:type="character" w:styleId="Odwoanieprzypisudolnego">
    <w:name w:val="footnote reference"/>
    <w:basedOn w:val="Domylnaczcionkaakapitu"/>
    <w:uiPriority w:val="99"/>
    <w:semiHidden/>
    <w:rsid w:val="009417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17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1F8"/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C403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DC403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C403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semiHidden/>
    <w:rsid w:val="00941747"/>
    <w:rPr>
      <w:color w:val="0072BC" w:themeColor="hyperlink"/>
      <w:u w:val="single"/>
    </w:rPr>
  </w:style>
  <w:style w:type="character" w:styleId="Wyrnienieintensywne">
    <w:name w:val="Intense Emphasis"/>
    <w:uiPriority w:val="99"/>
    <w:semiHidden/>
    <w:qFormat/>
    <w:rsid w:val="00DC4033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qFormat/>
    <w:rsid w:val="00DC403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DC4033"/>
    <w:rPr>
      <w:rFonts w:eastAsiaTheme="minorEastAsia"/>
      <w:b/>
      <w:bCs/>
      <w:i/>
      <w:iCs/>
      <w:lang w:bidi="en-US"/>
    </w:rPr>
  </w:style>
  <w:style w:type="character" w:styleId="Odwoanieintensywne">
    <w:name w:val="Intense Reference"/>
    <w:uiPriority w:val="99"/>
    <w:semiHidden/>
    <w:qFormat/>
    <w:rsid w:val="00DC4033"/>
    <w:rPr>
      <w:smallCaps/>
      <w:spacing w:val="5"/>
      <w:u w:val="single"/>
    </w:rPr>
  </w:style>
  <w:style w:type="paragraph" w:styleId="Akapitzlist">
    <w:name w:val="List Paragraph"/>
    <w:basedOn w:val="Normalny"/>
    <w:uiPriority w:val="99"/>
    <w:semiHidden/>
    <w:qFormat/>
    <w:rsid w:val="00DC4033"/>
    <w:pPr>
      <w:ind w:left="720"/>
      <w:contextualSpacing/>
    </w:pPr>
  </w:style>
  <w:style w:type="table" w:customStyle="1" w:styleId="LtrTableAddress">
    <w:name w:val="Ltr_Table_Address"/>
    <w:basedOn w:val="Standardowy"/>
    <w:uiPriority w:val="99"/>
    <w:rsid w:val="001E6F32"/>
    <w:tblPr>
      <w:tblInd w:w="5103" w:type="dxa"/>
    </w:tblPr>
  </w:style>
  <w:style w:type="paragraph" w:styleId="Cytat">
    <w:name w:val="Quote"/>
    <w:basedOn w:val="Normalny"/>
    <w:next w:val="Normalny"/>
    <w:link w:val="CytatZnak"/>
    <w:uiPriority w:val="99"/>
    <w:semiHidden/>
    <w:qFormat/>
    <w:rsid w:val="00DC4033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DC4033"/>
    <w:rPr>
      <w:rFonts w:eastAsiaTheme="minorEastAsia"/>
      <w:i/>
      <w:iCs/>
      <w:lang w:bidi="en-US"/>
    </w:rPr>
  </w:style>
  <w:style w:type="character" w:styleId="Odwoaniedelikatne">
    <w:name w:val="Subtle Reference"/>
    <w:uiPriority w:val="99"/>
    <w:semiHidden/>
    <w:qFormat/>
    <w:rsid w:val="00DC4033"/>
    <w:rPr>
      <w:smallCaps/>
    </w:rPr>
  </w:style>
  <w:style w:type="table" w:styleId="Tabela-Siatka">
    <w:name w:val="Table Grid"/>
    <w:basedOn w:val="Standardowy"/>
    <w:uiPriority w:val="59"/>
    <w:semiHidden/>
    <w:rsid w:val="00941747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99"/>
    <w:semiHidden/>
    <w:rsid w:val="00EA185E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Spistreci2">
    <w:name w:val="toc 2"/>
    <w:basedOn w:val="Normalny"/>
    <w:next w:val="Normalny"/>
    <w:autoRedefine/>
    <w:uiPriority w:val="99"/>
    <w:semiHidden/>
    <w:rsid w:val="00EA185E"/>
    <w:pPr>
      <w:spacing w:after="60"/>
      <w:ind w:left="680" w:right="340" w:hanging="340"/>
    </w:pPr>
  </w:style>
  <w:style w:type="paragraph" w:styleId="Spistreci3">
    <w:name w:val="toc 3"/>
    <w:basedOn w:val="Normalny"/>
    <w:next w:val="Normalny"/>
    <w:autoRedefine/>
    <w:uiPriority w:val="99"/>
    <w:semiHidden/>
    <w:rsid w:val="00EA185E"/>
    <w:pPr>
      <w:spacing w:after="60"/>
      <w:ind w:left="1020" w:right="340" w:hanging="340"/>
    </w:pPr>
  </w:style>
  <w:style w:type="paragraph" w:styleId="Spistreci4">
    <w:name w:val="toc 4"/>
    <w:basedOn w:val="Normalny"/>
    <w:next w:val="Normalny"/>
    <w:autoRedefine/>
    <w:uiPriority w:val="99"/>
    <w:semiHidden/>
    <w:rsid w:val="00EA185E"/>
    <w:pPr>
      <w:tabs>
        <w:tab w:val="right" w:leader="dot" w:pos="9017"/>
      </w:tabs>
      <w:spacing w:after="60"/>
      <w:ind w:left="1361" w:right="340" w:hanging="340"/>
    </w:pPr>
  </w:style>
  <w:style w:type="paragraph" w:styleId="Spistreci5">
    <w:name w:val="toc 5"/>
    <w:basedOn w:val="Normalny"/>
    <w:next w:val="Normalny"/>
    <w:autoRedefine/>
    <w:uiPriority w:val="99"/>
    <w:semiHidden/>
    <w:rsid w:val="00B46543"/>
    <w:pPr>
      <w:spacing w:after="60"/>
      <w:ind w:left="1701" w:right="340" w:hanging="340"/>
    </w:pPr>
  </w:style>
  <w:style w:type="paragraph" w:styleId="Nagwekspisutreci">
    <w:name w:val="TOC Heading"/>
    <w:basedOn w:val="Nagwek1"/>
    <w:next w:val="Normalny"/>
    <w:uiPriority w:val="99"/>
    <w:semiHidden/>
    <w:qFormat/>
    <w:rsid w:val="00DC4033"/>
    <w:pPr>
      <w:outlineLvl w:val="9"/>
    </w:pPr>
    <w:rPr>
      <w:color w:val="474747" w:themeColor="accent3" w:themeShade="BF"/>
    </w:rPr>
  </w:style>
  <w:style w:type="table" w:customStyle="1" w:styleId="UGTable">
    <w:name w:val="UG_Table"/>
    <w:basedOn w:val="Standardowy"/>
    <w:uiPriority w:val="99"/>
    <w:rsid w:val="00572845"/>
    <w:rPr>
      <w:rFonts w:eastAsiaTheme="minorEastAsia"/>
      <w:sz w:val="20"/>
      <w:lang w:val="en-GB" w:eastAsia="en-GB"/>
    </w:rPr>
    <w:tblPr>
      <w:tblInd w:w="-964" w:type="dxa"/>
      <w:tblCellMar>
        <w:left w:w="57" w:type="dxa"/>
        <w:bottom w:w="57" w:type="dxa"/>
        <w:right w:w="113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Standardowy"/>
    <w:uiPriority w:val="99"/>
    <w:rsid w:val="003609FA"/>
    <w:rPr>
      <w:rFonts w:eastAsiaTheme="minorEastAsia"/>
      <w:lang w:val="en-GB" w:eastAsia="en-GB"/>
    </w:rPr>
    <w:tblPr>
      <w:tblInd w:w="113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Standardowy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Standardowy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Standardowy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Standardowy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Nagwekwykazurde">
    <w:name w:val="toa heading"/>
    <w:basedOn w:val="Normalny"/>
    <w:next w:val="Normalny"/>
    <w:uiPriority w:val="99"/>
    <w:semiHidden/>
    <w:rsid w:val="00C333A0"/>
    <w:pPr>
      <w:spacing w:before="120"/>
    </w:pPr>
    <w:rPr>
      <w:rFonts w:asciiTheme="majorHAnsi" w:eastAsiaTheme="majorEastAsia" w:hAnsiTheme="majorHAnsi" w:cstheme="majorBidi"/>
      <w:b/>
      <w:bCs/>
      <w:color w:val="474747" w:themeColor="accent3" w:themeShade="BF"/>
      <w:szCs w:val="24"/>
    </w:rPr>
  </w:style>
  <w:style w:type="paragraph" w:styleId="Podtytu">
    <w:name w:val="Subtitle"/>
    <w:basedOn w:val="Normalny"/>
    <w:next w:val="Normalny"/>
    <w:link w:val="PodtytuZnak"/>
    <w:uiPriority w:val="99"/>
    <w:semiHidden/>
    <w:qFormat/>
    <w:rsid w:val="00DC403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99"/>
    <w:semiHidden/>
    <w:rsid w:val="00DC403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Bezlisty"/>
    <w:uiPriority w:val="99"/>
    <w:semiHidden/>
    <w:unhideWhenUsed/>
    <w:rsid w:val="00DC4033"/>
    <w:pPr>
      <w:numPr>
        <w:numId w:val="9"/>
      </w:numPr>
    </w:pPr>
  </w:style>
  <w:style w:type="paragraph" w:customStyle="1" w:styleId="ECHRPara">
    <w:name w:val="ECHR_Para"/>
    <w:aliases w:val="Ju_Para,Para,Left,First line:  0 cm"/>
    <w:basedOn w:val="Normalny"/>
    <w:link w:val="JuParaCar"/>
    <w:uiPriority w:val="12"/>
    <w:qFormat/>
    <w:rsid w:val="00DC4033"/>
    <w:pPr>
      <w:ind w:firstLine="284"/>
    </w:pPr>
  </w:style>
  <w:style w:type="numbering" w:styleId="1ai">
    <w:name w:val="Outline List 1"/>
    <w:basedOn w:val="Bezlisty"/>
    <w:uiPriority w:val="99"/>
    <w:semiHidden/>
    <w:unhideWhenUsed/>
    <w:rsid w:val="00DC4033"/>
    <w:pPr>
      <w:numPr>
        <w:numId w:val="10"/>
      </w:numPr>
    </w:pPr>
  </w:style>
  <w:style w:type="table" w:customStyle="1" w:styleId="ECHRTableSimpleBox">
    <w:name w:val="ECHR_Table_Simple_Box"/>
    <w:basedOn w:val="Standardowy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Standardowy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ykusekcja">
    <w:name w:val="Outline List 3"/>
    <w:basedOn w:val="Bezlisty"/>
    <w:uiPriority w:val="99"/>
    <w:semiHidden/>
    <w:unhideWhenUsed/>
    <w:rsid w:val="00DC4033"/>
    <w:pPr>
      <w:numPr>
        <w:numId w:val="11"/>
      </w:numPr>
    </w:pPr>
  </w:style>
  <w:style w:type="table" w:customStyle="1" w:styleId="ECHRTableForInternalUse">
    <w:name w:val="ECHR_Table_For_Internal_Use"/>
    <w:basedOn w:val="Standardowy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Standardowy"/>
    <w:uiPriority w:val="99"/>
    <w:rsid w:val="00520BAA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fia">
    <w:name w:val="Bibliography"/>
    <w:basedOn w:val="Normalny"/>
    <w:next w:val="Normalny"/>
    <w:uiPriority w:val="99"/>
    <w:semiHidden/>
    <w:rsid w:val="00DC4033"/>
  </w:style>
  <w:style w:type="paragraph" w:styleId="Tekstblokowy">
    <w:name w:val="Block Text"/>
    <w:basedOn w:val="Normalny"/>
    <w:uiPriority w:val="99"/>
    <w:semiHidden/>
    <w:rsid w:val="00DC4033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Standardowy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Tekstpodstawowy">
    <w:name w:val="Body Text"/>
    <w:basedOn w:val="Normalny"/>
    <w:link w:val="TekstpodstawowyZnak"/>
    <w:uiPriority w:val="99"/>
    <w:semiHidden/>
    <w:rsid w:val="00DC40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4033"/>
    <w:rPr>
      <w:rFonts w:eastAsiaTheme="minorEastAsia"/>
      <w:sz w:val="24"/>
    </w:rPr>
  </w:style>
  <w:style w:type="table" w:customStyle="1" w:styleId="ECHRTableOddBanded">
    <w:name w:val="ECHR_Table_Odd_Banded"/>
    <w:basedOn w:val="Standardowy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rsid w:val="00DC4033"/>
    <w:pPr>
      <w:spacing w:after="120" w:line="480" w:lineRule="auto"/>
    </w:pPr>
  </w:style>
  <w:style w:type="table" w:customStyle="1" w:styleId="ECHRHeaderTableReduced">
    <w:name w:val="ECHR_Header_Table_Reduced"/>
    <w:basedOn w:val="Standardowy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basedOn w:val="Normalny"/>
    <w:next w:val="ECHRPara"/>
    <w:uiPriority w:val="10"/>
    <w:rsid w:val="00DC4033"/>
    <w:pPr>
      <w:ind w:firstLine="284"/>
    </w:pPr>
    <w:rPr>
      <w:b/>
    </w:rPr>
  </w:style>
  <w:style w:type="character" w:styleId="Numerstrony">
    <w:name w:val="page number"/>
    <w:semiHidden/>
    <w:rsid w:val="00DC4033"/>
    <w:rPr>
      <w:sz w:val="18"/>
    </w:rPr>
  </w:style>
  <w:style w:type="paragraph" w:styleId="Listapunktowana">
    <w:name w:val="List Bullet"/>
    <w:basedOn w:val="Normalny"/>
    <w:uiPriority w:val="99"/>
    <w:semiHidden/>
    <w:rsid w:val="00DC4033"/>
    <w:pPr>
      <w:numPr>
        <w:numId w:val="8"/>
      </w:numPr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4033"/>
    <w:rPr>
      <w:rFonts w:eastAsiaTheme="minorEastAsia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DC40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4033"/>
    <w:rPr>
      <w:rFonts w:eastAsiaTheme="minorEastAsia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DC403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4033"/>
    <w:rPr>
      <w:rFonts w:eastAsiaTheme="minorEastAsia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C40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4033"/>
    <w:rPr>
      <w:rFonts w:eastAsiaTheme="minorEastAsia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DC403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4033"/>
    <w:rPr>
      <w:rFonts w:eastAsiaTheme="minorEastAsia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C40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4033"/>
    <w:rPr>
      <w:rFonts w:eastAsiaTheme="minorEastAsia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C40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4033"/>
    <w:rPr>
      <w:rFonts w:eastAsiaTheme="minorEastAsia"/>
      <w:sz w:val="16"/>
      <w:szCs w:val="16"/>
    </w:rPr>
  </w:style>
  <w:style w:type="paragraph" w:styleId="Legenda">
    <w:name w:val="caption"/>
    <w:basedOn w:val="Normalny"/>
    <w:next w:val="Normalny"/>
    <w:uiPriority w:val="99"/>
    <w:semiHidden/>
    <w:qFormat/>
    <w:rsid w:val="00DC4033"/>
    <w:pPr>
      <w:spacing w:after="200"/>
    </w:pPr>
    <w:rPr>
      <w:b/>
      <w:bCs/>
      <w:color w:val="0072BC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rsid w:val="00DC4033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4033"/>
    <w:rPr>
      <w:rFonts w:eastAsiaTheme="minorEastAsia"/>
      <w:sz w:val="24"/>
    </w:rPr>
  </w:style>
  <w:style w:type="table" w:styleId="Kolorowasiatka">
    <w:name w:val="Colorful Grid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Kolorowasiatkaakcent2">
    <w:name w:val="Colorful Grid Accent 2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Kolorowasiatkaakcent3">
    <w:name w:val="Colorful Grid Accent 3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Kolorowasiatkaakcent4">
    <w:name w:val="Colorful Grid Accent 4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Kolorowasiatkaakcent5">
    <w:name w:val="Colorful Grid Accent 5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Kolorowasiatkaakcent6">
    <w:name w:val="Colorful Grid Accent 6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Kolorowalista">
    <w:name w:val="Colorful List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Kolorowalistaakcent2">
    <w:name w:val="Colorful List Accent 2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Kolorowalistaakcent3">
    <w:name w:val="Colorful List Accent 3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olorowalistaakcent4">
    <w:name w:val="Colorful List Accent 4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Kolorowalistaakcent5">
    <w:name w:val="Colorful List Accent 5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Kolorowalistaakcent6">
    <w:name w:val="Colorful List Accent 6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Kolorowecieniowanie">
    <w:name w:val="Colorful Shading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Kolorowecieniowanieakcent4">
    <w:name w:val="Colorful Shading Accent 4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rsid w:val="00DC4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40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3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4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33"/>
    <w:rPr>
      <w:rFonts w:eastAsiaTheme="minorEastAsia"/>
      <w:b/>
      <w:bCs/>
      <w:sz w:val="20"/>
      <w:szCs w:val="20"/>
    </w:rPr>
  </w:style>
  <w:style w:type="table" w:styleId="Ciemnalista">
    <w:name w:val="Dark List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Ciemnalistaakcent2">
    <w:name w:val="Dark List Accent 2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Ciemnalistaakcent3">
    <w:name w:val="Dark List Accent 3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Ciemnalistaakcent4">
    <w:name w:val="Dark List Accent 4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Ciemnalistaakcent5">
    <w:name w:val="Dark List Accent 5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Ciemnalistaakcent6">
    <w:name w:val="Dark List Accent 6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rsid w:val="00DC4033"/>
  </w:style>
  <w:style w:type="character" w:customStyle="1" w:styleId="DataZnak">
    <w:name w:val="Data Znak"/>
    <w:basedOn w:val="Domylnaczcionkaakapitu"/>
    <w:link w:val="Data"/>
    <w:uiPriority w:val="99"/>
    <w:semiHidden/>
    <w:rsid w:val="00DC4033"/>
    <w:rPr>
      <w:rFonts w:eastAsiaTheme="minorEastAsia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DC4033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4033"/>
    <w:rPr>
      <w:rFonts w:ascii="Tahoma" w:eastAsiaTheme="minorEastAsi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rsid w:val="00DC4033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4033"/>
    <w:rPr>
      <w:rFonts w:eastAsiaTheme="minorEastAsia"/>
      <w:sz w:val="24"/>
    </w:rPr>
  </w:style>
  <w:style w:type="character" w:styleId="Odwoanieprzypisukocowego">
    <w:name w:val="endnote reference"/>
    <w:basedOn w:val="Domylnaczcionkaakapitu"/>
    <w:uiPriority w:val="99"/>
    <w:semiHidden/>
    <w:rsid w:val="00DC403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40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033"/>
    <w:rPr>
      <w:rFonts w:eastAsiaTheme="minorEastAsia"/>
      <w:sz w:val="20"/>
      <w:szCs w:val="20"/>
    </w:rPr>
  </w:style>
  <w:style w:type="paragraph" w:styleId="Adresnakopercie">
    <w:name w:val="envelope address"/>
    <w:basedOn w:val="Normalny"/>
    <w:uiPriority w:val="99"/>
    <w:semiHidden/>
    <w:rsid w:val="00DC4033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rsid w:val="00DC4033"/>
    <w:rPr>
      <w:rFonts w:asciiTheme="majorHAnsi" w:eastAsiaTheme="majorEastAsia" w:hAnsiTheme="majorHAnsi" w:cstheme="majorBid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rsid w:val="00DC4033"/>
    <w:rPr>
      <w:color w:val="7030A0" w:themeColor="followedHyperlink"/>
      <w:u w:val="single"/>
    </w:rPr>
  </w:style>
  <w:style w:type="character" w:styleId="HTML-akronim">
    <w:name w:val="HTML Acronym"/>
    <w:basedOn w:val="Domylnaczcionkaakapitu"/>
    <w:uiPriority w:val="99"/>
    <w:semiHidden/>
    <w:rsid w:val="00DC4033"/>
  </w:style>
  <w:style w:type="paragraph" w:styleId="HTML-adres">
    <w:name w:val="HTML Address"/>
    <w:basedOn w:val="Normalny"/>
    <w:link w:val="HTML-adresZnak"/>
    <w:uiPriority w:val="99"/>
    <w:semiHidden/>
    <w:rsid w:val="00DC4033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4033"/>
    <w:rPr>
      <w:rFonts w:eastAsiaTheme="minorEastAsia"/>
      <w:i/>
      <w:iCs/>
      <w:sz w:val="24"/>
    </w:rPr>
  </w:style>
  <w:style w:type="character" w:styleId="HTML-cytat">
    <w:name w:val="HTML Cite"/>
    <w:basedOn w:val="Domylnaczcionkaakapitu"/>
    <w:uiPriority w:val="99"/>
    <w:semiHidden/>
    <w:rsid w:val="00DC4033"/>
    <w:rPr>
      <w:i/>
      <w:iCs/>
    </w:rPr>
  </w:style>
  <w:style w:type="character" w:styleId="HTML-kod">
    <w:name w:val="HTML Code"/>
    <w:basedOn w:val="Domylnaczcionkaakapitu"/>
    <w:uiPriority w:val="99"/>
    <w:semiHidden/>
    <w:rsid w:val="00DC4033"/>
    <w:rPr>
      <w:rFonts w:ascii="Consolas" w:hAnsi="Consolas" w:cs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rsid w:val="00DC4033"/>
    <w:rPr>
      <w:i/>
      <w:iCs/>
    </w:rPr>
  </w:style>
  <w:style w:type="character" w:styleId="HTML-klawiatura">
    <w:name w:val="HTML Keyboard"/>
    <w:basedOn w:val="Domylnaczcionkaakapitu"/>
    <w:uiPriority w:val="99"/>
    <w:semiHidden/>
    <w:rsid w:val="00DC4033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DC403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4033"/>
    <w:rPr>
      <w:rFonts w:ascii="Consolas" w:eastAsiaTheme="minorEastAsia" w:hAnsi="Consolas" w:cs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rsid w:val="00DC4033"/>
    <w:rPr>
      <w:rFonts w:ascii="Consolas" w:hAnsi="Consolas" w:cs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rsid w:val="00DC4033"/>
    <w:rPr>
      <w:rFonts w:ascii="Consolas" w:hAnsi="Consolas" w:cs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rsid w:val="00DC4033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rsid w:val="00DC4033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DC4033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DC4033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DC4033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DC4033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DC4033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DC4033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DC4033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DC4033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DC4033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Jasnalista">
    <w:name w:val="Light List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Jasnecieniowanie">
    <w:name w:val="Light Shading"/>
    <w:basedOn w:val="Standardowy"/>
    <w:uiPriority w:val="99"/>
    <w:semiHidden/>
    <w:rsid w:val="00DC40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99"/>
    <w:semiHidden/>
    <w:rsid w:val="00DC4033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Jasnecieniowanieakcent2">
    <w:name w:val="Light Shading Accent 2"/>
    <w:basedOn w:val="Standardowy"/>
    <w:uiPriority w:val="99"/>
    <w:semiHidden/>
    <w:rsid w:val="00DC4033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Jasnecieniowanieakcent3">
    <w:name w:val="Light Shading Accent 3"/>
    <w:basedOn w:val="Standardowy"/>
    <w:uiPriority w:val="99"/>
    <w:semiHidden/>
    <w:rsid w:val="00DC4033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ecieniowanieakcent4">
    <w:name w:val="Light Shading Accent 4"/>
    <w:basedOn w:val="Standardowy"/>
    <w:uiPriority w:val="99"/>
    <w:semiHidden/>
    <w:rsid w:val="00DC4033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Jasnecieniowanieakcent5">
    <w:name w:val="Light Shading Accent 5"/>
    <w:basedOn w:val="Standardowy"/>
    <w:uiPriority w:val="99"/>
    <w:semiHidden/>
    <w:rsid w:val="00DC4033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Jasnecieniowanieakcent6">
    <w:name w:val="Light Shading Accent 6"/>
    <w:basedOn w:val="Standardowy"/>
    <w:uiPriority w:val="99"/>
    <w:semiHidden/>
    <w:rsid w:val="00DC4033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rsid w:val="00DC4033"/>
  </w:style>
  <w:style w:type="paragraph" w:styleId="Lista">
    <w:name w:val="List"/>
    <w:basedOn w:val="Normalny"/>
    <w:uiPriority w:val="99"/>
    <w:semiHidden/>
    <w:rsid w:val="00DC4033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DC4033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rsid w:val="00DC4033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DC4033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rsid w:val="00DC4033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rsid w:val="00DC4033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rsid w:val="00DC4033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rsid w:val="00DC4033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rsid w:val="00DC4033"/>
    <w:pPr>
      <w:numPr>
        <w:numId w:val="15"/>
      </w:numPr>
      <w:contextualSpacing/>
    </w:pPr>
  </w:style>
  <w:style w:type="paragraph" w:styleId="Lista-kontynuacja">
    <w:name w:val="List Continue"/>
    <w:basedOn w:val="Normalny"/>
    <w:uiPriority w:val="99"/>
    <w:semiHidden/>
    <w:rsid w:val="00DC4033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rsid w:val="00DC403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rsid w:val="00DC403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rsid w:val="00DC4033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rsid w:val="00DC4033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rsid w:val="00DC4033"/>
    <w:pPr>
      <w:numPr>
        <w:numId w:val="16"/>
      </w:numPr>
      <w:contextualSpacing/>
    </w:pPr>
  </w:style>
  <w:style w:type="paragraph" w:styleId="Listanumerowana2">
    <w:name w:val="List Number 2"/>
    <w:basedOn w:val="Normalny"/>
    <w:uiPriority w:val="99"/>
    <w:semiHidden/>
    <w:rsid w:val="00DC4033"/>
    <w:pPr>
      <w:numPr>
        <w:numId w:val="17"/>
      </w:numPr>
      <w:contextualSpacing/>
    </w:pPr>
  </w:style>
  <w:style w:type="paragraph" w:styleId="Listanumerowana3">
    <w:name w:val="List Number 3"/>
    <w:basedOn w:val="Normalny"/>
    <w:uiPriority w:val="99"/>
    <w:semiHidden/>
    <w:rsid w:val="00DC4033"/>
    <w:pPr>
      <w:numPr>
        <w:numId w:val="18"/>
      </w:numPr>
      <w:contextualSpacing/>
    </w:pPr>
  </w:style>
  <w:style w:type="paragraph" w:styleId="Listanumerowana4">
    <w:name w:val="List Number 4"/>
    <w:basedOn w:val="Normalny"/>
    <w:uiPriority w:val="99"/>
    <w:semiHidden/>
    <w:rsid w:val="00DC4033"/>
    <w:pPr>
      <w:numPr>
        <w:numId w:val="19"/>
      </w:numPr>
      <w:contextualSpacing/>
    </w:pPr>
  </w:style>
  <w:style w:type="paragraph" w:styleId="Listanumerowana5">
    <w:name w:val="List Number 5"/>
    <w:basedOn w:val="Normalny"/>
    <w:uiPriority w:val="99"/>
    <w:semiHidden/>
    <w:rsid w:val="00DC4033"/>
    <w:pPr>
      <w:numPr>
        <w:numId w:val="20"/>
      </w:numPr>
      <w:contextualSpacing/>
    </w:pPr>
  </w:style>
  <w:style w:type="paragraph" w:styleId="Tekstmakra">
    <w:name w:val="macro"/>
    <w:link w:val="TekstmakraZnak"/>
    <w:uiPriority w:val="99"/>
    <w:semiHidden/>
    <w:rsid w:val="00DC4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4033"/>
    <w:rPr>
      <w:rFonts w:ascii="Consolas" w:eastAsiaTheme="minorEastAsia" w:hAnsi="Consolas" w:cs="Consolas"/>
      <w:sz w:val="20"/>
      <w:szCs w:val="20"/>
    </w:rPr>
  </w:style>
  <w:style w:type="table" w:styleId="redniasiatka1">
    <w:name w:val="Medium Grid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redniasiatka1akcent2">
    <w:name w:val="Medium Grid 1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redniasiatka1akcent3">
    <w:name w:val="Medium Grid 1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redniasiatka1akcent4">
    <w:name w:val="Medium Grid 1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redniasiatka1akcent5">
    <w:name w:val="Medium Grid 1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redniasiatka1akcent6">
    <w:name w:val="Medium Grid 1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redniasiatka2">
    <w:name w:val="Medium Grid 2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1">
    <w:name w:val="Medium Grid 2 Accent 1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2">
    <w:name w:val="Medium Grid 2 Accent 2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3">
    <w:name w:val="Medium Grid 2 Accent 3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4">
    <w:name w:val="Medium Grid 2 Accent 4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5">
    <w:name w:val="Medium Grid 2 Accent 5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6">
    <w:name w:val="Medium Grid 2 Accent 6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3">
    <w:name w:val="Medium Grid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redniasiatka3akcent2">
    <w:name w:val="Medium Grid 3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redniasiatka3akcent3">
    <w:name w:val="Medium Grid 3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redniasiatka3akcent4">
    <w:name w:val="Medium Grid 3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redniasiatka3akcent5">
    <w:name w:val="Medium Grid 3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redniasiatka3akcent6">
    <w:name w:val="Medium Grid 3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rednialista1">
    <w:name w:val="Medium Lis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rednialista1akcent2">
    <w:name w:val="Medium List 1 Accent 2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rednialista1akcent3">
    <w:name w:val="Medium List 1 Accent 3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rednialista1akcent4">
    <w:name w:val="Medium List 1 Accent 4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rednialista1akcent5">
    <w:name w:val="Medium List 1 Accent 5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rednialista1akcent6">
    <w:name w:val="Medium List 1 Accent 6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rednialista2">
    <w:name w:val="Medium List 2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rsid w:val="00DC4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40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rsid w:val="00DC4033"/>
    <w:rPr>
      <w:rFonts w:ascii="Times New Roman" w:hAnsi="Times New Roman" w:cs="Times New Roman"/>
      <w:szCs w:val="24"/>
    </w:rPr>
  </w:style>
  <w:style w:type="paragraph" w:styleId="Wcicienormalne">
    <w:name w:val="Normal Indent"/>
    <w:basedOn w:val="Normalny"/>
    <w:uiPriority w:val="99"/>
    <w:semiHidden/>
    <w:rsid w:val="00DC403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DC4033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4033"/>
    <w:rPr>
      <w:rFonts w:eastAsiaTheme="minorEastAsia"/>
      <w:sz w:val="24"/>
    </w:rPr>
  </w:style>
  <w:style w:type="character" w:styleId="Tekstzastpczy">
    <w:name w:val="Placeholder Text"/>
    <w:basedOn w:val="Domylnaczcionkaakapitu"/>
    <w:uiPriority w:val="99"/>
    <w:semiHidden/>
    <w:rsid w:val="00DC4033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rsid w:val="00DC4033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4033"/>
    <w:rPr>
      <w:rFonts w:ascii="Consolas" w:eastAsiaTheme="minorEastAsia" w:hAnsi="Consolas" w:cs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DC403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4033"/>
    <w:rPr>
      <w:rFonts w:eastAsiaTheme="minorEastAsia"/>
      <w:sz w:val="24"/>
    </w:rPr>
  </w:style>
  <w:style w:type="paragraph" w:styleId="Podpis">
    <w:name w:val="Signature"/>
    <w:basedOn w:val="Normalny"/>
    <w:link w:val="PodpisZnak"/>
    <w:uiPriority w:val="99"/>
    <w:semiHidden/>
    <w:rsid w:val="00DC4033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4033"/>
    <w:rPr>
      <w:rFonts w:eastAsiaTheme="minorEastAsia"/>
      <w:sz w:val="24"/>
    </w:rPr>
  </w:style>
  <w:style w:type="table" w:styleId="Tabela-Efekty3W1">
    <w:name w:val="Table 3D effects 1"/>
    <w:basedOn w:val="Standardowy"/>
    <w:uiPriority w:val="99"/>
    <w:semiHidden/>
    <w:unhideWhenUsed/>
    <w:rsid w:val="00DC403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403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403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403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403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403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403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403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403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403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403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403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403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403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403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403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403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rsid w:val="00DC4033"/>
    <w:pPr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rsid w:val="00DC4033"/>
  </w:style>
  <w:style w:type="table" w:styleId="Tabela-Profesjonalny">
    <w:name w:val="Table Professional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403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403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C403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40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403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403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C403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6">
    <w:name w:val="toc 6"/>
    <w:basedOn w:val="Normalny"/>
    <w:next w:val="Normalny"/>
    <w:autoRedefine/>
    <w:uiPriority w:val="99"/>
    <w:semiHidden/>
    <w:rsid w:val="00DC4033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DC4033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DC4033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DC4033"/>
    <w:pPr>
      <w:spacing w:after="100"/>
      <w:ind w:left="1920"/>
    </w:pPr>
  </w:style>
  <w:style w:type="paragraph" w:styleId="Poprawka">
    <w:name w:val="Revision"/>
    <w:hidden/>
    <w:uiPriority w:val="99"/>
    <w:semiHidden/>
    <w:rsid w:val="00E05B22"/>
    <w:rPr>
      <w:rFonts w:eastAsiaTheme="minorEastAsia"/>
      <w:sz w:val="24"/>
    </w:rPr>
  </w:style>
  <w:style w:type="character" w:customStyle="1" w:styleId="JuNames0">
    <w:name w:val="Ju_Names"/>
    <w:rsid w:val="00E05B22"/>
    <w:rPr>
      <w:smallCaps/>
    </w:rPr>
  </w:style>
  <w:style w:type="character" w:customStyle="1" w:styleId="JuParaCar">
    <w:name w:val="Ju_Para Car"/>
    <w:link w:val="ECHRPara"/>
    <w:uiPriority w:val="12"/>
    <w:rsid w:val="00E05B22"/>
    <w:rPr>
      <w:rFonts w:eastAsiaTheme="minorEastAsia"/>
      <w:sz w:val="24"/>
    </w:rPr>
  </w:style>
  <w:style w:type="character" w:customStyle="1" w:styleId="ECHRParaChar">
    <w:name w:val="ECHR_Para Char"/>
    <w:aliases w:val="Ju_Para Char"/>
    <w:uiPriority w:val="12"/>
    <w:rsid w:val="00E05B22"/>
    <w:rPr>
      <w:rFonts w:eastAsia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page number" w:uiPriority="0"/>
    <w:lsdException w:name="List" w:unhideWhenUsed="0"/>
    <w:lsdException w:name="List 2" w:unhideWhenUsed="0"/>
    <w:lsdException w:name="List 3" w:unhideWhenUsed="0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nhideWhenUsed="0"/>
    <w:lsdException w:name="TOC Heading" w:qFormat="1"/>
  </w:latentStyles>
  <w:style w:type="paragraph" w:default="1" w:styleId="Normalny">
    <w:name w:val="Normal"/>
    <w:semiHidden/>
    <w:rsid w:val="00DC4033"/>
    <w:pPr>
      <w:jc w:val="both"/>
    </w:pPr>
    <w:rPr>
      <w:rFonts w:eastAsiaTheme="minorEastAsia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4174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rsid w:val="0094174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rsid w:val="0094174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Nagwek4">
    <w:name w:val="heading 4"/>
    <w:basedOn w:val="Normalny"/>
    <w:next w:val="Normalny"/>
    <w:link w:val="Nagwek4Znak"/>
    <w:uiPriority w:val="99"/>
    <w:semiHidden/>
    <w:rsid w:val="0094174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DC403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Nagwek6">
    <w:name w:val="heading 6"/>
    <w:basedOn w:val="Normalny"/>
    <w:next w:val="Normalny"/>
    <w:link w:val="Nagwek6Znak"/>
    <w:uiPriority w:val="99"/>
    <w:semiHidden/>
    <w:rsid w:val="0094174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Nagwek7">
    <w:name w:val="heading 7"/>
    <w:basedOn w:val="Normalny"/>
    <w:next w:val="Normalny"/>
    <w:link w:val="Nagwek7Znak"/>
    <w:uiPriority w:val="99"/>
    <w:semiHidden/>
    <w:qFormat/>
    <w:rsid w:val="00DC4033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Nagwek8">
    <w:name w:val="heading 8"/>
    <w:basedOn w:val="Normalny"/>
    <w:next w:val="Normalny"/>
    <w:link w:val="Nagwek8Znak"/>
    <w:uiPriority w:val="99"/>
    <w:semiHidden/>
    <w:qFormat/>
    <w:rsid w:val="00DC4033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9"/>
    <w:semiHidden/>
    <w:qFormat/>
    <w:rsid w:val="00DC403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417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1F8"/>
    <w:rPr>
      <w:rFonts w:ascii="Tahoma" w:eastAsiaTheme="minorEastAsia" w:hAnsi="Tahoma" w:cs="Tahoma"/>
      <w:sz w:val="16"/>
      <w:szCs w:val="16"/>
    </w:rPr>
  </w:style>
  <w:style w:type="character" w:styleId="Tytuksiki">
    <w:name w:val="Book Title"/>
    <w:uiPriority w:val="99"/>
    <w:semiHidden/>
    <w:qFormat/>
    <w:rsid w:val="00DC4033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Nagwek"/>
    <w:uiPriority w:val="4"/>
    <w:qFormat/>
    <w:rsid w:val="00DC4033"/>
    <w:pPr>
      <w:tabs>
        <w:tab w:val="clear" w:pos="4536"/>
        <w:tab w:val="clear" w:pos="9696"/>
        <w:tab w:val="center" w:pos="3686"/>
        <w:tab w:val="right" w:pos="7371"/>
      </w:tabs>
      <w:ind w:left="0" w:right="0"/>
      <w:jc w:val="left"/>
    </w:pPr>
    <w:rPr>
      <w:rFonts w:eastAsiaTheme="minorHAnsi"/>
      <w:sz w:val="18"/>
    </w:rPr>
  </w:style>
  <w:style w:type="paragraph" w:customStyle="1" w:styleId="OpiPara">
    <w:name w:val="Opi_Para"/>
    <w:basedOn w:val="ECHRPara"/>
    <w:uiPriority w:val="46"/>
    <w:qFormat/>
    <w:rsid w:val="00DC4033"/>
  </w:style>
  <w:style w:type="character" w:styleId="Pogrubienie">
    <w:name w:val="Strong"/>
    <w:uiPriority w:val="99"/>
    <w:semiHidden/>
    <w:qFormat/>
    <w:rsid w:val="00DC4033"/>
    <w:rPr>
      <w:b/>
      <w:bCs/>
    </w:rPr>
  </w:style>
  <w:style w:type="paragraph" w:styleId="Bezodstpw">
    <w:name w:val="No Spacing"/>
    <w:basedOn w:val="Normalny"/>
    <w:link w:val="BezodstpwZnak"/>
    <w:semiHidden/>
    <w:qFormat/>
    <w:rsid w:val="00DC4033"/>
    <w:rPr>
      <w:sz w:val="22"/>
    </w:rPr>
  </w:style>
  <w:style w:type="character" w:customStyle="1" w:styleId="BezodstpwZnak">
    <w:name w:val="Bez odstępów Znak"/>
    <w:basedOn w:val="Domylnaczcionkaakapitu"/>
    <w:link w:val="Bezodstpw"/>
    <w:semiHidden/>
    <w:rsid w:val="00DC4033"/>
    <w:rPr>
      <w:rFonts w:eastAsiaTheme="minorEastAsia"/>
    </w:rPr>
  </w:style>
  <w:style w:type="paragraph" w:customStyle="1" w:styleId="ECHRParaQuote">
    <w:name w:val="ECHR_Para_Quote"/>
    <w:aliases w:val="Ju_Quot"/>
    <w:basedOn w:val="Normalny"/>
    <w:qFormat/>
    <w:rsid w:val="00DC4033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DC4033"/>
    <w:pPr>
      <w:ind w:left="284"/>
    </w:pPr>
  </w:style>
  <w:style w:type="paragraph" w:customStyle="1" w:styleId="OpiParaSub">
    <w:name w:val="Opi_Para_Sub"/>
    <w:basedOn w:val="JuParaSub"/>
    <w:uiPriority w:val="47"/>
    <w:qFormat/>
    <w:rsid w:val="00DC4033"/>
  </w:style>
  <w:style w:type="paragraph" w:customStyle="1" w:styleId="OpiQuot">
    <w:name w:val="Opi_Quot"/>
    <w:basedOn w:val="ECHRParaQuote"/>
    <w:uiPriority w:val="48"/>
    <w:qFormat/>
    <w:rsid w:val="00DC4033"/>
  </w:style>
  <w:style w:type="paragraph" w:customStyle="1" w:styleId="OpiQuotSub">
    <w:name w:val="Opi_Quot_Sub"/>
    <w:basedOn w:val="JuQuotSub"/>
    <w:uiPriority w:val="49"/>
    <w:qFormat/>
    <w:rsid w:val="00DC4033"/>
  </w:style>
  <w:style w:type="paragraph" w:customStyle="1" w:styleId="ECHRTitleCentre3">
    <w:name w:val="ECHR_Title_Centre_3"/>
    <w:aliases w:val="Ju_H_Article"/>
    <w:basedOn w:val="Normalny"/>
    <w:next w:val="ECHRParaQuote"/>
    <w:uiPriority w:val="27"/>
    <w:qFormat/>
    <w:rsid w:val="00DC4033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ny"/>
    <w:next w:val="OpiPara"/>
    <w:uiPriority w:val="39"/>
    <w:qFormat/>
    <w:rsid w:val="00DC4033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DC4033"/>
    <w:pPr>
      <w:ind w:left="567"/>
    </w:pPr>
  </w:style>
  <w:style w:type="paragraph" w:customStyle="1" w:styleId="ECHRTitle1">
    <w:name w:val="ECHR_Title_1"/>
    <w:aliases w:val="Ju_H_Head"/>
    <w:basedOn w:val="Normalny"/>
    <w:next w:val="ECHRPara"/>
    <w:uiPriority w:val="18"/>
    <w:qFormat/>
    <w:rsid w:val="00DC4033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Normalny"/>
    <w:uiPriority w:val="31"/>
    <w:qFormat/>
    <w:rsid w:val="00DC4033"/>
    <w:pPr>
      <w:tabs>
        <w:tab w:val="center" w:pos="6407"/>
      </w:tabs>
      <w:spacing w:before="720"/>
      <w:jc w:val="right"/>
    </w:pPr>
  </w:style>
  <w:style w:type="paragraph" w:customStyle="1" w:styleId="JuSigned">
    <w:name w:val="Ju_Signed"/>
    <w:basedOn w:val="Normalny"/>
    <w:next w:val="JuParaLast"/>
    <w:uiPriority w:val="32"/>
    <w:qFormat/>
    <w:rsid w:val="00DC4033"/>
    <w:pPr>
      <w:tabs>
        <w:tab w:val="center" w:pos="851"/>
        <w:tab w:val="center" w:pos="6407"/>
      </w:tabs>
      <w:spacing w:before="720"/>
      <w:jc w:val="left"/>
    </w:pPr>
  </w:style>
  <w:style w:type="paragraph" w:styleId="Tytu">
    <w:name w:val="Title"/>
    <w:basedOn w:val="Normalny"/>
    <w:next w:val="Normalny"/>
    <w:link w:val="TytuZnak"/>
    <w:uiPriority w:val="99"/>
    <w:semiHidden/>
    <w:qFormat/>
    <w:rsid w:val="00DC403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DC403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OpiHA">
    <w:name w:val="Opi_H_A"/>
    <w:basedOn w:val="ECHRHeading1"/>
    <w:next w:val="OpiPara"/>
    <w:uiPriority w:val="41"/>
    <w:qFormat/>
    <w:rsid w:val="00DC4033"/>
    <w:pPr>
      <w:tabs>
        <w:tab w:val="clear" w:pos="357"/>
      </w:tabs>
      <w:outlineLvl w:val="1"/>
    </w:pPr>
    <w:rPr>
      <w:b/>
    </w:rPr>
  </w:style>
  <w:style w:type="character" w:customStyle="1" w:styleId="JUNAMES">
    <w:name w:val="JU_NAMES"/>
    <w:uiPriority w:val="17"/>
    <w:qFormat/>
    <w:rsid w:val="00DC4033"/>
    <w:rPr>
      <w:caps w:val="0"/>
      <w:smallCaps/>
    </w:rPr>
  </w:style>
  <w:style w:type="character" w:customStyle="1" w:styleId="JuITMark">
    <w:name w:val="Ju_ITMark"/>
    <w:basedOn w:val="Domylnaczcionkaakapitu"/>
    <w:uiPriority w:val="38"/>
    <w:qFormat/>
    <w:rsid w:val="00DC4033"/>
    <w:rPr>
      <w:vanish/>
      <w:color w:val="339966"/>
      <w:sz w:val="14"/>
    </w:rPr>
  </w:style>
  <w:style w:type="paragraph" w:customStyle="1" w:styleId="OpiTranslation">
    <w:name w:val="Opi_Translation"/>
    <w:basedOn w:val="Normalny"/>
    <w:next w:val="OpiPara"/>
    <w:uiPriority w:val="40"/>
    <w:qFormat/>
    <w:rsid w:val="00DC4033"/>
    <w:pPr>
      <w:jc w:val="center"/>
      <w:outlineLvl w:val="0"/>
    </w:pPr>
    <w:rPr>
      <w:i/>
    </w:rPr>
  </w:style>
  <w:style w:type="paragraph" w:customStyle="1" w:styleId="JuCourt">
    <w:name w:val="Ju_Court"/>
    <w:basedOn w:val="Normalny"/>
    <w:next w:val="Normalny"/>
    <w:uiPriority w:val="16"/>
    <w:qFormat/>
    <w:rsid w:val="00DC4033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DC4033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Nagwek2"/>
    <w:next w:val="ECHRPara"/>
    <w:uiPriority w:val="20"/>
    <w:qFormat/>
    <w:rsid w:val="00DC4033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DC4033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styleId="Nagwek">
    <w:name w:val="header"/>
    <w:basedOn w:val="Normalny"/>
    <w:link w:val="NagwekZnak"/>
    <w:uiPriority w:val="57"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NagwekZnak">
    <w:name w:val="Nagłówek Znak"/>
    <w:basedOn w:val="Domylnaczcionkaakapitu"/>
    <w:link w:val="Nagwek"/>
    <w:uiPriority w:val="57"/>
    <w:rsid w:val="008D4752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A671F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4">
    <w:name w:val="ECHR_Heading_4"/>
    <w:aliases w:val="Ju_H_a"/>
    <w:basedOn w:val="Nagwek4"/>
    <w:next w:val="ECHRPara"/>
    <w:uiPriority w:val="22"/>
    <w:qFormat/>
    <w:rsid w:val="00DC4033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Nagwek5"/>
    <w:next w:val="ECHRPara"/>
    <w:uiPriority w:val="23"/>
    <w:qFormat/>
    <w:rsid w:val="00DC4033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671F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6">
    <w:name w:val="ECHR_Heading_6"/>
    <w:aliases w:val="Ju_H_alpha"/>
    <w:basedOn w:val="Nagwek6"/>
    <w:next w:val="ECHRPara"/>
    <w:uiPriority w:val="24"/>
    <w:qFormat/>
    <w:rsid w:val="00DC4033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</w:rPr>
  </w:style>
  <w:style w:type="paragraph" w:customStyle="1" w:styleId="ECHRHeading7">
    <w:name w:val="ECHR_Heading_7"/>
    <w:aliases w:val="Ju_H_–"/>
    <w:basedOn w:val="Nagwek7"/>
    <w:next w:val="ECHRPara"/>
    <w:uiPriority w:val="25"/>
    <w:qFormat/>
    <w:rsid w:val="00DC4033"/>
    <w:pPr>
      <w:keepNext/>
      <w:keepLines/>
      <w:spacing w:before="240" w:after="120"/>
      <w:ind w:left="1236"/>
    </w:pPr>
    <w:rPr>
      <w:sz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A671F8"/>
    <w:rPr>
      <w:rFonts w:asciiTheme="majorHAnsi" w:eastAsiaTheme="majorEastAsia" w:hAnsiTheme="majorHAnsi" w:cstheme="majorBidi"/>
      <w:b/>
      <w:bCs/>
      <w:color w:val="5F5F5F"/>
    </w:rPr>
  </w:style>
  <w:style w:type="paragraph" w:customStyle="1" w:styleId="JuParaLast">
    <w:name w:val="Ju_Para_Last"/>
    <w:basedOn w:val="Normalny"/>
    <w:next w:val="ECHRPara"/>
    <w:uiPriority w:val="30"/>
    <w:qFormat/>
    <w:rsid w:val="00DC4033"/>
    <w:pPr>
      <w:keepNext/>
      <w:keepLines/>
      <w:spacing w:before="240"/>
      <w:ind w:firstLine="284"/>
    </w:pPr>
  </w:style>
  <w:style w:type="paragraph" w:customStyle="1" w:styleId="ECHRDecisionBody">
    <w:name w:val="ECHR_Decision_Body"/>
    <w:aliases w:val="Ju_Judges"/>
    <w:basedOn w:val="Normalny"/>
    <w:uiPriority w:val="11"/>
    <w:qFormat/>
    <w:rsid w:val="00DC4033"/>
    <w:pPr>
      <w:tabs>
        <w:tab w:val="left" w:pos="567"/>
        <w:tab w:val="left" w:pos="1134"/>
      </w:tabs>
      <w:jc w:val="left"/>
    </w:p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customStyle="1" w:styleId="JuList">
    <w:name w:val="Ju_List"/>
    <w:basedOn w:val="Normalny"/>
    <w:uiPriority w:val="28"/>
    <w:qFormat/>
    <w:rsid w:val="00DC4033"/>
    <w:pPr>
      <w:ind w:left="340" w:hanging="340"/>
    </w:p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DC4033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JuLista">
    <w:name w:val="Ju_List_a"/>
    <w:basedOn w:val="JuList"/>
    <w:uiPriority w:val="28"/>
    <w:qFormat/>
    <w:rsid w:val="00DC4033"/>
    <w:pPr>
      <w:ind w:left="346" w:firstLine="0"/>
    </w:pPr>
  </w:style>
  <w:style w:type="paragraph" w:customStyle="1" w:styleId="JuListi">
    <w:name w:val="Ju_List_i"/>
    <w:basedOn w:val="Normalny"/>
    <w:next w:val="JuLista"/>
    <w:uiPriority w:val="28"/>
    <w:qFormat/>
    <w:rsid w:val="00DC4033"/>
    <w:pPr>
      <w:ind w:left="794"/>
    </w:pPr>
  </w:style>
  <w:style w:type="character" w:styleId="Wyrnieniedelikatne">
    <w:name w:val="Subtle Emphasis"/>
    <w:uiPriority w:val="99"/>
    <w:semiHidden/>
    <w:qFormat/>
    <w:rsid w:val="00DC4033"/>
    <w:rPr>
      <w:i/>
      <w:iCs/>
    </w:rPr>
  </w:style>
  <w:style w:type="paragraph" w:customStyle="1" w:styleId="OpiH1">
    <w:name w:val="Opi_H_1"/>
    <w:basedOn w:val="ECHRHeading2"/>
    <w:uiPriority w:val="42"/>
    <w:qFormat/>
    <w:rsid w:val="00DC4033"/>
    <w:pPr>
      <w:ind w:left="635" w:hanging="357"/>
      <w:outlineLvl w:val="2"/>
    </w:pPr>
  </w:style>
  <w:style w:type="table" w:customStyle="1" w:styleId="ECHRTable">
    <w:name w:val="ECHR_Table"/>
    <w:basedOn w:val="Standardowy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Standardowy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OpiHa0">
    <w:name w:val="Opi_H_a"/>
    <w:basedOn w:val="ECHRHeading3"/>
    <w:uiPriority w:val="43"/>
    <w:qFormat/>
    <w:rsid w:val="00DC4033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DC4033"/>
    <w:pPr>
      <w:ind w:left="1037" w:hanging="357"/>
      <w:outlineLvl w:val="4"/>
    </w:pPr>
    <w:rPr>
      <w:b w:val="0"/>
      <w:i/>
    </w:rPr>
  </w:style>
  <w:style w:type="paragraph" w:customStyle="1" w:styleId="DummyStyle">
    <w:name w:val="Dummy_Style"/>
    <w:basedOn w:val="Normalny"/>
    <w:semiHidden/>
    <w:qFormat/>
    <w:rsid w:val="00DC4033"/>
    <w:rPr>
      <w:color w:val="00B050"/>
    </w:rPr>
  </w:style>
  <w:style w:type="character" w:styleId="Uwydatnienie">
    <w:name w:val="Emphasis"/>
    <w:uiPriority w:val="99"/>
    <w:semiHidden/>
    <w:qFormat/>
    <w:rsid w:val="00DC40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topka">
    <w:name w:val="footer"/>
    <w:basedOn w:val="Normalny"/>
    <w:link w:val="StopkaZnak"/>
    <w:uiPriority w:val="57"/>
    <w:semiHidden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StopkaZnak">
    <w:name w:val="Stopka Znak"/>
    <w:basedOn w:val="Domylnaczcionkaakapitu"/>
    <w:link w:val="Stopka"/>
    <w:uiPriority w:val="57"/>
    <w:semiHidden/>
    <w:rsid w:val="008D4752"/>
  </w:style>
  <w:style w:type="character" w:styleId="Odwoanieprzypisudolnego">
    <w:name w:val="footnote reference"/>
    <w:basedOn w:val="Domylnaczcionkaakapitu"/>
    <w:uiPriority w:val="99"/>
    <w:semiHidden/>
    <w:rsid w:val="009417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17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1F8"/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C403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DC403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C403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semiHidden/>
    <w:rsid w:val="00941747"/>
    <w:rPr>
      <w:color w:val="0072BC" w:themeColor="hyperlink"/>
      <w:u w:val="single"/>
    </w:rPr>
  </w:style>
  <w:style w:type="character" w:styleId="Wyrnienieintensywne">
    <w:name w:val="Intense Emphasis"/>
    <w:uiPriority w:val="99"/>
    <w:semiHidden/>
    <w:qFormat/>
    <w:rsid w:val="00DC4033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qFormat/>
    <w:rsid w:val="00DC403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DC4033"/>
    <w:rPr>
      <w:rFonts w:eastAsiaTheme="minorEastAsia"/>
      <w:b/>
      <w:bCs/>
      <w:i/>
      <w:iCs/>
      <w:lang w:bidi="en-US"/>
    </w:rPr>
  </w:style>
  <w:style w:type="character" w:styleId="Odwoanieintensywne">
    <w:name w:val="Intense Reference"/>
    <w:uiPriority w:val="99"/>
    <w:semiHidden/>
    <w:qFormat/>
    <w:rsid w:val="00DC4033"/>
    <w:rPr>
      <w:smallCaps/>
      <w:spacing w:val="5"/>
      <w:u w:val="single"/>
    </w:rPr>
  </w:style>
  <w:style w:type="paragraph" w:styleId="Akapitzlist">
    <w:name w:val="List Paragraph"/>
    <w:basedOn w:val="Normalny"/>
    <w:uiPriority w:val="99"/>
    <w:semiHidden/>
    <w:qFormat/>
    <w:rsid w:val="00DC4033"/>
    <w:pPr>
      <w:ind w:left="720"/>
      <w:contextualSpacing/>
    </w:pPr>
  </w:style>
  <w:style w:type="table" w:customStyle="1" w:styleId="LtrTableAddress">
    <w:name w:val="Ltr_Table_Address"/>
    <w:basedOn w:val="Standardowy"/>
    <w:uiPriority w:val="99"/>
    <w:rsid w:val="001E6F32"/>
    <w:tblPr>
      <w:tblInd w:w="5103" w:type="dxa"/>
    </w:tblPr>
  </w:style>
  <w:style w:type="paragraph" w:styleId="Cytat">
    <w:name w:val="Quote"/>
    <w:basedOn w:val="Normalny"/>
    <w:next w:val="Normalny"/>
    <w:link w:val="CytatZnak"/>
    <w:uiPriority w:val="99"/>
    <w:semiHidden/>
    <w:qFormat/>
    <w:rsid w:val="00DC4033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DC4033"/>
    <w:rPr>
      <w:rFonts w:eastAsiaTheme="minorEastAsia"/>
      <w:i/>
      <w:iCs/>
      <w:lang w:bidi="en-US"/>
    </w:rPr>
  </w:style>
  <w:style w:type="character" w:styleId="Odwoaniedelikatne">
    <w:name w:val="Subtle Reference"/>
    <w:uiPriority w:val="99"/>
    <w:semiHidden/>
    <w:qFormat/>
    <w:rsid w:val="00DC4033"/>
    <w:rPr>
      <w:smallCaps/>
    </w:rPr>
  </w:style>
  <w:style w:type="table" w:styleId="Tabela-Siatka">
    <w:name w:val="Table Grid"/>
    <w:basedOn w:val="Standardowy"/>
    <w:uiPriority w:val="59"/>
    <w:semiHidden/>
    <w:rsid w:val="00941747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99"/>
    <w:semiHidden/>
    <w:rsid w:val="00EA185E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Spistreci2">
    <w:name w:val="toc 2"/>
    <w:basedOn w:val="Normalny"/>
    <w:next w:val="Normalny"/>
    <w:autoRedefine/>
    <w:uiPriority w:val="99"/>
    <w:semiHidden/>
    <w:rsid w:val="00EA185E"/>
    <w:pPr>
      <w:spacing w:after="60"/>
      <w:ind w:left="680" w:right="340" w:hanging="340"/>
    </w:pPr>
  </w:style>
  <w:style w:type="paragraph" w:styleId="Spistreci3">
    <w:name w:val="toc 3"/>
    <w:basedOn w:val="Normalny"/>
    <w:next w:val="Normalny"/>
    <w:autoRedefine/>
    <w:uiPriority w:val="99"/>
    <w:semiHidden/>
    <w:rsid w:val="00EA185E"/>
    <w:pPr>
      <w:spacing w:after="60"/>
      <w:ind w:left="1020" w:right="340" w:hanging="340"/>
    </w:pPr>
  </w:style>
  <w:style w:type="paragraph" w:styleId="Spistreci4">
    <w:name w:val="toc 4"/>
    <w:basedOn w:val="Normalny"/>
    <w:next w:val="Normalny"/>
    <w:autoRedefine/>
    <w:uiPriority w:val="99"/>
    <w:semiHidden/>
    <w:rsid w:val="00EA185E"/>
    <w:pPr>
      <w:tabs>
        <w:tab w:val="right" w:leader="dot" w:pos="9017"/>
      </w:tabs>
      <w:spacing w:after="60"/>
      <w:ind w:left="1361" w:right="340" w:hanging="340"/>
    </w:pPr>
  </w:style>
  <w:style w:type="paragraph" w:styleId="Spistreci5">
    <w:name w:val="toc 5"/>
    <w:basedOn w:val="Normalny"/>
    <w:next w:val="Normalny"/>
    <w:autoRedefine/>
    <w:uiPriority w:val="99"/>
    <w:semiHidden/>
    <w:rsid w:val="00B46543"/>
    <w:pPr>
      <w:spacing w:after="60"/>
      <w:ind w:left="1701" w:right="340" w:hanging="340"/>
    </w:pPr>
  </w:style>
  <w:style w:type="paragraph" w:styleId="Nagwekspisutreci">
    <w:name w:val="TOC Heading"/>
    <w:basedOn w:val="Nagwek1"/>
    <w:next w:val="Normalny"/>
    <w:uiPriority w:val="99"/>
    <w:semiHidden/>
    <w:qFormat/>
    <w:rsid w:val="00DC4033"/>
    <w:pPr>
      <w:outlineLvl w:val="9"/>
    </w:pPr>
    <w:rPr>
      <w:color w:val="474747" w:themeColor="accent3" w:themeShade="BF"/>
    </w:rPr>
  </w:style>
  <w:style w:type="table" w:customStyle="1" w:styleId="UGTable">
    <w:name w:val="UG_Table"/>
    <w:basedOn w:val="Standardowy"/>
    <w:uiPriority w:val="99"/>
    <w:rsid w:val="00572845"/>
    <w:rPr>
      <w:rFonts w:eastAsiaTheme="minorEastAsia"/>
      <w:sz w:val="20"/>
      <w:lang w:val="en-GB" w:eastAsia="en-GB"/>
    </w:rPr>
    <w:tblPr>
      <w:tblInd w:w="-964" w:type="dxa"/>
      <w:tblCellMar>
        <w:left w:w="57" w:type="dxa"/>
        <w:bottom w:w="57" w:type="dxa"/>
        <w:right w:w="113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Standardowy"/>
    <w:uiPriority w:val="99"/>
    <w:rsid w:val="003609FA"/>
    <w:rPr>
      <w:rFonts w:eastAsiaTheme="minorEastAsia"/>
      <w:lang w:val="en-GB" w:eastAsia="en-GB"/>
    </w:rPr>
    <w:tblPr>
      <w:tblInd w:w="113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Standardowy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Standardowy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Standardowy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Standardowy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Nagwekwykazurde">
    <w:name w:val="toa heading"/>
    <w:basedOn w:val="Normalny"/>
    <w:next w:val="Normalny"/>
    <w:uiPriority w:val="99"/>
    <w:semiHidden/>
    <w:rsid w:val="00C333A0"/>
    <w:pPr>
      <w:spacing w:before="120"/>
    </w:pPr>
    <w:rPr>
      <w:rFonts w:asciiTheme="majorHAnsi" w:eastAsiaTheme="majorEastAsia" w:hAnsiTheme="majorHAnsi" w:cstheme="majorBidi"/>
      <w:b/>
      <w:bCs/>
      <w:color w:val="474747" w:themeColor="accent3" w:themeShade="BF"/>
      <w:szCs w:val="24"/>
    </w:rPr>
  </w:style>
  <w:style w:type="paragraph" w:styleId="Podtytu">
    <w:name w:val="Subtitle"/>
    <w:basedOn w:val="Normalny"/>
    <w:next w:val="Normalny"/>
    <w:link w:val="PodtytuZnak"/>
    <w:uiPriority w:val="99"/>
    <w:semiHidden/>
    <w:qFormat/>
    <w:rsid w:val="00DC403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99"/>
    <w:semiHidden/>
    <w:rsid w:val="00DC403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Bezlisty"/>
    <w:uiPriority w:val="99"/>
    <w:semiHidden/>
    <w:unhideWhenUsed/>
    <w:rsid w:val="00DC4033"/>
    <w:pPr>
      <w:numPr>
        <w:numId w:val="9"/>
      </w:numPr>
    </w:pPr>
  </w:style>
  <w:style w:type="paragraph" w:customStyle="1" w:styleId="ECHRPara">
    <w:name w:val="ECHR_Para"/>
    <w:aliases w:val="Ju_Para,Para,Left,First line:  0 cm"/>
    <w:basedOn w:val="Normalny"/>
    <w:link w:val="JuParaCar"/>
    <w:uiPriority w:val="12"/>
    <w:qFormat/>
    <w:rsid w:val="00DC4033"/>
    <w:pPr>
      <w:ind w:firstLine="284"/>
    </w:pPr>
  </w:style>
  <w:style w:type="numbering" w:styleId="1ai">
    <w:name w:val="Outline List 1"/>
    <w:basedOn w:val="Bezlisty"/>
    <w:uiPriority w:val="99"/>
    <w:semiHidden/>
    <w:unhideWhenUsed/>
    <w:rsid w:val="00DC4033"/>
    <w:pPr>
      <w:numPr>
        <w:numId w:val="10"/>
      </w:numPr>
    </w:pPr>
  </w:style>
  <w:style w:type="table" w:customStyle="1" w:styleId="ECHRTableSimpleBox">
    <w:name w:val="ECHR_Table_Simple_Box"/>
    <w:basedOn w:val="Standardowy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Standardowy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ykusekcja">
    <w:name w:val="Outline List 3"/>
    <w:basedOn w:val="Bezlisty"/>
    <w:uiPriority w:val="99"/>
    <w:semiHidden/>
    <w:unhideWhenUsed/>
    <w:rsid w:val="00DC4033"/>
    <w:pPr>
      <w:numPr>
        <w:numId w:val="11"/>
      </w:numPr>
    </w:pPr>
  </w:style>
  <w:style w:type="table" w:customStyle="1" w:styleId="ECHRTableForInternalUse">
    <w:name w:val="ECHR_Table_For_Internal_Use"/>
    <w:basedOn w:val="Standardowy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Standardowy"/>
    <w:uiPriority w:val="99"/>
    <w:rsid w:val="00520BAA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fia">
    <w:name w:val="Bibliography"/>
    <w:basedOn w:val="Normalny"/>
    <w:next w:val="Normalny"/>
    <w:uiPriority w:val="99"/>
    <w:semiHidden/>
    <w:rsid w:val="00DC4033"/>
  </w:style>
  <w:style w:type="paragraph" w:styleId="Tekstblokowy">
    <w:name w:val="Block Text"/>
    <w:basedOn w:val="Normalny"/>
    <w:uiPriority w:val="99"/>
    <w:semiHidden/>
    <w:rsid w:val="00DC4033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Standardowy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Tekstpodstawowy">
    <w:name w:val="Body Text"/>
    <w:basedOn w:val="Normalny"/>
    <w:link w:val="TekstpodstawowyZnak"/>
    <w:uiPriority w:val="99"/>
    <w:semiHidden/>
    <w:rsid w:val="00DC40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4033"/>
    <w:rPr>
      <w:rFonts w:eastAsiaTheme="minorEastAsia"/>
      <w:sz w:val="24"/>
    </w:rPr>
  </w:style>
  <w:style w:type="table" w:customStyle="1" w:styleId="ECHRTableOddBanded">
    <w:name w:val="ECHR_Table_Odd_Banded"/>
    <w:basedOn w:val="Standardowy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rsid w:val="00DC4033"/>
    <w:pPr>
      <w:spacing w:after="120" w:line="480" w:lineRule="auto"/>
    </w:pPr>
  </w:style>
  <w:style w:type="table" w:customStyle="1" w:styleId="ECHRHeaderTableReduced">
    <w:name w:val="ECHR_Header_Table_Reduced"/>
    <w:basedOn w:val="Standardowy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basedOn w:val="Normalny"/>
    <w:next w:val="ECHRPara"/>
    <w:uiPriority w:val="10"/>
    <w:rsid w:val="00DC4033"/>
    <w:pPr>
      <w:ind w:firstLine="284"/>
    </w:pPr>
    <w:rPr>
      <w:b/>
    </w:rPr>
  </w:style>
  <w:style w:type="character" w:styleId="Numerstrony">
    <w:name w:val="page number"/>
    <w:semiHidden/>
    <w:rsid w:val="00DC4033"/>
    <w:rPr>
      <w:sz w:val="18"/>
    </w:rPr>
  </w:style>
  <w:style w:type="paragraph" w:styleId="Listapunktowana">
    <w:name w:val="List Bullet"/>
    <w:basedOn w:val="Normalny"/>
    <w:uiPriority w:val="99"/>
    <w:semiHidden/>
    <w:rsid w:val="00DC4033"/>
    <w:pPr>
      <w:numPr>
        <w:numId w:val="8"/>
      </w:numPr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4033"/>
    <w:rPr>
      <w:rFonts w:eastAsiaTheme="minorEastAsia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DC40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4033"/>
    <w:rPr>
      <w:rFonts w:eastAsiaTheme="minorEastAsia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DC403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4033"/>
    <w:rPr>
      <w:rFonts w:eastAsiaTheme="minorEastAsia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C40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4033"/>
    <w:rPr>
      <w:rFonts w:eastAsiaTheme="minorEastAsia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DC403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4033"/>
    <w:rPr>
      <w:rFonts w:eastAsiaTheme="minorEastAsia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C40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4033"/>
    <w:rPr>
      <w:rFonts w:eastAsiaTheme="minorEastAsia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C40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4033"/>
    <w:rPr>
      <w:rFonts w:eastAsiaTheme="minorEastAsia"/>
      <w:sz w:val="16"/>
      <w:szCs w:val="16"/>
    </w:rPr>
  </w:style>
  <w:style w:type="paragraph" w:styleId="Legenda">
    <w:name w:val="caption"/>
    <w:basedOn w:val="Normalny"/>
    <w:next w:val="Normalny"/>
    <w:uiPriority w:val="99"/>
    <w:semiHidden/>
    <w:qFormat/>
    <w:rsid w:val="00DC4033"/>
    <w:pPr>
      <w:spacing w:after="200"/>
    </w:pPr>
    <w:rPr>
      <w:b/>
      <w:bCs/>
      <w:color w:val="0072BC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rsid w:val="00DC4033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4033"/>
    <w:rPr>
      <w:rFonts w:eastAsiaTheme="minorEastAsia"/>
      <w:sz w:val="24"/>
    </w:rPr>
  </w:style>
  <w:style w:type="table" w:styleId="Kolorowasiatka">
    <w:name w:val="Colorful Grid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Kolorowasiatkaakcent2">
    <w:name w:val="Colorful Grid Accent 2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Kolorowasiatkaakcent3">
    <w:name w:val="Colorful Grid Accent 3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Kolorowasiatkaakcent4">
    <w:name w:val="Colorful Grid Accent 4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Kolorowasiatkaakcent5">
    <w:name w:val="Colorful Grid Accent 5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Kolorowasiatkaakcent6">
    <w:name w:val="Colorful Grid Accent 6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Kolorowalista">
    <w:name w:val="Colorful List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Kolorowalistaakcent2">
    <w:name w:val="Colorful List Accent 2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Kolorowalistaakcent3">
    <w:name w:val="Colorful List Accent 3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olorowalistaakcent4">
    <w:name w:val="Colorful List Accent 4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Kolorowalistaakcent5">
    <w:name w:val="Colorful List Accent 5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Kolorowalistaakcent6">
    <w:name w:val="Colorful List Accent 6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Kolorowecieniowanie">
    <w:name w:val="Colorful Shading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Kolorowecieniowanieakcent4">
    <w:name w:val="Colorful Shading Accent 4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rsid w:val="00DC4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40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3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4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33"/>
    <w:rPr>
      <w:rFonts w:eastAsiaTheme="minorEastAsia"/>
      <w:b/>
      <w:bCs/>
      <w:sz w:val="20"/>
      <w:szCs w:val="20"/>
    </w:rPr>
  </w:style>
  <w:style w:type="table" w:styleId="Ciemnalista">
    <w:name w:val="Dark List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Ciemnalistaakcent2">
    <w:name w:val="Dark List Accent 2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Ciemnalistaakcent3">
    <w:name w:val="Dark List Accent 3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Ciemnalistaakcent4">
    <w:name w:val="Dark List Accent 4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Ciemnalistaakcent5">
    <w:name w:val="Dark List Accent 5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Ciemnalistaakcent6">
    <w:name w:val="Dark List Accent 6"/>
    <w:basedOn w:val="Standardowy"/>
    <w:uiPriority w:val="99"/>
    <w:semiHidden/>
    <w:rsid w:val="00DC4033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rsid w:val="00DC4033"/>
  </w:style>
  <w:style w:type="character" w:customStyle="1" w:styleId="DataZnak">
    <w:name w:val="Data Znak"/>
    <w:basedOn w:val="Domylnaczcionkaakapitu"/>
    <w:link w:val="Data"/>
    <w:uiPriority w:val="99"/>
    <w:semiHidden/>
    <w:rsid w:val="00DC4033"/>
    <w:rPr>
      <w:rFonts w:eastAsiaTheme="minorEastAsia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DC4033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4033"/>
    <w:rPr>
      <w:rFonts w:ascii="Tahoma" w:eastAsiaTheme="minorEastAsi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rsid w:val="00DC4033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4033"/>
    <w:rPr>
      <w:rFonts w:eastAsiaTheme="minorEastAsia"/>
      <w:sz w:val="24"/>
    </w:rPr>
  </w:style>
  <w:style w:type="character" w:styleId="Odwoanieprzypisukocowego">
    <w:name w:val="endnote reference"/>
    <w:basedOn w:val="Domylnaczcionkaakapitu"/>
    <w:uiPriority w:val="99"/>
    <w:semiHidden/>
    <w:rsid w:val="00DC403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40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033"/>
    <w:rPr>
      <w:rFonts w:eastAsiaTheme="minorEastAsia"/>
      <w:sz w:val="20"/>
      <w:szCs w:val="20"/>
    </w:rPr>
  </w:style>
  <w:style w:type="paragraph" w:styleId="Adresnakopercie">
    <w:name w:val="envelope address"/>
    <w:basedOn w:val="Normalny"/>
    <w:uiPriority w:val="99"/>
    <w:semiHidden/>
    <w:rsid w:val="00DC4033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rsid w:val="00DC4033"/>
    <w:rPr>
      <w:rFonts w:asciiTheme="majorHAnsi" w:eastAsiaTheme="majorEastAsia" w:hAnsiTheme="majorHAnsi" w:cstheme="majorBid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rsid w:val="00DC4033"/>
    <w:rPr>
      <w:color w:val="7030A0" w:themeColor="followedHyperlink"/>
      <w:u w:val="single"/>
    </w:rPr>
  </w:style>
  <w:style w:type="character" w:styleId="HTML-akronim">
    <w:name w:val="HTML Acronym"/>
    <w:basedOn w:val="Domylnaczcionkaakapitu"/>
    <w:uiPriority w:val="99"/>
    <w:semiHidden/>
    <w:rsid w:val="00DC4033"/>
  </w:style>
  <w:style w:type="paragraph" w:styleId="HTML-adres">
    <w:name w:val="HTML Address"/>
    <w:basedOn w:val="Normalny"/>
    <w:link w:val="HTML-adresZnak"/>
    <w:uiPriority w:val="99"/>
    <w:semiHidden/>
    <w:rsid w:val="00DC4033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4033"/>
    <w:rPr>
      <w:rFonts w:eastAsiaTheme="minorEastAsia"/>
      <w:i/>
      <w:iCs/>
      <w:sz w:val="24"/>
    </w:rPr>
  </w:style>
  <w:style w:type="character" w:styleId="HTML-cytat">
    <w:name w:val="HTML Cite"/>
    <w:basedOn w:val="Domylnaczcionkaakapitu"/>
    <w:uiPriority w:val="99"/>
    <w:semiHidden/>
    <w:rsid w:val="00DC4033"/>
    <w:rPr>
      <w:i/>
      <w:iCs/>
    </w:rPr>
  </w:style>
  <w:style w:type="character" w:styleId="HTML-kod">
    <w:name w:val="HTML Code"/>
    <w:basedOn w:val="Domylnaczcionkaakapitu"/>
    <w:uiPriority w:val="99"/>
    <w:semiHidden/>
    <w:rsid w:val="00DC4033"/>
    <w:rPr>
      <w:rFonts w:ascii="Consolas" w:hAnsi="Consolas" w:cs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rsid w:val="00DC4033"/>
    <w:rPr>
      <w:i/>
      <w:iCs/>
    </w:rPr>
  </w:style>
  <w:style w:type="character" w:styleId="HTML-klawiatura">
    <w:name w:val="HTML Keyboard"/>
    <w:basedOn w:val="Domylnaczcionkaakapitu"/>
    <w:uiPriority w:val="99"/>
    <w:semiHidden/>
    <w:rsid w:val="00DC4033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DC403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4033"/>
    <w:rPr>
      <w:rFonts w:ascii="Consolas" w:eastAsiaTheme="minorEastAsia" w:hAnsi="Consolas" w:cs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rsid w:val="00DC4033"/>
    <w:rPr>
      <w:rFonts w:ascii="Consolas" w:hAnsi="Consolas" w:cs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rsid w:val="00DC4033"/>
    <w:rPr>
      <w:rFonts w:ascii="Consolas" w:hAnsi="Consolas" w:cs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rsid w:val="00DC4033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rsid w:val="00DC4033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DC4033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DC4033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DC4033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DC4033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DC4033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DC4033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DC4033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DC4033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DC4033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Jasnalista">
    <w:name w:val="Light List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Jasnecieniowanie">
    <w:name w:val="Light Shading"/>
    <w:basedOn w:val="Standardowy"/>
    <w:uiPriority w:val="99"/>
    <w:semiHidden/>
    <w:rsid w:val="00DC40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99"/>
    <w:semiHidden/>
    <w:rsid w:val="00DC4033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Jasnecieniowanieakcent2">
    <w:name w:val="Light Shading Accent 2"/>
    <w:basedOn w:val="Standardowy"/>
    <w:uiPriority w:val="99"/>
    <w:semiHidden/>
    <w:rsid w:val="00DC4033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Jasnecieniowanieakcent3">
    <w:name w:val="Light Shading Accent 3"/>
    <w:basedOn w:val="Standardowy"/>
    <w:uiPriority w:val="99"/>
    <w:semiHidden/>
    <w:rsid w:val="00DC4033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ecieniowanieakcent4">
    <w:name w:val="Light Shading Accent 4"/>
    <w:basedOn w:val="Standardowy"/>
    <w:uiPriority w:val="99"/>
    <w:semiHidden/>
    <w:rsid w:val="00DC4033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Jasnecieniowanieakcent5">
    <w:name w:val="Light Shading Accent 5"/>
    <w:basedOn w:val="Standardowy"/>
    <w:uiPriority w:val="99"/>
    <w:semiHidden/>
    <w:rsid w:val="00DC4033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Jasnecieniowanieakcent6">
    <w:name w:val="Light Shading Accent 6"/>
    <w:basedOn w:val="Standardowy"/>
    <w:uiPriority w:val="99"/>
    <w:semiHidden/>
    <w:rsid w:val="00DC4033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rsid w:val="00DC4033"/>
  </w:style>
  <w:style w:type="paragraph" w:styleId="Lista">
    <w:name w:val="List"/>
    <w:basedOn w:val="Normalny"/>
    <w:uiPriority w:val="99"/>
    <w:semiHidden/>
    <w:rsid w:val="00DC4033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DC4033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rsid w:val="00DC4033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DC4033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rsid w:val="00DC4033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rsid w:val="00DC4033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rsid w:val="00DC4033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rsid w:val="00DC4033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rsid w:val="00DC4033"/>
    <w:pPr>
      <w:numPr>
        <w:numId w:val="15"/>
      </w:numPr>
      <w:contextualSpacing/>
    </w:pPr>
  </w:style>
  <w:style w:type="paragraph" w:styleId="Lista-kontynuacja">
    <w:name w:val="List Continue"/>
    <w:basedOn w:val="Normalny"/>
    <w:uiPriority w:val="99"/>
    <w:semiHidden/>
    <w:rsid w:val="00DC4033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rsid w:val="00DC403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rsid w:val="00DC403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rsid w:val="00DC4033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rsid w:val="00DC4033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rsid w:val="00DC4033"/>
    <w:pPr>
      <w:numPr>
        <w:numId w:val="16"/>
      </w:numPr>
      <w:contextualSpacing/>
    </w:pPr>
  </w:style>
  <w:style w:type="paragraph" w:styleId="Listanumerowana2">
    <w:name w:val="List Number 2"/>
    <w:basedOn w:val="Normalny"/>
    <w:uiPriority w:val="99"/>
    <w:semiHidden/>
    <w:rsid w:val="00DC4033"/>
    <w:pPr>
      <w:numPr>
        <w:numId w:val="17"/>
      </w:numPr>
      <w:contextualSpacing/>
    </w:pPr>
  </w:style>
  <w:style w:type="paragraph" w:styleId="Listanumerowana3">
    <w:name w:val="List Number 3"/>
    <w:basedOn w:val="Normalny"/>
    <w:uiPriority w:val="99"/>
    <w:semiHidden/>
    <w:rsid w:val="00DC4033"/>
    <w:pPr>
      <w:numPr>
        <w:numId w:val="18"/>
      </w:numPr>
      <w:contextualSpacing/>
    </w:pPr>
  </w:style>
  <w:style w:type="paragraph" w:styleId="Listanumerowana4">
    <w:name w:val="List Number 4"/>
    <w:basedOn w:val="Normalny"/>
    <w:uiPriority w:val="99"/>
    <w:semiHidden/>
    <w:rsid w:val="00DC4033"/>
    <w:pPr>
      <w:numPr>
        <w:numId w:val="19"/>
      </w:numPr>
      <w:contextualSpacing/>
    </w:pPr>
  </w:style>
  <w:style w:type="paragraph" w:styleId="Listanumerowana5">
    <w:name w:val="List Number 5"/>
    <w:basedOn w:val="Normalny"/>
    <w:uiPriority w:val="99"/>
    <w:semiHidden/>
    <w:rsid w:val="00DC4033"/>
    <w:pPr>
      <w:numPr>
        <w:numId w:val="20"/>
      </w:numPr>
      <w:contextualSpacing/>
    </w:pPr>
  </w:style>
  <w:style w:type="paragraph" w:styleId="Tekstmakra">
    <w:name w:val="macro"/>
    <w:link w:val="TekstmakraZnak"/>
    <w:uiPriority w:val="99"/>
    <w:semiHidden/>
    <w:rsid w:val="00DC4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4033"/>
    <w:rPr>
      <w:rFonts w:ascii="Consolas" w:eastAsiaTheme="minorEastAsia" w:hAnsi="Consolas" w:cs="Consolas"/>
      <w:sz w:val="20"/>
      <w:szCs w:val="20"/>
    </w:rPr>
  </w:style>
  <w:style w:type="table" w:styleId="redniasiatka1">
    <w:name w:val="Medium Grid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redniasiatka1akcent2">
    <w:name w:val="Medium Grid 1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redniasiatka1akcent3">
    <w:name w:val="Medium Grid 1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redniasiatka1akcent4">
    <w:name w:val="Medium Grid 1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redniasiatka1akcent5">
    <w:name w:val="Medium Grid 1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redniasiatka1akcent6">
    <w:name w:val="Medium Grid 1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redniasiatka2">
    <w:name w:val="Medium Grid 2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1">
    <w:name w:val="Medium Grid 2 Accent 1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2">
    <w:name w:val="Medium Grid 2 Accent 2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3">
    <w:name w:val="Medium Grid 2 Accent 3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4">
    <w:name w:val="Medium Grid 2 Accent 4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5">
    <w:name w:val="Medium Grid 2 Accent 5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6">
    <w:name w:val="Medium Grid 2 Accent 6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3">
    <w:name w:val="Medium Grid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redniasiatka3akcent2">
    <w:name w:val="Medium Grid 3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redniasiatka3akcent3">
    <w:name w:val="Medium Grid 3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redniasiatka3akcent4">
    <w:name w:val="Medium Grid 3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redniasiatka3akcent5">
    <w:name w:val="Medium Grid 3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redniasiatka3akcent6">
    <w:name w:val="Medium Grid 3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rednialista1">
    <w:name w:val="Medium Lis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rednialista1akcent2">
    <w:name w:val="Medium List 1 Accent 2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rednialista1akcent3">
    <w:name w:val="Medium List 1 Accent 3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rednialista1akcent4">
    <w:name w:val="Medium List 1 Accent 4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rednialista1akcent5">
    <w:name w:val="Medium List 1 Accent 5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rednialista1akcent6">
    <w:name w:val="Medium List 1 Accent 6"/>
    <w:basedOn w:val="Standardowy"/>
    <w:uiPriority w:val="99"/>
    <w:semiHidden/>
    <w:rsid w:val="00DC4033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rednialista2">
    <w:name w:val="Medium List 2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DC40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DC40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rsid w:val="00DC4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40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rsid w:val="00DC4033"/>
    <w:rPr>
      <w:rFonts w:ascii="Times New Roman" w:hAnsi="Times New Roman" w:cs="Times New Roman"/>
      <w:szCs w:val="24"/>
    </w:rPr>
  </w:style>
  <w:style w:type="paragraph" w:styleId="Wcicienormalne">
    <w:name w:val="Normal Indent"/>
    <w:basedOn w:val="Normalny"/>
    <w:uiPriority w:val="99"/>
    <w:semiHidden/>
    <w:rsid w:val="00DC403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DC4033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4033"/>
    <w:rPr>
      <w:rFonts w:eastAsiaTheme="minorEastAsia"/>
      <w:sz w:val="24"/>
    </w:rPr>
  </w:style>
  <w:style w:type="character" w:styleId="Tekstzastpczy">
    <w:name w:val="Placeholder Text"/>
    <w:basedOn w:val="Domylnaczcionkaakapitu"/>
    <w:uiPriority w:val="99"/>
    <w:semiHidden/>
    <w:rsid w:val="00DC4033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rsid w:val="00DC4033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4033"/>
    <w:rPr>
      <w:rFonts w:ascii="Consolas" w:eastAsiaTheme="minorEastAsia" w:hAnsi="Consolas" w:cs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DC403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4033"/>
    <w:rPr>
      <w:rFonts w:eastAsiaTheme="minorEastAsia"/>
      <w:sz w:val="24"/>
    </w:rPr>
  </w:style>
  <w:style w:type="paragraph" w:styleId="Podpis">
    <w:name w:val="Signature"/>
    <w:basedOn w:val="Normalny"/>
    <w:link w:val="PodpisZnak"/>
    <w:uiPriority w:val="99"/>
    <w:semiHidden/>
    <w:rsid w:val="00DC4033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4033"/>
    <w:rPr>
      <w:rFonts w:eastAsiaTheme="minorEastAsia"/>
      <w:sz w:val="24"/>
    </w:rPr>
  </w:style>
  <w:style w:type="table" w:styleId="Tabela-Efekty3W1">
    <w:name w:val="Table 3D effects 1"/>
    <w:basedOn w:val="Standardowy"/>
    <w:uiPriority w:val="99"/>
    <w:semiHidden/>
    <w:unhideWhenUsed/>
    <w:rsid w:val="00DC403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403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403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403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403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403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403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403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403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403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403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403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403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403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403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403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403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403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rsid w:val="00DC4033"/>
    <w:pPr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rsid w:val="00DC4033"/>
  </w:style>
  <w:style w:type="table" w:styleId="Tabela-Profesjonalny">
    <w:name w:val="Table Professional"/>
    <w:basedOn w:val="Standardowy"/>
    <w:uiPriority w:val="99"/>
    <w:semiHidden/>
    <w:unhideWhenUsed/>
    <w:rsid w:val="00DC403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403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403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403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C403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40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403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403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C403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6">
    <w:name w:val="toc 6"/>
    <w:basedOn w:val="Normalny"/>
    <w:next w:val="Normalny"/>
    <w:autoRedefine/>
    <w:uiPriority w:val="99"/>
    <w:semiHidden/>
    <w:rsid w:val="00DC4033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DC4033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DC4033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DC4033"/>
    <w:pPr>
      <w:spacing w:after="100"/>
      <w:ind w:left="1920"/>
    </w:pPr>
  </w:style>
  <w:style w:type="paragraph" w:styleId="Poprawka">
    <w:name w:val="Revision"/>
    <w:hidden/>
    <w:uiPriority w:val="99"/>
    <w:semiHidden/>
    <w:rsid w:val="00E05B22"/>
    <w:rPr>
      <w:rFonts w:eastAsiaTheme="minorEastAsia"/>
      <w:sz w:val="24"/>
    </w:rPr>
  </w:style>
  <w:style w:type="character" w:customStyle="1" w:styleId="JuNames0">
    <w:name w:val="Ju_Names"/>
    <w:rsid w:val="00E05B22"/>
    <w:rPr>
      <w:smallCaps/>
    </w:rPr>
  </w:style>
  <w:style w:type="character" w:customStyle="1" w:styleId="JuParaCar">
    <w:name w:val="Ju_Para Car"/>
    <w:link w:val="ECHRPara"/>
    <w:uiPriority w:val="12"/>
    <w:rsid w:val="00E05B22"/>
    <w:rPr>
      <w:rFonts w:eastAsiaTheme="minorEastAsia"/>
      <w:sz w:val="24"/>
    </w:rPr>
  </w:style>
  <w:style w:type="character" w:customStyle="1" w:styleId="ECHRParaChar">
    <w:name w:val="ECHR_Para Char"/>
    <w:aliases w:val="Ju_Para Char"/>
    <w:uiPriority w:val="12"/>
    <w:rsid w:val="00E05B22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5195-2299-4C56-B220-74387CA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22074</Words>
  <Characters>132450</Characters>
  <Application>Microsoft Office Word</Application>
  <DocSecurity>0</DocSecurity>
  <Lines>1103</Lines>
  <Paragraphs>308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2017-07-18T12:48:00Z</dcterms:created>
  <dcterms:modified xsi:type="dcterms:W3CDTF">2017-07-19T14:33:00Z</dcterms:modified>
  <cp:category/>
</cp:coreProperties>
</file>