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A6AFF" w14:textId="10A519AD" w:rsidR="00736825" w:rsidRPr="00736825" w:rsidRDefault="00736825" w:rsidP="00736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pl-PL"/>
        </w:rPr>
      </w:pPr>
      <w:r w:rsidRPr="00736825">
        <w:rPr>
          <w:rFonts w:ascii="Times New Roman" w:eastAsia="Times New Roman" w:hAnsi="Times New Roman" w:cs="Times New Roman"/>
          <w:szCs w:val="28"/>
          <w:lang w:eastAsia="pl-PL"/>
        </w:rPr>
        <w:t>Załącznik B.105.</w:t>
      </w:r>
    </w:p>
    <w:p w14:paraId="3677AA27" w14:textId="77777777" w:rsidR="00736825" w:rsidRPr="00736825" w:rsidRDefault="00736825" w:rsidP="00736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pl-PL"/>
        </w:rPr>
      </w:pPr>
    </w:p>
    <w:p w14:paraId="27C77B34" w14:textId="77777777" w:rsidR="00736825" w:rsidRPr="00736825" w:rsidRDefault="00736825" w:rsidP="00736825">
      <w:pPr>
        <w:autoSpaceDE w:val="0"/>
        <w:autoSpaceDN w:val="0"/>
        <w:adjustRightInd w:val="0"/>
        <w:spacing w:after="240" w:line="240" w:lineRule="auto"/>
        <w:rPr>
          <w:rFonts w:ascii="Courier New" w:eastAsia="Times New Roman" w:hAnsi="Courier New" w:cs="Times New Roman"/>
          <w:sz w:val="28"/>
          <w:szCs w:val="28"/>
          <w:lang w:eastAsia="pl-PL"/>
        </w:rPr>
      </w:pPr>
      <w:r w:rsidRPr="007368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LECZENIE ZAPALENIA BŁONY NACZYNIOWEJ OKA (ZBN) – CZĘŚĆ POŚREDNIA, ODCINEK TYLNY LUB CAŁA BŁONA NACZYNIOWA (ICD-10 H 20.0, H 30.0)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40"/>
        <w:gridCol w:w="4112"/>
        <w:gridCol w:w="4336"/>
      </w:tblGrid>
      <w:tr w:rsidR="00AB0910" w:rsidRPr="00594413" w14:paraId="259D504C" w14:textId="77777777" w:rsidTr="00736825">
        <w:tc>
          <w:tcPr>
            <w:tcW w:w="5000" w:type="pct"/>
            <w:gridSpan w:val="3"/>
          </w:tcPr>
          <w:p w14:paraId="4C459CCD" w14:textId="77777777" w:rsidR="00AB0910" w:rsidRPr="00594413" w:rsidRDefault="00AB0910" w:rsidP="0014554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b/>
                <w:sz w:val="20"/>
                <w:szCs w:val="20"/>
              </w:rPr>
              <w:t>ZAKRES ŚWIADCZENIA GWARANTOWANEGO</w:t>
            </w:r>
          </w:p>
        </w:tc>
      </w:tr>
      <w:tr w:rsidR="00AB0910" w:rsidRPr="00594413" w14:paraId="1DD34321" w14:textId="77777777" w:rsidTr="00736825">
        <w:tc>
          <w:tcPr>
            <w:tcW w:w="2255" w:type="pct"/>
            <w:vAlign w:val="center"/>
          </w:tcPr>
          <w:p w14:paraId="1F1E35B3" w14:textId="77777777" w:rsidR="00AB0910" w:rsidRPr="00594413" w:rsidRDefault="00AB0910" w:rsidP="0073682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b/>
                <w:sz w:val="20"/>
                <w:szCs w:val="20"/>
              </w:rPr>
              <w:t>ŚWIADCZENIOBIORCY</w:t>
            </w:r>
          </w:p>
        </w:tc>
        <w:tc>
          <w:tcPr>
            <w:tcW w:w="1336" w:type="pct"/>
            <w:vAlign w:val="center"/>
          </w:tcPr>
          <w:p w14:paraId="64FECF72" w14:textId="77777777" w:rsidR="00AB0910" w:rsidRPr="00594413" w:rsidRDefault="00AB0910" w:rsidP="0073682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b/>
                <w:sz w:val="20"/>
                <w:szCs w:val="20"/>
              </w:rPr>
              <w:t>SCHEMAT DAWKOWANIA LEKÓW</w:t>
            </w:r>
          </w:p>
          <w:p w14:paraId="1E6923D4" w14:textId="77777777" w:rsidR="00AB0910" w:rsidRPr="00594413" w:rsidRDefault="00AB0910" w:rsidP="0073682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b/>
                <w:sz w:val="20"/>
                <w:szCs w:val="20"/>
              </w:rPr>
              <w:t>W PROGRAMIE</w:t>
            </w:r>
          </w:p>
        </w:tc>
        <w:tc>
          <w:tcPr>
            <w:tcW w:w="1409" w:type="pct"/>
            <w:vAlign w:val="center"/>
          </w:tcPr>
          <w:p w14:paraId="33F01E9D" w14:textId="25C316C7" w:rsidR="00AB0910" w:rsidRPr="00594413" w:rsidRDefault="00AB0910" w:rsidP="0073682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b/>
                <w:sz w:val="20"/>
                <w:szCs w:val="20"/>
              </w:rPr>
              <w:t>BADANIA DIAGNOSTYCZNE WYKONYWANE W</w:t>
            </w:r>
            <w:r w:rsidR="00736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4413">
              <w:rPr>
                <w:rFonts w:ascii="Times New Roman" w:hAnsi="Times New Roman" w:cs="Times New Roman"/>
                <w:b/>
                <w:sz w:val="20"/>
                <w:szCs w:val="20"/>
              </w:rPr>
              <w:t>RAMACH PROGRAMU</w:t>
            </w:r>
          </w:p>
        </w:tc>
      </w:tr>
      <w:tr w:rsidR="00AB0910" w:rsidRPr="00594413" w14:paraId="1D3E3FBD" w14:textId="77777777" w:rsidTr="00736825">
        <w:tc>
          <w:tcPr>
            <w:tcW w:w="2255" w:type="pct"/>
          </w:tcPr>
          <w:p w14:paraId="4CC31783" w14:textId="77777777" w:rsidR="00AB0910" w:rsidRPr="00766B60" w:rsidRDefault="00AB0910" w:rsidP="007B698D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60">
              <w:rPr>
                <w:rFonts w:ascii="Times New Roman" w:hAnsi="Times New Roman" w:cs="Times New Roman"/>
                <w:b/>
                <w:sz w:val="20"/>
                <w:szCs w:val="20"/>
              </w:rPr>
              <w:t>Kryteria kwalifikacji:</w:t>
            </w:r>
          </w:p>
          <w:p w14:paraId="54182ABC" w14:textId="77777777" w:rsidR="00D30EDD" w:rsidRDefault="005373A6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Pacjent jest kwalifikowany do programu przez Zespół Koordynacyjny, powoływany przez Prezesa Narodowego Funduszu Zdrowia.</w:t>
            </w:r>
          </w:p>
          <w:p w14:paraId="7369E436" w14:textId="3497355F" w:rsidR="005373A6" w:rsidRPr="007B0C96" w:rsidRDefault="007B0C96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C96">
              <w:rPr>
                <w:rFonts w:ascii="Times New Roman" w:hAnsi="Times New Roman" w:cs="Times New Roman"/>
                <w:sz w:val="20"/>
                <w:szCs w:val="20"/>
              </w:rPr>
              <w:t xml:space="preserve">Do oceny </w:t>
            </w:r>
            <w:r w:rsidRPr="001B5F3C">
              <w:rPr>
                <w:rFonts w:ascii="Times New Roman" w:hAnsi="Times New Roman" w:cs="Times New Roman"/>
                <w:sz w:val="20"/>
                <w:szCs w:val="20"/>
              </w:rPr>
              <w:t>stanu klinicznego</w:t>
            </w:r>
            <w:r w:rsidRPr="004A7499">
              <w:rPr>
                <w:rFonts w:ascii="Times New Roman" w:hAnsi="Times New Roman" w:cs="Times New Roman"/>
                <w:sz w:val="20"/>
                <w:szCs w:val="20"/>
              </w:rPr>
              <w:t xml:space="preserve"> pacjentów stosowane są kryteria SUN opisane w </w:t>
            </w:r>
            <w:r w:rsidRPr="004A7499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>standaryzacji nomenklatury zapaleń błony naczyniowej (Standarization of Uveitis Nomenclature)</w:t>
            </w:r>
            <w:r w:rsidR="00D30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64F3D6" w14:textId="77777777" w:rsidR="007B0C96" w:rsidRDefault="007B0C96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B3B45" w14:textId="588B3F62" w:rsidR="00AB0910" w:rsidRPr="00594413" w:rsidRDefault="00AB0910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Do leczenia </w:t>
            </w:r>
            <w:r w:rsidR="00317B1A">
              <w:rPr>
                <w:rFonts w:ascii="Times New Roman" w:hAnsi="Times New Roman" w:cs="Times New Roman"/>
                <w:sz w:val="20"/>
                <w:szCs w:val="20"/>
              </w:rPr>
              <w:t>adalimumabem</w:t>
            </w:r>
            <w:r w:rsidR="00317B1A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w ramach programu</w:t>
            </w:r>
            <w:r w:rsidR="005373A6">
              <w:rPr>
                <w:rFonts w:ascii="Times New Roman" w:hAnsi="Times New Roman" w:cs="Times New Roman"/>
                <w:sz w:val="20"/>
                <w:szCs w:val="20"/>
              </w:rPr>
              <w:t xml:space="preserve"> lekowego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kwalifikują się świadczeniobiorcy s</w:t>
            </w:r>
            <w:r w:rsidR="00B51D9D" w:rsidRPr="00594413">
              <w:rPr>
                <w:rFonts w:ascii="Times New Roman" w:hAnsi="Times New Roman" w:cs="Times New Roman"/>
                <w:sz w:val="20"/>
                <w:szCs w:val="20"/>
              </w:rPr>
              <w:t>pełniający następujące kryteria (</w:t>
            </w:r>
            <w:r w:rsidR="00B51D9D" w:rsidRPr="00594413">
              <w:rPr>
                <w:rFonts w:ascii="Times New Roman" w:hAnsi="Times New Roman" w:cs="Times New Roman"/>
                <w:i/>
                <w:sz w:val="20"/>
                <w:szCs w:val="20"/>
              </w:rPr>
              <w:t>konieczne jest łączne spełnienie</w:t>
            </w:r>
            <w:r w:rsidR="0015719A" w:rsidRPr="005944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kryteriów </w:t>
            </w:r>
            <w:r w:rsidR="004A6B8F" w:rsidRPr="005944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przedstawionych </w:t>
            </w:r>
            <w:r w:rsidR="0015719A" w:rsidRPr="00594413">
              <w:rPr>
                <w:rFonts w:ascii="Times New Roman" w:hAnsi="Times New Roman" w:cs="Times New Roman"/>
                <w:i/>
                <w:sz w:val="20"/>
                <w:szCs w:val="20"/>
              </w:rPr>
              <w:t>w punkcie a i b oraz jednego z kryteriów wskazanych w punkcie c, d i e</w:t>
            </w:r>
            <w:r w:rsidR="0015719A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14:paraId="0A4DC0CD" w14:textId="77777777" w:rsidR="005373A6" w:rsidRDefault="00CB0E1D" w:rsidP="007B698D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wiek </w:t>
            </w:r>
            <w:r w:rsidR="009549A9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chorego 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≥ 18 r.ż.;</w:t>
            </w:r>
          </w:p>
          <w:p w14:paraId="63EA4054" w14:textId="77777777" w:rsidR="005373A6" w:rsidRDefault="005373A6" w:rsidP="007B698D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A6">
              <w:rPr>
                <w:rFonts w:ascii="Times New Roman" w:hAnsi="Times New Roman" w:cs="Times New Roman"/>
                <w:sz w:val="20"/>
                <w:szCs w:val="20"/>
              </w:rPr>
              <w:t xml:space="preserve">chorzy z niezakaźnym przewlekłym, przetrwałym lub nawrotowym ZBN (części pośredniej, odcinka tylnego lub całej błony naczyniowej); </w:t>
            </w:r>
          </w:p>
          <w:p w14:paraId="2CB2B7C6" w14:textId="77777777" w:rsidR="005373A6" w:rsidRPr="005373A6" w:rsidRDefault="005373A6" w:rsidP="007B698D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A6">
              <w:rPr>
                <w:rFonts w:ascii="Times New Roman" w:hAnsi="Times New Roman" w:cs="Times New Roman"/>
                <w:sz w:val="20"/>
                <w:szCs w:val="20"/>
              </w:rPr>
              <w:t>niemożliwe do osiągnięcia stadium nieaktywne choroby przy dawce ≤ 10 mg prednizolonu (lub dawce równoważnej innego leku steroidowego) lub terapii lekami immunosupresyjnymi, lub kombinacji leczenia obu typami leków po kursie leczenia trwającym 15 tygodni. Choroba nieaktywna definiowana jest jako:</w:t>
            </w:r>
          </w:p>
          <w:p w14:paraId="5F40F7ED" w14:textId="6E8266B9" w:rsidR="005373A6" w:rsidRPr="005373A6" w:rsidRDefault="005373A6" w:rsidP="007B698D">
            <w:pPr>
              <w:pStyle w:val="Akapitzlist"/>
              <w:numPr>
                <w:ilvl w:val="0"/>
                <w:numId w:val="17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A6">
              <w:rPr>
                <w:rFonts w:ascii="Times New Roman" w:hAnsi="Times New Roman" w:cs="Times New Roman"/>
                <w:sz w:val="20"/>
                <w:szCs w:val="20"/>
              </w:rPr>
              <w:t>brak aktywnej zapalnej zmiany naczyniówki i siatkówki i/lub naczyń siatkówki</w:t>
            </w:r>
            <w:r w:rsidR="00E26E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A74267F" w14:textId="1BABAF5C" w:rsidR="005373A6" w:rsidRPr="005373A6" w:rsidRDefault="005373A6" w:rsidP="007B698D">
            <w:pPr>
              <w:pStyle w:val="Akapitzlist"/>
              <w:numPr>
                <w:ilvl w:val="0"/>
                <w:numId w:val="17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A6">
              <w:rPr>
                <w:rFonts w:ascii="Times New Roman" w:hAnsi="Times New Roman" w:cs="Times New Roman"/>
                <w:sz w:val="20"/>
                <w:szCs w:val="20"/>
              </w:rPr>
              <w:t>stopień nacieków komórkowych w komorze przedniej oka ≤0,5+ według kryteriów SUN</w:t>
            </w:r>
            <w:r w:rsidR="00E26E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4F5C974" w14:textId="77777777" w:rsidR="005373A6" w:rsidRPr="005373A6" w:rsidRDefault="005373A6" w:rsidP="007B698D">
            <w:pPr>
              <w:pStyle w:val="Akapitzlist"/>
              <w:numPr>
                <w:ilvl w:val="0"/>
                <w:numId w:val="17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A6">
              <w:rPr>
                <w:rFonts w:ascii="Times New Roman" w:hAnsi="Times New Roman" w:cs="Times New Roman"/>
                <w:sz w:val="20"/>
                <w:szCs w:val="20"/>
              </w:rPr>
              <w:t>stopień przymglenia ciała szklistego oka ≤0,5+ według kryteriów SUN</w:t>
            </w:r>
            <w:r w:rsidRPr="005373A6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14:paraId="543E2F85" w14:textId="77777777" w:rsidR="005373A6" w:rsidRPr="005373A6" w:rsidRDefault="005373A6" w:rsidP="007B698D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A6">
              <w:rPr>
                <w:rFonts w:ascii="Times New Roman" w:hAnsi="Times New Roman" w:cs="Times New Roman"/>
                <w:sz w:val="20"/>
                <w:szCs w:val="20"/>
              </w:rPr>
              <w:t xml:space="preserve">konieczność zmniejszenia dawki kortykosteroidów lub odstawienia leczenia immunosupresyjnego, u chorych z chorobą nieaktywną u których udokumentowano co najmniej 1 zaostrzenie choroby występujące w czasie do 28 dni od rozpoczęcia zmniejszania dawki kortykosteroidów lub stabilizacji po odstawieniu obu typu leków trwającej krócej niż 3 miesiące; </w:t>
            </w:r>
          </w:p>
          <w:p w14:paraId="70B1ECFC" w14:textId="77777777" w:rsidR="005373A6" w:rsidRPr="005373A6" w:rsidRDefault="005373A6" w:rsidP="007B698D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A6">
              <w:rPr>
                <w:rFonts w:ascii="Times New Roman" w:hAnsi="Times New Roman" w:cs="Times New Roman"/>
                <w:sz w:val="20"/>
                <w:szCs w:val="20"/>
              </w:rPr>
              <w:t>występowanie przeciwwskazań lub objawów nietolerancji terapii z zastosowaniem kortykosteroidów lub leków immunosupresyjnych.</w:t>
            </w:r>
          </w:p>
          <w:p w14:paraId="74DD806C" w14:textId="710B88B0" w:rsidR="005373A6" w:rsidRPr="006B1DA7" w:rsidRDefault="006B1DA7" w:rsidP="006B1DA7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programu włączani są również chorzy, którzy byli uprzednio leczeni w ramach hospitalizacji według jednorodnych grup pacjentów (JGP) </w:t>
            </w:r>
            <w:r w:rsidR="00317B1A">
              <w:rPr>
                <w:rFonts w:ascii="Times New Roman" w:hAnsi="Times New Roman" w:cs="Times New Roman"/>
                <w:sz w:val="20"/>
                <w:szCs w:val="20"/>
              </w:rPr>
              <w:t>adalimumabem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pod warunkiem, że spełniali kryteria włączenia do programu. </w:t>
            </w:r>
          </w:p>
          <w:p w14:paraId="70949941" w14:textId="00A69E20" w:rsidR="005373A6" w:rsidRPr="00594413" w:rsidRDefault="005373A6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Kobiety w wieku rozrodczym muszą wyrazić zgodę na świadomą kontrolę urodzeń w trakcie leczenia  </w:t>
            </w:r>
            <w:r w:rsidR="00317B1A">
              <w:rPr>
                <w:rFonts w:ascii="Times New Roman" w:hAnsi="Times New Roman" w:cs="Times New Roman"/>
                <w:sz w:val="20"/>
                <w:szCs w:val="20"/>
              </w:rPr>
              <w:t>adalimumabem</w:t>
            </w:r>
            <w:r w:rsidR="00317B1A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oraz w okresie do 5 miesięcy po zastosowaniu ostatniej dawki </w:t>
            </w:r>
            <w:r w:rsidR="00317B1A">
              <w:rPr>
                <w:rFonts w:ascii="Times New Roman" w:hAnsi="Times New Roman" w:cs="Times New Roman"/>
                <w:sz w:val="20"/>
                <w:szCs w:val="20"/>
              </w:rPr>
              <w:t>adalimumabu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C853B8" w14:textId="77777777" w:rsidR="00061BF6" w:rsidRPr="00594413" w:rsidRDefault="00061BF6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06C20" w14:textId="77777777" w:rsidR="00AB0910" w:rsidRPr="00766B60" w:rsidRDefault="00AB0910" w:rsidP="007B698D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B60">
              <w:rPr>
                <w:rFonts w:ascii="Times New Roman" w:hAnsi="Times New Roman" w:cs="Times New Roman"/>
                <w:b/>
                <w:sz w:val="20"/>
                <w:szCs w:val="20"/>
              </w:rPr>
              <w:t>Określenie czasu leczenia w programie:</w:t>
            </w:r>
          </w:p>
          <w:p w14:paraId="2980B688" w14:textId="77777777" w:rsidR="005373A6" w:rsidRDefault="00527C31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Leczenie trwa do czasu podjęcia przez lekarza prowadzącego decyzji o wyłączeniu pacjenta z programu z</w:t>
            </w:r>
            <w:r w:rsidR="005373A6">
              <w:rPr>
                <w:rFonts w:ascii="Times New Roman" w:hAnsi="Times New Roman" w:cs="Times New Roman"/>
                <w:sz w:val="20"/>
                <w:szCs w:val="20"/>
              </w:rPr>
              <w:t xml:space="preserve">godnie z kryteriami wyłączenia. </w:t>
            </w:r>
          </w:p>
          <w:p w14:paraId="4DEB703C" w14:textId="77777777" w:rsidR="00E26E93" w:rsidRDefault="005373A6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A6">
              <w:rPr>
                <w:rFonts w:ascii="Times New Roman" w:hAnsi="Times New Roman" w:cs="Times New Roman"/>
                <w:sz w:val="20"/>
                <w:szCs w:val="20"/>
              </w:rPr>
              <w:t>W przypadku braku powikłań leczenie prowadzone powinno być 24 miesiące.</w:t>
            </w:r>
          </w:p>
          <w:p w14:paraId="28F70D14" w14:textId="6018D192" w:rsidR="00E26E93" w:rsidRDefault="005373A6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A6">
              <w:rPr>
                <w:rFonts w:ascii="Times New Roman" w:hAnsi="Times New Roman" w:cs="Times New Roman"/>
                <w:sz w:val="20"/>
                <w:szCs w:val="20"/>
              </w:rPr>
              <w:t xml:space="preserve">Za remisję należy uznać brak aktywności według kryteriów SUN trwający więcej niż 3 miesiące po odstawieniu leczenia. </w:t>
            </w:r>
          </w:p>
          <w:p w14:paraId="49E74E01" w14:textId="28BD8F8F" w:rsidR="009C20A9" w:rsidRPr="00594413" w:rsidRDefault="005373A6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3A6">
              <w:rPr>
                <w:rFonts w:ascii="Times New Roman" w:hAnsi="Times New Roman" w:cs="Times New Roman"/>
                <w:sz w:val="20"/>
                <w:szCs w:val="20"/>
              </w:rPr>
              <w:t xml:space="preserve">W przypadku nawrotów pacjent może być włączony do programu zgodnie z kryteriami włączenia.  </w:t>
            </w:r>
          </w:p>
          <w:p w14:paraId="49A86AF5" w14:textId="77777777" w:rsidR="009C20A9" w:rsidRPr="00594413" w:rsidRDefault="009C20A9" w:rsidP="007B698D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1C16BD" w14:textId="77777777" w:rsidR="00AB0910" w:rsidRPr="00766B60" w:rsidRDefault="00EE0523" w:rsidP="007B698D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766B60">
              <w:rPr>
                <w:rFonts w:ascii="Times New Roman" w:hAnsi="Times New Roman" w:cs="Times New Roman"/>
                <w:b/>
                <w:sz w:val="20"/>
                <w:szCs w:val="20"/>
              </w:rPr>
              <w:t>Kryteria wyłączenia</w:t>
            </w:r>
            <w:r w:rsidR="00AB0910" w:rsidRPr="00766B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9A1336B" w14:textId="77777777" w:rsidR="00766B60" w:rsidRPr="00594413" w:rsidRDefault="00766B60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W przypadku wystąpienia co najmniej jednego z poniższych kryteriów pacjent zostaje wyłączony z programu:</w:t>
            </w:r>
          </w:p>
          <w:p w14:paraId="583E52C8" w14:textId="130CE1F5" w:rsidR="00766B60" w:rsidRPr="00766B60" w:rsidRDefault="00766B60" w:rsidP="007B698D">
            <w:pPr>
              <w:pStyle w:val="Akapitzlist"/>
              <w:numPr>
                <w:ilvl w:val="0"/>
                <w:numId w:val="25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766B60">
              <w:rPr>
                <w:rFonts w:ascii="Times New Roman" w:hAnsi="Times New Roman" w:cs="Times New Roman"/>
                <w:sz w:val="20"/>
                <w:szCs w:val="20"/>
              </w:rPr>
              <w:t xml:space="preserve">niepowodzenie leczenia - wystąpienie w co najmniej 1 oku co najmniej 1 z poniższych zmian w czasie co najmniej 6 tygodni (chorzy z aktywną postacią ZBN) od rozpoczęcia terapii </w:t>
            </w:r>
            <w:r w:rsidR="00317B1A">
              <w:rPr>
                <w:rFonts w:ascii="Times New Roman" w:hAnsi="Times New Roman" w:cs="Times New Roman"/>
                <w:sz w:val="20"/>
                <w:szCs w:val="20"/>
              </w:rPr>
              <w:t>adalimumabem</w:t>
            </w:r>
            <w:r w:rsidRPr="00766B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9FAA45C" w14:textId="5522950A" w:rsidR="00766B60" w:rsidRPr="00766B60" w:rsidRDefault="00766B60" w:rsidP="007B698D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B60">
              <w:rPr>
                <w:rFonts w:ascii="Times New Roman" w:hAnsi="Times New Roman" w:cs="Times New Roman"/>
                <w:sz w:val="20"/>
                <w:szCs w:val="20"/>
              </w:rPr>
              <w:t>powstanie nowych aktywnych zmian zapalnych naczyniówki lub siatkówki, lub naczyń siatkówki</w:t>
            </w:r>
            <w:r w:rsidR="00E26E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6E93" w:rsidRPr="0076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80583B" w14:textId="2ABC80EB" w:rsidR="00766B60" w:rsidRPr="00766B60" w:rsidRDefault="00766B60" w:rsidP="007B698D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B60">
              <w:rPr>
                <w:rFonts w:ascii="Times New Roman" w:hAnsi="Times New Roman" w:cs="Times New Roman"/>
                <w:sz w:val="20"/>
                <w:szCs w:val="20"/>
              </w:rPr>
              <w:t>pogorszenie najlepszej skorygowanej ostrości wzroku do dali względem wartości początkowej o ≥ 15 liter (≥3 linie wg Snellena</w:t>
            </w:r>
            <w:r w:rsidR="00E26E93" w:rsidRPr="00766B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26E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6E93" w:rsidRPr="0076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C59E1D" w14:textId="1CAA7A82" w:rsidR="00766B60" w:rsidRPr="00766B60" w:rsidRDefault="00766B60" w:rsidP="007B698D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B60">
              <w:rPr>
                <w:rFonts w:ascii="Times New Roman" w:hAnsi="Times New Roman" w:cs="Times New Roman"/>
                <w:sz w:val="20"/>
                <w:szCs w:val="20"/>
              </w:rPr>
              <w:t xml:space="preserve">stopień nacieków komórkowych w komorze przedniej oka oraz przymglenie ciała szklistego oka wynoszące </w:t>
            </w:r>
            <w:r w:rsidR="00B0797F">
              <w:rPr>
                <w:rFonts w:ascii="Times New Roman" w:hAnsi="Times New Roman" w:cs="Times New Roman"/>
                <w:sz w:val="20"/>
                <w:szCs w:val="20"/>
              </w:rPr>
              <w:t xml:space="preserve">≥0,5 dla pacjentów, którzy osiągnęli stopień 0 </w:t>
            </w:r>
            <w:r w:rsidRPr="00766B60">
              <w:rPr>
                <w:rFonts w:ascii="Times New Roman" w:hAnsi="Times New Roman" w:cs="Times New Roman"/>
                <w:sz w:val="20"/>
                <w:szCs w:val="20"/>
              </w:rPr>
              <w:t>według kryteriów SUN</w:t>
            </w:r>
            <w:r w:rsidR="00E26E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6E93" w:rsidRPr="0076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4F675E" w14:textId="77777777" w:rsidR="00766B60" w:rsidRPr="0013782C" w:rsidRDefault="00766B60" w:rsidP="007B698D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B60">
              <w:rPr>
                <w:rFonts w:ascii="Times New Roman" w:hAnsi="Times New Roman" w:cs="Times New Roman"/>
                <w:sz w:val="20"/>
                <w:szCs w:val="20"/>
              </w:rPr>
              <w:t>zwiększenie stopnia nacieków komórkowych w komorze przedniej oka lub przymglenie ciała szklistego o ≥ 2 stopnie lub zwiększenie z +3 na +4 według kryteriów SUN;</w:t>
            </w:r>
          </w:p>
          <w:p w14:paraId="6A3D8120" w14:textId="77777777" w:rsidR="00766B60" w:rsidRPr="00766B60" w:rsidRDefault="00766B60" w:rsidP="007B698D">
            <w:pPr>
              <w:pStyle w:val="Akapitzlist"/>
              <w:numPr>
                <w:ilvl w:val="0"/>
                <w:numId w:val="25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766B60">
              <w:rPr>
                <w:rFonts w:ascii="Times New Roman" w:hAnsi="Times New Roman" w:cs="Times New Roman"/>
                <w:sz w:val="20"/>
                <w:szCs w:val="20"/>
              </w:rPr>
              <w:t xml:space="preserve">nadwrażliwość </w:t>
            </w:r>
            <w:r w:rsidRPr="00854A0D">
              <w:rPr>
                <w:rFonts w:ascii="Times New Roman" w:hAnsi="Times New Roman" w:cs="Times New Roman"/>
                <w:sz w:val="20"/>
                <w:szCs w:val="20"/>
              </w:rPr>
              <w:t>na adalimumab;</w:t>
            </w:r>
            <w:r w:rsidRPr="0076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8F8BC1" w14:textId="77777777" w:rsidR="00766B60" w:rsidRPr="00766B60" w:rsidRDefault="00766B60" w:rsidP="007B698D">
            <w:pPr>
              <w:pStyle w:val="Akapitzlist"/>
              <w:numPr>
                <w:ilvl w:val="0"/>
                <w:numId w:val="25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766B60">
              <w:rPr>
                <w:rFonts w:ascii="Times New Roman" w:hAnsi="Times New Roman" w:cs="Times New Roman"/>
                <w:sz w:val="20"/>
                <w:szCs w:val="20"/>
              </w:rPr>
              <w:t>wystąpienie działań niepożądanych związanych z lekiem uniemożliwiających jego dalsze stosowanie;</w:t>
            </w:r>
          </w:p>
          <w:p w14:paraId="21F150DE" w14:textId="77777777" w:rsidR="00766B60" w:rsidRPr="00766B60" w:rsidRDefault="00766B60" w:rsidP="007B698D">
            <w:pPr>
              <w:pStyle w:val="Akapitzlist"/>
              <w:numPr>
                <w:ilvl w:val="0"/>
                <w:numId w:val="25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66B60">
              <w:rPr>
                <w:rFonts w:ascii="Times New Roman" w:hAnsi="Times New Roman" w:cs="Times New Roman"/>
                <w:sz w:val="20"/>
                <w:szCs w:val="20"/>
              </w:rPr>
              <w:t>brak współpracy chorego z lekarzem prowadzącym:</w:t>
            </w:r>
          </w:p>
          <w:p w14:paraId="41B821C0" w14:textId="77777777" w:rsidR="00766B60" w:rsidRPr="00766B60" w:rsidRDefault="00766B60" w:rsidP="007B698D">
            <w:pPr>
              <w:pStyle w:val="Akapitzlist"/>
              <w:numPr>
                <w:ilvl w:val="0"/>
                <w:numId w:val="26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66B60">
              <w:rPr>
                <w:rFonts w:ascii="Times New Roman" w:hAnsi="Times New Roman" w:cs="Times New Roman"/>
                <w:sz w:val="20"/>
                <w:szCs w:val="20"/>
              </w:rPr>
              <w:t>niestosowanie się do zaleceń (uchylani</w:t>
            </w:r>
            <w:r w:rsidR="003A3FE9">
              <w:rPr>
                <w:rFonts w:ascii="Times New Roman" w:hAnsi="Times New Roman" w:cs="Times New Roman"/>
                <w:sz w:val="20"/>
                <w:szCs w:val="20"/>
              </w:rPr>
              <w:t>e się od wykonywania badań labor</w:t>
            </w:r>
            <w:r w:rsidRPr="00766B60">
              <w:rPr>
                <w:rFonts w:ascii="Times New Roman" w:hAnsi="Times New Roman" w:cs="Times New Roman"/>
                <w:sz w:val="20"/>
                <w:szCs w:val="20"/>
              </w:rPr>
              <w:t xml:space="preserve">atoryjnych), </w:t>
            </w:r>
          </w:p>
          <w:p w14:paraId="4FF39911" w14:textId="532A9D79" w:rsidR="00766B60" w:rsidRPr="00766B60" w:rsidRDefault="00766B60" w:rsidP="007B698D">
            <w:pPr>
              <w:pStyle w:val="Akapitzlist"/>
              <w:numPr>
                <w:ilvl w:val="0"/>
                <w:numId w:val="26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66B60">
              <w:rPr>
                <w:rFonts w:ascii="Times New Roman" w:hAnsi="Times New Roman" w:cs="Times New Roman"/>
                <w:sz w:val="20"/>
                <w:szCs w:val="20"/>
              </w:rPr>
              <w:t>nieregularne przyjmowanie leków (pominięcie 2 kolejnych dawek leku)</w:t>
            </w:r>
            <w:r w:rsidR="00E26E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6B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44049B" w14:textId="77777777" w:rsidR="00766B60" w:rsidRPr="00766B60" w:rsidRDefault="00766B60" w:rsidP="007B698D">
            <w:pPr>
              <w:pStyle w:val="Akapitzlist"/>
              <w:numPr>
                <w:ilvl w:val="0"/>
                <w:numId w:val="26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66B60">
              <w:rPr>
                <w:rFonts w:ascii="Times New Roman" w:hAnsi="Times New Roman" w:cs="Times New Roman"/>
                <w:sz w:val="20"/>
                <w:szCs w:val="20"/>
              </w:rPr>
              <w:t>brak współpracy w monitorowaniu leczenia (niezgłaszanie się na wizyty kontrolne).</w:t>
            </w:r>
          </w:p>
          <w:p w14:paraId="7F718991" w14:textId="77777777" w:rsidR="005373A6" w:rsidRDefault="005373A6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78905" w14:textId="77777777" w:rsidR="005373A6" w:rsidRPr="0013782C" w:rsidRDefault="005373A6" w:rsidP="007B698D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b/>
                <w:sz w:val="20"/>
                <w:szCs w:val="20"/>
              </w:rPr>
              <w:t>Przeciwwskazania do udziału w programie:</w:t>
            </w:r>
          </w:p>
          <w:p w14:paraId="39105CB5" w14:textId="77777777" w:rsidR="0013782C" w:rsidRPr="0013782C" w:rsidRDefault="0013782C" w:rsidP="007B698D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W przypadku wystąpienia co najmniej jednego z poniższych kryteriów pacjent nie może być włączony programu:</w:t>
            </w:r>
          </w:p>
          <w:p w14:paraId="43C16811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tabs>
                <w:tab w:val="left" w:pos="431"/>
              </w:tabs>
              <w:spacing w:before="60" w:after="60" w:line="276" w:lineRule="auto"/>
              <w:ind w:left="71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aktywne zakażenia (ostre lub przewlekłe) bakteryjne, wirusowe, grzybicze lub  pasożytnicze (szczególnie gruźlica, infekcja wirusem HIV lub WZW typu B);</w:t>
            </w:r>
          </w:p>
          <w:p w14:paraId="6DC2259F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tabs>
                <w:tab w:val="left" w:pos="431"/>
              </w:tabs>
              <w:spacing w:before="60" w:after="60" w:line="276" w:lineRule="auto"/>
              <w:ind w:left="714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umiarkowana lub ciężka niewydolność mięśnia sercowego (klasa III/IV według NYHA);</w:t>
            </w:r>
          </w:p>
          <w:p w14:paraId="4C2A2F9C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 xml:space="preserve">niestabilna choroba wieńcowa; </w:t>
            </w:r>
          </w:p>
          <w:p w14:paraId="09714E6A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 xml:space="preserve">przewlekła niewydolność oddechowa; </w:t>
            </w:r>
          </w:p>
          <w:p w14:paraId="5AD9EAB5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 xml:space="preserve">przewlekła niewydolność nerek; </w:t>
            </w:r>
          </w:p>
          <w:p w14:paraId="750E166A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 xml:space="preserve">przewlekła niewydolność wątroby; </w:t>
            </w:r>
          </w:p>
          <w:p w14:paraId="387ED998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 xml:space="preserve">zespół demielinizacyjny lub objawy przypominające ten zespół; </w:t>
            </w:r>
          </w:p>
          <w:p w14:paraId="756E6412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choroba alkoholowa, poalkoholowe uszkodzenie wątroby lub każda czynna postępująca choroba wątroby;</w:t>
            </w:r>
          </w:p>
          <w:p w14:paraId="27020E29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ciąża lub karmienie piersią;</w:t>
            </w:r>
          </w:p>
          <w:p w14:paraId="14E60C0B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rozpoznanie stanów przednowotworowych lub nowotworów złośliwych w okresie do 5 lat poprzedzających moment kwalifikowania do programu;</w:t>
            </w:r>
          </w:p>
          <w:p w14:paraId="5868D0F8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ZBN przedniej komory oka;</w:t>
            </w:r>
          </w:p>
          <w:p w14:paraId="4825A52B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podejrzewane lub potwierdzone zakaźne ZBN;</w:t>
            </w:r>
          </w:p>
          <w:p w14:paraId="673E2BC0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choroidopatia pełzająca;</w:t>
            </w:r>
          </w:p>
          <w:p w14:paraId="57214961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zmętnienie rogówki lub soczewek uniemożliwiające ocenę dna oka;</w:t>
            </w:r>
          </w:p>
          <w:p w14:paraId="3308E5E8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zaćma kwalifikowana do operacji i uniemożliwiająca monitorowanie wyników leczenia w programie przez okres 24 miesiące;</w:t>
            </w:r>
          </w:p>
          <w:p w14:paraId="7768BCAF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niekontrolowana jaskra (brak regulacji ciśnienia wewnątrzgałkowego i stabilizacji zmian w polu widzenia przy ≥2 liczbie leków przeciwjaskrowych) mogąca wymagać leczenia operacyjnego w ciągu 24 miesięcy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1B89C0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 xml:space="preserve">najlepsza skorygowana ostrość wzroku do dali &lt;0,4 według Snellena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&lt;20 liter EDTRS) w co najmniej jednym oku;</w:t>
            </w:r>
          </w:p>
          <w:p w14:paraId="23804E1D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proliferacyjna retinopatia cukrzycowa lub nieproliferacyjna retinopatia cukrzycowa o ciężkim przebiegu bądź istotny klinicznie obrzęk plamki żółtej z powodu retinopatii cukrzycowej;</w:t>
            </w:r>
          </w:p>
          <w:p w14:paraId="0C416D54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wysiękowa postać zwyrodnienie plamki związanego z wiekiem;</w:t>
            </w:r>
          </w:p>
          <w:p w14:paraId="450BEB3C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patologie złącza szklistkowo-siatkówkowego potencjalnie prowadzące do uszkodzenia struktury plamki żółtej niezależnie od procesu zapalnego;</w:t>
            </w:r>
          </w:p>
          <w:p w14:paraId="754C2DB7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brak przejrzystości ciała szklistego uniemożliwiający monitorowanie przebiegu leczenia;</w:t>
            </w:r>
          </w:p>
          <w:p w14:paraId="0682CC48" w14:textId="77777777" w:rsid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>obrzęk plamki żółtej jako jedyny objaw ZBN;</w:t>
            </w:r>
          </w:p>
          <w:p w14:paraId="62E390F0" w14:textId="77777777" w:rsidR="0013782C" w:rsidRPr="0013782C" w:rsidRDefault="0013782C" w:rsidP="007B698D">
            <w:pPr>
              <w:pStyle w:val="Akapitzlist"/>
              <w:numPr>
                <w:ilvl w:val="0"/>
                <w:numId w:val="27"/>
              </w:numPr>
              <w:spacing w:before="60" w:after="60" w:line="276" w:lineRule="auto"/>
              <w:ind w:left="743"/>
              <w:rPr>
                <w:rFonts w:ascii="Times New Roman" w:hAnsi="Times New Roman" w:cs="Times New Roman"/>
                <w:sz w:val="20"/>
                <w:szCs w:val="20"/>
              </w:rPr>
            </w:pPr>
            <w:r w:rsidRPr="0013782C">
              <w:rPr>
                <w:rFonts w:ascii="Times New Roman" w:hAnsi="Times New Roman" w:cs="Times New Roman"/>
                <w:sz w:val="20"/>
                <w:szCs w:val="20"/>
              </w:rPr>
              <w:t xml:space="preserve">zapalenie nadtwardówki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twardówki.</w:t>
            </w:r>
          </w:p>
        </w:tc>
        <w:tc>
          <w:tcPr>
            <w:tcW w:w="1336" w:type="pct"/>
          </w:tcPr>
          <w:p w14:paraId="4F3C3C86" w14:textId="77777777" w:rsidR="00AB0910" w:rsidRPr="00594413" w:rsidRDefault="00AB0910" w:rsidP="007B698D">
            <w:pPr>
              <w:pStyle w:val="Akapitzlist"/>
              <w:numPr>
                <w:ilvl w:val="0"/>
                <w:numId w:val="11"/>
              </w:numPr>
              <w:spacing w:before="60" w:after="60" w:line="276" w:lineRule="auto"/>
              <w:ind w:left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b/>
                <w:sz w:val="20"/>
                <w:szCs w:val="20"/>
              </w:rPr>
              <w:t>Dawkowanie:</w:t>
            </w:r>
          </w:p>
          <w:p w14:paraId="54EACBC0" w14:textId="4DB89CBE" w:rsidR="00DB6228" w:rsidRPr="00594413" w:rsidRDefault="00B15918" w:rsidP="007B698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Dawka początkowa </w:t>
            </w:r>
            <w:r w:rsidR="00317B1A">
              <w:rPr>
                <w:rFonts w:ascii="Times New Roman" w:hAnsi="Times New Roman" w:cs="Times New Roman"/>
                <w:sz w:val="20"/>
                <w:szCs w:val="20"/>
              </w:rPr>
              <w:t>adalimumabu</w:t>
            </w:r>
            <w:r w:rsidR="00317B1A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B068F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dorosłych </w:t>
            </w:r>
            <w:r w:rsidR="007B068F" w:rsidRPr="0059441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acjentów wynosi 80</w:t>
            </w:r>
            <w:bookmarkStart w:id="0" w:name="_GoBack"/>
            <w:bookmarkEnd w:id="0"/>
            <w:r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mg podskórnie, a</w:t>
            </w:r>
            <w:r w:rsidR="007B068F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następnie po upływie jednego tygodnia od podania dawki</w:t>
            </w:r>
            <w:r w:rsidR="007B068F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początkowej stosuje się dawkę 40 mg podskórnie </w:t>
            </w:r>
            <w:r w:rsidR="009B7330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podając </w:t>
            </w:r>
            <w:r w:rsidR="00317B1A">
              <w:rPr>
                <w:rFonts w:ascii="Times New Roman" w:hAnsi="Times New Roman" w:cs="Times New Roman"/>
                <w:sz w:val="20"/>
                <w:szCs w:val="20"/>
              </w:rPr>
              <w:t>adalimumab</w:t>
            </w:r>
            <w:r w:rsidR="00317B1A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co drugi</w:t>
            </w:r>
            <w:r w:rsidR="007B068F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tydzień</w:t>
            </w:r>
            <w:r w:rsidR="007B068F" w:rsidRPr="005944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97743E" w14:textId="77777777" w:rsidR="007B068F" w:rsidRPr="00594413" w:rsidRDefault="007B068F" w:rsidP="007B698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35327" w14:textId="77777777" w:rsidR="009D2283" w:rsidRPr="00594413" w:rsidRDefault="001B539D" w:rsidP="007B698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Chorzy stosujący terapię steroi</w:t>
            </w:r>
            <w:r w:rsidR="00A076BD" w:rsidRPr="00594413">
              <w:rPr>
                <w:rFonts w:ascii="Times New Roman" w:hAnsi="Times New Roman" w:cs="Times New Roman"/>
                <w:sz w:val="20"/>
                <w:szCs w:val="20"/>
              </w:rPr>
              <w:t>dową w chwili włączenia do programu powinni ją kontynuować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D2283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Dawka kortykosteroidu powinna być </w:t>
            </w:r>
            <w:r w:rsidR="00ED5C1A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jednak </w:t>
            </w:r>
            <w:r w:rsidR="009D2283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systematycznie </w:t>
            </w:r>
            <w:r w:rsidR="007B068F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zmniejszana zgodnie z zaleceniami przedstawionymi w odpowiedniej Charakterystyce Produktu Leczniczego. </w:t>
            </w:r>
            <w:r w:rsidR="009D2283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A9D6D5" w14:textId="77777777" w:rsidR="00DB6228" w:rsidRPr="00594413" w:rsidRDefault="00DB6228" w:rsidP="007B698D">
            <w:pPr>
              <w:spacing w:before="60" w:after="6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</w:tcPr>
          <w:p w14:paraId="64A39726" w14:textId="3E6200F6" w:rsidR="00AB0910" w:rsidRPr="00594413" w:rsidRDefault="00AB0910" w:rsidP="007B698D">
            <w:pPr>
              <w:pStyle w:val="Akapitzlist"/>
              <w:numPr>
                <w:ilvl w:val="0"/>
                <w:numId w:val="21"/>
              </w:numPr>
              <w:spacing w:before="60" w:after="60" w:line="276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Badania przy kwalifikacji do leczenia </w:t>
            </w:r>
            <w:r w:rsidR="00317B1A">
              <w:rPr>
                <w:rFonts w:ascii="Times New Roman" w:hAnsi="Times New Roman" w:cs="Times New Roman"/>
                <w:b/>
                <w:sz w:val="20"/>
                <w:szCs w:val="20"/>
              </w:rPr>
              <w:t>adalimumabem</w:t>
            </w:r>
            <w:r w:rsidR="001B53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2EA6A9D" w14:textId="77777777" w:rsidR="00D056A7" w:rsidRPr="00594413" w:rsidRDefault="00D056A7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W ramach kwalifikacji chorego do udziału w programie należy wykonać następujące badania:</w:t>
            </w:r>
          </w:p>
          <w:p w14:paraId="2608F2C3" w14:textId="77777777" w:rsidR="009549A9" w:rsidRPr="00594413" w:rsidRDefault="009549A9" w:rsidP="007B698D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morfologia krwi obwodowej</w:t>
            </w:r>
            <w:r w:rsidR="001B5F3C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1B5F3C" w:rsidRPr="00594413">
              <w:rPr>
                <w:rFonts w:ascii="Times New Roman" w:hAnsi="Times New Roman" w:cs="Times New Roman"/>
                <w:sz w:val="20"/>
                <w:szCs w:val="20"/>
              </w:rPr>
              <w:t>morfologia krwi obwodowej</w:t>
            </w:r>
            <w:r w:rsidR="001B5F3C">
              <w:rPr>
                <w:rFonts w:ascii="Times New Roman" w:hAnsi="Times New Roman" w:cs="Times New Roman"/>
                <w:sz w:val="20"/>
                <w:szCs w:val="20"/>
              </w:rPr>
              <w:t xml:space="preserve"> z rozmazem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055E1B4" w14:textId="77777777" w:rsidR="00D056A7" w:rsidRPr="00594413" w:rsidRDefault="00D056A7" w:rsidP="007B698D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płytki krwi (PLT);</w:t>
            </w:r>
          </w:p>
          <w:p w14:paraId="39C09F71" w14:textId="77777777" w:rsidR="00D056A7" w:rsidRPr="00594413" w:rsidRDefault="00D056A7" w:rsidP="007B698D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odczyn Biernackiego (OB); </w:t>
            </w:r>
          </w:p>
          <w:p w14:paraId="2DB17EDB" w14:textId="77777777" w:rsidR="00D056A7" w:rsidRPr="00594413" w:rsidRDefault="009549A9" w:rsidP="007B698D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aminotransferaza alaninowa</w:t>
            </w:r>
            <w:r w:rsidR="00314C62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(AlAT);</w:t>
            </w:r>
            <w:r w:rsidR="00D056A7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5C5202" w14:textId="77777777" w:rsidR="00D056A7" w:rsidRPr="00594413" w:rsidRDefault="009549A9" w:rsidP="007B698D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aminotransferaza asparaginianowa</w:t>
            </w:r>
            <w:r w:rsidR="00314C62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AspAT);</w:t>
            </w:r>
            <w:r w:rsidR="00D056A7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C2BDEA" w14:textId="77777777" w:rsidR="00D056A7" w:rsidRPr="00594413" w:rsidRDefault="009549A9" w:rsidP="007B698D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poziom kreatyniny w surowicy;</w:t>
            </w:r>
            <w:r w:rsidR="00D056A7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FC93C6" w14:textId="77777777" w:rsidR="007314E6" w:rsidRPr="00594413" w:rsidRDefault="001B539D" w:rsidP="007B698D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białko C-</w:t>
            </w:r>
            <w:r w:rsidR="009549A9" w:rsidRPr="00594413">
              <w:rPr>
                <w:rFonts w:ascii="Times New Roman" w:hAnsi="Times New Roman" w:cs="Times New Roman"/>
                <w:sz w:val="20"/>
                <w:szCs w:val="20"/>
              </w:rPr>
              <w:t>reaktywne;</w:t>
            </w:r>
            <w:r w:rsidR="007314E6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BDDDA3" w14:textId="77777777" w:rsidR="007314E6" w:rsidRPr="00594413" w:rsidRDefault="009549A9" w:rsidP="007B698D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badanie ogólne moczu</w:t>
            </w:r>
            <w:r w:rsidR="001B539D">
              <w:rPr>
                <w:rFonts w:ascii="Times New Roman" w:hAnsi="Times New Roman" w:cs="Times New Roman"/>
                <w:sz w:val="20"/>
                <w:szCs w:val="20"/>
              </w:rPr>
              <w:t xml:space="preserve"> (do decyzji lekarza)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314E6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EC6D5D" w14:textId="77777777" w:rsidR="004213E0" w:rsidRDefault="009549A9" w:rsidP="007B698D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próba tuberkulinowa lub test Quantiferon</w:t>
            </w:r>
            <w:r w:rsidR="00061BF6" w:rsidRPr="005944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2C56A3" w14:textId="0D7A1B0B" w:rsidR="004213E0" w:rsidRPr="004A7499" w:rsidRDefault="004213E0" w:rsidP="007B698D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499">
              <w:rPr>
                <w:rFonts w:ascii="Times New Roman" w:eastAsia="Arial" w:hAnsi="Times New Roman" w:cs="Times New Roman"/>
                <w:sz w:val="20"/>
                <w:szCs w:val="20"/>
              </w:rPr>
              <w:t>testu na kiłę</w:t>
            </w:r>
            <w:r w:rsidR="00597C33">
              <w:rPr>
                <w:rFonts w:ascii="Times New Roman" w:eastAsia="Arial" w:hAnsi="Times New Roman" w:cs="Times New Roman"/>
                <w:sz w:val="20"/>
                <w:szCs w:val="20"/>
              </w:rPr>
              <w:t>;</w:t>
            </w:r>
            <w:r w:rsidRPr="004A749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55047A7D" w14:textId="6192DB58" w:rsidR="007314E6" w:rsidRPr="004213E0" w:rsidRDefault="004213E0" w:rsidP="007B698D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testu na </w:t>
            </w:r>
            <w:r w:rsidRPr="004A7499">
              <w:rPr>
                <w:rFonts w:ascii="Times New Roman" w:eastAsia="Arial" w:hAnsi="Times New Roman" w:cs="Times New Roman"/>
                <w:sz w:val="20"/>
                <w:szCs w:val="20"/>
              </w:rPr>
              <w:t>boreliozę</w:t>
            </w:r>
            <w:r w:rsidR="00597C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DBEDFF" w14:textId="77777777" w:rsidR="007314E6" w:rsidRPr="00594413" w:rsidRDefault="007314E6" w:rsidP="007B698D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obecność antygenu </w:t>
            </w:r>
            <w:r w:rsidR="009549A9" w:rsidRPr="00594413">
              <w:rPr>
                <w:rFonts w:ascii="Times New Roman" w:hAnsi="Times New Roman" w:cs="Times New Roman"/>
                <w:sz w:val="20"/>
                <w:szCs w:val="20"/>
              </w:rPr>
              <w:t>HBs;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460848" w14:textId="77777777" w:rsidR="007314E6" w:rsidRPr="00594413" w:rsidRDefault="001B539D" w:rsidP="007B698D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przeciwciała anty-</w:t>
            </w:r>
            <w:r w:rsidR="009549A9" w:rsidRPr="00594413">
              <w:rPr>
                <w:rFonts w:ascii="Times New Roman" w:hAnsi="Times New Roman" w:cs="Times New Roman"/>
                <w:sz w:val="20"/>
                <w:szCs w:val="20"/>
              </w:rPr>
              <w:t>HCV;</w:t>
            </w:r>
            <w:r w:rsidR="007314E6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B8984A" w14:textId="77777777" w:rsidR="007314E6" w:rsidRPr="00594413" w:rsidRDefault="007314E6" w:rsidP="007B698D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obecność</w:t>
            </w:r>
            <w:r w:rsidR="009549A9" w:rsidRPr="00594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antygen</w:t>
            </w:r>
            <w:r w:rsidRPr="00594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9549A9" w:rsidRPr="00594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wirusa HIV</w:t>
            </w:r>
            <w:r w:rsidRPr="00594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549A9" w:rsidRPr="00594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(HIV Ag/Ab Combo);</w:t>
            </w:r>
            <w:r w:rsidRPr="005944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CB6F21A" w14:textId="77777777" w:rsidR="007314E6" w:rsidRPr="00594413" w:rsidRDefault="009549A9" w:rsidP="007B698D">
            <w:pPr>
              <w:pStyle w:val="Akapitzlist"/>
              <w:numPr>
                <w:ilvl w:val="0"/>
                <w:numId w:val="20"/>
              </w:numPr>
              <w:tabs>
                <w:tab w:val="left" w:pos="3027"/>
              </w:tabs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stężenie elektrolitów w surowicy;</w:t>
            </w:r>
            <w:r w:rsidR="007314E6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729129" w14:textId="77777777" w:rsidR="007314E6" w:rsidRPr="00594413" w:rsidRDefault="009549A9" w:rsidP="007B698D">
            <w:pPr>
              <w:pStyle w:val="Akapitzlist"/>
              <w:numPr>
                <w:ilvl w:val="0"/>
                <w:numId w:val="20"/>
              </w:numPr>
              <w:tabs>
                <w:tab w:val="left" w:pos="3027"/>
              </w:tabs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RTG klatki piersiowej</w:t>
            </w:r>
            <w:r w:rsidR="00D056A7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z opisem</w:t>
            </w:r>
            <w:r w:rsidR="001B539D">
              <w:rPr>
                <w:rFonts w:ascii="Times New Roman" w:hAnsi="Times New Roman" w:cs="Times New Roman"/>
                <w:sz w:val="20"/>
                <w:szCs w:val="20"/>
              </w:rPr>
              <w:t xml:space="preserve"> (do 6</w:t>
            </w:r>
            <w:r w:rsidR="007314E6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miesięcy przed kwalifikacją</w:t>
            </w:r>
            <w:r w:rsidR="000230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314E6" w:rsidRPr="005944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33790D6" w14:textId="77777777" w:rsidR="007314E6" w:rsidRDefault="007314E6" w:rsidP="007B698D">
            <w:pPr>
              <w:pStyle w:val="Akapitzlist"/>
              <w:numPr>
                <w:ilvl w:val="0"/>
                <w:numId w:val="20"/>
              </w:numPr>
              <w:tabs>
                <w:tab w:val="left" w:pos="3027"/>
              </w:tabs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EKG z opisem;</w:t>
            </w:r>
          </w:p>
          <w:p w14:paraId="25BC2B66" w14:textId="77777777" w:rsidR="004213E0" w:rsidRDefault="004213E0" w:rsidP="007B698D">
            <w:pPr>
              <w:pStyle w:val="Akapitzlist"/>
              <w:numPr>
                <w:ilvl w:val="0"/>
                <w:numId w:val="20"/>
              </w:numPr>
              <w:tabs>
                <w:tab w:val="left" w:pos="3027"/>
              </w:tabs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E31">
              <w:rPr>
                <w:rFonts w:ascii="Times New Roman" w:hAnsi="Times New Roman" w:cs="Times New Roman"/>
                <w:sz w:val="20"/>
                <w:szCs w:val="20"/>
              </w:rPr>
              <w:t>konsultację neurologiczną z ewentualnym badaniem MRI do decyzji lekarza konsultującego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E6D893" w14:textId="6FA743A5" w:rsidR="008D02FA" w:rsidRDefault="0089439B">
            <w:pPr>
              <w:pStyle w:val="Akapitzlist"/>
              <w:numPr>
                <w:ilvl w:val="0"/>
                <w:numId w:val="20"/>
              </w:numPr>
              <w:tabs>
                <w:tab w:val="left" w:pos="3027"/>
              </w:tabs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210">
              <w:rPr>
                <w:rFonts w:ascii="Times New Roman" w:hAnsi="Times New Roman" w:cs="Times New Roman"/>
                <w:sz w:val="20"/>
                <w:szCs w:val="20"/>
              </w:rPr>
              <w:t>konsultację ginekologiczną z wykluczeniem ciąży</w:t>
            </w:r>
            <w:r w:rsidR="00597C3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00A9FF8" w14:textId="77777777" w:rsidR="007314E6" w:rsidRPr="00D5373C" w:rsidRDefault="00436793">
            <w:pPr>
              <w:pStyle w:val="Akapitzlist"/>
              <w:numPr>
                <w:ilvl w:val="0"/>
                <w:numId w:val="20"/>
              </w:numPr>
              <w:tabs>
                <w:tab w:val="left" w:pos="3027"/>
              </w:tabs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73C">
              <w:rPr>
                <w:rFonts w:ascii="Times New Roman" w:hAnsi="Times New Roman" w:cs="Times New Roman"/>
                <w:sz w:val="20"/>
                <w:szCs w:val="20"/>
              </w:rPr>
              <w:t xml:space="preserve">ocena </w:t>
            </w:r>
            <w:r w:rsidR="00527C31" w:rsidRPr="00D5373C">
              <w:rPr>
                <w:rFonts w:ascii="Times New Roman" w:hAnsi="Times New Roman" w:cs="Times New Roman"/>
                <w:sz w:val="20"/>
                <w:szCs w:val="20"/>
              </w:rPr>
              <w:t xml:space="preserve">stopnia nacieków komórkowych w komorze przedniej oka oraz stopnia przymglenia ciała szklistego </w:t>
            </w:r>
            <w:r w:rsidRPr="00D5373C">
              <w:rPr>
                <w:rFonts w:ascii="Times New Roman" w:hAnsi="Times New Roman" w:cs="Times New Roman"/>
                <w:sz w:val="20"/>
                <w:szCs w:val="20"/>
              </w:rPr>
              <w:t>według kryteriów SUN</w:t>
            </w:r>
            <w:r w:rsidR="00527C31" w:rsidRPr="00D537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7314E6" w:rsidRPr="00D53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A7B5B4" w14:textId="19ED76F7" w:rsidR="007314E6" w:rsidRDefault="00527C31" w:rsidP="007B698D">
            <w:pPr>
              <w:pStyle w:val="Akapitzlist"/>
              <w:numPr>
                <w:ilvl w:val="0"/>
                <w:numId w:val="20"/>
              </w:numPr>
              <w:tabs>
                <w:tab w:val="left" w:pos="3027"/>
              </w:tabs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badanie okulistyczne z oceną najlepszej skorygowanej ostrości wzroku </w:t>
            </w:r>
            <w:r w:rsidR="007314E6" w:rsidRPr="00594413">
              <w:rPr>
                <w:rFonts w:ascii="Times New Roman" w:hAnsi="Times New Roman" w:cs="Times New Roman"/>
                <w:sz w:val="20"/>
                <w:szCs w:val="20"/>
              </w:rPr>
              <w:t>na tablicach Snellena lub ETDRS</w:t>
            </w:r>
            <w:r w:rsidR="007B698D">
              <w:rPr>
                <w:rFonts w:ascii="Times New Roman" w:hAnsi="Times New Roman" w:cs="Times New Roman"/>
                <w:sz w:val="20"/>
                <w:szCs w:val="20"/>
              </w:rPr>
              <w:t xml:space="preserve">, pomiarem ciśnienia wewnątrzgałkowego, oceną dna oka i plamki żółtej w badaniu </w:t>
            </w:r>
            <w:r w:rsidR="00E11A89">
              <w:rPr>
                <w:rFonts w:ascii="Times New Roman" w:hAnsi="Times New Roman" w:cs="Times New Roman"/>
                <w:sz w:val="20"/>
                <w:szCs w:val="20"/>
              </w:rPr>
              <w:t>optycznej koherentnej tomografii (</w:t>
            </w:r>
            <w:r w:rsidR="007B698D">
              <w:rPr>
                <w:rFonts w:ascii="Times New Roman" w:hAnsi="Times New Roman" w:cs="Times New Roman"/>
                <w:sz w:val="20"/>
                <w:szCs w:val="20"/>
              </w:rPr>
              <w:t>OCT</w:t>
            </w:r>
            <w:r w:rsidR="00E11A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F6C94">
              <w:rPr>
                <w:rFonts w:ascii="Times New Roman" w:hAnsi="Times New Roman" w:cs="Times New Roman"/>
                <w:sz w:val="20"/>
                <w:szCs w:val="20"/>
              </w:rPr>
              <w:t>, ocena gałki ocznej w badaniu ultrasonograficznym typ B</w:t>
            </w:r>
            <w:r w:rsidR="008D02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F26E3D" w14:textId="77777777" w:rsidR="007B698D" w:rsidRPr="007B698D" w:rsidRDefault="007B698D" w:rsidP="007B698D">
            <w:pPr>
              <w:pStyle w:val="Akapitzlist"/>
              <w:tabs>
                <w:tab w:val="left" w:pos="3027"/>
              </w:tabs>
              <w:spacing w:before="60" w:after="6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C0EAD" w14:textId="7CAA0763" w:rsidR="00AB0910" w:rsidRPr="00594413" w:rsidRDefault="00AB0910" w:rsidP="007B698D">
            <w:pPr>
              <w:pStyle w:val="Akapitzlist"/>
              <w:numPr>
                <w:ilvl w:val="0"/>
                <w:numId w:val="21"/>
              </w:numPr>
              <w:spacing w:before="60" w:after="60" w:line="276" w:lineRule="auto"/>
              <w:ind w:left="3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b/>
                <w:sz w:val="20"/>
                <w:szCs w:val="20"/>
              </w:rPr>
              <w:t>Monitorowanie leczenia</w:t>
            </w:r>
            <w:r w:rsidR="009615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17B1A">
              <w:rPr>
                <w:rFonts w:ascii="Times New Roman" w:hAnsi="Times New Roman" w:cs="Times New Roman"/>
                <w:b/>
                <w:sz w:val="20"/>
                <w:szCs w:val="20"/>
              </w:rPr>
              <w:t>adalimumabem</w:t>
            </w:r>
            <w:r w:rsidRPr="005944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B4BDEA3" w14:textId="77777777" w:rsidR="007B698D" w:rsidRPr="007B698D" w:rsidRDefault="007B698D" w:rsidP="007B698D">
            <w:pPr>
              <w:pStyle w:val="Akapitzlist"/>
              <w:numPr>
                <w:ilvl w:val="0"/>
                <w:numId w:val="30"/>
              </w:numPr>
              <w:spacing w:before="60" w:after="60"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>Monitorowanie stanu miejscowego na podstawie badania okulistycznego:</w:t>
            </w:r>
          </w:p>
          <w:p w14:paraId="18A8DA40" w14:textId="77777777" w:rsidR="007B698D" w:rsidRDefault="007B698D" w:rsidP="007B698D">
            <w:pPr>
              <w:pStyle w:val="Akapitzlist"/>
              <w:numPr>
                <w:ilvl w:val="0"/>
                <w:numId w:val="31"/>
              </w:numPr>
              <w:spacing w:before="60" w:after="60" w:line="276" w:lineRule="auto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>przed podaniem pierwszej dawki leku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C98439" w14:textId="77777777" w:rsidR="007B698D" w:rsidRDefault="007B698D" w:rsidP="007B698D">
            <w:pPr>
              <w:pStyle w:val="Akapitzlist"/>
              <w:numPr>
                <w:ilvl w:val="0"/>
                <w:numId w:val="31"/>
              </w:numPr>
              <w:spacing w:before="60" w:after="60" w:line="276" w:lineRule="auto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>przed podaniem 5 dawki leku z oceną skuteczności leczenia w stosunku do stanu  wyjściowego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E2304F" w14:textId="77777777" w:rsidR="007B698D" w:rsidRPr="007B698D" w:rsidRDefault="007B698D" w:rsidP="007B698D">
            <w:pPr>
              <w:pStyle w:val="Akapitzlist"/>
              <w:numPr>
                <w:ilvl w:val="0"/>
                <w:numId w:val="31"/>
              </w:numPr>
              <w:spacing w:before="60" w:after="60" w:line="276" w:lineRule="auto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>przed podaniem kolejnej 5 dawki leku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96429FB" w14:textId="77777777" w:rsidR="007B698D" w:rsidRPr="007B698D" w:rsidRDefault="007B698D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>Badanie okulistyczne powinno obejmować:</w:t>
            </w:r>
          </w:p>
          <w:p w14:paraId="32AB4F96" w14:textId="2E4A47FF" w:rsidR="007B698D" w:rsidRPr="007B698D" w:rsidRDefault="007B698D" w:rsidP="007B698D">
            <w:pPr>
              <w:pStyle w:val="Akapitzlist"/>
              <w:numPr>
                <w:ilvl w:val="0"/>
                <w:numId w:val="28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cenę n</w:t>
            </w: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>ajlepszej skorygowanej ostrości wzroku do dali na tablicach Snellena lub EDTRS</w:t>
            </w:r>
            <w:r w:rsidR="00597C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18F951" w14:textId="72B8C31F" w:rsidR="007B698D" w:rsidRPr="007B698D" w:rsidRDefault="007B698D" w:rsidP="007B698D">
            <w:pPr>
              <w:pStyle w:val="Akapitzlist"/>
              <w:numPr>
                <w:ilvl w:val="0"/>
                <w:numId w:val="28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>pomiar ciśnienia wewnątrzgałkowego</w:t>
            </w:r>
            <w:r w:rsidR="00597C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62191BC" w14:textId="05A38347" w:rsidR="007B698D" w:rsidRPr="007B698D" w:rsidRDefault="007B698D" w:rsidP="007B698D">
            <w:pPr>
              <w:pStyle w:val="Akapitzlist"/>
              <w:numPr>
                <w:ilvl w:val="0"/>
                <w:numId w:val="28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>ocenę przedniego odcinka i dna oka</w:t>
            </w:r>
            <w:r w:rsidR="00597C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7C33" w:rsidRPr="007B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E0B622" w14:textId="77777777" w:rsidR="00E11A89" w:rsidRPr="00E11A89" w:rsidRDefault="007B698D" w:rsidP="00E11A89">
            <w:pPr>
              <w:pStyle w:val="Akapitzlist"/>
              <w:numPr>
                <w:ilvl w:val="0"/>
                <w:numId w:val="28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>ocena plamki w badaniu optycznej koherentnej tomografii (OCT)</w:t>
            </w:r>
            <w:r w:rsidR="00E11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B81237" w14:textId="77777777" w:rsidR="007B698D" w:rsidRPr="007B698D" w:rsidRDefault="007B698D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>Kryteria oceny skuteczności. Pogorszenie oceniane jest zgodnie z kryteriami wyłączenia z programu. Za poprawę uważa się:</w:t>
            </w:r>
          </w:p>
          <w:p w14:paraId="2B9F95FB" w14:textId="6CEFE2F4" w:rsidR="007B698D" w:rsidRPr="007B698D" w:rsidRDefault="007B698D" w:rsidP="007B698D">
            <w:pPr>
              <w:pStyle w:val="Akapitzlist"/>
              <w:numPr>
                <w:ilvl w:val="0"/>
                <w:numId w:val="29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>zmniejszenie liczby komórek w komorze przedniej lub zmniejszenie przymglenia ciała szklistego o ≤ 2 według kryteriów SUN</w:t>
            </w:r>
            <w:r w:rsidR="00EC5B39">
              <w:rPr>
                <w:rFonts w:ascii="Times New Roman" w:hAnsi="Times New Roman" w:cs="Times New Roman"/>
                <w:sz w:val="20"/>
                <w:szCs w:val="20"/>
              </w:rPr>
              <w:t xml:space="preserve"> przy stanie początkowym większym lub równym 2</w:t>
            </w:r>
            <w:r w:rsidR="00597C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4499B65" w14:textId="14121CA3" w:rsidR="007B698D" w:rsidRPr="007B698D" w:rsidRDefault="007B698D" w:rsidP="007B698D">
            <w:pPr>
              <w:pStyle w:val="Akapitzlist"/>
              <w:numPr>
                <w:ilvl w:val="0"/>
                <w:numId w:val="29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>zmniejszenia liczby komórek w komorze przedniej lub przymglenia ciała szklistego do poziomu 0 według kryteriów SUN</w:t>
            </w:r>
            <w:r w:rsidR="00EC5B39">
              <w:rPr>
                <w:rFonts w:ascii="Times New Roman" w:hAnsi="Times New Roman" w:cs="Times New Roman"/>
                <w:sz w:val="20"/>
                <w:szCs w:val="20"/>
              </w:rPr>
              <w:t xml:space="preserve"> przy stanie początkowym mniejszym niż 2</w:t>
            </w:r>
            <w:r w:rsidR="00597C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7C33" w:rsidRPr="007B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DB4A08" w14:textId="15E15C34" w:rsidR="007B698D" w:rsidRPr="007B698D" w:rsidRDefault="007B698D" w:rsidP="007B698D">
            <w:pPr>
              <w:pStyle w:val="Akapitzlist"/>
              <w:numPr>
                <w:ilvl w:val="0"/>
                <w:numId w:val="29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>zmniejszenie się lub brak aktywnych zmian zapalnych naczyniówki lub siatkówki, lub naczyń siatkówki</w:t>
            </w:r>
            <w:r w:rsidR="00597C3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5B3F4AB" w14:textId="77777777" w:rsidR="00C64E31" w:rsidRDefault="007B698D" w:rsidP="007B698D">
            <w:pPr>
              <w:pStyle w:val="Akapitzlist"/>
              <w:numPr>
                <w:ilvl w:val="0"/>
                <w:numId w:val="29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>poprawę najlepszej skorygowanej ostrości wzroku o 3 linie według Snellena lub 15 liter na tablicy EDTRS  w stosunku do wartości wyjściowych bądź stabilizację ostrości wzroku</w:t>
            </w:r>
            <w:r w:rsidR="00C64E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6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BDFCD8" w14:textId="77777777" w:rsidR="00C64E31" w:rsidRDefault="00C64E31" w:rsidP="00C64E31">
            <w:pPr>
              <w:pStyle w:val="Akapitzlist"/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9B134" w14:textId="77777777" w:rsidR="00C64E31" w:rsidRDefault="007B698D" w:rsidP="00C64E31">
            <w:pPr>
              <w:pStyle w:val="Akapitzlist"/>
              <w:numPr>
                <w:ilvl w:val="0"/>
                <w:numId w:val="30"/>
              </w:numPr>
              <w:spacing w:before="60" w:after="60" w:line="276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C64E31">
              <w:rPr>
                <w:rFonts w:ascii="Times New Roman" w:hAnsi="Times New Roman" w:cs="Times New Roman"/>
                <w:sz w:val="20"/>
                <w:szCs w:val="20"/>
              </w:rPr>
              <w:t>Monitorowanie stanu ogólnego na podstawie badań</w:t>
            </w:r>
            <w:r w:rsidR="00C64E31" w:rsidRPr="00C64E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52FDD5A" w14:textId="77777777" w:rsidR="00C64E31" w:rsidRDefault="007B698D" w:rsidP="00C64E31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E31">
              <w:rPr>
                <w:rFonts w:ascii="Times New Roman" w:hAnsi="Times New Roman" w:cs="Times New Roman"/>
                <w:sz w:val="20"/>
                <w:szCs w:val="20"/>
              </w:rPr>
              <w:t>przed podaniem 3 dawki leku</w:t>
            </w:r>
            <w:r w:rsidR="00C64E31" w:rsidRPr="00C64E31">
              <w:rPr>
                <w:rFonts w:ascii="Times New Roman" w:hAnsi="Times New Roman" w:cs="Times New Roman"/>
                <w:sz w:val="20"/>
                <w:szCs w:val="20"/>
              </w:rPr>
              <w:t xml:space="preserve"> (morfologia krwi </w:t>
            </w:r>
            <w:r w:rsidRPr="00C64E31">
              <w:rPr>
                <w:rFonts w:ascii="Times New Roman" w:hAnsi="Times New Roman" w:cs="Times New Roman"/>
                <w:sz w:val="20"/>
                <w:szCs w:val="20"/>
              </w:rPr>
              <w:t>obwodowej, CRP, OB, AlAT, AspAT)</w:t>
            </w:r>
            <w:r w:rsidR="00C64E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4B87C8" w14:textId="77777777" w:rsidR="00C64E31" w:rsidRDefault="007B698D" w:rsidP="00C64E31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E31">
              <w:rPr>
                <w:rFonts w:ascii="Times New Roman" w:hAnsi="Times New Roman" w:cs="Times New Roman"/>
                <w:sz w:val="20"/>
                <w:szCs w:val="20"/>
              </w:rPr>
              <w:t xml:space="preserve">przed podaniem 5 dawki leku </w:t>
            </w:r>
            <w:r w:rsidR="00C64E31" w:rsidRPr="00C64E31">
              <w:rPr>
                <w:rFonts w:ascii="Times New Roman" w:hAnsi="Times New Roman" w:cs="Times New Roman"/>
                <w:sz w:val="20"/>
                <w:szCs w:val="20"/>
              </w:rPr>
              <w:t xml:space="preserve">(morfologia krwi </w:t>
            </w:r>
            <w:r w:rsidRPr="00C64E31">
              <w:rPr>
                <w:rFonts w:ascii="Times New Roman" w:hAnsi="Times New Roman" w:cs="Times New Roman"/>
                <w:sz w:val="20"/>
                <w:szCs w:val="20"/>
              </w:rPr>
              <w:t>obwodowej, CRP, OB, AlAT, AspAT)</w:t>
            </w:r>
            <w:r w:rsidR="00C64E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A4E570" w14:textId="77777777" w:rsidR="00C64E31" w:rsidRDefault="007B698D" w:rsidP="00C64E31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E31">
              <w:rPr>
                <w:rFonts w:ascii="Times New Roman" w:hAnsi="Times New Roman" w:cs="Times New Roman"/>
                <w:sz w:val="20"/>
                <w:szCs w:val="20"/>
              </w:rPr>
              <w:t xml:space="preserve">przed podaniem kolejnej 5 dawki leku </w:t>
            </w:r>
            <w:r w:rsidR="00C64E31" w:rsidRPr="00C64E31">
              <w:rPr>
                <w:rFonts w:ascii="Times New Roman" w:hAnsi="Times New Roman" w:cs="Times New Roman"/>
                <w:sz w:val="20"/>
                <w:szCs w:val="20"/>
              </w:rPr>
              <w:t xml:space="preserve">(morfologia krwi </w:t>
            </w:r>
            <w:r w:rsidRPr="00C64E31">
              <w:rPr>
                <w:rFonts w:ascii="Times New Roman" w:hAnsi="Times New Roman" w:cs="Times New Roman"/>
                <w:sz w:val="20"/>
                <w:szCs w:val="20"/>
              </w:rPr>
              <w:t>obwodowej, CRP, OB, AlAT, AspAT)</w:t>
            </w:r>
            <w:r w:rsidR="00C64E3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C64E31">
              <w:rPr>
                <w:rFonts w:ascii="Times New Roman" w:hAnsi="Times New Roman" w:cs="Times New Roman"/>
                <w:sz w:val="20"/>
                <w:szCs w:val="20"/>
              </w:rPr>
              <w:t>do decyzji lekarza prowadzącego</w:t>
            </w:r>
            <w:r w:rsidR="00C64E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64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02D51A" w14:textId="77777777" w:rsidR="00C64E31" w:rsidRDefault="007B698D" w:rsidP="00C64E31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E31">
              <w:rPr>
                <w:rFonts w:ascii="Times New Roman" w:hAnsi="Times New Roman" w:cs="Times New Roman"/>
                <w:sz w:val="20"/>
                <w:szCs w:val="20"/>
              </w:rPr>
              <w:t>co 6 miesięcy należy wykonać próbę tuberkulinową lub test Quantiferon</w:t>
            </w:r>
            <w:r w:rsidR="00C64E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B61100" w14:textId="77777777" w:rsidR="007B698D" w:rsidRPr="00C64E31" w:rsidRDefault="007B698D" w:rsidP="00C64E31">
            <w:pPr>
              <w:pStyle w:val="Akapitzlist"/>
              <w:numPr>
                <w:ilvl w:val="0"/>
                <w:numId w:val="32"/>
              </w:num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E31">
              <w:rPr>
                <w:rFonts w:ascii="Times New Roman" w:hAnsi="Times New Roman" w:cs="Times New Roman"/>
                <w:sz w:val="20"/>
                <w:szCs w:val="20"/>
              </w:rPr>
              <w:t>co 6 miesięcy należy przeprowadzić konsultację neurologiczną z ewentualnym badaniem MRI do decyzji lekarza konsultującego</w:t>
            </w:r>
            <w:r w:rsidR="00C64E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B6FC94" w14:textId="77777777" w:rsidR="007314E6" w:rsidRPr="00594413" w:rsidRDefault="007314E6" w:rsidP="007B698D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046980" w14:textId="77777777" w:rsidR="00AB0910" w:rsidRPr="00594413" w:rsidRDefault="007314E6" w:rsidP="007B698D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b/>
                <w:sz w:val="20"/>
                <w:szCs w:val="20"/>
              </w:rPr>
              <w:t>3. M</w:t>
            </w:r>
            <w:r w:rsidR="00AB0910" w:rsidRPr="00594413">
              <w:rPr>
                <w:rFonts w:ascii="Times New Roman" w:hAnsi="Times New Roman" w:cs="Times New Roman"/>
                <w:b/>
                <w:sz w:val="20"/>
                <w:szCs w:val="20"/>
              </w:rPr>
              <w:t>onitorowanie programu</w:t>
            </w:r>
            <w:r w:rsidR="009C20A9" w:rsidRPr="0059441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24FFBA9" w14:textId="77777777" w:rsidR="00AB0910" w:rsidRPr="00594413" w:rsidRDefault="00AB0910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1) gromadzenie w dokumentacji medycznej pacjenta danych dotyczących monitorowania leczenia i każdorazowe ich przedstawianie na żądanie kontrolerów Narodowego Funduszu Zdrowia;</w:t>
            </w:r>
          </w:p>
          <w:p w14:paraId="01766A06" w14:textId="77777777" w:rsidR="00AB0910" w:rsidRPr="00594413" w:rsidRDefault="007B698D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uzupełnia</w:t>
            </w:r>
            <w:r w:rsidR="00AB0910" w:rsidRPr="00594413">
              <w:rPr>
                <w:rFonts w:ascii="Times New Roman" w:hAnsi="Times New Roman" w:cs="Times New Roman"/>
                <w:sz w:val="20"/>
                <w:szCs w:val="20"/>
              </w:rPr>
              <w:t>nie danych zawartych w rejestrze (SMPT) dostępnym za pomocą aplikacji internetowej  udostępnionej przez OW NFZ, z częstotliwością zgodną z opisem programu oraz na zakończenie leczenia;</w:t>
            </w:r>
          </w:p>
          <w:p w14:paraId="36CE23C0" w14:textId="77777777" w:rsidR="00AB0910" w:rsidRPr="00594413" w:rsidRDefault="00AB0910" w:rsidP="007B698D">
            <w:pPr>
              <w:spacing w:before="6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3) przekazywanie informacji sprawozdawczo</w:t>
            </w:r>
            <w:r w:rsidR="009D2283" w:rsidRPr="00594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4413">
              <w:rPr>
                <w:rFonts w:ascii="Times New Roman" w:hAnsi="Times New Roman" w:cs="Times New Roman"/>
                <w:sz w:val="20"/>
                <w:szCs w:val="20"/>
              </w:rPr>
              <w:t>-rozliczeniowych do NFZ: informacje przekazuje się do NFZ w formie papierowej lub w formie elektronicznej, zgodnie z wymaganiami opublikowanymi przez Narodowy Fundusz Zdrowia.</w:t>
            </w:r>
          </w:p>
        </w:tc>
      </w:tr>
    </w:tbl>
    <w:p w14:paraId="7820036F" w14:textId="77777777" w:rsidR="00AB0910" w:rsidRPr="00594413" w:rsidRDefault="00AB0910" w:rsidP="007B698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AB0910" w:rsidRPr="00594413" w:rsidSect="00736825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1424F" w14:textId="77777777" w:rsidR="00543662" w:rsidRDefault="00543662" w:rsidP="004213E0">
      <w:pPr>
        <w:spacing w:after="0" w:line="240" w:lineRule="auto"/>
      </w:pPr>
      <w:r>
        <w:separator/>
      </w:r>
    </w:p>
  </w:endnote>
  <w:endnote w:type="continuationSeparator" w:id="0">
    <w:p w14:paraId="3F23E485" w14:textId="77777777" w:rsidR="00543662" w:rsidRDefault="00543662" w:rsidP="0042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60CDE" w14:textId="77777777" w:rsidR="00543662" w:rsidRDefault="00543662" w:rsidP="004213E0">
      <w:pPr>
        <w:spacing w:after="0" w:line="240" w:lineRule="auto"/>
      </w:pPr>
      <w:r>
        <w:separator/>
      </w:r>
    </w:p>
  </w:footnote>
  <w:footnote w:type="continuationSeparator" w:id="0">
    <w:p w14:paraId="0B36215B" w14:textId="77777777" w:rsidR="00543662" w:rsidRDefault="00543662" w:rsidP="0042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0.4pt;height:170.4pt" o:bullet="t">
        <v:imagedata r:id="rId1" o:title="punktor small"/>
      </v:shape>
    </w:pict>
  </w:numPicBullet>
  <w:abstractNum w:abstractNumId="0" w15:restartNumberingAfterBreak="0">
    <w:nsid w:val="067017AF"/>
    <w:multiLevelType w:val="hybridMultilevel"/>
    <w:tmpl w:val="21CA8F30"/>
    <w:lvl w:ilvl="0" w:tplc="B3C8A67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921C2"/>
    <w:multiLevelType w:val="hybridMultilevel"/>
    <w:tmpl w:val="777AF814"/>
    <w:lvl w:ilvl="0" w:tplc="5F3AB84E">
      <w:start w:val="1"/>
      <w:numFmt w:val="bullet"/>
      <w:lvlText w:val=""/>
      <w:lvlJc w:val="left"/>
      <w:pPr>
        <w:ind w:left="107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C9D14B8"/>
    <w:multiLevelType w:val="hybridMultilevel"/>
    <w:tmpl w:val="06C86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49A0"/>
    <w:multiLevelType w:val="hybridMultilevel"/>
    <w:tmpl w:val="30A81C2A"/>
    <w:lvl w:ilvl="0" w:tplc="1B6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E5F"/>
    <w:multiLevelType w:val="hybridMultilevel"/>
    <w:tmpl w:val="AF7A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2A9E"/>
    <w:multiLevelType w:val="hybridMultilevel"/>
    <w:tmpl w:val="1452FA3A"/>
    <w:lvl w:ilvl="0" w:tplc="B3C8A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4569C"/>
    <w:multiLevelType w:val="hybridMultilevel"/>
    <w:tmpl w:val="B20AC11E"/>
    <w:lvl w:ilvl="0" w:tplc="1FE87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50910"/>
    <w:multiLevelType w:val="hybridMultilevel"/>
    <w:tmpl w:val="D95C4488"/>
    <w:lvl w:ilvl="0" w:tplc="3A400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665F9"/>
    <w:multiLevelType w:val="hybridMultilevel"/>
    <w:tmpl w:val="8EB65E82"/>
    <w:lvl w:ilvl="0" w:tplc="8E0E144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323E4F" w:themeColor="text2" w:themeShade="BF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E2CB8"/>
    <w:multiLevelType w:val="hybridMultilevel"/>
    <w:tmpl w:val="99BC5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7663C3"/>
    <w:multiLevelType w:val="hybridMultilevel"/>
    <w:tmpl w:val="DBE8DA66"/>
    <w:lvl w:ilvl="0" w:tplc="DDF6BA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B1C37"/>
    <w:multiLevelType w:val="hybridMultilevel"/>
    <w:tmpl w:val="E1144FD0"/>
    <w:lvl w:ilvl="0" w:tplc="580C4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498"/>
    <w:multiLevelType w:val="hybridMultilevel"/>
    <w:tmpl w:val="5D42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A37A7"/>
    <w:multiLevelType w:val="hybridMultilevel"/>
    <w:tmpl w:val="857C736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4A11910"/>
    <w:multiLevelType w:val="hybridMultilevel"/>
    <w:tmpl w:val="F3103D78"/>
    <w:lvl w:ilvl="0" w:tplc="2892B70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8DD07D2"/>
    <w:multiLevelType w:val="hybridMultilevel"/>
    <w:tmpl w:val="8FFAE032"/>
    <w:lvl w:ilvl="0" w:tplc="3650F0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B50E8"/>
    <w:multiLevelType w:val="hybridMultilevel"/>
    <w:tmpl w:val="AC6C4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56718"/>
    <w:multiLevelType w:val="hybridMultilevel"/>
    <w:tmpl w:val="A7CC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D65D2"/>
    <w:multiLevelType w:val="hybridMultilevel"/>
    <w:tmpl w:val="E386117C"/>
    <w:lvl w:ilvl="0" w:tplc="09E287FE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C97369"/>
    <w:multiLevelType w:val="hybridMultilevel"/>
    <w:tmpl w:val="8FD45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F6486"/>
    <w:multiLevelType w:val="hybridMultilevel"/>
    <w:tmpl w:val="8DA46038"/>
    <w:lvl w:ilvl="0" w:tplc="5F3AB84E">
      <w:start w:val="1"/>
      <w:numFmt w:val="bullet"/>
      <w:lvlText w:val="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E540012"/>
    <w:multiLevelType w:val="hybridMultilevel"/>
    <w:tmpl w:val="BF3E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83EC6"/>
    <w:multiLevelType w:val="hybridMultilevel"/>
    <w:tmpl w:val="86747830"/>
    <w:lvl w:ilvl="0" w:tplc="B3C8A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A6954"/>
    <w:multiLevelType w:val="hybridMultilevel"/>
    <w:tmpl w:val="F44C8FC2"/>
    <w:lvl w:ilvl="0" w:tplc="DDF6BA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B25ACA"/>
    <w:multiLevelType w:val="hybridMultilevel"/>
    <w:tmpl w:val="B06EDF86"/>
    <w:lvl w:ilvl="0" w:tplc="04D25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C618E9"/>
    <w:multiLevelType w:val="hybridMultilevel"/>
    <w:tmpl w:val="68B67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C051C"/>
    <w:multiLevelType w:val="hybridMultilevel"/>
    <w:tmpl w:val="60D0612A"/>
    <w:lvl w:ilvl="0" w:tplc="9E6C3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C287A"/>
    <w:multiLevelType w:val="hybridMultilevel"/>
    <w:tmpl w:val="E3420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A1609"/>
    <w:multiLevelType w:val="hybridMultilevel"/>
    <w:tmpl w:val="70BEC384"/>
    <w:lvl w:ilvl="0" w:tplc="B3C8A67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41A6F"/>
    <w:multiLevelType w:val="hybridMultilevel"/>
    <w:tmpl w:val="D35E4394"/>
    <w:lvl w:ilvl="0" w:tplc="6352A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1077A"/>
    <w:multiLevelType w:val="hybridMultilevel"/>
    <w:tmpl w:val="87E28890"/>
    <w:lvl w:ilvl="0" w:tplc="B3C8A6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E6FD6"/>
    <w:multiLevelType w:val="hybridMultilevel"/>
    <w:tmpl w:val="2A02F3B0"/>
    <w:lvl w:ilvl="0" w:tplc="83B43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7"/>
  </w:num>
  <w:num w:numId="5">
    <w:abstractNumId w:val="2"/>
  </w:num>
  <w:num w:numId="6">
    <w:abstractNumId w:val="18"/>
  </w:num>
  <w:num w:numId="7">
    <w:abstractNumId w:val="19"/>
  </w:num>
  <w:num w:numId="8">
    <w:abstractNumId w:val="20"/>
  </w:num>
  <w:num w:numId="9">
    <w:abstractNumId w:val="23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28"/>
  </w:num>
  <w:num w:numId="15">
    <w:abstractNumId w:val="17"/>
  </w:num>
  <w:num w:numId="16">
    <w:abstractNumId w:val="12"/>
  </w:num>
  <w:num w:numId="17">
    <w:abstractNumId w:val="30"/>
  </w:num>
  <w:num w:numId="18">
    <w:abstractNumId w:val="6"/>
  </w:num>
  <w:num w:numId="19">
    <w:abstractNumId w:val="3"/>
  </w:num>
  <w:num w:numId="20">
    <w:abstractNumId w:val="9"/>
  </w:num>
  <w:num w:numId="21">
    <w:abstractNumId w:val="29"/>
  </w:num>
  <w:num w:numId="22">
    <w:abstractNumId w:val="21"/>
  </w:num>
  <w:num w:numId="23">
    <w:abstractNumId w:val="25"/>
  </w:num>
  <w:num w:numId="24">
    <w:abstractNumId w:val="11"/>
  </w:num>
  <w:num w:numId="25">
    <w:abstractNumId w:val="31"/>
  </w:num>
  <w:num w:numId="26">
    <w:abstractNumId w:val="0"/>
  </w:num>
  <w:num w:numId="27">
    <w:abstractNumId w:val="26"/>
  </w:num>
  <w:num w:numId="28">
    <w:abstractNumId w:val="5"/>
  </w:num>
  <w:num w:numId="29">
    <w:abstractNumId w:val="22"/>
  </w:num>
  <w:num w:numId="30">
    <w:abstractNumId w:val="16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5F"/>
    <w:rsid w:val="000230CB"/>
    <w:rsid w:val="0006041A"/>
    <w:rsid w:val="000611BD"/>
    <w:rsid w:val="00061BF6"/>
    <w:rsid w:val="00081B7E"/>
    <w:rsid w:val="00085962"/>
    <w:rsid w:val="00104FFA"/>
    <w:rsid w:val="00114F61"/>
    <w:rsid w:val="00120B66"/>
    <w:rsid w:val="00127210"/>
    <w:rsid w:val="0013782C"/>
    <w:rsid w:val="0014554A"/>
    <w:rsid w:val="0015719A"/>
    <w:rsid w:val="00177EA6"/>
    <w:rsid w:val="00183018"/>
    <w:rsid w:val="001A4C50"/>
    <w:rsid w:val="001B539D"/>
    <w:rsid w:val="001B5F3C"/>
    <w:rsid w:val="00215634"/>
    <w:rsid w:val="00216FD5"/>
    <w:rsid w:val="00220D68"/>
    <w:rsid w:val="002E51D2"/>
    <w:rsid w:val="002F4D8A"/>
    <w:rsid w:val="00314C62"/>
    <w:rsid w:val="00317B1A"/>
    <w:rsid w:val="00361C27"/>
    <w:rsid w:val="00362A28"/>
    <w:rsid w:val="00376190"/>
    <w:rsid w:val="003964A9"/>
    <w:rsid w:val="003A3FE9"/>
    <w:rsid w:val="003A4BCF"/>
    <w:rsid w:val="003B4242"/>
    <w:rsid w:val="004114DA"/>
    <w:rsid w:val="004213E0"/>
    <w:rsid w:val="0042522E"/>
    <w:rsid w:val="00436793"/>
    <w:rsid w:val="00490EB5"/>
    <w:rsid w:val="004A6B8F"/>
    <w:rsid w:val="004A7499"/>
    <w:rsid w:val="004C0590"/>
    <w:rsid w:val="00501E64"/>
    <w:rsid w:val="00503B1E"/>
    <w:rsid w:val="0051314A"/>
    <w:rsid w:val="00527C31"/>
    <w:rsid w:val="005373A6"/>
    <w:rsid w:val="00543662"/>
    <w:rsid w:val="00555BBF"/>
    <w:rsid w:val="00573270"/>
    <w:rsid w:val="00594413"/>
    <w:rsid w:val="00597C33"/>
    <w:rsid w:val="005D3BE1"/>
    <w:rsid w:val="005D6D46"/>
    <w:rsid w:val="005F14E3"/>
    <w:rsid w:val="0069754D"/>
    <w:rsid w:val="006B1DA7"/>
    <w:rsid w:val="00722849"/>
    <w:rsid w:val="00726E3C"/>
    <w:rsid w:val="007314E6"/>
    <w:rsid w:val="00735593"/>
    <w:rsid w:val="00736825"/>
    <w:rsid w:val="00740D39"/>
    <w:rsid w:val="00766B60"/>
    <w:rsid w:val="007B068F"/>
    <w:rsid w:val="007B0C96"/>
    <w:rsid w:val="007B698D"/>
    <w:rsid w:val="007C2269"/>
    <w:rsid w:val="007E5F6B"/>
    <w:rsid w:val="00816DFA"/>
    <w:rsid w:val="00826824"/>
    <w:rsid w:val="00854A0D"/>
    <w:rsid w:val="00886E31"/>
    <w:rsid w:val="0089439B"/>
    <w:rsid w:val="008D02FA"/>
    <w:rsid w:val="008F4F03"/>
    <w:rsid w:val="009549A9"/>
    <w:rsid w:val="00960310"/>
    <w:rsid w:val="00961586"/>
    <w:rsid w:val="00966685"/>
    <w:rsid w:val="00980973"/>
    <w:rsid w:val="009A3426"/>
    <w:rsid w:val="009B246E"/>
    <w:rsid w:val="009B7330"/>
    <w:rsid w:val="009C20A9"/>
    <w:rsid w:val="009D2283"/>
    <w:rsid w:val="00A02B65"/>
    <w:rsid w:val="00A076BD"/>
    <w:rsid w:val="00A324B3"/>
    <w:rsid w:val="00A8013F"/>
    <w:rsid w:val="00AB0910"/>
    <w:rsid w:val="00AB3A50"/>
    <w:rsid w:val="00AB5A84"/>
    <w:rsid w:val="00AD34BC"/>
    <w:rsid w:val="00AE28C4"/>
    <w:rsid w:val="00B013D1"/>
    <w:rsid w:val="00B0797F"/>
    <w:rsid w:val="00B15918"/>
    <w:rsid w:val="00B32BFE"/>
    <w:rsid w:val="00B51D9D"/>
    <w:rsid w:val="00BA53CD"/>
    <w:rsid w:val="00BB6A3F"/>
    <w:rsid w:val="00BF2141"/>
    <w:rsid w:val="00C32039"/>
    <w:rsid w:val="00C4495F"/>
    <w:rsid w:val="00C64E31"/>
    <w:rsid w:val="00C73E9D"/>
    <w:rsid w:val="00C916B7"/>
    <w:rsid w:val="00CA4D63"/>
    <w:rsid w:val="00CB0E1D"/>
    <w:rsid w:val="00CD114C"/>
    <w:rsid w:val="00CD130E"/>
    <w:rsid w:val="00D056A7"/>
    <w:rsid w:val="00D2238B"/>
    <w:rsid w:val="00D2367D"/>
    <w:rsid w:val="00D30EDD"/>
    <w:rsid w:val="00D5001F"/>
    <w:rsid w:val="00D5373C"/>
    <w:rsid w:val="00D71CC3"/>
    <w:rsid w:val="00D97ABA"/>
    <w:rsid w:val="00DB6228"/>
    <w:rsid w:val="00E11A89"/>
    <w:rsid w:val="00E11AB9"/>
    <w:rsid w:val="00E26E93"/>
    <w:rsid w:val="00EA2C9B"/>
    <w:rsid w:val="00EB2754"/>
    <w:rsid w:val="00EB2A94"/>
    <w:rsid w:val="00EC5B39"/>
    <w:rsid w:val="00ED5C1A"/>
    <w:rsid w:val="00EE0523"/>
    <w:rsid w:val="00F370AC"/>
    <w:rsid w:val="00F47215"/>
    <w:rsid w:val="00FA688A"/>
    <w:rsid w:val="00FB3EED"/>
    <w:rsid w:val="00FE2E78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40A6B8"/>
  <w15:docId w15:val="{014BE594-1F82-4EF7-BDBB-F4F27324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tyl moj,Akapit z listą11,List Paragraph"/>
    <w:basedOn w:val="Normalny"/>
    <w:link w:val="AkapitzlistZnak"/>
    <w:uiPriority w:val="34"/>
    <w:qFormat/>
    <w:rsid w:val="00AB09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0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01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01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1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3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AD34BC"/>
  </w:style>
  <w:style w:type="character" w:customStyle="1" w:styleId="AkapitzlistZnak">
    <w:name w:val="Akapit z listą Znak"/>
    <w:aliases w:val="Styl moj Znak,Akapit z listą11 Znak,List Paragraph Znak"/>
    <w:link w:val="Akapitzlist"/>
    <w:uiPriority w:val="34"/>
    <w:locked/>
    <w:rsid w:val="00DB6228"/>
  </w:style>
  <w:style w:type="character" w:styleId="Hipercze">
    <w:name w:val="Hyperlink"/>
    <w:basedOn w:val="Domylnaczcionkaakapitu"/>
    <w:uiPriority w:val="99"/>
    <w:unhideWhenUsed/>
    <w:rsid w:val="003A4BCF"/>
    <w:rPr>
      <w:color w:val="0000FF"/>
      <w:u w:val="single"/>
    </w:rPr>
  </w:style>
  <w:style w:type="character" w:customStyle="1" w:styleId="xn-chron">
    <w:name w:val="xn-chron"/>
    <w:basedOn w:val="Domylnaczcionkaakapitu"/>
    <w:rsid w:val="003A4BCF"/>
  </w:style>
  <w:style w:type="character" w:styleId="UyteHipercze">
    <w:name w:val="FollowedHyperlink"/>
    <w:basedOn w:val="Domylnaczcionkaakapitu"/>
    <w:uiPriority w:val="99"/>
    <w:semiHidden/>
    <w:unhideWhenUsed/>
    <w:rsid w:val="00AB5A8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3E0"/>
  </w:style>
  <w:style w:type="paragraph" w:styleId="Stopka">
    <w:name w:val="footer"/>
    <w:basedOn w:val="Normalny"/>
    <w:link w:val="StopkaZnak"/>
    <w:uiPriority w:val="99"/>
    <w:unhideWhenUsed/>
    <w:rsid w:val="0042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8804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Olszyńska</dc:creator>
  <cp:lastModifiedBy>Królak-Buzakowska Joanna</cp:lastModifiedBy>
  <cp:revision>2</cp:revision>
  <cp:lastPrinted>2017-01-11T10:01:00Z</cp:lastPrinted>
  <dcterms:created xsi:type="dcterms:W3CDTF">2019-08-21T13:05:00Z</dcterms:created>
  <dcterms:modified xsi:type="dcterms:W3CDTF">2019-08-21T13:05:00Z</dcterms:modified>
</cp:coreProperties>
</file>