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CA6AFF" w14:textId="10A519AD" w:rsidR="00736825" w:rsidRPr="00736825" w:rsidRDefault="00736825" w:rsidP="007368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8"/>
          <w:lang w:eastAsia="pl-PL"/>
        </w:rPr>
      </w:pPr>
      <w:r w:rsidRPr="00736825">
        <w:rPr>
          <w:rFonts w:ascii="Times New Roman" w:eastAsia="Times New Roman" w:hAnsi="Times New Roman" w:cs="Times New Roman"/>
          <w:szCs w:val="28"/>
          <w:lang w:eastAsia="pl-PL"/>
        </w:rPr>
        <w:t>Załącznik B.105.</w:t>
      </w:r>
    </w:p>
    <w:p w14:paraId="3677AA27" w14:textId="77777777" w:rsidR="00736825" w:rsidRPr="00736825" w:rsidRDefault="00736825" w:rsidP="007368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8"/>
          <w:lang w:eastAsia="pl-PL"/>
        </w:rPr>
      </w:pPr>
    </w:p>
    <w:p w14:paraId="27C77B34" w14:textId="77777777" w:rsidR="00736825" w:rsidRPr="00736825" w:rsidRDefault="00736825" w:rsidP="00736825">
      <w:pPr>
        <w:autoSpaceDE w:val="0"/>
        <w:autoSpaceDN w:val="0"/>
        <w:adjustRightInd w:val="0"/>
        <w:spacing w:after="240" w:line="240" w:lineRule="auto"/>
        <w:rPr>
          <w:rFonts w:ascii="Courier New" w:eastAsia="Times New Roman" w:hAnsi="Courier New" w:cs="Times New Roman"/>
          <w:sz w:val="28"/>
          <w:szCs w:val="28"/>
          <w:lang w:eastAsia="pl-PL"/>
        </w:rPr>
      </w:pPr>
      <w:r w:rsidRPr="0073682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LECZENIE ZAPALENIA BŁONY NACZYNIOWEJ OKA (ZBN) – CZĘŚĆ POŚREDNIA, ODCINEK TYLNY LUB CAŁA BŁONA NACZYNIOWA (ICD-10 H 20.0, H 30.0)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6940"/>
        <w:gridCol w:w="4112"/>
        <w:gridCol w:w="4336"/>
      </w:tblGrid>
      <w:tr w:rsidR="00AB0910" w:rsidRPr="00594413" w14:paraId="259D504C" w14:textId="77777777" w:rsidTr="00736825">
        <w:tc>
          <w:tcPr>
            <w:tcW w:w="5000" w:type="pct"/>
            <w:gridSpan w:val="3"/>
          </w:tcPr>
          <w:p w14:paraId="4C459CCD" w14:textId="77777777" w:rsidR="00AB0910" w:rsidRPr="00594413" w:rsidRDefault="00AB0910" w:rsidP="0014554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413">
              <w:rPr>
                <w:rFonts w:ascii="Times New Roman" w:hAnsi="Times New Roman" w:cs="Times New Roman"/>
                <w:b/>
                <w:sz w:val="20"/>
                <w:szCs w:val="20"/>
              </w:rPr>
              <w:t>ZAKRES ŚWIADCZENIA GWARANTOWANEGO</w:t>
            </w:r>
          </w:p>
        </w:tc>
      </w:tr>
      <w:tr w:rsidR="00AB0910" w:rsidRPr="00594413" w14:paraId="1DD34321" w14:textId="77777777" w:rsidTr="00736825">
        <w:tc>
          <w:tcPr>
            <w:tcW w:w="2255" w:type="pct"/>
            <w:vAlign w:val="center"/>
          </w:tcPr>
          <w:p w14:paraId="1F1E35B3" w14:textId="77777777" w:rsidR="00AB0910" w:rsidRPr="00594413" w:rsidRDefault="00AB0910" w:rsidP="0073682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413">
              <w:rPr>
                <w:rFonts w:ascii="Times New Roman" w:hAnsi="Times New Roman" w:cs="Times New Roman"/>
                <w:b/>
                <w:sz w:val="20"/>
                <w:szCs w:val="20"/>
              </w:rPr>
              <w:t>ŚWIADCZENIOBIORCY</w:t>
            </w:r>
          </w:p>
        </w:tc>
        <w:tc>
          <w:tcPr>
            <w:tcW w:w="1336" w:type="pct"/>
            <w:vAlign w:val="center"/>
          </w:tcPr>
          <w:p w14:paraId="64FECF72" w14:textId="77777777" w:rsidR="00AB0910" w:rsidRPr="00594413" w:rsidRDefault="00AB0910" w:rsidP="0073682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413">
              <w:rPr>
                <w:rFonts w:ascii="Times New Roman" w:hAnsi="Times New Roman" w:cs="Times New Roman"/>
                <w:b/>
                <w:sz w:val="20"/>
                <w:szCs w:val="20"/>
              </w:rPr>
              <w:t>SCHEMAT DAWKOWANIA LEKÓW</w:t>
            </w:r>
          </w:p>
          <w:p w14:paraId="1E6923D4" w14:textId="77777777" w:rsidR="00AB0910" w:rsidRPr="00594413" w:rsidRDefault="00AB0910" w:rsidP="0073682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413">
              <w:rPr>
                <w:rFonts w:ascii="Times New Roman" w:hAnsi="Times New Roman" w:cs="Times New Roman"/>
                <w:b/>
                <w:sz w:val="20"/>
                <w:szCs w:val="20"/>
              </w:rPr>
              <w:t>W PROGRAMIE</w:t>
            </w:r>
          </w:p>
        </w:tc>
        <w:tc>
          <w:tcPr>
            <w:tcW w:w="1409" w:type="pct"/>
            <w:vAlign w:val="center"/>
          </w:tcPr>
          <w:p w14:paraId="33F01E9D" w14:textId="25C316C7" w:rsidR="00AB0910" w:rsidRPr="00594413" w:rsidRDefault="00AB0910" w:rsidP="0073682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413">
              <w:rPr>
                <w:rFonts w:ascii="Times New Roman" w:hAnsi="Times New Roman" w:cs="Times New Roman"/>
                <w:b/>
                <w:sz w:val="20"/>
                <w:szCs w:val="20"/>
              </w:rPr>
              <w:t>BADANIA DIAGNOSTYCZNE WYKONYWANE W</w:t>
            </w:r>
            <w:r w:rsidR="007368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94413">
              <w:rPr>
                <w:rFonts w:ascii="Times New Roman" w:hAnsi="Times New Roman" w:cs="Times New Roman"/>
                <w:b/>
                <w:sz w:val="20"/>
                <w:szCs w:val="20"/>
              </w:rPr>
              <w:t>RAMACH PROGRAMU</w:t>
            </w:r>
          </w:p>
        </w:tc>
      </w:tr>
      <w:tr w:rsidR="00AB0910" w:rsidRPr="00594413" w14:paraId="1D3E3FBD" w14:textId="77777777" w:rsidTr="00736825">
        <w:tc>
          <w:tcPr>
            <w:tcW w:w="2255" w:type="pct"/>
          </w:tcPr>
          <w:p w14:paraId="4CC31783" w14:textId="77777777" w:rsidR="00AB0910" w:rsidRPr="00766B60" w:rsidRDefault="00AB0910" w:rsidP="007B698D">
            <w:pPr>
              <w:pStyle w:val="Akapitzlist"/>
              <w:numPr>
                <w:ilvl w:val="0"/>
                <w:numId w:val="24"/>
              </w:numPr>
              <w:spacing w:before="60" w:after="60" w:line="276" w:lineRule="auto"/>
              <w:ind w:left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6B60">
              <w:rPr>
                <w:rFonts w:ascii="Times New Roman" w:hAnsi="Times New Roman" w:cs="Times New Roman"/>
                <w:b/>
                <w:sz w:val="20"/>
                <w:szCs w:val="20"/>
              </w:rPr>
              <w:t>Kryteria kwalifikacji:</w:t>
            </w:r>
          </w:p>
          <w:p w14:paraId="54182ABC" w14:textId="77777777" w:rsidR="00D30EDD" w:rsidRDefault="005373A6" w:rsidP="007B698D">
            <w:pPr>
              <w:spacing w:before="60"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Pacjent jest kwalifikowany do programu przez Zespół Koordynacyjny, powoływany przez Prezesa Narodowego Funduszu Zdrowia.</w:t>
            </w:r>
          </w:p>
          <w:p w14:paraId="7369E436" w14:textId="3497355F" w:rsidR="005373A6" w:rsidRPr="007B0C96" w:rsidRDefault="007B0C96" w:rsidP="007B698D">
            <w:pPr>
              <w:spacing w:before="60"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0C96">
              <w:rPr>
                <w:rFonts w:ascii="Times New Roman" w:hAnsi="Times New Roman" w:cs="Times New Roman"/>
                <w:sz w:val="20"/>
                <w:szCs w:val="20"/>
              </w:rPr>
              <w:t xml:space="preserve">Do oceny </w:t>
            </w:r>
            <w:r w:rsidRPr="001B5F3C">
              <w:rPr>
                <w:rFonts w:ascii="Times New Roman" w:hAnsi="Times New Roman" w:cs="Times New Roman"/>
                <w:sz w:val="20"/>
                <w:szCs w:val="20"/>
              </w:rPr>
              <w:t>stanu klinicznego</w:t>
            </w:r>
            <w:r w:rsidRPr="004A7499">
              <w:rPr>
                <w:rFonts w:ascii="Times New Roman" w:hAnsi="Times New Roman" w:cs="Times New Roman"/>
                <w:sz w:val="20"/>
                <w:szCs w:val="20"/>
              </w:rPr>
              <w:t xml:space="preserve"> pacjentów stosowane są kryteria SUN opisane w </w:t>
            </w:r>
            <w:r w:rsidRPr="004A7499">
              <w:rPr>
                <w:rFonts w:ascii="Times New Roman" w:eastAsia="Arial" w:hAnsi="Times New Roman" w:cs="Times New Roman"/>
                <w:i/>
                <w:iCs/>
                <w:sz w:val="20"/>
                <w:szCs w:val="20"/>
              </w:rPr>
              <w:t>standaryzacji nomenklatury zapaleń błony naczyniowej (Standarization of Uveitis Nomenclature)</w:t>
            </w:r>
            <w:r w:rsidR="00D30ED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064F3D6" w14:textId="77777777" w:rsidR="007B0C96" w:rsidRDefault="007B0C96" w:rsidP="007B698D">
            <w:pPr>
              <w:spacing w:before="60"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EB3B45" w14:textId="588B3F62" w:rsidR="00AB0910" w:rsidRPr="00594413" w:rsidRDefault="00AB0910" w:rsidP="007B698D">
            <w:pPr>
              <w:spacing w:before="60"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4413">
              <w:rPr>
                <w:rFonts w:ascii="Times New Roman" w:hAnsi="Times New Roman" w:cs="Times New Roman"/>
                <w:sz w:val="20"/>
                <w:szCs w:val="20"/>
              </w:rPr>
              <w:t xml:space="preserve">Do leczenia </w:t>
            </w:r>
            <w:r w:rsidR="00317B1A">
              <w:rPr>
                <w:rFonts w:ascii="Times New Roman" w:hAnsi="Times New Roman" w:cs="Times New Roman"/>
                <w:sz w:val="20"/>
                <w:szCs w:val="20"/>
              </w:rPr>
              <w:t>adalimumabem</w:t>
            </w:r>
            <w:r w:rsidR="00317B1A" w:rsidRPr="005944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4413">
              <w:rPr>
                <w:rFonts w:ascii="Times New Roman" w:hAnsi="Times New Roman" w:cs="Times New Roman"/>
                <w:sz w:val="20"/>
                <w:szCs w:val="20"/>
              </w:rPr>
              <w:t>w ramach programu</w:t>
            </w:r>
            <w:r w:rsidR="005373A6">
              <w:rPr>
                <w:rFonts w:ascii="Times New Roman" w:hAnsi="Times New Roman" w:cs="Times New Roman"/>
                <w:sz w:val="20"/>
                <w:szCs w:val="20"/>
              </w:rPr>
              <w:t xml:space="preserve"> lekowego</w:t>
            </w:r>
            <w:r w:rsidRPr="00594413">
              <w:rPr>
                <w:rFonts w:ascii="Times New Roman" w:hAnsi="Times New Roman" w:cs="Times New Roman"/>
                <w:sz w:val="20"/>
                <w:szCs w:val="20"/>
              </w:rPr>
              <w:t xml:space="preserve"> kwalifikują się świadczeniobiorcy s</w:t>
            </w:r>
            <w:r w:rsidR="00B51D9D" w:rsidRPr="00594413">
              <w:rPr>
                <w:rFonts w:ascii="Times New Roman" w:hAnsi="Times New Roman" w:cs="Times New Roman"/>
                <w:sz w:val="20"/>
                <w:szCs w:val="20"/>
              </w:rPr>
              <w:t>pełniający następujące kryteria (</w:t>
            </w:r>
            <w:r w:rsidR="00B51D9D" w:rsidRPr="00594413">
              <w:rPr>
                <w:rFonts w:ascii="Times New Roman" w:hAnsi="Times New Roman" w:cs="Times New Roman"/>
                <w:i/>
                <w:sz w:val="20"/>
                <w:szCs w:val="20"/>
              </w:rPr>
              <w:t>konieczne jest łączne spełnienie</w:t>
            </w:r>
            <w:r w:rsidR="0015719A" w:rsidRPr="0059441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kryteriów </w:t>
            </w:r>
            <w:r w:rsidR="004A6B8F" w:rsidRPr="0059441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przedstawionych </w:t>
            </w:r>
            <w:r w:rsidR="0015719A" w:rsidRPr="00594413">
              <w:rPr>
                <w:rFonts w:ascii="Times New Roman" w:hAnsi="Times New Roman" w:cs="Times New Roman"/>
                <w:i/>
                <w:sz w:val="20"/>
                <w:szCs w:val="20"/>
              </w:rPr>
              <w:t>w punkcie a i b oraz jednego z kryteriów wskazanych w punkcie c, d i e</w:t>
            </w:r>
            <w:r w:rsidR="0015719A" w:rsidRPr="00594413">
              <w:rPr>
                <w:rFonts w:ascii="Times New Roman" w:hAnsi="Times New Roman" w:cs="Times New Roman"/>
                <w:sz w:val="20"/>
                <w:szCs w:val="20"/>
              </w:rPr>
              <w:t xml:space="preserve">). </w:t>
            </w:r>
          </w:p>
          <w:p w14:paraId="0A4DC0CD" w14:textId="77777777" w:rsidR="005373A6" w:rsidRDefault="00CB0E1D" w:rsidP="007B698D">
            <w:pPr>
              <w:pStyle w:val="Akapitzlist"/>
              <w:numPr>
                <w:ilvl w:val="0"/>
                <w:numId w:val="6"/>
              </w:numPr>
              <w:spacing w:before="60"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4413">
              <w:rPr>
                <w:rFonts w:ascii="Times New Roman" w:hAnsi="Times New Roman" w:cs="Times New Roman"/>
                <w:sz w:val="20"/>
                <w:szCs w:val="20"/>
              </w:rPr>
              <w:t xml:space="preserve">wiek </w:t>
            </w:r>
            <w:r w:rsidR="009549A9" w:rsidRPr="00594413">
              <w:rPr>
                <w:rFonts w:ascii="Times New Roman" w:hAnsi="Times New Roman" w:cs="Times New Roman"/>
                <w:sz w:val="20"/>
                <w:szCs w:val="20"/>
              </w:rPr>
              <w:t xml:space="preserve">chorego </w:t>
            </w:r>
            <w:r w:rsidRPr="00594413">
              <w:rPr>
                <w:rFonts w:ascii="Times New Roman" w:hAnsi="Times New Roman" w:cs="Times New Roman"/>
                <w:sz w:val="20"/>
                <w:szCs w:val="20"/>
              </w:rPr>
              <w:t>≥ 18 r.ż.;</w:t>
            </w:r>
          </w:p>
          <w:p w14:paraId="63EA4054" w14:textId="77777777" w:rsidR="005373A6" w:rsidRDefault="005373A6" w:rsidP="007B698D">
            <w:pPr>
              <w:pStyle w:val="Akapitzlist"/>
              <w:numPr>
                <w:ilvl w:val="0"/>
                <w:numId w:val="6"/>
              </w:numPr>
              <w:spacing w:before="60"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73A6">
              <w:rPr>
                <w:rFonts w:ascii="Times New Roman" w:hAnsi="Times New Roman" w:cs="Times New Roman"/>
                <w:sz w:val="20"/>
                <w:szCs w:val="20"/>
              </w:rPr>
              <w:t xml:space="preserve">chorzy z niezakaźnym przewlekłym, przetrwałym lub nawrotowym ZBN (części pośredniej, odcinka tylnego lub całej błony naczyniowej); </w:t>
            </w:r>
          </w:p>
          <w:p w14:paraId="2CB2B7C6" w14:textId="77777777" w:rsidR="005373A6" w:rsidRPr="005373A6" w:rsidRDefault="005373A6" w:rsidP="007B698D">
            <w:pPr>
              <w:pStyle w:val="Akapitzlist"/>
              <w:numPr>
                <w:ilvl w:val="0"/>
                <w:numId w:val="6"/>
              </w:numPr>
              <w:spacing w:before="60"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73A6">
              <w:rPr>
                <w:rFonts w:ascii="Times New Roman" w:hAnsi="Times New Roman" w:cs="Times New Roman"/>
                <w:sz w:val="20"/>
                <w:szCs w:val="20"/>
              </w:rPr>
              <w:t>niemożliwe do osiągnięcia stadium nieaktywne choroby przy dawce ≤ 10 mg prednizolonu (lub dawce równoważnej innego leku steroidowego) lub terapii lekami immunosupresyjnymi, lub kombinacji leczenia obu typami leków po kursie leczenia trwającym 15 tygodni. Choroba nieaktywna definiowana jest jako:</w:t>
            </w:r>
          </w:p>
          <w:p w14:paraId="5F40F7ED" w14:textId="6E8266B9" w:rsidR="005373A6" w:rsidRPr="005373A6" w:rsidRDefault="005373A6" w:rsidP="007B698D">
            <w:pPr>
              <w:pStyle w:val="Akapitzlist"/>
              <w:numPr>
                <w:ilvl w:val="0"/>
                <w:numId w:val="17"/>
              </w:numPr>
              <w:spacing w:before="60"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73A6">
              <w:rPr>
                <w:rFonts w:ascii="Times New Roman" w:hAnsi="Times New Roman" w:cs="Times New Roman"/>
                <w:sz w:val="20"/>
                <w:szCs w:val="20"/>
              </w:rPr>
              <w:t>brak aktywnej zapalnej zmiany naczyniówki i siatkówki i/lub naczyń siatkówki</w:t>
            </w:r>
            <w:r w:rsidR="00E26E9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5A74267F" w14:textId="1BABAF5C" w:rsidR="005373A6" w:rsidRPr="005373A6" w:rsidRDefault="005373A6" w:rsidP="007B698D">
            <w:pPr>
              <w:pStyle w:val="Akapitzlist"/>
              <w:numPr>
                <w:ilvl w:val="0"/>
                <w:numId w:val="17"/>
              </w:numPr>
              <w:spacing w:before="60"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73A6">
              <w:rPr>
                <w:rFonts w:ascii="Times New Roman" w:hAnsi="Times New Roman" w:cs="Times New Roman"/>
                <w:sz w:val="20"/>
                <w:szCs w:val="20"/>
              </w:rPr>
              <w:t>stopień nacieków komórkowych w komorze przedniej oka ≤0,5+ według kryteriów SUN</w:t>
            </w:r>
            <w:r w:rsidR="00E26E9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34F5C974" w14:textId="77777777" w:rsidR="005373A6" w:rsidRPr="005373A6" w:rsidRDefault="005373A6" w:rsidP="007B698D">
            <w:pPr>
              <w:pStyle w:val="Akapitzlist"/>
              <w:numPr>
                <w:ilvl w:val="0"/>
                <w:numId w:val="17"/>
              </w:numPr>
              <w:spacing w:before="60"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73A6">
              <w:rPr>
                <w:rFonts w:ascii="Times New Roman" w:hAnsi="Times New Roman" w:cs="Times New Roman"/>
                <w:sz w:val="20"/>
                <w:szCs w:val="20"/>
              </w:rPr>
              <w:t>stopień przymglenia ciała szklistego oka ≤0,5+ według kryteriów SUN</w:t>
            </w:r>
            <w:r w:rsidRPr="005373A6"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14:paraId="543E2F85" w14:textId="77777777" w:rsidR="005373A6" w:rsidRPr="005373A6" w:rsidRDefault="005373A6" w:rsidP="007B698D">
            <w:pPr>
              <w:pStyle w:val="Akapitzlist"/>
              <w:numPr>
                <w:ilvl w:val="0"/>
                <w:numId w:val="6"/>
              </w:numPr>
              <w:spacing w:before="60"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73A6">
              <w:rPr>
                <w:rFonts w:ascii="Times New Roman" w:hAnsi="Times New Roman" w:cs="Times New Roman"/>
                <w:sz w:val="20"/>
                <w:szCs w:val="20"/>
              </w:rPr>
              <w:t xml:space="preserve">konieczność zmniejszenia dawki kortykosteroidów lub odstawienia leczenia immunosupresyjnego, u chorych z chorobą nieaktywną u których udokumentowano co najmniej 1 zaostrzenie choroby występujące w czasie do 28 dni od rozpoczęcia zmniejszania dawki kortykosteroidów lub stabilizacji po odstawieniu obu typu leków trwającej krócej niż 3 miesiące; </w:t>
            </w:r>
          </w:p>
          <w:p w14:paraId="70B1ECFC" w14:textId="77777777" w:rsidR="005373A6" w:rsidRPr="005373A6" w:rsidRDefault="005373A6" w:rsidP="007B698D">
            <w:pPr>
              <w:pStyle w:val="Akapitzlist"/>
              <w:numPr>
                <w:ilvl w:val="0"/>
                <w:numId w:val="6"/>
              </w:numPr>
              <w:spacing w:before="60"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73A6">
              <w:rPr>
                <w:rFonts w:ascii="Times New Roman" w:hAnsi="Times New Roman" w:cs="Times New Roman"/>
                <w:sz w:val="20"/>
                <w:szCs w:val="20"/>
              </w:rPr>
              <w:t>występowanie przeciwwskazań lub objawów nietolerancji terapii z zastosowaniem kortykosteroidów lub leków immunosupresyjnych.</w:t>
            </w:r>
          </w:p>
          <w:p w14:paraId="74DD806C" w14:textId="710B88B0" w:rsidR="005373A6" w:rsidRPr="006B1DA7" w:rsidRDefault="006B1DA7" w:rsidP="006B1DA7">
            <w:pPr>
              <w:spacing w:before="60"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 programu włączani są również chorzy, którzy byli uprzednio leczeni w ramach hospitalizacji według jednorodnych grup pacjentów (JGP) </w:t>
            </w:r>
            <w:r w:rsidR="00317B1A">
              <w:rPr>
                <w:rFonts w:ascii="Times New Roman" w:hAnsi="Times New Roman" w:cs="Times New Roman"/>
                <w:sz w:val="20"/>
                <w:szCs w:val="20"/>
              </w:rPr>
              <w:t>adalimumabem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pod warunkiem, że spełniali kryteria włączenia do programu. </w:t>
            </w:r>
          </w:p>
          <w:p w14:paraId="70949941" w14:textId="00A69E20" w:rsidR="005373A6" w:rsidRPr="00594413" w:rsidRDefault="005373A6" w:rsidP="007B698D">
            <w:pPr>
              <w:spacing w:before="60"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4413">
              <w:rPr>
                <w:rFonts w:ascii="Times New Roman" w:hAnsi="Times New Roman" w:cs="Times New Roman"/>
                <w:sz w:val="20"/>
                <w:szCs w:val="20"/>
              </w:rPr>
              <w:t xml:space="preserve">Kobiety w wieku rozrodczym muszą wyrazić zgodę na świadomą kontrolę urodzeń w trakcie leczenia  </w:t>
            </w:r>
            <w:r w:rsidR="00317B1A">
              <w:rPr>
                <w:rFonts w:ascii="Times New Roman" w:hAnsi="Times New Roman" w:cs="Times New Roman"/>
                <w:sz w:val="20"/>
                <w:szCs w:val="20"/>
              </w:rPr>
              <w:t>adalimumabem</w:t>
            </w:r>
            <w:r w:rsidR="00317B1A" w:rsidRPr="005944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4413">
              <w:rPr>
                <w:rFonts w:ascii="Times New Roman" w:hAnsi="Times New Roman" w:cs="Times New Roman"/>
                <w:sz w:val="20"/>
                <w:szCs w:val="20"/>
              </w:rPr>
              <w:t xml:space="preserve">oraz w okresie do 5 miesięcy po zastosowaniu ostatniej dawki </w:t>
            </w:r>
            <w:r w:rsidR="00317B1A">
              <w:rPr>
                <w:rFonts w:ascii="Times New Roman" w:hAnsi="Times New Roman" w:cs="Times New Roman"/>
                <w:sz w:val="20"/>
                <w:szCs w:val="20"/>
              </w:rPr>
              <w:t>adalimumabu</w:t>
            </w:r>
            <w:r w:rsidRPr="005944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FC853B8" w14:textId="77777777" w:rsidR="00061BF6" w:rsidRPr="00594413" w:rsidRDefault="00061BF6" w:rsidP="007B698D">
            <w:pPr>
              <w:spacing w:before="60"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406C20" w14:textId="77777777" w:rsidR="00AB0910" w:rsidRPr="00766B60" w:rsidRDefault="00AB0910" w:rsidP="007B698D">
            <w:pPr>
              <w:pStyle w:val="Akapitzlist"/>
              <w:numPr>
                <w:ilvl w:val="0"/>
                <w:numId w:val="24"/>
              </w:numPr>
              <w:spacing w:before="60" w:after="60" w:line="276" w:lineRule="auto"/>
              <w:ind w:left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6B60">
              <w:rPr>
                <w:rFonts w:ascii="Times New Roman" w:hAnsi="Times New Roman" w:cs="Times New Roman"/>
                <w:b/>
                <w:sz w:val="20"/>
                <w:szCs w:val="20"/>
              </w:rPr>
              <w:t>Określenie czasu leczenia w programie:</w:t>
            </w:r>
          </w:p>
          <w:p w14:paraId="2980B688" w14:textId="77777777" w:rsidR="005373A6" w:rsidRDefault="00527C31" w:rsidP="007B698D">
            <w:pPr>
              <w:spacing w:before="60"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4413">
              <w:rPr>
                <w:rFonts w:ascii="Times New Roman" w:hAnsi="Times New Roman" w:cs="Times New Roman"/>
                <w:sz w:val="20"/>
                <w:szCs w:val="20"/>
              </w:rPr>
              <w:t>Leczenie trwa do czasu podjęcia przez lekarza prowadzącego decyzji o wyłączeniu pacjenta z programu z</w:t>
            </w:r>
            <w:r w:rsidR="005373A6">
              <w:rPr>
                <w:rFonts w:ascii="Times New Roman" w:hAnsi="Times New Roman" w:cs="Times New Roman"/>
                <w:sz w:val="20"/>
                <w:szCs w:val="20"/>
              </w:rPr>
              <w:t xml:space="preserve">godnie z kryteriami wyłączenia. </w:t>
            </w:r>
          </w:p>
          <w:p w14:paraId="4DEB703C" w14:textId="77777777" w:rsidR="00E26E93" w:rsidRDefault="005373A6" w:rsidP="007B698D">
            <w:pPr>
              <w:spacing w:before="60"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73A6">
              <w:rPr>
                <w:rFonts w:ascii="Times New Roman" w:hAnsi="Times New Roman" w:cs="Times New Roman"/>
                <w:sz w:val="20"/>
                <w:szCs w:val="20"/>
              </w:rPr>
              <w:t>W przypadku braku powikłań leczenie prowadzone powinno być 24 miesiące.</w:t>
            </w:r>
          </w:p>
          <w:p w14:paraId="28F70D14" w14:textId="6018D192" w:rsidR="00E26E93" w:rsidRDefault="005373A6" w:rsidP="007B698D">
            <w:pPr>
              <w:spacing w:before="60"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73A6">
              <w:rPr>
                <w:rFonts w:ascii="Times New Roman" w:hAnsi="Times New Roman" w:cs="Times New Roman"/>
                <w:sz w:val="20"/>
                <w:szCs w:val="20"/>
              </w:rPr>
              <w:t xml:space="preserve">Za remisję należy uznać brak aktywności według kryteriów SUN trwający więcej niż 3 miesiące po odstawieniu leczenia. </w:t>
            </w:r>
          </w:p>
          <w:p w14:paraId="49E74E01" w14:textId="28BD8F8F" w:rsidR="009C20A9" w:rsidRPr="00594413" w:rsidRDefault="005373A6" w:rsidP="007B698D">
            <w:pPr>
              <w:spacing w:before="60"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73A6">
              <w:rPr>
                <w:rFonts w:ascii="Times New Roman" w:hAnsi="Times New Roman" w:cs="Times New Roman"/>
                <w:sz w:val="20"/>
                <w:szCs w:val="20"/>
              </w:rPr>
              <w:t xml:space="preserve">W przypadku nawrotów pacjent może być włączony do programu zgodnie z kryteriami włączenia.  </w:t>
            </w:r>
          </w:p>
          <w:p w14:paraId="49A86AF5" w14:textId="77777777" w:rsidR="009C20A9" w:rsidRPr="00594413" w:rsidRDefault="009C20A9" w:rsidP="007B698D">
            <w:pPr>
              <w:spacing w:before="60" w:after="6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D1C16BD" w14:textId="77777777" w:rsidR="00AB0910" w:rsidRPr="00766B60" w:rsidRDefault="00EE0523" w:rsidP="007B698D">
            <w:pPr>
              <w:pStyle w:val="Akapitzlist"/>
              <w:numPr>
                <w:ilvl w:val="0"/>
                <w:numId w:val="24"/>
              </w:numPr>
              <w:spacing w:before="60" w:after="60" w:line="276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766B60">
              <w:rPr>
                <w:rFonts w:ascii="Times New Roman" w:hAnsi="Times New Roman" w:cs="Times New Roman"/>
                <w:b/>
                <w:sz w:val="20"/>
                <w:szCs w:val="20"/>
              </w:rPr>
              <w:t>Kryteria wyłączenia</w:t>
            </w:r>
            <w:r w:rsidR="00AB0910" w:rsidRPr="00766B6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19A1336B" w14:textId="77777777" w:rsidR="00766B60" w:rsidRPr="00594413" w:rsidRDefault="00766B60" w:rsidP="007B698D">
            <w:pPr>
              <w:spacing w:before="60"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4413">
              <w:rPr>
                <w:rFonts w:ascii="Times New Roman" w:hAnsi="Times New Roman" w:cs="Times New Roman"/>
                <w:sz w:val="20"/>
                <w:szCs w:val="20"/>
              </w:rPr>
              <w:t>W przypadku wystąpienia co najmniej jednego z poniższych kryteriów pacjent zostaje wyłączony z programu:</w:t>
            </w:r>
          </w:p>
          <w:p w14:paraId="583E52C8" w14:textId="130CE1F5" w:rsidR="00766B60" w:rsidRPr="00766B60" w:rsidRDefault="00766B60" w:rsidP="007B698D">
            <w:pPr>
              <w:pStyle w:val="Akapitzlist"/>
              <w:numPr>
                <w:ilvl w:val="0"/>
                <w:numId w:val="25"/>
              </w:numPr>
              <w:spacing w:before="60" w:after="60" w:line="276" w:lineRule="auto"/>
              <w:ind w:left="743"/>
              <w:rPr>
                <w:rFonts w:ascii="Times New Roman" w:hAnsi="Times New Roman" w:cs="Times New Roman"/>
                <w:sz w:val="20"/>
                <w:szCs w:val="20"/>
              </w:rPr>
            </w:pPr>
            <w:r w:rsidRPr="00766B60">
              <w:rPr>
                <w:rFonts w:ascii="Times New Roman" w:hAnsi="Times New Roman" w:cs="Times New Roman"/>
                <w:sz w:val="20"/>
                <w:szCs w:val="20"/>
              </w:rPr>
              <w:t xml:space="preserve">niepowodzenie leczenia - wystąpienie w co najmniej 1 oku co najmniej 1 z poniższych zmian w czasie co najmniej 6 tygodni (chorzy z aktywną postacią ZBN) od rozpoczęcia terapii </w:t>
            </w:r>
            <w:r w:rsidR="00317B1A">
              <w:rPr>
                <w:rFonts w:ascii="Times New Roman" w:hAnsi="Times New Roman" w:cs="Times New Roman"/>
                <w:sz w:val="20"/>
                <w:szCs w:val="20"/>
              </w:rPr>
              <w:t>adalimumabem</w:t>
            </w:r>
            <w:r w:rsidRPr="00766B6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69FAA45C" w14:textId="5522950A" w:rsidR="00766B60" w:rsidRPr="00766B60" w:rsidRDefault="00766B60" w:rsidP="007B698D">
            <w:pPr>
              <w:pStyle w:val="Akapitzlist"/>
              <w:numPr>
                <w:ilvl w:val="0"/>
                <w:numId w:val="14"/>
              </w:numPr>
              <w:spacing w:before="60"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B60">
              <w:rPr>
                <w:rFonts w:ascii="Times New Roman" w:hAnsi="Times New Roman" w:cs="Times New Roman"/>
                <w:sz w:val="20"/>
                <w:szCs w:val="20"/>
              </w:rPr>
              <w:t>powstanie nowych aktywnych zmian zapalnych naczyniówki lub siatkówki, lub naczyń siatkówki</w:t>
            </w:r>
            <w:r w:rsidR="00E26E9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26E93" w:rsidRPr="00766B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F80583B" w14:textId="2ABC80EB" w:rsidR="00766B60" w:rsidRPr="00766B60" w:rsidRDefault="00766B60" w:rsidP="007B698D">
            <w:pPr>
              <w:pStyle w:val="Akapitzlist"/>
              <w:numPr>
                <w:ilvl w:val="0"/>
                <w:numId w:val="14"/>
              </w:numPr>
              <w:spacing w:before="60"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B60">
              <w:rPr>
                <w:rFonts w:ascii="Times New Roman" w:hAnsi="Times New Roman" w:cs="Times New Roman"/>
                <w:sz w:val="20"/>
                <w:szCs w:val="20"/>
              </w:rPr>
              <w:t>pogorszenie najlepszej skorygowanej ostrości wzroku do dali względem wartości początkowej o ≥ 15 liter (≥3 linie wg Snellena</w:t>
            </w:r>
            <w:r w:rsidR="00E26E93" w:rsidRPr="00766B6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E26E9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26E93" w:rsidRPr="00766B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9C59E1D" w14:textId="1CAA7A82" w:rsidR="00766B60" w:rsidRPr="00766B60" w:rsidRDefault="00766B60" w:rsidP="007B698D">
            <w:pPr>
              <w:pStyle w:val="Akapitzlist"/>
              <w:numPr>
                <w:ilvl w:val="0"/>
                <w:numId w:val="14"/>
              </w:numPr>
              <w:spacing w:before="60"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B60">
              <w:rPr>
                <w:rFonts w:ascii="Times New Roman" w:hAnsi="Times New Roman" w:cs="Times New Roman"/>
                <w:sz w:val="20"/>
                <w:szCs w:val="20"/>
              </w:rPr>
              <w:t xml:space="preserve">stopień nacieków komórkowych w komorze przedniej oka oraz przymglenie ciała szklistego oka wynoszące </w:t>
            </w:r>
            <w:r w:rsidR="00B0797F">
              <w:rPr>
                <w:rFonts w:ascii="Times New Roman" w:hAnsi="Times New Roman" w:cs="Times New Roman"/>
                <w:sz w:val="20"/>
                <w:szCs w:val="20"/>
              </w:rPr>
              <w:t xml:space="preserve">≥0,5 dla pacjentów, którzy osiągnęli stopień 0 </w:t>
            </w:r>
            <w:r w:rsidRPr="00766B60">
              <w:rPr>
                <w:rFonts w:ascii="Times New Roman" w:hAnsi="Times New Roman" w:cs="Times New Roman"/>
                <w:sz w:val="20"/>
                <w:szCs w:val="20"/>
              </w:rPr>
              <w:t>według kryteriów SUN</w:t>
            </w:r>
            <w:r w:rsidR="00E26E9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26E93" w:rsidRPr="00766B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D4F675E" w14:textId="77777777" w:rsidR="00766B60" w:rsidRPr="0013782C" w:rsidRDefault="00766B60" w:rsidP="007B698D">
            <w:pPr>
              <w:pStyle w:val="Akapitzlist"/>
              <w:numPr>
                <w:ilvl w:val="0"/>
                <w:numId w:val="14"/>
              </w:numPr>
              <w:spacing w:before="60"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B60">
              <w:rPr>
                <w:rFonts w:ascii="Times New Roman" w:hAnsi="Times New Roman" w:cs="Times New Roman"/>
                <w:sz w:val="20"/>
                <w:szCs w:val="20"/>
              </w:rPr>
              <w:t>zwiększenie stopnia nacieków komórkowych w komorze przedniej oka lub przymglenie ciała szklistego o ≥ 2 stopnie lub zwiększenie z +3 na +4 według kryteriów SUN;</w:t>
            </w:r>
          </w:p>
          <w:p w14:paraId="6A3D8120" w14:textId="77777777" w:rsidR="00766B60" w:rsidRPr="00766B60" w:rsidRDefault="00766B60" w:rsidP="007B698D">
            <w:pPr>
              <w:pStyle w:val="Akapitzlist"/>
              <w:numPr>
                <w:ilvl w:val="0"/>
                <w:numId w:val="25"/>
              </w:numPr>
              <w:spacing w:before="60" w:after="60" w:line="276" w:lineRule="auto"/>
              <w:ind w:left="743"/>
              <w:rPr>
                <w:rFonts w:ascii="Times New Roman" w:hAnsi="Times New Roman" w:cs="Times New Roman"/>
                <w:sz w:val="20"/>
                <w:szCs w:val="20"/>
              </w:rPr>
            </w:pPr>
            <w:r w:rsidRPr="00766B60">
              <w:rPr>
                <w:rFonts w:ascii="Times New Roman" w:hAnsi="Times New Roman" w:cs="Times New Roman"/>
                <w:sz w:val="20"/>
                <w:szCs w:val="20"/>
              </w:rPr>
              <w:t xml:space="preserve">nadwrażliwość </w:t>
            </w:r>
            <w:r w:rsidRPr="00854A0D">
              <w:rPr>
                <w:rFonts w:ascii="Times New Roman" w:hAnsi="Times New Roman" w:cs="Times New Roman"/>
                <w:sz w:val="20"/>
                <w:szCs w:val="20"/>
              </w:rPr>
              <w:t>na adalimumab;</w:t>
            </w:r>
            <w:r w:rsidRPr="00766B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48F8BC1" w14:textId="77777777" w:rsidR="00766B60" w:rsidRPr="00766B60" w:rsidRDefault="00766B60" w:rsidP="007B698D">
            <w:pPr>
              <w:pStyle w:val="Akapitzlist"/>
              <w:numPr>
                <w:ilvl w:val="0"/>
                <w:numId w:val="25"/>
              </w:numPr>
              <w:spacing w:before="60" w:after="60" w:line="276" w:lineRule="auto"/>
              <w:ind w:left="743"/>
              <w:rPr>
                <w:rFonts w:ascii="Times New Roman" w:hAnsi="Times New Roman" w:cs="Times New Roman"/>
                <w:sz w:val="20"/>
                <w:szCs w:val="20"/>
              </w:rPr>
            </w:pPr>
            <w:r w:rsidRPr="00766B60">
              <w:rPr>
                <w:rFonts w:ascii="Times New Roman" w:hAnsi="Times New Roman" w:cs="Times New Roman"/>
                <w:sz w:val="20"/>
                <w:szCs w:val="20"/>
              </w:rPr>
              <w:t>wystąpienie działań niepożądanych związanych z lekiem uniemożliwiających jego dalsze stosowanie;</w:t>
            </w:r>
          </w:p>
          <w:p w14:paraId="21F150DE" w14:textId="77777777" w:rsidR="00766B60" w:rsidRPr="00766B60" w:rsidRDefault="00766B60" w:rsidP="007B698D">
            <w:pPr>
              <w:pStyle w:val="Akapitzlist"/>
              <w:numPr>
                <w:ilvl w:val="0"/>
                <w:numId w:val="25"/>
              </w:numPr>
              <w:spacing w:before="60" w:after="60" w:line="276" w:lineRule="auto"/>
              <w:ind w:left="74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766B60">
              <w:rPr>
                <w:rFonts w:ascii="Times New Roman" w:hAnsi="Times New Roman" w:cs="Times New Roman"/>
                <w:sz w:val="20"/>
                <w:szCs w:val="20"/>
              </w:rPr>
              <w:t>brak współpracy chorego z lekarzem prowadzącym:</w:t>
            </w:r>
          </w:p>
          <w:p w14:paraId="41B821C0" w14:textId="77777777" w:rsidR="00766B60" w:rsidRPr="00766B60" w:rsidRDefault="00766B60" w:rsidP="007B698D">
            <w:pPr>
              <w:pStyle w:val="Akapitzlist"/>
              <w:numPr>
                <w:ilvl w:val="0"/>
                <w:numId w:val="26"/>
              </w:numPr>
              <w:spacing w:before="60" w:after="60"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766B60">
              <w:rPr>
                <w:rFonts w:ascii="Times New Roman" w:hAnsi="Times New Roman" w:cs="Times New Roman"/>
                <w:sz w:val="20"/>
                <w:szCs w:val="20"/>
              </w:rPr>
              <w:t>niestosowanie się do zaleceń (uchylani</w:t>
            </w:r>
            <w:r w:rsidR="003A3FE9">
              <w:rPr>
                <w:rFonts w:ascii="Times New Roman" w:hAnsi="Times New Roman" w:cs="Times New Roman"/>
                <w:sz w:val="20"/>
                <w:szCs w:val="20"/>
              </w:rPr>
              <w:t>e się od wykonywania badań labor</w:t>
            </w:r>
            <w:r w:rsidRPr="00766B60">
              <w:rPr>
                <w:rFonts w:ascii="Times New Roman" w:hAnsi="Times New Roman" w:cs="Times New Roman"/>
                <w:sz w:val="20"/>
                <w:szCs w:val="20"/>
              </w:rPr>
              <w:t xml:space="preserve">atoryjnych), </w:t>
            </w:r>
          </w:p>
          <w:p w14:paraId="4FF39911" w14:textId="532A9D79" w:rsidR="00766B60" w:rsidRPr="00766B60" w:rsidRDefault="00766B60" w:rsidP="007B698D">
            <w:pPr>
              <w:pStyle w:val="Akapitzlist"/>
              <w:numPr>
                <w:ilvl w:val="0"/>
                <w:numId w:val="26"/>
              </w:numPr>
              <w:spacing w:before="60" w:after="60"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766B60">
              <w:rPr>
                <w:rFonts w:ascii="Times New Roman" w:hAnsi="Times New Roman" w:cs="Times New Roman"/>
                <w:sz w:val="20"/>
                <w:szCs w:val="20"/>
              </w:rPr>
              <w:t>nieregularne przyjmowanie leków (pominięcie 2 kolejnych dawek leku)</w:t>
            </w:r>
            <w:r w:rsidR="00E26E9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66B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F44049B" w14:textId="77777777" w:rsidR="00766B60" w:rsidRPr="00766B60" w:rsidRDefault="00766B60" w:rsidP="007B698D">
            <w:pPr>
              <w:pStyle w:val="Akapitzlist"/>
              <w:numPr>
                <w:ilvl w:val="0"/>
                <w:numId w:val="26"/>
              </w:numPr>
              <w:spacing w:before="60" w:after="60"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766B60">
              <w:rPr>
                <w:rFonts w:ascii="Times New Roman" w:hAnsi="Times New Roman" w:cs="Times New Roman"/>
                <w:sz w:val="20"/>
                <w:szCs w:val="20"/>
              </w:rPr>
              <w:t>brak współpracy w monitorowaniu leczenia (niezgłaszanie się na wizyty kontrolne).</w:t>
            </w:r>
          </w:p>
          <w:p w14:paraId="7F718991" w14:textId="77777777" w:rsidR="005373A6" w:rsidRDefault="005373A6" w:rsidP="007B698D">
            <w:pPr>
              <w:spacing w:before="60"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B78905" w14:textId="77777777" w:rsidR="005373A6" w:rsidRPr="0013782C" w:rsidRDefault="005373A6" w:rsidP="007B698D">
            <w:pPr>
              <w:pStyle w:val="Akapitzlist"/>
              <w:numPr>
                <w:ilvl w:val="0"/>
                <w:numId w:val="24"/>
              </w:numPr>
              <w:spacing w:before="60" w:after="60" w:line="276" w:lineRule="auto"/>
              <w:ind w:left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82C">
              <w:rPr>
                <w:rFonts w:ascii="Times New Roman" w:hAnsi="Times New Roman" w:cs="Times New Roman"/>
                <w:b/>
                <w:sz w:val="20"/>
                <w:szCs w:val="20"/>
              </w:rPr>
              <w:t>Przeciwwskazania do udziału w programie:</w:t>
            </w:r>
          </w:p>
          <w:p w14:paraId="39105CB5" w14:textId="77777777" w:rsidR="0013782C" w:rsidRPr="0013782C" w:rsidRDefault="0013782C" w:rsidP="007B698D">
            <w:pPr>
              <w:spacing w:before="60" w:after="6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82C">
              <w:rPr>
                <w:rFonts w:ascii="Times New Roman" w:hAnsi="Times New Roman" w:cs="Times New Roman"/>
                <w:sz w:val="20"/>
                <w:szCs w:val="20"/>
              </w:rPr>
              <w:t>W przypadku wystąpienia co najmniej jednego z poniższych kryteriów pacjent nie może być włączony programu:</w:t>
            </w:r>
          </w:p>
          <w:p w14:paraId="43C16811" w14:textId="77777777" w:rsidR="0013782C" w:rsidRPr="0013782C" w:rsidRDefault="0013782C" w:rsidP="007B698D">
            <w:pPr>
              <w:pStyle w:val="Akapitzlist"/>
              <w:numPr>
                <w:ilvl w:val="0"/>
                <w:numId w:val="27"/>
              </w:numPr>
              <w:tabs>
                <w:tab w:val="left" w:pos="431"/>
              </w:tabs>
              <w:spacing w:before="60" w:after="60" w:line="276" w:lineRule="auto"/>
              <w:ind w:left="714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13782C">
              <w:rPr>
                <w:rFonts w:ascii="Times New Roman" w:hAnsi="Times New Roman" w:cs="Times New Roman"/>
                <w:sz w:val="20"/>
                <w:szCs w:val="20"/>
              </w:rPr>
              <w:t>aktywne zakażenia (ostre lub przewlekłe) bakteryjne, wirusowe, grzybicze lub  pasożytnicze (szczególnie gruźlica, infekcja wirusem HIV lub WZW typu B);</w:t>
            </w:r>
          </w:p>
          <w:p w14:paraId="6DC2259F" w14:textId="77777777" w:rsidR="0013782C" w:rsidRPr="0013782C" w:rsidRDefault="0013782C" w:rsidP="007B698D">
            <w:pPr>
              <w:pStyle w:val="Akapitzlist"/>
              <w:numPr>
                <w:ilvl w:val="0"/>
                <w:numId w:val="27"/>
              </w:numPr>
              <w:tabs>
                <w:tab w:val="left" w:pos="431"/>
              </w:tabs>
              <w:spacing w:before="60" w:after="60" w:line="276" w:lineRule="auto"/>
              <w:ind w:left="714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13782C">
              <w:rPr>
                <w:rFonts w:ascii="Times New Roman" w:hAnsi="Times New Roman" w:cs="Times New Roman"/>
                <w:sz w:val="20"/>
                <w:szCs w:val="20"/>
              </w:rPr>
              <w:t>umiarkowana lub ciężka niewydolność mięśnia sercowego (klasa III/IV według NYHA);</w:t>
            </w:r>
          </w:p>
          <w:p w14:paraId="4C2A2F9C" w14:textId="77777777" w:rsidR="0013782C" w:rsidRPr="0013782C" w:rsidRDefault="0013782C" w:rsidP="007B698D">
            <w:pPr>
              <w:pStyle w:val="Akapitzlist"/>
              <w:numPr>
                <w:ilvl w:val="0"/>
                <w:numId w:val="27"/>
              </w:numPr>
              <w:spacing w:before="60" w:after="60" w:line="276" w:lineRule="auto"/>
              <w:ind w:left="743"/>
              <w:rPr>
                <w:rFonts w:ascii="Times New Roman" w:hAnsi="Times New Roman" w:cs="Times New Roman"/>
                <w:sz w:val="20"/>
                <w:szCs w:val="20"/>
              </w:rPr>
            </w:pPr>
            <w:r w:rsidRPr="0013782C">
              <w:rPr>
                <w:rFonts w:ascii="Times New Roman" w:hAnsi="Times New Roman" w:cs="Times New Roman"/>
                <w:sz w:val="20"/>
                <w:szCs w:val="20"/>
              </w:rPr>
              <w:t xml:space="preserve">niestabilna choroba wieńcowa; </w:t>
            </w:r>
          </w:p>
          <w:p w14:paraId="09714E6A" w14:textId="77777777" w:rsidR="0013782C" w:rsidRPr="0013782C" w:rsidRDefault="0013782C" w:rsidP="007B698D">
            <w:pPr>
              <w:pStyle w:val="Akapitzlist"/>
              <w:numPr>
                <w:ilvl w:val="0"/>
                <w:numId w:val="27"/>
              </w:numPr>
              <w:spacing w:before="60" w:after="60" w:line="276" w:lineRule="auto"/>
              <w:ind w:left="743"/>
              <w:rPr>
                <w:rFonts w:ascii="Times New Roman" w:hAnsi="Times New Roman" w:cs="Times New Roman"/>
                <w:sz w:val="20"/>
                <w:szCs w:val="20"/>
              </w:rPr>
            </w:pPr>
            <w:r w:rsidRPr="0013782C">
              <w:rPr>
                <w:rFonts w:ascii="Times New Roman" w:hAnsi="Times New Roman" w:cs="Times New Roman"/>
                <w:sz w:val="20"/>
                <w:szCs w:val="20"/>
              </w:rPr>
              <w:t xml:space="preserve">przewlekła niewydolność oddechowa; </w:t>
            </w:r>
          </w:p>
          <w:p w14:paraId="5AD9EAB5" w14:textId="77777777" w:rsidR="0013782C" w:rsidRPr="0013782C" w:rsidRDefault="0013782C" w:rsidP="007B698D">
            <w:pPr>
              <w:pStyle w:val="Akapitzlist"/>
              <w:numPr>
                <w:ilvl w:val="0"/>
                <w:numId w:val="27"/>
              </w:numPr>
              <w:spacing w:before="60" w:after="60" w:line="276" w:lineRule="auto"/>
              <w:ind w:left="743"/>
              <w:rPr>
                <w:rFonts w:ascii="Times New Roman" w:hAnsi="Times New Roman" w:cs="Times New Roman"/>
                <w:sz w:val="20"/>
                <w:szCs w:val="20"/>
              </w:rPr>
            </w:pPr>
            <w:r w:rsidRPr="0013782C">
              <w:rPr>
                <w:rFonts w:ascii="Times New Roman" w:hAnsi="Times New Roman" w:cs="Times New Roman"/>
                <w:sz w:val="20"/>
                <w:szCs w:val="20"/>
              </w:rPr>
              <w:t xml:space="preserve">przewlekła niewydolność nerek; </w:t>
            </w:r>
          </w:p>
          <w:p w14:paraId="750E166A" w14:textId="77777777" w:rsidR="0013782C" w:rsidRPr="0013782C" w:rsidRDefault="0013782C" w:rsidP="007B698D">
            <w:pPr>
              <w:pStyle w:val="Akapitzlist"/>
              <w:numPr>
                <w:ilvl w:val="0"/>
                <w:numId w:val="27"/>
              </w:numPr>
              <w:spacing w:before="60" w:after="60" w:line="276" w:lineRule="auto"/>
              <w:ind w:left="743"/>
              <w:rPr>
                <w:rFonts w:ascii="Times New Roman" w:hAnsi="Times New Roman" w:cs="Times New Roman"/>
                <w:sz w:val="20"/>
                <w:szCs w:val="20"/>
              </w:rPr>
            </w:pPr>
            <w:r w:rsidRPr="0013782C">
              <w:rPr>
                <w:rFonts w:ascii="Times New Roman" w:hAnsi="Times New Roman" w:cs="Times New Roman"/>
                <w:sz w:val="20"/>
                <w:szCs w:val="20"/>
              </w:rPr>
              <w:t xml:space="preserve">przewlekła niewydolność wątroby; </w:t>
            </w:r>
          </w:p>
          <w:p w14:paraId="387ED998" w14:textId="77777777" w:rsidR="0013782C" w:rsidRPr="0013782C" w:rsidRDefault="0013782C" w:rsidP="007B698D">
            <w:pPr>
              <w:pStyle w:val="Akapitzlist"/>
              <w:numPr>
                <w:ilvl w:val="0"/>
                <w:numId w:val="27"/>
              </w:numPr>
              <w:spacing w:before="60" w:after="60" w:line="276" w:lineRule="auto"/>
              <w:ind w:left="743"/>
              <w:rPr>
                <w:rFonts w:ascii="Times New Roman" w:hAnsi="Times New Roman" w:cs="Times New Roman"/>
                <w:sz w:val="20"/>
                <w:szCs w:val="20"/>
              </w:rPr>
            </w:pPr>
            <w:r w:rsidRPr="0013782C">
              <w:rPr>
                <w:rFonts w:ascii="Times New Roman" w:hAnsi="Times New Roman" w:cs="Times New Roman"/>
                <w:sz w:val="20"/>
                <w:szCs w:val="20"/>
              </w:rPr>
              <w:t xml:space="preserve">zespół demielinizacyjny lub objawy przypominające ten zespół; </w:t>
            </w:r>
          </w:p>
          <w:p w14:paraId="756E6412" w14:textId="77777777" w:rsidR="0013782C" w:rsidRPr="0013782C" w:rsidRDefault="0013782C" w:rsidP="007B698D">
            <w:pPr>
              <w:pStyle w:val="Akapitzlist"/>
              <w:numPr>
                <w:ilvl w:val="0"/>
                <w:numId w:val="27"/>
              </w:numPr>
              <w:spacing w:before="60" w:after="60" w:line="276" w:lineRule="auto"/>
              <w:ind w:left="743"/>
              <w:rPr>
                <w:rFonts w:ascii="Times New Roman" w:hAnsi="Times New Roman" w:cs="Times New Roman"/>
                <w:sz w:val="20"/>
                <w:szCs w:val="20"/>
              </w:rPr>
            </w:pPr>
            <w:r w:rsidRPr="0013782C">
              <w:rPr>
                <w:rFonts w:ascii="Times New Roman" w:hAnsi="Times New Roman" w:cs="Times New Roman"/>
                <w:sz w:val="20"/>
                <w:szCs w:val="20"/>
              </w:rPr>
              <w:t>choroba alkoholowa, poalkoholowe uszkodzenie wątroby lub każda czynna postępująca choroba wątroby;</w:t>
            </w:r>
          </w:p>
          <w:p w14:paraId="27020E29" w14:textId="77777777" w:rsidR="0013782C" w:rsidRPr="0013782C" w:rsidRDefault="0013782C" w:rsidP="007B698D">
            <w:pPr>
              <w:pStyle w:val="Akapitzlist"/>
              <w:numPr>
                <w:ilvl w:val="0"/>
                <w:numId w:val="27"/>
              </w:numPr>
              <w:spacing w:before="60" w:after="60" w:line="276" w:lineRule="auto"/>
              <w:ind w:left="743"/>
              <w:rPr>
                <w:rFonts w:ascii="Times New Roman" w:hAnsi="Times New Roman" w:cs="Times New Roman"/>
                <w:sz w:val="20"/>
                <w:szCs w:val="20"/>
              </w:rPr>
            </w:pPr>
            <w:r w:rsidRPr="0013782C">
              <w:rPr>
                <w:rFonts w:ascii="Times New Roman" w:hAnsi="Times New Roman" w:cs="Times New Roman"/>
                <w:sz w:val="20"/>
                <w:szCs w:val="20"/>
              </w:rPr>
              <w:t>ciąża lub karmienie piersią;</w:t>
            </w:r>
          </w:p>
          <w:p w14:paraId="14E60C0B" w14:textId="77777777" w:rsidR="0013782C" w:rsidRPr="0013782C" w:rsidRDefault="0013782C" w:rsidP="007B698D">
            <w:pPr>
              <w:pStyle w:val="Akapitzlist"/>
              <w:numPr>
                <w:ilvl w:val="0"/>
                <w:numId w:val="27"/>
              </w:numPr>
              <w:spacing w:before="60" w:after="60" w:line="276" w:lineRule="auto"/>
              <w:ind w:left="743"/>
              <w:rPr>
                <w:rFonts w:ascii="Times New Roman" w:hAnsi="Times New Roman" w:cs="Times New Roman"/>
                <w:sz w:val="20"/>
                <w:szCs w:val="20"/>
              </w:rPr>
            </w:pPr>
            <w:r w:rsidRPr="0013782C">
              <w:rPr>
                <w:rFonts w:ascii="Times New Roman" w:hAnsi="Times New Roman" w:cs="Times New Roman"/>
                <w:sz w:val="20"/>
                <w:szCs w:val="20"/>
              </w:rPr>
              <w:t>rozpoznanie stanów przednowotworowych lub nowotworów złośliwych w okresie do 5 lat poprzedzających moment kwalifikowania do programu;</w:t>
            </w:r>
          </w:p>
          <w:p w14:paraId="5868D0F8" w14:textId="77777777" w:rsidR="0013782C" w:rsidRPr="0013782C" w:rsidRDefault="0013782C" w:rsidP="007B698D">
            <w:pPr>
              <w:pStyle w:val="Akapitzlist"/>
              <w:numPr>
                <w:ilvl w:val="0"/>
                <w:numId w:val="27"/>
              </w:numPr>
              <w:spacing w:before="60" w:after="60" w:line="276" w:lineRule="auto"/>
              <w:ind w:left="743"/>
              <w:rPr>
                <w:rFonts w:ascii="Times New Roman" w:hAnsi="Times New Roman" w:cs="Times New Roman"/>
                <w:sz w:val="20"/>
                <w:szCs w:val="20"/>
              </w:rPr>
            </w:pPr>
            <w:r w:rsidRPr="0013782C">
              <w:rPr>
                <w:rFonts w:ascii="Times New Roman" w:hAnsi="Times New Roman" w:cs="Times New Roman"/>
                <w:sz w:val="20"/>
                <w:szCs w:val="20"/>
              </w:rPr>
              <w:t>ZBN przedniej komory oka;</w:t>
            </w:r>
          </w:p>
          <w:p w14:paraId="4825A52B" w14:textId="77777777" w:rsidR="0013782C" w:rsidRPr="0013782C" w:rsidRDefault="0013782C" w:rsidP="007B698D">
            <w:pPr>
              <w:pStyle w:val="Akapitzlist"/>
              <w:numPr>
                <w:ilvl w:val="0"/>
                <w:numId w:val="27"/>
              </w:numPr>
              <w:spacing w:before="60" w:after="60" w:line="276" w:lineRule="auto"/>
              <w:ind w:left="743"/>
              <w:rPr>
                <w:rFonts w:ascii="Times New Roman" w:hAnsi="Times New Roman" w:cs="Times New Roman"/>
                <w:sz w:val="20"/>
                <w:szCs w:val="20"/>
              </w:rPr>
            </w:pPr>
            <w:r w:rsidRPr="0013782C">
              <w:rPr>
                <w:rFonts w:ascii="Times New Roman" w:hAnsi="Times New Roman" w:cs="Times New Roman"/>
                <w:sz w:val="20"/>
                <w:szCs w:val="20"/>
              </w:rPr>
              <w:t>podejrzewane lub potwierdzone zakaźne ZBN;</w:t>
            </w:r>
          </w:p>
          <w:p w14:paraId="673E2BC0" w14:textId="77777777" w:rsidR="0013782C" w:rsidRPr="0013782C" w:rsidRDefault="0013782C" w:rsidP="007B698D">
            <w:pPr>
              <w:pStyle w:val="Akapitzlist"/>
              <w:numPr>
                <w:ilvl w:val="0"/>
                <w:numId w:val="27"/>
              </w:numPr>
              <w:spacing w:before="60" w:after="60" w:line="276" w:lineRule="auto"/>
              <w:ind w:left="743"/>
              <w:rPr>
                <w:rFonts w:ascii="Times New Roman" w:hAnsi="Times New Roman" w:cs="Times New Roman"/>
                <w:sz w:val="20"/>
                <w:szCs w:val="20"/>
              </w:rPr>
            </w:pPr>
            <w:r w:rsidRPr="0013782C">
              <w:rPr>
                <w:rFonts w:ascii="Times New Roman" w:hAnsi="Times New Roman" w:cs="Times New Roman"/>
                <w:sz w:val="20"/>
                <w:szCs w:val="20"/>
              </w:rPr>
              <w:t>choroidopatia pełzająca;</w:t>
            </w:r>
          </w:p>
          <w:p w14:paraId="57214961" w14:textId="77777777" w:rsidR="0013782C" w:rsidRPr="0013782C" w:rsidRDefault="0013782C" w:rsidP="007B698D">
            <w:pPr>
              <w:pStyle w:val="Akapitzlist"/>
              <w:numPr>
                <w:ilvl w:val="0"/>
                <w:numId w:val="27"/>
              </w:numPr>
              <w:spacing w:before="60" w:after="60" w:line="276" w:lineRule="auto"/>
              <w:ind w:left="743"/>
              <w:rPr>
                <w:rFonts w:ascii="Times New Roman" w:hAnsi="Times New Roman" w:cs="Times New Roman"/>
                <w:sz w:val="20"/>
                <w:szCs w:val="20"/>
              </w:rPr>
            </w:pPr>
            <w:r w:rsidRPr="0013782C">
              <w:rPr>
                <w:rFonts w:ascii="Times New Roman" w:hAnsi="Times New Roman" w:cs="Times New Roman"/>
                <w:sz w:val="20"/>
                <w:szCs w:val="20"/>
              </w:rPr>
              <w:t>zmętnienie rogówki lub soczewek uniemożliwiające ocenę dna oka;</w:t>
            </w:r>
          </w:p>
          <w:p w14:paraId="3308E5E8" w14:textId="77777777" w:rsidR="0013782C" w:rsidRPr="0013782C" w:rsidRDefault="0013782C" w:rsidP="007B698D">
            <w:pPr>
              <w:pStyle w:val="Akapitzlist"/>
              <w:numPr>
                <w:ilvl w:val="0"/>
                <w:numId w:val="27"/>
              </w:numPr>
              <w:spacing w:before="60" w:after="60" w:line="276" w:lineRule="auto"/>
              <w:ind w:left="743"/>
              <w:rPr>
                <w:rFonts w:ascii="Times New Roman" w:hAnsi="Times New Roman" w:cs="Times New Roman"/>
                <w:sz w:val="20"/>
                <w:szCs w:val="20"/>
              </w:rPr>
            </w:pPr>
            <w:r w:rsidRPr="0013782C">
              <w:rPr>
                <w:rFonts w:ascii="Times New Roman" w:hAnsi="Times New Roman" w:cs="Times New Roman"/>
                <w:sz w:val="20"/>
                <w:szCs w:val="20"/>
              </w:rPr>
              <w:t>zaćma kwalifikowana do operacji i uniemożliwiająca monitorowanie wyników leczenia w programie przez okres 24 miesiące;</w:t>
            </w:r>
          </w:p>
          <w:p w14:paraId="7768BCAF" w14:textId="77777777" w:rsidR="0013782C" w:rsidRPr="0013782C" w:rsidRDefault="0013782C" w:rsidP="007B698D">
            <w:pPr>
              <w:pStyle w:val="Akapitzlist"/>
              <w:numPr>
                <w:ilvl w:val="0"/>
                <w:numId w:val="27"/>
              </w:numPr>
              <w:spacing w:before="60" w:after="60" w:line="276" w:lineRule="auto"/>
              <w:ind w:left="743"/>
              <w:rPr>
                <w:rFonts w:ascii="Times New Roman" w:hAnsi="Times New Roman" w:cs="Times New Roman"/>
                <w:sz w:val="20"/>
                <w:szCs w:val="20"/>
              </w:rPr>
            </w:pPr>
            <w:r w:rsidRPr="0013782C">
              <w:rPr>
                <w:rFonts w:ascii="Times New Roman" w:hAnsi="Times New Roman" w:cs="Times New Roman"/>
                <w:sz w:val="20"/>
                <w:szCs w:val="20"/>
              </w:rPr>
              <w:t>niekontrolowana jaskra (brak regulacji ciśnienia wewnątrzgałkowego i stabilizacji zmian w polu widzenia przy ≥2 liczbie leków przeciwjaskrowych) mogąca wymagać leczenia operacyjnego w ciągu 24 miesięcy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1378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81B89C0" w14:textId="77777777" w:rsidR="0013782C" w:rsidRPr="0013782C" w:rsidRDefault="0013782C" w:rsidP="007B698D">
            <w:pPr>
              <w:pStyle w:val="Akapitzlist"/>
              <w:numPr>
                <w:ilvl w:val="0"/>
                <w:numId w:val="27"/>
              </w:numPr>
              <w:spacing w:before="60" w:after="60" w:line="276" w:lineRule="auto"/>
              <w:ind w:left="743"/>
              <w:rPr>
                <w:rFonts w:ascii="Times New Roman" w:hAnsi="Times New Roman" w:cs="Times New Roman"/>
                <w:sz w:val="20"/>
                <w:szCs w:val="20"/>
              </w:rPr>
            </w:pPr>
            <w:r w:rsidRPr="0013782C">
              <w:rPr>
                <w:rFonts w:ascii="Times New Roman" w:hAnsi="Times New Roman" w:cs="Times New Roman"/>
                <w:sz w:val="20"/>
                <w:szCs w:val="20"/>
              </w:rPr>
              <w:t xml:space="preserve">najlepsza skorygowana ostrość wzroku do dali &lt;0,4 według Snellena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3782C">
              <w:rPr>
                <w:rFonts w:ascii="Times New Roman" w:hAnsi="Times New Roman" w:cs="Times New Roman"/>
                <w:sz w:val="20"/>
                <w:szCs w:val="20"/>
              </w:rPr>
              <w:t>&lt;20 liter EDTRS) w co najmniej jednym oku;</w:t>
            </w:r>
          </w:p>
          <w:p w14:paraId="23804E1D" w14:textId="77777777" w:rsidR="0013782C" w:rsidRPr="0013782C" w:rsidRDefault="0013782C" w:rsidP="007B698D">
            <w:pPr>
              <w:pStyle w:val="Akapitzlist"/>
              <w:numPr>
                <w:ilvl w:val="0"/>
                <w:numId w:val="27"/>
              </w:numPr>
              <w:spacing w:before="60" w:after="60" w:line="276" w:lineRule="auto"/>
              <w:ind w:left="743"/>
              <w:rPr>
                <w:rFonts w:ascii="Times New Roman" w:hAnsi="Times New Roman" w:cs="Times New Roman"/>
                <w:sz w:val="20"/>
                <w:szCs w:val="20"/>
              </w:rPr>
            </w:pPr>
            <w:r w:rsidRPr="0013782C">
              <w:rPr>
                <w:rFonts w:ascii="Times New Roman" w:hAnsi="Times New Roman" w:cs="Times New Roman"/>
                <w:sz w:val="20"/>
                <w:szCs w:val="20"/>
              </w:rPr>
              <w:t>proliferacyjna retinopatia cukrzycowa lub nieproliferacyjna retinopatia cukrzycowa o ciężkim przebiegu bądź istotny klinicznie obrzęk plamki żółtej z powodu retinopatii cukrzycowej;</w:t>
            </w:r>
          </w:p>
          <w:p w14:paraId="0C416D54" w14:textId="77777777" w:rsidR="0013782C" w:rsidRPr="0013782C" w:rsidRDefault="0013782C" w:rsidP="007B698D">
            <w:pPr>
              <w:pStyle w:val="Akapitzlist"/>
              <w:numPr>
                <w:ilvl w:val="0"/>
                <w:numId w:val="27"/>
              </w:numPr>
              <w:spacing w:before="60" w:after="60" w:line="276" w:lineRule="auto"/>
              <w:ind w:left="743"/>
              <w:rPr>
                <w:rFonts w:ascii="Times New Roman" w:hAnsi="Times New Roman" w:cs="Times New Roman"/>
                <w:sz w:val="20"/>
                <w:szCs w:val="20"/>
              </w:rPr>
            </w:pPr>
            <w:r w:rsidRPr="0013782C">
              <w:rPr>
                <w:rFonts w:ascii="Times New Roman" w:hAnsi="Times New Roman" w:cs="Times New Roman"/>
                <w:sz w:val="20"/>
                <w:szCs w:val="20"/>
              </w:rPr>
              <w:t>wysiękowa postać zwyrodnienie plamki związanego z wiekiem;</w:t>
            </w:r>
          </w:p>
          <w:p w14:paraId="450BEB3C" w14:textId="77777777" w:rsidR="0013782C" w:rsidRPr="0013782C" w:rsidRDefault="0013782C" w:rsidP="007B698D">
            <w:pPr>
              <w:pStyle w:val="Akapitzlist"/>
              <w:numPr>
                <w:ilvl w:val="0"/>
                <w:numId w:val="27"/>
              </w:numPr>
              <w:spacing w:before="60" w:after="60" w:line="276" w:lineRule="auto"/>
              <w:ind w:left="743"/>
              <w:rPr>
                <w:rFonts w:ascii="Times New Roman" w:hAnsi="Times New Roman" w:cs="Times New Roman"/>
                <w:sz w:val="20"/>
                <w:szCs w:val="20"/>
              </w:rPr>
            </w:pPr>
            <w:r w:rsidRPr="0013782C">
              <w:rPr>
                <w:rFonts w:ascii="Times New Roman" w:hAnsi="Times New Roman" w:cs="Times New Roman"/>
                <w:sz w:val="20"/>
                <w:szCs w:val="20"/>
              </w:rPr>
              <w:t>patologie złącza szklistkowo-siatkówkowego potencjalnie prowadzące do uszkodzenia struktury plamki żółtej niezależnie od procesu zapalnego;</w:t>
            </w:r>
          </w:p>
          <w:p w14:paraId="754C2DB7" w14:textId="77777777" w:rsidR="0013782C" w:rsidRPr="0013782C" w:rsidRDefault="0013782C" w:rsidP="007B698D">
            <w:pPr>
              <w:pStyle w:val="Akapitzlist"/>
              <w:numPr>
                <w:ilvl w:val="0"/>
                <w:numId w:val="27"/>
              </w:numPr>
              <w:spacing w:before="60" w:after="60" w:line="276" w:lineRule="auto"/>
              <w:ind w:left="743"/>
              <w:rPr>
                <w:rFonts w:ascii="Times New Roman" w:hAnsi="Times New Roman" w:cs="Times New Roman"/>
                <w:sz w:val="20"/>
                <w:szCs w:val="20"/>
              </w:rPr>
            </w:pPr>
            <w:r w:rsidRPr="0013782C">
              <w:rPr>
                <w:rFonts w:ascii="Times New Roman" w:hAnsi="Times New Roman" w:cs="Times New Roman"/>
                <w:sz w:val="20"/>
                <w:szCs w:val="20"/>
              </w:rPr>
              <w:t>brak przejrzystości ciała szklistego uniemożliwiający monitorowanie przebiegu leczenia;</w:t>
            </w:r>
          </w:p>
          <w:p w14:paraId="0682CC48" w14:textId="77777777" w:rsidR="0013782C" w:rsidRDefault="0013782C" w:rsidP="007B698D">
            <w:pPr>
              <w:pStyle w:val="Akapitzlist"/>
              <w:numPr>
                <w:ilvl w:val="0"/>
                <w:numId w:val="27"/>
              </w:numPr>
              <w:spacing w:before="60" w:after="60" w:line="276" w:lineRule="auto"/>
              <w:ind w:left="743"/>
              <w:rPr>
                <w:rFonts w:ascii="Times New Roman" w:hAnsi="Times New Roman" w:cs="Times New Roman"/>
                <w:sz w:val="20"/>
                <w:szCs w:val="20"/>
              </w:rPr>
            </w:pPr>
            <w:r w:rsidRPr="0013782C">
              <w:rPr>
                <w:rFonts w:ascii="Times New Roman" w:hAnsi="Times New Roman" w:cs="Times New Roman"/>
                <w:sz w:val="20"/>
                <w:szCs w:val="20"/>
              </w:rPr>
              <w:t>obrzęk plamki żółtej jako jedyny objaw ZBN;</w:t>
            </w:r>
          </w:p>
          <w:p w14:paraId="62E390F0" w14:textId="77777777" w:rsidR="0013782C" w:rsidRPr="0013782C" w:rsidRDefault="0013782C" w:rsidP="007B698D">
            <w:pPr>
              <w:pStyle w:val="Akapitzlist"/>
              <w:numPr>
                <w:ilvl w:val="0"/>
                <w:numId w:val="27"/>
              </w:numPr>
              <w:spacing w:before="60" w:after="60" w:line="276" w:lineRule="auto"/>
              <w:ind w:left="743"/>
              <w:rPr>
                <w:rFonts w:ascii="Times New Roman" w:hAnsi="Times New Roman" w:cs="Times New Roman"/>
                <w:sz w:val="20"/>
                <w:szCs w:val="20"/>
              </w:rPr>
            </w:pPr>
            <w:r w:rsidRPr="0013782C">
              <w:rPr>
                <w:rFonts w:ascii="Times New Roman" w:hAnsi="Times New Roman" w:cs="Times New Roman"/>
                <w:sz w:val="20"/>
                <w:szCs w:val="20"/>
              </w:rPr>
              <w:t xml:space="preserve">zapalenie nadtwardówki 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twardówki.</w:t>
            </w:r>
          </w:p>
        </w:tc>
        <w:tc>
          <w:tcPr>
            <w:tcW w:w="1336" w:type="pct"/>
          </w:tcPr>
          <w:p w14:paraId="4F3C3C86" w14:textId="77777777" w:rsidR="00AB0910" w:rsidRPr="00594413" w:rsidRDefault="00AB0910" w:rsidP="007B698D">
            <w:pPr>
              <w:pStyle w:val="Akapitzlist"/>
              <w:numPr>
                <w:ilvl w:val="0"/>
                <w:numId w:val="11"/>
              </w:numPr>
              <w:spacing w:before="60" w:after="60" w:line="276" w:lineRule="auto"/>
              <w:ind w:left="46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413">
              <w:rPr>
                <w:rFonts w:ascii="Times New Roman" w:hAnsi="Times New Roman" w:cs="Times New Roman"/>
                <w:b/>
                <w:sz w:val="20"/>
                <w:szCs w:val="20"/>
              </w:rPr>
              <w:t>Dawkowanie:</w:t>
            </w:r>
          </w:p>
          <w:p w14:paraId="54EACBC0" w14:textId="4DB89CBE" w:rsidR="00DB6228" w:rsidRPr="00594413" w:rsidRDefault="00B15918" w:rsidP="007B698D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413">
              <w:rPr>
                <w:rFonts w:ascii="Times New Roman" w:hAnsi="Times New Roman" w:cs="Times New Roman"/>
                <w:sz w:val="20"/>
                <w:szCs w:val="20"/>
              </w:rPr>
              <w:t xml:space="preserve">Dawka początkowa </w:t>
            </w:r>
            <w:r w:rsidR="00317B1A">
              <w:rPr>
                <w:rFonts w:ascii="Times New Roman" w:hAnsi="Times New Roman" w:cs="Times New Roman"/>
                <w:sz w:val="20"/>
                <w:szCs w:val="20"/>
              </w:rPr>
              <w:t>adalimumabu</w:t>
            </w:r>
            <w:r w:rsidR="00317B1A" w:rsidRPr="005944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4413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7B068F" w:rsidRPr="005944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4413">
              <w:rPr>
                <w:rFonts w:ascii="Times New Roman" w:hAnsi="Times New Roman" w:cs="Times New Roman"/>
                <w:sz w:val="20"/>
                <w:szCs w:val="20"/>
              </w:rPr>
              <w:t xml:space="preserve">dorosłych </w:t>
            </w:r>
            <w:r w:rsidR="007B068F" w:rsidRPr="00594413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594413">
              <w:rPr>
                <w:rFonts w:ascii="Times New Roman" w:hAnsi="Times New Roman" w:cs="Times New Roman"/>
                <w:sz w:val="20"/>
                <w:szCs w:val="20"/>
              </w:rPr>
              <w:t>acjentów wynosi 80</w:t>
            </w:r>
            <w:bookmarkStart w:id="0" w:name="_GoBack"/>
            <w:bookmarkEnd w:id="0"/>
            <w:r w:rsidRPr="00594413">
              <w:rPr>
                <w:rFonts w:ascii="Times New Roman" w:hAnsi="Times New Roman" w:cs="Times New Roman"/>
                <w:sz w:val="20"/>
                <w:szCs w:val="20"/>
              </w:rPr>
              <w:t xml:space="preserve"> mg podskórnie, a</w:t>
            </w:r>
            <w:r w:rsidR="007B068F" w:rsidRPr="005944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4413">
              <w:rPr>
                <w:rFonts w:ascii="Times New Roman" w:hAnsi="Times New Roman" w:cs="Times New Roman"/>
                <w:sz w:val="20"/>
                <w:szCs w:val="20"/>
              </w:rPr>
              <w:t>następnie po upływie jednego tygodnia od podania dawki</w:t>
            </w:r>
            <w:r w:rsidR="007B068F" w:rsidRPr="005944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4413">
              <w:rPr>
                <w:rFonts w:ascii="Times New Roman" w:hAnsi="Times New Roman" w:cs="Times New Roman"/>
                <w:sz w:val="20"/>
                <w:szCs w:val="20"/>
              </w:rPr>
              <w:t xml:space="preserve">początkowej stosuje się dawkę 40 mg podskórnie </w:t>
            </w:r>
            <w:r w:rsidR="009B7330" w:rsidRPr="00594413">
              <w:rPr>
                <w:rFonts w:ascii="Times New Roman" w:hAnsi="Times New Roman" w:cs="Times New Roman"/>
                <w:sz w:val="20"/>
                <w:szCs w:val="20"/>
              </w:rPr>
              <w:t xml:space="preserve">podając </w:t>
            </w:r>
            <w:r w:rsidR="00317B1A">
              <w:rPr>
                <w:rFonts w:ascii="Times New Roman" w:hAnsi="Times New Roman" w:cs="Times New Roman"/>
                <w:sz w:val="20"/>
                <w:szCs w:val="20"/>
              </w:rPr>
              <w:t>adalimumab</w:t>
            </w:r>
            <w:r w:rsidR="00317B1A" w:rsidRPr="005944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4413">
              <w:rPr>
                <w:rFonts w:ascii="Times New Roman" w:hAnsi="Times New Roman" w:cs="Times New Roman"/>
                <w:sz w:val="20"/>
                <w:szCs w:val="20"/>
              </w:rPr>
              <w:t>co drugi</w:t>
            </w:r>
            <w:r w:rsidR="007B068F" w:rsidRPr="005944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4413">
              <w:rPr>
                <w:rFonts w:ascii="Times New Roman" w:hAnsi="Times New Roman" w:cs="Times New Roman"/>
                <w:sz w:val="20"/>
                <w:szCs w:val="20"/>
              </w:rPr>
              <w:t>tydzień</w:t>
            </w:r>
            <w:r w:rsidR="007B068F" w:rsidRPr="005944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944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E97743E" w14:textId="77777777" w:rsidR="007B068F" w:rsidRPr="00594413" w:rsidRDefault="007B068F" w:rsidP="007B698D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535327" w14:textId="77777777" w:rsidR="009D2283" w:rsidRPr="00594413" w:rsidRDefault="001B539D" w:rsidP="007B698D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Chorzy stosujący terapię steroi</w:t>
            </w:r>
            <w:r w:rsidR="00A076BD" w:rsidRPr="00594413">
              <w:rPr>
                <w:rFonts w:ascii="Times New Roman" w:hAnsi="Times New Roman" w:cs="Times New Roman"/>
                <w:sz w:val="20"/>
                <w:szCs w:val="20"/>
              </w:rPr>
              <w:t>dową w chwili włączenia do programu powinni ją kontynuować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9D2283" w:rsidRPr="00594413">
              <w:rPr>
                <w:rFonts w:ascii="Times New Roman" w:hAnsi="Times New Roman" w:cs="Times New Roman"/>
                <w:sz w:val="20"/>
                <w:szCs w:val="20"/>
              </w:rPr>
              <w:t xml:space="preserve">Dawka kortykosteroidu powinna być </w:t>
            </w:r>
            <w:r w:rsidR="00ED5C1A" w:rsidRPr="00594413">
              <w:rPr>
                <w:rFonts w:ascii="Times New Roman" w:hAnsi="Times New Roman" w:cs="Times New Roman"/>
                <w:sz w:val="20"/>
                <w:szCs w:val="20"/>
              </w:rPr>
              <w:t xml:space="preserve">jednak </w:t>
            </w:r>
            <w:r w:rsidR="009D2283" w:rsidRPr="00594413">
              <w:rPr>
                <w:rFonts w:ascii="Times New Roman" w:hAnsi="Times New Roman" w:cs="Times New Roman"/>
                <w:sz w:val="20"/>
                <w:szCs w:val="20"/>
              </w:rPr>
              <w:t xml:space="preserve">systematycznie </w:t>
            </w:r>
            <w:r w:rsidR="007B068F" w:rsidRPr="00594413">
              <w:rPr>
                <w:rFonts w:ascii="Times New Roman" w:hAnsi="Times New Roman" w:cs="Times New Roman"/>
                <w:sz w:val="20"/>
                <w:szCs w:val="20"/>
              </w:rPr>
              <w:t xml:space="preserve">zmniejszana zgodnie z zaleceniami przedstawionymi w odpowiedniej Charakterystyce Produktu Leczniczego. </w:t>
            </w:r>
            <w:r w:rsidR="009D2283" w:rsidRPr="005944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EA9D6D5" w14:textId="77777777" w:rsidR="00DB6228" w:rsidRPr="00594413" w:rsidRDefault="00DB6228" w:rsidP="007B698D">
            <w:pPr>
              <w:spacing w:before="60" w:after="60" w:line="276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pct"/>
          </w:tcPr>
          <w:p w14:paraId="64A39726" w14:textId="3E6200F6" w:rsidR="00AB0910" w:rsidRPr="00594413" w:rsidRDefault="00AB0910" w:rsidP="007B698D">
            <w:pPr>
              <w:pStyle w:val="Akapitzlist"/>
              <w:numPr>
                <w:ilvl w:val="0"/>
                <w:numId w:val="21"/>
              </w:numPr>
              <w:spacing w:before="60" w:after="60" w:line="276" w:lineRule="auto"/>
              <w:ind w:left="3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4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Badania przy kwalifikacji do leczenia </w:t>
            </w:r>
            <w:r w:rsidR="00317B1A">
              <w:rPr>
                <w:rFonts w:ascii="Times New Roman" w:hAnsi="Times New Roman" w:cs="Times New Roman"/>
                <w:b/>
                <w:sz w:val="20"/>
                <w:szCs w:val="20"/>
              </w:rPr>
              <w:t>adalimumabem</w:t>
            </w:r>
            <w:r w:rsidR="001B539D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72EA6A9D" w14:textId="77777777" w:rsidR="00D056A7" w:rsidRPr="00594413" w:rsidRDefault="00D056A7" w:rsidP="007B698D">
            <w:pPr>
              <w:spacing w:before="60"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4413">
              <w:rPr>
                <w:rFonts w:ascii="Times New Roman" w:hAnsi="Times New Roman" w:cs="Times New Roman"/>
                <w:sz w:val="20"/>
                <w:szCs w:val="20"/>
              </w:rPr>
              <w:t>W ramach kwalifikacji chorego do udziału w programie należy wykonać następujące badania:</w:t>
            </w:r>
          </w:p>
          <w:p w14:paraId="2608F2C3" w14:textId="77777777" w:rsidR="009549A9" w:rsidRPr="00594413" w:rsidRDefault="009549A9" w:rsidP="007B698D">
            <w:pPr>
              <w:pStyle w:val="Akapitzlist"/>
              <w:numPr>
                <w:ilvl w:val="0"/>
                <w:numId w:val="20"/>
              </w:numPr>
              <w:spacing w:before="60"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4413">
              <w:rPr>
                <w:rFonts w:ascii="Times New Roman" w:hAnsi="Times New Roman" w:cs="Times New Roman"/>
                <w:sz w:val="20"/>
                <w:szCs w:val="20"/>
              </w:rPr>
              <w:t>morfologia krwi obwodowej</w:t>
            </w:r>
            <w:r w:rsidR="001B5F3C">
              <w:rPr>
                <w:rFonts w:ascii="Times New Roman" w:hAnsi="Times New Roman" w:cs="Times New Roman"/>
                <w:sz w:val="20"/>
                <w:szCs w:val="20"/>
              </w:rPr>
              <w:t xml:space="preserve"> lub </w:t>
            </w:r>
            <w:r w:rsidR="001B5F3C" w:rsidRPr="00594413">
              <w:rPr>
                <w:rFonts w:ascii="Times New Roman" w:hAnsi="Times New Roman" w:cs="Times New Roman"/>
                <w:sz w:val="20"/>
                <w:szCs w:val="20"/>
              </w:rPr>
              <w:t>morfologia krwi obwodowej</w:t>
            </w:r>
            <w:r w:rsidR="001B5F3C">
              <w:rPr>
                <w:rFonts w:ascii="Times New Roman" w:hAnsi="Times New Roman" w:cs="Times New Roman"/>
                <w:sz w:val="20"/>
                <w:szCs w:val="20"/>
              </w:rPr>
              <w:t xml:space="preserve"> z rozmazem</w:t>
            </w:r>
            <w:r w:rsidRPr="0059441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055E1B4" w14:textId="77777777" w:rsidR="00D056A7" w:rsidRPr="00594413" w:rsidRDefault="00D056A7" w:rsidP="007B698D">
            <w:pPr>
              <w:pStyle w:val="Akapitzlist"/>
              <w:numPr>
                <w:ilvl w:val="0"/>
                <w:numId w:val="20"/>
              </w:numPr>
              <w:spacing w:before="60"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4413">
              <w:rPr>
                <w:rFonts w:ascii="Times New Roman" w:hAnsi="Times New Roman" w:cs="Times New Roman"/>
                <w:sz w:val="20"/>
                <w:szCs w:val="20"/>
              </w:rPr>
              <w:t>płytki krwi (PLT);</w:t>
            </w:r>
          </w:p>
          <w:p w14:paraId="39C09F71" w14:textId="77777777" w:rsidR="00D056A7" w:rsidRPr="00594413" w:rsidRDefault="00D056A7" w:rsidP="007B698D">
            <w:pPr>
              <w:pStyle w:val="Akapitzlist"/>
              <w:numPr>
                <w:ilvl w:val="0"/>
                <w:numId w:val="20"/>
              </w:numPr>
              <w:spacing w:before="60"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4413">
              <w:rPr>
                <w:rFonts w:ascii="Times New Roman" w:hAnsi="Times New Roman" w:cs="Times New Roman"/>
                <w:sz w:val="20"/>
                <w:szCs w:val="20"/>
              </w:rPr>
              <w:t xml:space="preserve">odczyn Biernackiego (OB); </w:t>
            </w:r>
          </w:p>
          <w:p w14:paraId="2DB17EDB" w14:textId="77777777" w:rsidR="00D056A7" w:rsidRPr="00594413" w:rsidRDefault="009549A9" w:rsidP="007B698D">
            <w:pPr>
              <w:pStyle w:val="Akapitzlist"/>
              <w:numPr>
                <w:ilvl w:val="0"/>
                <w:numId w:val="20"/>
              </w:numPr>
              <w:spacing w:before="60"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4413">
              <w:rPr>
                <w:rFonts w:ascii="Times New Roman" w:hAnsi="Times New Roman" w:cs="Times New Roman"/>
                <w:sz w:val="20"/>
                <w:szCs w:val="20"/>
              </w:rPr>
              <w:t>aminotransferaza alaninowa</w:t>
            </w:r>
            <w:r w:rsidR="00314C62" w:rsidRPr="005944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4413">
              <w:rPr>
                <w:rFonts w:ascii="Times New Roman" w:hAnsi="Times New Roman" w:cs="Times New Roman"/>
                <w:sz w:val="20"/>
                <w:szCs w:val="20"/>
              </w:rPr>
              <w:t>(AlAT);</w:t>
            </w:r>
            <w:r w:rsidR="00D056A7" w:rsidRPr="005944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D5C5202" w14:textId="77777777" w:rsidR="00D056A7" w:rsidRPr="00594413" w:rsidRDefault="009549A9" w:rsidP="007B698D">
            <w:pPr>
              <w:pStyle w:val="Akapitzlist"/>
              <w:numPr>
                <w:ilvl w:val="0"/>
                <w:numId w:val="20"/>
              </w:numPr>
              <w:spacing w:before="60"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4413">
              <w:rPr>
                <w:rFonts w:ascii="Times New Roman" w:hAnsi="Times New Roman" w:cs="Times New Roman"/>
                <w:sz w:val="20"/>
                <w:szCs w:val="20"/>
              </w:rPr>
              <w:t>aminotransferaza asparaginianowa</w:t>
            </w:r>
            <w:r w:rsidR="00314C62" w:rsidRPr="00594413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94413">
              <w:rPr>
                <w:rFonts w:ascii="Times New Roman" w:hAnsi="Times New Roman" w:cs="Times New Roman"/>
                <w:sz w:val="20"/>
                <w:szCs w:val="20"/>
              </w:rPr>
              <w:t>AspAT);</w:t>
            </w:r>
            <w:r w:rsidR="00D056A7" w:rsidRPr="005944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9C2BDEA" w14:textId="77777777" w:rsidR="00D056A7" w:rsidRPr="00594413" w:rsidRDefault="009549A9" w:rsidP="007B698D">
            <w:pPr>
              <w:pStyle w:val="Akapitzlist"/>
              <w:numPr>
                <w:ilvl w:val="0"/>
                <w:numId w:val="20"/>
              </w:numPr>
              <w:spacing w:before="60"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4413">
              <w:rPr>
                <w:rFonts w:ascii="Times New Roman" w:hAnsi="Times New Roman" w:cs="Times New Roman"/>
                <w:sz w:val="20"/>
                <w:szCs w:val="20"/>
              </w:rPr>
              <w:t>poziom kreatyniny w surowicy;</w:t>
            </w:r>
            <w:r w:rsidR="00D056A7" w:rsidRPr="005944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EFC93C6" w14:textId="77777777" w:rsidR="007314E6" w:rsidRPr="00594413" w:rsidRDefault="001B539D" w:rsidP="007B698D">
            <w:pPr>
              <w:pStyle w:val="Akapitzlist"/>
              <w:numPr>
                <w:ilvl w:val="0"/>
                <w:numId w:val="20"/>
              </w:numPr>
              <w:spacing w:before="60"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białko C-</w:t>
            </w:r>
            <w:r w:rsidR="009549A9" w:rsidRPr="00594413">
              <w:rPr>
                <w:rFonts w:ascii="Times New Roman" w:hAnsi="Times New Roman" w:cs="Times New Roman"/>
                <w:sz w:val="20"/>
                <w:szCs w:val="20"/>
              </w:rPr>
              <w:t>reaktywne;</w:t>
            </w:r>
            <w:r w:rsidR="007314E6" w:rsidRPr="005944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ABDDDA3" w14:textId="77777777" w:rsidR="007314E6" w:rsidRPr="00594413" w:rsidRDefault="009549A9" w:rsidP="007B698D">
            <w:pPr>
              <w:pStyle w:val="Akapitzlist"/>
              <w:numPr>
                <w:ilvl w:val="0"/>
                <w:numId w:val="20"/>
              </w:numPr>
              <w:spacing w:before="60"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4413">
              <w:rPr>
                <w:rFonts w:ascii="Times New Roman" w:hAnsi="Times New Roman" w:cs="Times New Roman"/>
                <w:sz w:val="20"/>
                <w:szCs w:val="20"/>
              </w:rPr>
              <w:t>badanie ogólne moczu</w:t>
            </w:r>
            <w:r w:rsidR="001B539D">
              <w:rPr>
                <w:rFonts w:ascii="Times New Roman" w:hAnsi="Times New Roman" w:cs="Times New Roman"/>
                <w:sz w:val="20"/>
                <w:szCs w:val="20"/>
              </w:rPr>
              <w:t xml:space="preserve"> (do decyzji lekarza)</w:t>
            </w:r>
            <w:r w:rsidRPr="0059441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7314E6" w:rsidRPr="005944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0EC6D5D" w14:textId="77777777" w:rsidR="004213E0" w:rsidRDefault="009549A9" w:rsidP="007B698D">
            <w:pPr>
              <w:pStyle w:val="Akapitzlist"/>
              <w:numPr>
                <w:ilvl w:val="0"/>
                <w:numId w:val="20"/>
              </w:numPr>
              <w:spacing w:before="60"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4413">
              <w:rPr>
                <w:rFonts w:ascii="Times New Roman" w:hAnsi="Times New Roman" w:cs="Times New Roman"/>
                <w:sz w:val="20"/>
                <w:szCs w:val="20"/>
              </w:rPr>
              <w:t>próba tuberkulinowa lub test Quantiferon</w:t>
            </w:r>
            <w:r w:rsidR="00061BF6" w:rsidRPr="0059441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92C56A3" w14:textId="0D7A1B0B" w:rsidR="004213E0" w:rsidRPr="004A7499" w:rsidRDefault="004213E0" w:rsidP="007B698D">
            <w:pPr>
              <w:pStyle w:val="Akapitzlist"/>
              <w:numPr>
                <w:ilvl w:val="0"/>
                <w:numId w:val="20"/>
              </w:numPr>
              <w:spacing w:before="60"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7499">
              <w:rPr>
                <w:rFonts w:ascii="Times New Roman" w:eastAsia="Arial" w:hAnsi="Times New Roman" w:cs="Times New Roman"/>
                <w:sz w:val="20"/>
                <w:szCs w:val="20"/>
              </w:rPr>
              <w:t>testu na kiłę</w:t>
            </w:r>
            <w:r w:rsidR="00597C33">
              <w:rPr>
                <w:rFonts w:ascii="Times New Roman" w:eastAsia="Arial" w:hAnsi="Times New Roman" w:cs="Times New Roman"/>
                <w:sz w:val="20"/>
                <w:szCs w:val="20"/>
              </w:rPr>
              <w:t>;</w:t>
            </w:r>
            <w:r w:rsidRPr="004A7499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</w:p>
          <w:p w14:paraId="55047A7D" w14:textId="6192DB58" w:rsidR="007314E6" w:rsidRPr="004213E0" w:rsidRDefault="004213E0" w:rsidP="007B698D">
            <w:pPr>
              <w:pStyle w:val="Akapitzlist"/>
              <w:numPr>
                <w:ilvl w:val="0"/>
                <w:numId w:val="20"/>
              </w:numPr>
              <w:spacing w:before="60"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testu na </w:t>
            </w:r>
            <w:r w:rsidRPr="004A7499">
              <w:rPr>
                <w:rFonts w:ascii="Times New Roman" w:eastAsia="Arial" w:hAnsi="Times New Roman" w:cs="Times New Roman"/>
                <w:sz w:val="20"/>
                <w:szCs w:val="20"/>
              </w:rPr>
              <w:t>boreliozę</w:t>
            </w:r>
            <w:r w:rsidR="00597C3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7DBEDFF" w14:textId="77777777" w:rsidR="007314E6" w:rsidRPr="00594413" w:rsidRDefault="007314E6" w:rsidP="007B698D">
            <w:pPr>
              <w:pStyle w:val="Akapitzlist"/>
              <w:numPr>
                <w:ilvl w:val="0"/>
                <w:numId w:val="20"/>
              </w:numPr>
              <w:spacing w:before="60"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4413">
              <w:rPr>
                <w:rFonts w:ascii="Times New Roman" w:hAnsi="Times New Roman" w:cs="Times New Roman"/>
                <w:sz w:val="20"/>
                <w:szCs w:val="20"/>
              </w:rPr>
              <w:t xml:space="preserve">obecność antygenu </w:t>
            </w:r>
            <w:r w:rsidR="009549A9" w:rsidRPr="00594413">
              <w:rPr>
                <w:rFonts w:ascii="Times New Roman" w:hAnsi="Times New Roman" w:cs="Times New Roman"/>
                <w:sz w:val="20"/>
                <w:szCs w:val="20"/>
              </w:rPr>
              <w:t>HBs;</w:t>
            </w:r>
            <w:r w:rsidRPr="005944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B460848" w14:textId="77777777" w:rsidR="007314E6" w:rsidRPr="00594413" w:rsidRDefault="001B539D" w:rsidP="007B698D">
            <w:pPr>
              <w:pStyle w:val="Akapitzlist"/>
              <w:numPr>
                <w:ilvl w:val="0"/>
                <w:numId w:val="20"/>
              </w:numPr>
              <w:spacing w:before="60" w:after="6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przeciwciała anty-</w:t>
            </w:r>
            <w:r w:rsidR="009549A9" w:rsidRPr="00594413">
              <w:rPr>
                <w:rFonts w:ascii="Times New Roman" w:hAnsi="Times New Roman" w:cs="Times New Roman"/>
                <w:sz w:val="20"/>
                <w:szCs w:val="20"/>
              </w:rPr>
              <w:t>HCV;</w:t>
            </w:r>
            <w:r w:rsidR="007314E6" w:rsidRPr="005944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8B8984A" w14:textId="77777777" w:rsidR="007314E6" w:rsidRPr="00594413" w:rsidRDefault="007314E6" w:rsidP="007B698D">
            <w:pPr>
              <w:pStyle w:val="Akapitzlist"/>
              <w:numPr>
                <w:ilvl w:val="0"/>
                <w:numId w:val="20"/>
              </w:numPr>
              <w:spacing w:before="60" w:after="6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944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obecność</w:t>
            </w:r>
            <w:r w:rsidR="009549A9" w:rsidRPr="005944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antygen</w:t>
            </w:r>
            <w:r w:rsidRPr="005944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</w:t>
            </w:r>
            <w:r w:rsidR="009549A9" w:rsidRPr="005944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wirusa HIV</w:t>
            </w:r>
            <w:r w:rsidRPr="005944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9549A9" w:rsidRPr="005944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(HIV Ag/Ab Combo);</w:t>
            </w:r>
            <w:r w:rsidRPr="005944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2CB6F21A" w14:textId="77777777" w:rsidR="007314E6" w:rsidRPr="00594413" w:rsidRDefault="009549A9" w:rsidP="007B698D">
            <w:pPr>
              <w:pStyle w:val="Akapitzlist"/>
              <w:numPr>
                <w:ilvl w:val="0"/>
                <w:numId w:val="20"/>
              </w:numPr>
              <w:tabs>
                <w:tab w:val="left" w:pos="3027"/>
              </w:tabs>
              <w:spacing w:before="60"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4413">
              <w:rPr>
                <w:rFonts w:ascii="Times New Roman" w:hAnsi="Times New Roman" w:cs="Times New Roman"/>
                <w:sz w:val="20"/>
                <w:szCs w:val="20"/>
              </w:rPr>
              <w:t>stężenie elektrolitów w surowicy;</w:t>
            </w:r>
            <w:r w:rsidR="007314E6" w:rsidRPr="005944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1729129" w14:textId="77777777" w:rsidR="007314E6" w:rsidRPr="00594413" w:rsidRDefault="009549A9" w:rsidP="007B698D">
            <w:pPr>
              <w:pStyle w:val="Akapitzlist"/>
              <w:numPr>
                <w:ilvl w:val="0"/>
                <w:numId w:val="20"/>
              </w:numPr>
              <w:tabs>
                <w:tab w:val="left" w:pos="3027"/>
              </w:tabs>
              <w:spacing w:before="60"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4413">
              <w:rPr>
                <w:rFonts w:ascii="Times New Roman" w:hAnsi="Times New Roman" w:cs="Times New Roman"/>
                <w:sz w:val="20"/>
                <w:szCs w:val="20"/>
              </w:rPr>
              <w:t>RTG klatki piersiowej</w:t>
            </w:r>
            <w:r w:rsidR="00D056A7" w:rsidRPr="00594413">
              <w:rPr>
                <w:rFonts w:ascii="Times New Roman" w:hAnsi="Times New Roman" w:cs="Times New Roman"/>
                <w:sz w:val="20"/>
                <w:szCs w:val="20"/>
              </w:rPr>
              <w:t xml:space="preserve"> z opisem</w:t>
            </w:r>
            <w:r w:rsidR="001B539D">
              <w:rPr>
                <w:rFonts w:ascii="Times New Roman" w:hAnsi="Times New Roman" w:cs="Times New Roman"/>
                <w:sz w:val="20"/>
                <w:szCs w:val="20"/>
              </w:rPr>
              <w:t xml:space="preserve"> (do 6</w:t>
            </w:r>
            <w:r w:rsidR="007314E6" w:rsidRPr="00594413">
              <w:rPr>
                <w:rFonts w:ascii="Times New Roman" w:hAnsi="Times New Roman" w:cs="Times New Roman"/>
                <w:sz w:val="20"/>
                <w:szCs w:val="20"/>
              </w:rPr>
              <w:t xml:space="preserve"> miesięcy przed kwalifikacją</w:t>
            </w:r>
            <w:r w:rsidR="000230C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7314E6" w:rsidRPr="0059441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33790D6" w14:textId="77777777" w:rsidR="007314E6" w:rsidRDefault="007314E6" w:rsidP="007B698D">
            <w:pPr>
              <w:pStyle w:val="Akapitzlist"/>
              <w:numPr>
                <w:ilvl w:val="0"/>
                <w:numId w:val="20"/>
              </w:numPr>
              <w:tabs>
                <w:tab w:val="left" w:pos="3027"/>
              </w:tabs>
              <w:spacing w:before="60"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4413">
              <w:rPr>
                <w:rFonts w:ascii="Times New Roman" w:hAnsi="Times New Roman" w:cs="Times New Roman"/>
                <w:sz w:val="20"/>
                <w:szCs w:val="20"/>
              </w:rPr>
              <w:t>EKG z opisem;</w:t>
            </w:r>
          </w:p>
          <w:p w14:paraId="25BC2B66" w14:textId="77777777" w:rsidR="004213E0" w:rsidRDefault="004213E0" w:rsidP="007B698D">
            <w:pPr>
              <w:pStyle w:val="Akapitzlist"/>
              <w:numPr>
                <w:ilvl w:val="0"/>
                <w:numId w:val="20"/>
              </w:numPr>
              <w:tabs>
                <w:tab w:val="left" w:pos="3027"/>
              </w:tabs>
              <w:spacing w:before="60"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4E31">
              <w:rPr>
                <w:rFonts w:ascii="Times New Roman" w:hAnsi="Times New Roman" w:cs="Times New Roman"/>
                <w:sz w:val="20"/>
                <w:szCs w:val="20"/>
              </w:rPr>
              <w:t>konsultację neurologiczną z ewentualnym badaniem MRI do decyzji lekarza konsultującego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BE6D893" w14:textId="6FA743A5" w:rsidR="008D02FA" w:rsidRDefault="0089439B">
            <w:pPr>
              <w:pStyle w:val="Akapitzlist"/>
              <w:numPr>
                <w:ilvl w:val="0"/>
                <w:numId w:val="20"/>
              </w:numPr>
              <w:tabs>
                <w:tab w:val="left" w:pos="3027"/>
              </w:tabs>
              <w:spacing w:before="60"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7210">
              <w:rPr>
                <w:rFonts w:ascii="Times New Roman" w:hAnsi="Times New Roman" w:cs="Times New Roman"/>
                <w:sz w:val="20"/>
                <w:szCs w:val="20"/>
              </w:rPr>
              <w:t>konsultację ginekologiczną z wykluczeniem ciąży</w:t>
            </w:r>
            <w:r w:rsidR="00597C3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00A9FF8" w14:textId="77777777" w:rsidR="007314E6" w:rsidRPr="00D5373C" w:rsidRDefault="00436793">
            <w:pPr>
              <w:pStyle w:val="Akapitzlist"/>
              <w:numPr>
                <w:ilvl w:val="0"/>
                <w:numId w:val="20"/>
              </w:numPr>
              <w:tabs>
                <w:tab w:val="left" w:pos="3027"/>
              </w:tabs>
              <w:spacing w:before="60"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373C">
              <w:rPr>
                <w:rFonts w:ascii="Times New Roman" w:hAnsi="Times New Roman" w:cs="Times New Roman"/>
                <w:sz w:val="20"/>
                <w:szCs w:val="20"/>
              </w:rPr>
              <w:t xml:space="preserve">ocena </w:t>
            </w:r>
            <w:r w:rsidR="00527C31" w:rsidRPr="00D5373C">
              <w:rPr>
                <w:rFonts w:ascii="Times New Roman" w:hAnsi="Times New Roman" w:cs="Times New Roman"/>
                <w:sz w:val="20"/>
                <w:szCs w:val="20"/>
              </w:rPr>
              <w:t xml:space="preserve">stopnia nacieków komórkowych w komorze przedniej oka oraz stopnia przymglenia ciała szklistego </w:t>
            </w:r>
            <w:r w:rsidRPr="00D5373C">
              <w:rPr>
                <w:rFonts w:ascii="Times New Roman" w:hAnsi="Times New Roman" w:cs="Times New Roman"/>
                <w:sz w:val="20"/>
                <w:szCs w:val="20"/>
              </w:rPr>
              <w:t>według kryteriów SUN</w:t>
            </w:r>
            <w:r w:rsidR="00527C31" w:rsidRPr="00D5373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7314E6" w:rsidRPr="00D537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2A7B5B4" w14:textId="19ED76F7" w:rsidR="007314E6" w:rsidRDefault="00527C31" w:rsidP="007B698D">
            <w:pPr>
              <w:pStyle w:val="Akapitzlist"/>
              <w:numPr>
                <w:ilvl w:val="0"/>
                <w:numId w:val="20"/>
              </w:numPr>
              <w:tabs>
                <w:tab w:val="left" w:pos="3027"/>
              </w:tabs>
              <w:spacing w:before="60"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4413">
              <w:rPr>
                <w:rFonts w:ascii="Times New Roman" w:hAnsi="Times New Roman" w:cs="Times New Roman"/>
                <w:sz w:val="20"/>
                <w:szCs w:val="20"/>
              </w:rPr>
              <w:t xml:space="preserve">badanie okulistyczne z oceną najlepszej skorygowanej ostrości wzroku </w:t>
            </w:r>
            <w:r w:rsidR="007314E6" w:rsidRPr="00594413">
              <w:rPr>
                <w:rFonts w:ascii="Times New Roman" w:hAnsi="Times New Roman" w:cs="Times New Roman"/>
                <w:sz w:val="20"/>
                <w:szCs w:val="20"/>
              </w:rPr>
              <w:t>na tablicach Snellena lub ETDRS</w:t>
            </w:r>
            <w:r w:rsidR="007B698D">
              <w:rPr>
                <w:rFonts w:ascii="Times New Roman" w:hAnsi="Times New Roman" w:cs="Times New Roman"/>
                <w:sz w:val="20"/>
                <w:szCs w:val="20"/>
              </w:rPr>
              <w:t xml:space="preserve">, pomiarem ciśnienia wewnątrzgałkowego, oceną dna oka i plamki żółtej w badaniu </w:t>
            </w:r>
            <w:r w:rsidR="00E11A89">
              <w:rPr>
                <w:rFonts w:ascii="Times New Roman" w:hAnsi="Times New Roman" w:cs="Times New Roman"/>
                <w:sz w:val="20"/>
                <w:szCs w:val="20"/>
              </w:rPr>
              <w:t>optycznej koherentnej tomografii (</w:t>
            </w:r>
            <w:r w:rsidR="007B698D">
              <w:rPr>
                <w:rFonts w:ascii="Times New Roman" w:hAnsi="Times New Roman" w:cs="Times New Roman"/>
                <w:sz w:val="20"/>
                <w:szCs w:val="20"/>
              </w:rPr>
              <w:t>OCT</w:t>
            </w:r>
            <w:r w:rsidR="00E11A8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FF6C94">
              <w:rPr>
                <w:rFonts w:ascii="Times New Roman" w:hAnsi="Times New Roman" w:cs="Times New Roman"/>
                <w:sz w:val="20"/>
                <w:szCs w:val="20"/>
              </w:rPr>
              <w:t>, ocena gałki ocznej w badaniu ultrasonograficznym typ B</w:t>
            </w:r>
            <w:r w:rsidR="008D02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6F26E3D" w14:textId="77777777" w:rsidR="007B698D" w:rsidRPr="007B698D" w:rsidRDefault="007B698D" w:rsidP="007B698D">
            <w:pPr>
              <w:pStyle w:val="Akapitzlist"/>
              <w:tabs>
                <w:tab w:val="left" w:pos="3027"/>
              </w:tabs>
              <w:spacing w:before="60" w:after="60" w:line="276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7C0EAD" w14:textId="7CAA0763" w:rsidR="00AB0910" w:rsidRPr="00594413" w:rsidRDefault="00AB0910" w:rsidP="007B698D">
            <w:pPr>
              <w:pStyle w:val="Akapitzlist"/>
              <w:numPr>
                <w:ilvl w:val="0"/>
                <w:numId w:val="21"/>
              </w:numPr>
              <w:spacing w:before="60" w:after="60" w:line="276" w:lineRule="auto"/>
              <w:ind w:left="3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413">
              <w:rPr>
                <w:rFonts w:ascii="Times New Roman" w:hAnsi="Times New Roman" w:cs="Times New Roman"/>
                <w:b/>
                <w:sz w:val="20"/>
                <w:szCs w:val="20"/>
              </w:rPr>
              <w:t>Monitorowanie leczenia</w:t>
            </w:r>
            <w:r w:rsidR="009615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17B1A">
              <w:rPr>
                <w:rFonts w:ascii="Times New Roman" w:hAnsi="Times New Roman" w:cs="Times New Roman"/>
                <w:b/>
                <w:sz w:val="20"/>
                <w:szCs w:val="20"/>
              </w:rPr>
              <w:t>adalimumabem</w:t>
            </w:r>
            <w:r w:rsidRPr="00594413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2B4BDEA3" w14:textId="77777777" w:rsidR="007B698D" w:rsidRPr="007B698D" w:rsidRDefault="007B698D" w:rsidP="007B698D">
            <w:pPr>
              <w:pStyle w:val="Akapitzlist"/>
              <w:numPr>
                <w:ilvl w:val="0"/>
                <w:numId w:val="30"/>
              </w:numPr>
              <w:spacing w:before="60" w:after="60" w:line="276" w:lineRule="auto"/>
              <w:ind w:left="340"/>
              <w:rPr>
                <w:rFonts w:ascii="Times New Roman" w:hAnsi="Times New Roman" w:cs="Times New Roman"/>
                <w:sz w:val="20"/>
                <w:szCs w:val="20"/>
              </w:rPr>
            </w:pPr>
            <w:r w:rsidRPr="007B698D">
              <w:rPr>
                <w:rFonts w:ascii="Times New Roman" w:hAnsi="Times New Roman" w:cs="Times New Roman"/>
                <w:sz w:val="20"/>
                <w:szCs w:val="20"/>
              </w:rPr>
              <w:t>Monitorowanie stanu miejscowego na podstawie badania okulistycznego:</w:t>
            </w:r>
          </w:p>
          <w:p w14:paraId="18A8DA40" w14:textId="77777777" w:rsidR="007B698D" w:rsidRDefault="007B698D" w:rsidP="007B698D">
            <w:pPr>
              <w:pStyle w:val="Akapitzlist"/>
              <w:numPr>
                <w:ilvl w:val="0"/>
                <w:numId w:val="31"/>
              </w:numPr>
              <w:spacing w:before="60" w:after="60" w:line="276" w:lineRule="auto"/>
              <w:ind w:left="765"/>
              <w:rPr>
                <w:rFonts w:ascii="Times New Roman" w:hAnsi="Times New Roman" w:cs="Times New Roman"/>
                <w:sz w:val="20"/>
                <w:szCs w:val="20"/>
              </w:rPr>
            </w:pPr>
            <w:r w:rsidRPr="007B698D">
              <w:rPr>
                <w:rFonts w:ascii="Times New Roman" w:hAnsi="Times New Roman" w:cs="Times New Roman"/>
                <w:sz w:val="20"/>
                <w:szCs w:val="20"/>
              </w:rPr>
              <w:t>przed podaniem pierwszej dawki leku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0C98439" w14:textId="77777777" w:rsidR="007B698D" w:rsidRDefault="007B698D" w:rsidP="007B698D">
            <w:pPr>
              <w:pStyle w:val="Akapitzlist"/>
              <w:numPr>
                <w:ilvl w:val="0"/>
                <w:numId w:val="31"/>
              </w:numPr>
              <w:spacing w:before="60" w:after="60" w:line="276" w:lineRule="auto"/>
              <w:ind w:left="765"/>
              <w:rPr>
                <w:rFonts w:ascii="Times New Roman" w:hAnsi="Times New Roman" w:cs="Times New Roman"/>
                <w:sz w:val="20"/>
                <w:szCs w:val="20"/>
              </w:rPr>
            </w:pPr>
            <w:r w:rsidRPr="007B698D">
              <w:rPr>
                <w:rFonts w:ascii="Times New Roman" w:hAnsi="Times New Roman" w:cs="Times New Roman"/>
                <w:sz w:val="20"/>
                <w:szCs w:val="20"/>
              </w:rPr>
              <w:t>przed podaniem 5 dawki leku z oceną skuteczności leczenia w stosunku do stanu  wyjściowego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DE2304F" w14:textId="77777777" w:rsidR="007B698D" w:rsidRPr="007B698D" w:rsidRDefault="007B698D" w:rsidP="007B698D">
            <w:pPr>
              <w:pStyle w:val="Akapitzlist"/>
              <w:numPr>
                <w:ilvl w:val="0"/>
                <w:numId w:val="31"/>
              </w:numPr>
              <w:spacing w:before="60" w:after="60" w:line="276" w:lineRule="auto"/>
              <w:ind w:left="765"/>
              <w:rPr>
                <w:rFonts w:ascii="Times New Roman" w:hAnsi="Times New Roman" w:cs="Times New Roman"/>
                <w:sz w:val="20"/>
                <w:szCs w:val="20"/>
              </w:rPr>
            </w:pPr>
            <w:r w:rsidRPr="007B698D">
              <w:rPr>
                <w:rFonts w:ascii="Times New Roman" w:hAnsi="Times New Roman" w:cs="Times New Roman"/>
                <w:sz w:val="20"/>
                <w:szCs w:val="20"/>
              </w:rPr>
              <w:t>przed podaniem kolejnej 5 dawki leku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B698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196429FB" w14:textId="77777777" w:rsidR="007B698D" w:rsidRPr="007B698D" w:rsidRDefault="007B698D" w:rsidP="007B698D">
            <w:pPr>
              <w:spacing w:before="60"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98D">
              <w:rPr>
                <w:rFonts w:ascii="Times New Roman" w:hAnsi="Times New Roman" w:cs="Times New Roman"/>
                <w:sz w:val="20"/>
                <w:szCs w:val="20"/>
              </w:rPr>
              <w:t>Badanie okulistyczne powinno obejmować:</w:t>
            </w:r>
          </w:p>
          <w:p w14:paraId="32AB4F96" w14:textId="2E4A47FF" w:rsidR="007B698D" w:rsidRPr="007B698D" w:rsidRDefault="007B698D" w:rsidP="007B698D">
            <w:pPr>
              <w:pStyle w:val="Akapitzlist"/>
              <w:numPr>
                <w:ilvl w:val="0"/>
                <w:numId w:val="28"/>
              </w:numPr>
              <w:spacing w:before="60"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98D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cenę n</w:t>
            </w:r>
            <w:r w:rsidRPr="007B698D">
              <w:rPr>
                <w:rFonts w:ascii="Times New Roman" w:hAnsi="Times New Roman" w:cs="Times New Roman"/>
                <w:sz w:val="20"/>
                <w:szCs w:val="20"/>
              </w:rPr>
              <w:t>ajlepszej skorygowanej ostrości wzroku do dali na tablicach Snellena lub EDTRS</w:t>
            </w:r>
            <w:r w:rsidR="00597C3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118F951" w14:textId="72B8C31F" w:rsidR="007B698D" w:rsidRPr="007B698D" w:rsidRDefault="007B698D" w:rsidP="007B698D">
            <w:pPr>
              <w:pStyle w:val="Akapitzlist"/>
              <w:numPr>
                <w:ilvl w:val="0"/>
                <w:numId w:val="28"/>
              </w:numPr>
              <w:spacing w:before="60"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98D">
              <w:rPr>
                <w:rFonts w:ascii="Times New Roman" w:hAnsi="Times New Roman" w:cs="Times New Roman"/>
                <w:sz w:val="20"/>
                <w:szCs w:val="20"/>
              </w:rPr>
              <w:t>pomiar ciśnienia wewnątrzgałkowego</w:t>
            </w:r>
            <w:r w:rsidR="00597C3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62191BC" w14:textId="05A38347" w:rsidR="007B698D" w:rsidRPr="007B698D" w:rsidRDefault="007B698D" w:rsidP="007B698D">
            <w:pPr>
              <w:pStyle w:val="Akapitzlist"/>
              <w:numPr>
                <w:ilvl w:val="0"/>
                <w:numId w:val="28"/>
              </w:numPr>
              <w:spacing w:before="60"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98D">
              <w:rPr>
                <w:rFonts w:ascii="Times New Roman" w:hAnsi="Times New Roman" w:cs="Times New Roman"/>
                <w:sz w:val="20"/>
                <w:szCs w:val="20"/>
              </w:rPr>
              <w:t>ocenę przedniego odcinka i dna oka</w:t>
            </w:r>
            <w:r w:rsidR="00597C3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97C33" w:rsidRPr="007B69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0E0B622" w14:textId="77777777" w:rsidR="00E11A89" w:rsidRPr="00E11A89" w:rsidRDefault="007B698D" w:rsidP="00E11A89">
            <w:pPr>
              <w:pStyle w:val="Akapitzlist"/>
              <w:numPr>
                <w:ilvl w:val="0"/>
                <w:numId w:val="28"/>
              </w:numPr>
              <w:spacing w:before="60"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98D">
              <w:rPr>
                <w:rFonts w:ascii="Times New Roman" w:hAnsi="Times New Roman" w:cs="Times New Roman"/>
                <w:sz w:val="20"/>
                <w:szCs w:val="20"/>
              </w:rPr>
              <w:t>ocena plamki w badaniu optycznej koherentnej tomografii (OCT)</w:t>
            </w:r>
            <w:r w:rsidR="00E11A8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B69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7B81237" w14:textId="77777777" w:rsidR="007B698D" w:rsidRPr="007B698D" w:rsidRDefault="007B698D" w:rsidP="007B698D">
            <w:pPr>
              <w:spacing w:before="60"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98D">
              <w:rPr>
                <w:rFonts w:ascii="Times New Roman" w:hAnsi="Times New Roman" w:cs="Times New Roman"/>
                <w:sz w:val="20"/>
                <w:szCs w:val="20"/>
              </w:rPr>
              <w:t>Kryteria oceny skuteczności. Pogorszenie oceniane jest zgodnie z kryteriami wyłączenia z programu. Za poprawę uważa się:</w:t>
            </w:r>
          </w:p>
          <w:p w14:paraId="2B9F95FB" w14:textId="6CEFE2F4" w:rsidR="007B698D" w:rsidRPr="007B698D" w:rsidRDefault="007B698D" w:rsidP="007B698D">
            <w:pPr>
              <w:pStyle w:val="Akapitzlist"/>
              <w:numPr>
                <w:ilvl w:val="0"/>
                <w:numId w:val="29"/>
              </w:numPr>
              <w:spacing w:before="60"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98D">
              <w:rPr>
                <w:rFonts w:ascii="Times New Roman" w:hAnsi="Times New Roman" w:cs="Times New Roman"/>
                <w:sz w:val="20"/>
                <w:szCs w:val="20"/>
              </w:rPr>
              <w:t>zmniejszenie liczby komórek w komorze przedniej lub zmniejszenie przymglenia ciała szklistego o ≤ 2 według kryteriów SUN</w:t>
            </w:r>
            <w:r w:rsidR="00EC5B39">
              <w:rPr>
                <w:rFonts w:ascii="Times New Roman" w:hAnsi="Times New Roman" w:cs="Times New Roman"/>
                <w:sz w:val="20"/>
                <w:szCs w:val="20"/>
              </w:rPr>
              <w:t xml:space="preserve"> przy stanie początkowym większym lub równym 2</w:t>
            </w:r>
            <w:r w:rsidR="00597C3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24499B65" w14:textId="14121CA3" w:rsidR="007B698D" w:rsidRPr="007B698D" w:rsidRDefault="007B698D" w:rsidP="007B698D">
            <w:pPr>
              <w:pStyle w:val="Akapitzlist"/>
              <w:numPr>
                <w:ilvl w:val="0"/>
                <w:numId w:val="29"/>
              </w:numPr>
              <w:spacing w:before="60"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98D">
              <w:rPr>
                <w:rFonts w:ascii="Times New Roman" w:hAnsi="Times New Roman" w:cs="Times New Roman"/>
                <w:sz w:val="20"/>
                <w:szCs w:val="20"/>
              </w:rPr>
              <w:t>zmniejszenia liczby komórek w komorze przedniej lub przymglenia ciała szklistego do poziomu 0 według kryteriów SUN</w:t>
            </w:r>
            <w:r w:rsidR="00EC5B39">
              <w:rPr>
                <w:rFonts w:ascii="Times New Roman" w:hAnsi="Times New Roman" w:cs="Times New Roman"/>
                <w:sz w:val="20"/>
                <w:szCs w:val="20"/>
              </w:rPr>
              <w:t xml:space="preserve"> przy stanie początkowym mniejszym niż 2</w:t>
            </w:r>
            <w:r w:rsidR="00597C3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97C33" w:rsidRPr="007B69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6DB4A08" w14:textId="15E15C34" w:rsidR="007B698D" w:rsidRPr="007B698D" w:rsidRDefault="007B698D" w:rsidP="007B698D">
            <w:pPr>
              <w:pStyle w:val="Akapitzlist"/>
              <w:numPr>
                <w:ilvl w:val="0"/>
                <w:numId w:val="29"/>
              </w:numPr>
              <w:spacing w:before="60"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98D">
              <w:rPr>
                <w:rFonts w:ascii="Times New Roman" w:hAnsi="Times New Roman" w:cs="Times New Roman"/>
                <w:sz w:val="20"/>
                <w:szCs w:val="20"/>
              </w:rPr>
              <w:t>zmniejszenie się lub brak aktywnych zmian zapalnych naczyniówki lub siatkówki, lub naczyń siatkówki</w:t>
            </w:r>
            <w:r w:rsidR="00597C3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15B3F4AB" w14:textId="77777777" w:rsidR="00C64E31" w:rsidRDefault="007B698D" w:rsidP="007B698D">
            <w:pPr>
              <w:pStyle w:val="Akapitzlist"/>
              <w:numPr>
                <w:ilvl w:val="0"/>
                <w:numId w:val="29"/>
              </w:numPr>
              <w:spacing w:before="60"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98D">
              <w:rPr>
                <w:rFonts w:ascii="Times New Roman" w:hAnsi="Times New Roman" w:cs="Times New Roman"/>
                <w:sz w:val="20"/>
                <w:szCs w:val="20"/>
              </w:rPr>
              <w:t>poprawę najlepszej skorygowanej ostrości wzroku o 3 linie według Snellena lub 15 liter na tablicy EDTRS  w stosunku do wartości wyjściowych bądź stabilizację ostrości wzroku</w:t>
            </w:r>
            <w:r w:rsidR="00C64E3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B69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3BDFCD8" w14:textId="77777777" w:rsidR="00C64E31" w:rsidRDefault="00C64E31" w:rsidP="00C64E31">
            <w:pPr>
              <w:pStyle w:val="Akapitzlist"/>
              <w:spacing w:before="60"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99B134" w14:textId="77777777" w:rsidR="00C64E31" w:rsidRDefault="007B698D" w:rsidP="00C64E31">
            <w:pPr>
              <w:pStyle w:val="Akapitzlist"/>
              <w:numPr>
                <w:ilvl w:val="0"/>
                <w:numId w:val="30"/>
              </w:numPr>
              <w:spacing w:before="60" w:after="60" w:line="276" w:lineRule="auto"/>
              <w:ind w:left="340"/>
              <w:rPr>
                <w:rFonts w:ascii="Times New Roman" w:hAnsi="Times New Roman" w:cs="Times New Roman"/>
                <w:sz w:val="20"/>
                <w:szCs w:val="20"/>
              </w:rPr>
            </w:pPr>
            <w:r w:rsidRPr="00C64E31">
              <w:rPr>
                <w:rFonts w:ascii="Times New Roman" w:hAnsi="Times New Roman" w:cs="Times New Roman"/>
                <w:sz w:val="20"/>
                <w:szCs w:val="20"/>
              </w:rPr>
              <w:t>Monitorowanie stanu ogólnego na podstawie badań</w:t>
            </w:r>
            <w:r w:rsidR="00C64E31" w:rsidRPr="00C64E3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152FDD5A" w14:textId="77777777" w:rsidR="00C64E31" w:rsidRDefault="007B698D" w:rsidP="00C64E31">
            <w:pPr>
              <w:pStyle w:val="Akapitzlist"/>
              <w:numPr>
                <w:ilvl w:val="0"/>
                <w:numId w:val="32"/>
              </w:numPr>
              <w:spacing w:before="60"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4E31">
              <w:rPr>
                <w:rFonts w:ascii="Times New Roman" w:hAnsi="Times New Roman" w:cs="Times New Roman"/>
                <w:sz w:val="20"/>
                <w:szCs w:val="20"/>
              </w:rPr>
              <w:t>przed podaniem 3 dawki leku</w:t>
            </w:r>
            <w:r w:rsidR="00C64E31" w:rsidRPr="00C64E31">
              <w:rPr>
                <w:rFonts w:ascii="Times New Roman" w:hAnsi="Times New Roman" w:cs="Times New Roman"/>
                <w:sz w:val="20"/>
                <w:szCs w:val="20"/>
              </w:rPr>
              <w:t xml:space="preserve"> (morfologia krwi </w:t>
            </w:r>
            <w:r w:rsidRPr="00C64E31">
              <w:rPr>
                <w:rFonts w:ascii="Times New Roman" w:hAnsi="Times New Roman" w:cs="Times New Roman"/>
                <w:sz w:val="20"/>
                <w:szCs w:val="20"/>
              </w:rPr>
              <w:t>obwodowej, CRP, OB, AlAT, AspAT)</w:t>
            </w:r>
            <w:r w:rsidR="00C64E3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84B87C8" w14:textId="77777777" w:rsidR="00C64E31" w:rsidRDefault="007B698D" w:rsidP="00C64E31">
            <w:pPr>
              <w:pStyle w:val="Akapitzlist"/>
              <w:numPr>
                <w:ilvl w:val="0"/>
                <w:numId w:val="32"/>
              </w:numPr>
              <w:spacing w:before="60"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4E31">
              <w:rPr>
                <w:rFonts w:ascii="Times New Roman" w:hAnsi="Times New Roman" w:cs="Times New Roman"/>
                <w:sz w:val="20"/>
                <w:szCs w:val="20"/>
              </w:rPr>
              <w:t xml:space="preserve">przed podaniem 5 dawki leku </w:t>
            </w:r>
            <w:r w:rsidR="00C64E31" w:rsidRPr="00C64E31">
              <w:rPr>
                <w:rFonts w:ascii="Times New Roman" w:hAnsi="Times New Roman" w:cs="Times New Roman"/>
                <w:sz w:val="20"/>
                <w:szCs w:val="20"/>
              </w:rPr>
              <w:t xml:space="preserve">(morfologia krwi </w:t>
            </w:r>
            <w:r w:rsidRPr="00C64E31">
              <w:rPr>
                <w:rFonts w:ascii="Times New Roman" w:hAnsi="Times New Roman" w:cs="Times New Roman"/>
                <w:sz w:val="20"/>
                <w:szCs w:val="20"/>
              </w:rPr>
              <w:t>obwodowej, CRP, OB, AlAT, AspAT)</w:t>
            </w:r>
            <w:r w:rsidR="00C64E3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4A4E570" w14:textId="77777777" w:rsidR="00C64E31" w:rsidRDefault="007B698D" w:rsidP="00C64E31">
            <w:pPr>
              <w:pStyle w:val="Akapitzlist"/>
              <w:numPr>
                <w:ilvl w:val="0"/>
                <w:numId w:val="32"/>
              </w:numPr>
              <w:spacing w:before="60"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4E31">
              <w:rPr>
                <w:rFonts w:ascii="Times New Roman" w:hAnsi="Times New Roman" w:cs="Times New Roman"/>
                <w:sz w:val="20"/>
                <w:szCs w:val="20"/>
              </w:rPr>
              <w:t xml:space="preserve">przed podaniem kolejnej 5 dawki leku </w:t>
            </w:r>
            <w:r w:rsidR="00C64E31" w:rsidRPr="00C64E31">
              <w:rPr>
                <w:rFonts w:ascii="Times New Roman" w:hAnsi="Times New Roman" w:cs="Times New Roman"/>
                <w:sz w:val="20"/>
                <w:szCs w:val="20"/>
              </w:rPr>
              <w:t xml:space="preserve">(morfologia krwi </w:t>
            </w:r>
            <w:r w:rsidRPr="00C64E31">
              <w:rPr>
                <w:rFonts w:ascii="Times New Roman" w:hAnsi="Times New Roman" w:cs="Times New Roman"/>
                <w:sz w:val="20"/>
                <w:szCs w:val="20"/>
              </w:rPr>
              <w:t>obwodowej, CRP, OB, AlAT, AspAT)</w:t>
            </w:r>
            <w:r w:rsidR="00C64E31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C64E31">
              <w:rPr>
                <w:rFonts w:ascii="Times New Roman" w:hAnsi="Times New Roman" w:cs="Times New Roman"/>
                <w:sz w:val="20"/>
                <w:szCs w:val="20"/>
              </w:rPr>
              <w:t>do decyzji lekarza prowadzącego</w:t>
            </w:r>
            <w:r w:rsidR="00C64E3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C64E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502D51A" w14:textId="77777777" w:rsidR="00C64E31" w:rsidRDefault="007B698D" w:rsidP="00C64E31">
            <w:pPr>
              <w:pStyle w:val="Akapitzlist"/>
              <w:numPr>
                <w:ilvl w:val="0"/>
                <w:numId w:val="32"/>
              </w:numPr>
              <w:spacing w:before="60"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4E31">
              <w:rPr>
                <w:rFonts w:ascii="Times New Roman" w:hAnsi="Times New Roman" w:cs="Times New Roman"/>
                <w:sz w:val="20"/>
                <w:szCs w:val="20"/>
              </w:rPr>
              <w:t>co 6 miesięcy należy wykonać próbę tuberkulinową lub test Quantiferon</w:t>
            </w:r>
            <w:r w:rsidR="00C64E3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8B61100" w14:textId="77777777" w:rsidR="007B698D" w:rsidRPr="00C64E31" w:rsidRDefault="007B698D" w:rsidP="00C64E31">
            <w:pPr>
              <w:pStyle w:val="Akapitzlist"/>
              <w:numPr>
                <w:ilvl w:val="0"/>
                <w:numId w:val="32"/>
              </w:numPr>
              <w:spacing w:before="60"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4E31">
              <w:rPr>
                <w:rFonts w:ascii="Times New Roman" w:hAnsi="Times New Roman" w:cs="Times New Roman"/>
                <w:sz w:val="20"/>
                <w:szCs w:val="20"/>
              </w:rPr>
              <w:t>co 6 miesięcy należy przeprowadzić konsultację neurologiczną z ewentualnym badaniem MRI do decyzji lekarza konsultującego</w:t>
            </w:r>
            <w:r w:rsidR="00C64E3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BB6FC94" w14:textId="77777777" w:rsidR="007314E6" w:rsidRPr="00594413" w:rsidRDefault="007314E6" w:rsidP="007B698D">
            <w:pPr>
              <w:spacing w:before="60" w:after="6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6046980" w14:textId="77777777" w:rsidR="00AB0910" w:rsidRPr="00594413" w:rsidRDefault="007314E6" w:rsidP="007B698D">
            <w:pPr>
              <w:spacing w:before="60" w:after="6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413">
              <w:rPr>
                <w:rFonts w:ascii="Times New Roman" w:hAnsi="Times New Roman" w:cs="Times New Roman"/>
                <w:b/>
                <w:sz w:val="20"/>
                <w:szCs w:val="20"/>
              </w:rPr>
              <w:t>3. M</w:t>
            </w:r>
            <w:r w:rsidR="00AB0910" w:rsidRPr="00594413">
              <w:rPr>
                <w:rFonts w:ascii="Times New Roman" w:hAnsi="Times New Roman" w:cs="Times New Roman"/>
                <w:b/>
                <w:sz w:val="20"/>
                <w:szCs w:val="20"/>
              </w:rPr>
              <w:t>onitorowanie programu</w:t>
            </w:r>
            <w:r w:rsidR="009C20A9" w:rsidRPr="00594413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724FFBA9" w14:textId="77777777" w:rsidR="00AB0910" w:rsidRPr="00594413" w:rsidRDefault="00AB0910" w:rsidP="007B698D">
            <w:pPr>
              <w:spacing w:before="60"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4413">
              <w:rPr>
                <w:rFonts w:ascii="Times New Roman" w:hAnsi="Times New Roman" w:cs="Times New Roman"/>
                <w:sz w:val="20"/>
                <w:szCs w:val="20"/>
              </w:rPr>
              <w:t>1) gromadzenie w dokumentacji medycznej pacjenta danych dotyczących monitorowania leczenia i każdorazowe ich przedstawianie na żądanie kontrolerów Narodowego Funduszu Zdrowia;</w:t>
            </w:r>
          </w:p>
          <w:p w14:paraId="01766A06" w14:textId="77777777" w:rsidR="00AB0910" w:rsidRPr="00594413" w:rsidRDefault="007B698D" w:rsidP="007B698D">
            <w:pPr>
              <w:spacing w:before="60"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uzupełnia</w:t>
            </w:r>
            <w:r w:rsidR="00AB0910" w:rsidRPr="00594413">
              <w:rPr>
                <w:rFonts w:ascii="Times New Roman" w:hAnsi="Times New Roman" w:cs="Times New Roman"/>
                <w:sz w:val="20"/>
                <w:szCs w:val="20"/>
              </w:rPr>
              <w:t>nie danych zawartych w rejestrze (SMPT) dostępnym za pomocą aplikacji internetowej  udostępnionej przez OW NFZ, z częstotliwością zgodną z opisem programu oraz na zakończenie leczenia;</w:t>
            </w:r>
          </w:p>
          <w:p w14:paraId="36CE23C0" w14:textId="77777777" w:rsidR="00AB0910" w:rsidRPr="00594413" w:rsidRDefault="00AB0910" w:rsidP="007B698D">
            <w:pPr>
              <w:spacing w:before="60"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4413">
              <w:rPr>
                <w:rFonts w:ascii="Times New Roman" w:hAnsi="Times New Roman" w:cs="Times New Roman"/>
                <w:sz w:val="20"/>
                <w:szCs w:val="20"/>
              </w:rPr>
              <w:t>3) przekazywanie informacji sprawozdawczo</w:t>
            </w:r>
            <w:r w:rsidR="009D2283" w:rsidRPr="005944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4413">
              <w:rPr>
                <w:rFonts w:ascii="Times New Roman" w:hAnsi="Times New Roman" w:cs="Times New Roman"/>
                <w:sz w:val="20"/>
                <w:szCs w:val="20"/>
              </w:rPr>
              <w:t>-rozliczeniowych do NFZ: informacje przekazuje się do NFZ w formie papierowej lub w formie elektronicznej, zgodnie z wymaganiami opublikowanymi przez Narodowy Fundusz Zdrowia.</w:t>
            </w:r>
          </w:p>
        </w:tc>
      </w:tr>
    </w:tbl>
    <w:p w14:paraId="7820036F" w14:textId="77777777" w:rsidR="00AB0910" w:rsidRPr="00594413" w:rsidRDefault="00AB0910" w:rsidP="007B698D">
      <w:pPr>
        <w:spacing w:line="276" w:lineRule="auto"/>
        <w:rPr>
          <w:rFonts w:ascii="Arial" w:hAnsi="Arial" w:cs="Arial"/>
          <w:b/>
          <w:sz w:val="20"/>
          <w:szCs w:val="20"/>
        </w:rPr>
      </w:pPr>
    </w:p>
    <w:sectPr w:rsidR="00AB0910" w:rsidRPr="00594413" w:rsidSect="00736825">
      <w:pgSz w:w="16838" w:h="11906" w:orient="landscape"/>
      <w:pgMar w:top="1588" w:right="720" w:bottom="141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F1424F" w14:textId="77777777" w:rsidR="00543662" w:rsidRDefault="00543662" w:rsidP="004213E0">
      <w:pPr>
        <w:spacing w:after="0" w:line="240" w:lineRule="auto"/>
      </w:pPr>
      <w:r>
        <w:separator/>
      </w:r>
    </w:p>
  </w:endnote>
  <w:endnote w:type="continuationSeparator" w:id="0">
    <w:p w14:paraId="3F23E485" w14:textId="77777777" w:rsidR="00543662" w:rsidRDefault="00543662" w:rsidP="00421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460CDE" w14:textId="77777777" w:rsidR="00543662" w:rsidRDefault="00543662" w:rsidP="004213E0">
      <w:pPr>
        <w:spacing w:after="0" w:line="240" w:lineRule="auto"/>
      </w:pPr>
      <w:r>
        <w:separator/>
      </w:r>
    </w:p>
  </w:footnote>
  <w:footnote w:type="continuationSeparator" w:id="0">
    <w:p w14:paraId="0B36215B" w14:textId="77777777" w:rsidR="00543662" w:rsidRDefault="00543662" w:rsidP="004213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70.4pt;height:170.4pt" o:bullet="t">
        <v:imagedata r:id="rId1" o:title="punktor small"/>
      </v:shape>
    </w:pict>
  </w:numPicBullet>
  <w:abstractNum w:abstractNumId="0" w15:restartNumberingAfterBreak="0">
    <w:nsid w:val="067017AF"/>
    <w:multiLevelType w:val="hybridMultilevel"/>
    <w:tmpl w:val="21CA8F30"/>
    <w:lvl w:ilvl="0" w:tplc="B3C8A678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A921C2"/>
    <w:multiLevelType w:val="hybridMultilevel"/>
    <w:tmpl w:val="777AF814"/>
    <w:lvl w:ilvl="0" w:tplc="5F3AB84E">
      <w:start w:val="1"/>
      <w:numFmt w:val="bullet"/>
      <w:lvlText w:val=""/>
      <w:lvlJc w:val="left"/>
      <w:pPr>
        <w:ind w:left="1070" w:hanging="360"/>
      </w:pPr>
      <w:rPr>
        <w:rFonts w:ascii="Wingdings" w:hAnsi="Wingdings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0C9D14B8"/>
    <w:multiLevelType w:val="hybridMultilevel"/>
    <w:tmpl w:val="06C868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549A0"/>
    <w:multiLevelType w:val="hybridMultilevel"/>
    <w:tmpl w:val="30A81C2A"/>
    <w:lvl w:ilvl="0" w:tplc="1B68C5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95E5F"/>
    <w:multiLevelType w:val="hybridMultilevel"/>
    <w:tmpl w:val="AF7A46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22A9E"/>
    <w:multiLevelType w:val="hybridMultilevel"/>
    <w:tmpl w:val="1452FA3A"/>
    <w:lvl w:ilvl="0" w:tplc="B3C8A67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4569C"/>
    <w:multiLevelType w:val="hybridMultilevel"/>
    <w:tmpl w:val="B20AC11E"/>
    <w:lvl w:ilvl="0" w:tplc="1FE87E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D50910"/>
    <w:multiLevelType w:val="hybridMultilevel"/>
    <w:tmpl w:val="D95C4488"/>
    <w:lvl w:ilvl="0" w:tplc="3A4004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7665F9"/>
    <w:multiLevelType w:val="hybridMultilevel"/>
    <w:tmpl w:val="8EB65E82"/>
    <w:lvl w:ilvl="0" w:tplc="8E0E144A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b/>
        <w:i w:val="0"/>
        <w:color w:val="323E4F" w:themeColor="text2" w:themeShade="BF"/>
        <w:sz w:val="40"/>
        <w:szCs w:val="4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8E2CB8"/>
    <w:multiLevelType w:val="hybridMultilevel"/>
    <w:tmpl w:val="99BC5D3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7663C3"/>
    <w:multiLevelType w:val="hybridMultilevel"/>
    <w:tmpl w:val="DBE8DA66"/>
    <w:lvl w:ilvl="0" w:tplc="DDF6BAC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7CB1C37"/>
    <w:multiLevelType w:val="hybridMultilevel"/>
    <w:tmpl w:val="E1144FD0"/>
    <w:lvl w:ilvl="0" w:tplc="580C4E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7B1498"/>
    <w:multiLevelType w:val="hybridMultilevel"/>
    <w:tmpl w:val="5D4217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1A37A7"/>
    <w:multiLevelType w:val="hybridMultilevel"/>
    <w:tmpl w:val="857C7368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4" w15:restartNumberingAfterBreak="0">
    <w:nsid w:val="44A11910"/>
    <w:multiLevelType w:val="hybridMultilevel"/>
    <w:tmpl w:val="F3103D78"/>
    <w:lvl w:ilvl="0" w:tplc="2892B706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5" w15:restartNumberingAfterBreak="0">
    <w:nsid w:val="48DD07D2"/>
    <w:multiLevelType w:val="hybridMultilevel"/>
    <w:tmpl w:val="8FFAE032"/>
    <w:lvl w:ilvl="0" w:tplc="3650F03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DB50E8"/>
    <w:multiLevelType w:val="hybridMultilevel"/>
    <w:tmpl w:val="AC6C4C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C56718"/>
    <w:multiLevelType w:val="hybridMultilevel"/>
    <w:tmpl w:val="A7CCD5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3D65D2"/>
    <w:multiLevelType w:val="hybridMultilevel"/>
    <w:tmpl w:val="E386117C"/>
    <w:lvl w:ilvl="0" w:tplc="09E287FE">
      <w:start w:val="1"/>
      <w:numFmt w:val="lowerLetter"/>
      <w:lvlText w:val="%1)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4C97369"/>
    <w:multiLevelType w:val="hybridMultilevel"/>
    <w:tmpl w:val="8FD45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0F6486"/>
    <w:multiLevelType w:val="hybridMultilevel"/>
    <w:tmpl w:val="8DA46038"/>
    <w:lvl w:ilvl="0" w:tplc="5F3AB84E">
      <w:start w:val="1"/>
      <w:numFmt w:val="bullet"/>
      <w:lvlText w:val=""/>
      <w:lvlJc w:val="left"/>
      <w:pPr>
        <w:ind w:left="1211" w:hanging="360"/>
      </w:pPr>
      <w:rPr>
        <w:rFonts w:ascii="Wingdings" w:hAnsi="Wingdings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1" w15:restartNumberingAfterBreak="0">
    <w:nsid w:val="5E540012"/>
    <w:multiLevelType w:val="hybridMultilevel"/>
    <w:tmpl w:val="BF3E20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183EC6"/>
    <w:multiLevelType w:val="hybridMultilevel"/>
    <w:tmpl w:val="86747830"/>
    <w:lvl w:ilvl="0" w:tplc="B3C8A67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3A6954"/>
    <w:multiLevelType w:val="hybridMultilevel"/>
    <w:tmpl w:val="F44C8FC2"/>
    <w:lvl w:ilvl="0" w:tplc="DDF6BAC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0B25ACA"/>
    <w:multiLevelType w:val="hybridMultilevel"/>
    <w:tmpl w:val="B06EDF86"/>
    <w:lvl w:ilvl="0" w:tplc="04D257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2C618E9"/>
    <w:multiLevelType w:val="hybridMultilevel"/>
    <w:tmpl w:val="68B67A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5C051C"/>
    <w:multiLevelType w:val="hybridMultilevel"/>
    <w:tmpl w:val="60D0612A"/>
    <w:lvl w:ilvl="0" w:tplc="9E6C33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0C287A"/>
    <w:multiLevelType w:val="hybridMultilevel"/>
    <w:tmpl w:val="E3420B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6A1609"/>
    <w:multiLevelType w:val="hybridMultilevel"/>
    <w:tmpl w:val="70BEC384"/>
    <w:lvl w:ilvl="0" w:tplc="B3C8A678">
      <w:start w:val="1"/>
      <w:numFmt w:val="bullet"/>
      <w:lvlText w:val="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D41A6F"/>
    <w:multiLevelType w:val="hybridMultilevel"/>
    <w:tmpl w:val="D35E4394"/>
    <w:lvl w:ilvl="0" w:tplc="6352A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E1077A"/>
    <w:multiLevelType w:val="hybridMultilevel"/>
    <w:tmpl w:val="87E28890"/>
    <w:lvl w:ilvl="0" w:tplc="B3C8A67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2E6FD6"/>
    <w:multiLevelType w:val="hybridMultilevel"/>
    <w:tmpl w:val="2A02F3B0"/>
    <w:lvl w:ilvl="0" w:tplc="83B438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8"/>
  </w:num>
  <w:num w:numId="3">
    <w:abstractNumId w:val="15"/>
  </w:num>
  <w:num w:numId="4">
    <w:abstractNumId w:val="27"/>
  </w:num>
  <w:num w:numId="5">
    <w:abstractNumId w:val="2"/>
  </w:num>
  <w:num w:numId="6">
    <w:abstractNumId w:val="18"/>
  </w:num>
  <w:num w:numId="7">
    <w:abstractNumId w:val="19"/>
  </w:num>
  <w:num w:numId="8">
    <w:abstractNumId w:val="20"/>
  </w:num>
  <w:num w:numId="9">
    <w:abstractNumId w:val="23"/>
  </w:num>
  <w:num w:numId="10">
    <w:abstractNumId w:val="10"/>
  </w:num>
  <w:num w:numId="11">
    <w:abstractNumId w:val="7"/>
  </w:num>
  <w:num w:numId="12">
    <w:abstractNumId w:val="1"/>
  </w:num>
  <w:num w:numId="13">
    <w:abstractNumId w:val="13"/>
  </w:num>
  <w:num w:numId="14">
    <w:abstractNumId w:val="28"/>
  </w:num>
  <w:num w:numId="15">
    <w:abstractNumId w:val="17"/>
  </w:num>
  <w:num w:numId="16">
    <w:abstractNumId w:val="12"/>
  </w:num>
  <w:num w:numId="17">
    <w:abstractNumId w:val="30"/>
  </w:num>
  <w:num w:numId="18">
    <w:abstractNumId w:val="6"/>
  </w:num>
  <w:num w:numId="19">
    <w:abstractNumId w:val="3"/>
  </w:num>
  <w:num w:numId="20">
    <w:abstractNumId w:val="9"/>
  </w:num>
  <w:num w:numId="21">
    <w:abstractNumId w:val="29"/>
  </w:num>
  <w:num w:numId="22">
    <w:abstractNumId w:val="21"/>
  </w:num>
  <w:num w:numId="23">
    <w:abstractNumId w:val="25"/>
  </w:num>
  <w:num w:numId="24">
    <w:abstractNumId w:val="11"/>
  </w:num>
  <w:num w:numId="25">
    <w:abstractNumId w:val="31"/>
  </w:num>
  <w:num w:numId="26">
    <w:abstractNumId w:val="0"/>
  </w:num>
  <w:num w:numId="27">
    <w:abstractNumId w:val="26"/>
  </w:num>
  <w:num w:numId="28">
    <w:abstractNumId w:val="5"/>
  </w:num>
  <w:num w:numId="29">
    <w:abstractNumId w:val="22"/>
  </w:num>
  <w:num w:numId="30">
    <w:abstractNumId w:val="16"/>
  </w:num>
  <w:num w:numId="31">
    <w:abstractNumId w:val="24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95F"/>
    <w:rsid w:val="000230CB"/>
    <w:rsid w:val="0006041A"/>
    <w:rsid w:val="000611BD"/>
    <w:rsid w:val="00061BF6"/>
    <w:rsid w:val="00081B7E"/>
    <w:rsid w:val="00085962"/>
    <w:rsid w:val="00104FFA"/>
    <w:rsid w:val="00114F61"/>
    <w:rsid w:val="00120B66"/>
    <w:rsid w:val="00127210"/>
    <w:rsid w:val="0013782C"/>
    <w:rsid w:val="0014554A"/>
    <w:rsid w:val="0015719A"/>
    <w:rsid w:val="00177EA6"/>
    <w:rsid w:val="00183018"/>
    <w:rsid w:val="001A4C50"/>
    <w:rsid w:val="001B539D"/>
    <w:rsid w:val="001B5F3C"/>
    <w:rsid w:val="00215634"/>
    <w:rsid w:val="00216FD5"/>
    <w:rsid w:val="00220D68"/>
    <w:rsid w:val="002E51D2"/>
    <w:rsid w:val="002F4D8A"/>
    <w:rsid w:val="00314C62"/>
    <w:rsid w:val="00317B1A"/>
    <w:rsid w:val="00361C27"/>
    <w:rsid w:val="00362A28"/>
    <w:rsid w:val="00376190"/>
    <w:rsid w:val="003964A9"/>
    <w:rsid w:val="003A3FE9"/>
    <w:rsid w:val="003A4BCF"/>
    <w:rsid w:val="003B4242"/>
    <w:rsid w:val="004114DA"/>
    <w:rsid w:val="004213E0"/>
    <w:rsid w:val="0042522E"/>
    <w:rsid w:val="00436793"/>
    <w:rsid w:val="00490EB5"/>
    <w:rsid w:val="004A6B8F"/>
    <w:rsid w:val="004A7499"/>
    <w:rsid w:val="004C0590"/>
    <w:rsid w:val="00501E64"/>
    <w:rsid w:val="00503B1E"/>
    <w:rsid w:val="0051314A"/>
    <w:rsid w:val="00527C31"/>
    <w:rsid w:val="005373A6"/>
    <w:rsid w:val="00543662"/>
    <w:rsid w:val="00555BBF"/>
    <w:rsid w:val="00573270"/>
    <w:rsid w:val="00594413"/>
    <w:rsid w:val="00597C33"/>
    <w:rsid w:val="005D3BE1"/>
    <w:rsid w:val="005D6D46"/>
    <w:rsid w:val="005F14E3"/>
    <w:rsid w:val="0069754D"/>
    <w:rsid w:val="006B1DA7"/>
    <w:rsid w:val="00722849"/>
    <w:rsid w:val="00726E3C"/>
    <w:rsid w:val="007314E6"/>
    <w:rsid w:val="00735593"/>
    <w:rsid w:val="00736825"/>
    <w:rsid w:val="00740D39"/>
    <w:rsid w:val="00766B60"/>
    <w:rsid w:val="007B068F"/>
    <w:rsid w:val="007B0C96"/>
    <w:rsid w:val="007B698D"/>
    <w:rsid w:val="007C2269"/>
    <w:rsid w:val="007E5F6B"/>
    <w:rsid w:val="00816DFA"/>
    <w:rsid w:val="00826824"/>
    <w:rsid w:val="00854A0D"/>
    <w:rsid w:val="00886E31"/>
    <w:rsid w:val="0089439B"/>
    <w:rsid w:val="008D02FA"/>
    <w:rsid w:val="008F4F03"/>
    <w:rsid w:val="009549A9"/>
    <w:rsid w:val="00960310"/>
    <w:rsid w:val="00961586"/>
    <w:rsid w:val="00966685"/>
    <w:rsid w:val="00980973"/>
    <w:rsid w:val="009A3426"/>
    <w:rsid w:val="009B246E"/>
    <w:rsid w:val="009B7330"/>
    <w:rsid w:val="009C20A9"/>
    <w:rsid w:val="009D2283"/>
    <w:rsid w:val="00A02B65"/>
    <w:rsid w:val="00A076BD"/>
    <w:rsid w:val="00A324B3"/>
    <w:rsid w:val="00A8013F"/>
    <w:rsid w:val="00AB0910"/>
    <w:rsid w:val="00AB3A50"/>
    <w:rsid w:val="00AB5A84"/>
    <w:rsid w:val="00AD34BC"/>
    <w:rsid w:val="00AE28C4"/>
    <w:rsid w:val="00B013D1"/>
    <w:rsid w:val="00B0797F"/>
    <w:rsid w:val="00B15918"/>
    <w:rsid w:val="00B32BFE"/>
    <w:rsid w:val="00B51D9D"/>
    <w:rsid w:val="00BA53CD"/>
    <w:rsid w:val="00BB6A3F"/>
    <w:rsid w:val="00BF2141"/>
    <w:rsid w:val="00C32039"/>
    <w:rsid w:val="00C4495F"/>
    <w:rsid w:val="00C64E31"/>
    <w:rsid w:val="00C73E9D"/>
    <w:rsid w:val="00C916B7"/>
    <w:rsid w:val="00CA4D63"/>
    <w:rsid w:val="00CB0E1D"/>
    <w:rsid w:val="00CD114C"/>
    <w:rsid w:val="00CD130E"/>
    <w:rsid w:val="00D056A7"/>
    <w:rsid w:val="00D2238B"/>
    <w:rsid w:val="00D2367D"/>
    <w:rsid w:val="00D30EDD"/>
    <w:rsid w:val="00D5001F"/>
    <w:rsid w:val="00D5373C"/>
    <w:rsid w:val="00D71CC3"/>
    <w:rsid w:val="00D97ABA"/>
    <w:rsid w:val="00DB6228"/>
    <w:rsid w:val="00E11A89"/>
    <w:rsid w:val="00E11AB9"/>
    <w:rsid w:val="00E26E93"/>
    <w:rsid w:val="00EA2C9B"/>
    <w:rsid w:val="00EB2754"/>
    <w:rsid w:val="00EB2A94"/>
    <w:rsid w:val="00EC5B39"/>
    <w:rsid w:val="00ED5C1A"/>
    <w:rsid w:val="00EE0523"/>
    <w:rsid w:val="00F370AC"/>
    <w:rsid w:val="00F47215"/>
    <w:rsid w:val="00FA688A"/>
    <w:rsid w:val="00FB3EED"/>
    <w:rsid w:val="00FE2E78"/>
    <w:rsid w:val="00F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140A6B8"/>
  <w15:docId w15:val="{014BE594-1F82-4EF7-BDBB-F4F273241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B09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Styl moj,Akapit z listą11,List Paragraph"/>
    <w:basedOn w:val="Normalny"/>
    <w:link w:val="AkapitzlistZnak"/>
    <w:uiPriority w:val="34"/>
    <w:qFormat/>
    <w:rsid w:val="00AB091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801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8013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8013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01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013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01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013F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omylnaczcionkaakapitu"/>
    <w:rsid w:val="00AD34BC"/>
  </w:style>
  <w:style w:type="character" w:customStyle="1" w:styleId="AkapitzlistZnak">
    <w:name w:val="Akapit z listą Znak"/>
    <w:aliases w:val="Styl moj Znak,Akapit z listą11 Znak,List Paragraph Znak"/>
    <w:link w:val="Akapitzlist"/>
    <w:uiPriority w:val="34"/>
    <w:locked/>
    <w:rsid w:val="00DB6228"/>
  </w:style>
  <w:style w:type="character" w:styleId="Hipercze">
    <w:name w:val="Hyperlink"/>
    <w:basedOn w:val="Domylnaczcionkaakapitu"/>
    <w:uiPriority w:val="99"/>
    <w:unhideWhenUsed/>
    <w:rsid w:val="003A4BCF"/>
    <w:rPr>
      <w:color w:val="0000FF"/>
      <w:u w:val="single"/>
    </w:rPr>
  </w:style>
  <w:style w:type="character" w:customStyle="1" w:styleId="xn-chron">
    <w:name w:val="xn-chron"/>
    <w:basedOn w:val="Domylnaczcionkaakapitu"/>
    <w:rsid w:val="003A4BCF"/>
  </w:style>
  <w:style w:type="character" w:styleId="UyteHipercze">
    <w:name w:val="FollowedHyperlink"/>
    <w:basedOn w:val="Domylnaczcionkaakapitu"/>
    <w:uiPriority w:val="99"/>
    <w:semiHidden/>
    <w:unhideWhenUsed/>
    <w:rsid w:val="00AB5A84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213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13E0"/>
  </w:style>
  <w:style w:type="paragraph" w:styleId="Stopka">
    <w:name w:val="footer"/>
    <w:basedOn w:val="Normalny"/>
    <w:link w:val="StopkaZnak"/>
    <w:uiPriority w:val="99"/>
    <w:unhideWhenUsed/>
    <w:rsid w:val="004213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13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1467</Words>
  <Characters>8804</Characters>
  <Application>Microsoft Office Word</Application>
  <DocSecurity>4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AbbVie Inc</Company>
  <LinksUpToDate>false</LinksUpToDate>
  <CharactersWithSpaces>10251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Olszyńska</dc:creator>
  <cp:lastModifiedBy>Królak-Buzakowska Joanna</cp:lastModifiedBy>
  <cp:revision>2</cp:revision>
  <cp:lastPrinted>2017-01-11T10:01:00Z</cp:lastPrinted>
  <dcterms:created xsi:type="dcterms:W3CDTF">2019-08-21T13:05:00Z</dcterms:created>
  <dcterms:modified xsi:type="dcterms:W3CDTF">2019-08-21T13:05:00Z</dcterms:modified>
</cp:coreProperties>
</file>