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4F68" w14:textId="1419D7FA" w:rsidR="00A944CE" w:rsidRDefault="00585C4C" w:rsidP="00585C4C">
      <w:pPr>
        <w:spacing w:line="360" w:lineRule="auto"/>
        <w:rPr>
          <w:rFonts w:ascii="Times New Roman" w:hAnsi="Times New Roman"/>
          <w:b/>
          <w:color w:val="auto"/>
          <w:sz w:val="28"/>
        </w:rPr>
      </w:pPr>
      <w:r>
        <w:rPr>
          <w:rFonts w:ascii="Times New Roman" w:hAnsi="Times New Roman"/>
          <w:b/>
          <w:color w:val="auto"/>
          <w:sz w:val="28"/>
        </w:rPr>
        <w:t>General partnership</w:t>
      </w:r>
    </w:p>
    <w:p w14:paraId="3E7F557B" w14:textId="1DD5737A" w:rsidR="00535353" w:rsidRDefault="00535353" w:rsidP="00535353">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20BBD2E8" w14:textId="77777777" w:rsidR="00535353" w:rsidRPr="00535353" w:rsidRDefault="00535353" w:rsidP="00535353">
      <w:pPr>
        <w:spacing w:line="240" w:lineRule="auto"/>
        <w:rPr>
          <w:rFonts w:ascii="Times New Roman" w:hAnsi="Times New Roman"/>
          <w:b/>
          <w:color w:val="auto"/>
          <w:sz w:val="24"/>
        </w:rPr>
      </w:pPr>
    </w:p>
    <w:p w14:paraId="201E0E0E" w14:textId="77777777" w:rsidR="0080295C" w:rsidRPr="00036A70" w:rsidRDefault="0080295C" w:rsidP="00036A70">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Registering applications to enter an entrepreneur into the National Court Register occurs in the Court Registers Portal (</w:t>
      </w:r>
      <w:hyperlink r:id="rId5"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3C0DEDA7" w14:textId="0CB79A00" w:rsidR="0080295C" w:rsidRPr="00036A70" w:rsidRDefault="0080295C" w:rsidP="00036A70">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a general partnership agreement has been concluded in the form of a notarial deed, submitting an application to register the partnership in the National Court Register consists of filling out the forms made available in the </w:t>
      </w:r>
      <w:hyperlink r:id="rId6" w:history="1">
        <w:r>
          <w:rPr>
            <w:rStyle w:val="Hipercze"/>
            <w:rFonts w:ascii="Times New Roman" w:hAnsi="Times New Roman"/>
            <w:sz w:val="24"/>
          </w:rPr>
          <w:t>e-formularze KRS</w:t>
        </w:r>
      </w:hyperlink>
      <w:r>
        <w:rPr>
          <w:rFonts w:ascii="Times New Roman" w:hAnsi="Times New Roman"/>
          <w:color w:val="auto"/>
          <w:sz w:val="24"/>
        </w:rPr>
        <w:t xml:space="preserve"> tab.</w:t>
      </w:r>
    </w:p>
    <w:p w14:paraId="7D62ECD7" w14:textId="77777777" w:rsidR="0080295C" w:rsidRPr="00036A70" w:rsidRDefault="0080295C" w:rsidP="00036A70">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concluding a partnership agreement and executing the required documents is to occur using templates made available in the IT system, the </w:t>
      </w:r>
      <w:hyperlink r:id="rId7" w:history="1">
        <w:r>
          <w:rPr>
            <w:rStyle w:val="Hipercze"/>
            <w:rFonts w:ascii="Times New Roman" w:hAnsi="Times New Roman"/>
            <w:sz w:val="24"/>
          </w:rPr>
          <w:t>S24 − Rejestracja Spółki, Inne wnioski</w:t>
        </w:r>
      </w:hyperlink>
      <w:r>
        <w:t xml:space="preserve"> </w:t>
      </w:r>
      <w:r>
        <w:rPr>
          <w:rFonts w:ascii="Times New Roman" w:hAnsi="Times New Roman"/>
          <w:color w:val="auto"/>
          <w:sz w:val="24"/>
        </w:rPr>
        <w:t>tab should be used</w:t>
      </w:r>
      <w:r>
        <w:t>.</w:t>
      </w:r>
    </w:p>
    <w:p w14:paraId="6EBCB26C" w14:textId="77777777" w:rsidR="00A92982" w:rsidRPr="00036A70" w:rsidRDefault="00A92982" w:rsidP="00036A70">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The following documents must be attached to the application to register the partnership:</w:t>
      </w:r>
    </w:p>
    <w:p w14:paraId="5815C4FB" w14:textId="43ABE33E" w:rsidR="00A92982" w:rsidRPr="00036A70" w:rsidRDefault="00A92982" w:rsidP="00036A70">
      <w:pPr>
        <w:pStyle w:val="divpoint"/>
        <w:numPr>
          <w:ilvl w:val="0"/>
          <w:numId w:val="3"/>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the partnership agreement;</w:t>
      </w:r>
    </w:p>
    <w:p w14:paraId="61330DD2" w14:textId="2B7782AF" w:rsidR="004F488A" w:rsidRPr="00036A70" w:rsidRDefault="00B55F36" w:rsidP="00036A70">
      <w:pPr>
        <w:pStyle w:val="divpoint"/>
        <w:numPr>
          <w:ilvl w:val="0"/>
          <w:numId w:val="3"/>
        </w:numPr>
        <w:spacing w:line="240" w:lineRule="auto"/>
        <w:ind w:left="426"/>
        <w:jc w:val="both"/>
        <w:rPr>
          <w:rFonts w:ascii="Times New Roman" w:hAnsi="Times New Roman" w:cs="Times New Roman"/>
          <w:sz w:val="24"/>
          <w:szCs w:val="24"/>
        </w:rPr>
      </w:pPr>
      <w:r>
        <w:rPr>
          <w:rFonts w:ascii="Times New Roman" w:hAnsi="Times New Roman"/>
          <w:sz w:val="24"/>
        </w:rPr>
        <w:t xml:space="preserve">a statement listing the first and last names or business names of the partners and their addresses or addresses for service or addresses for electronic service; </w:t>
      </w:r>
    </w:p>
    <w:p w14:paraId="67571DCB" w14:textId="22DD2E2C" w:rsidR="0080295C" w:rsidRPr="00036A70" w:rsidRDefault="007860A0" w:rsidP="00036A70">
      <w:pPr>
        <w:pStyle w:val="divparagraph"/>
        <w:numPr>
          <w:ilvl w:val="0"/>
          <w:numId w:val="3"/>
        </w:numPr>
        <w:spacing w:line="240" w:lineRule="auto"/>
        <w:ind w:left="426"/>
        <w:jc w:val="both"/>
        <w:rPr>
          <w:rFonts w:ascii="Times New Roman" w:hAnsi="Times New Roman" w:cs="Times New Roman"/>
          <w:color w:val="auto"/>
          <w:sz w:val="24"/>
          <w:szCs w:val="24"/>
        </w:rPr>
      </w:pPr>
      <w:bookmarkStart w:id="0" w:name="_Hlk106117793"/>
      <w:r>
        <w:rPr>
          <w:rFonts w:ascii="Times New Roman" w:hAnsi="Times New Roman"/>
          <w:color w:val="auto"/>
          <w:sz w:val="24"/>
        </w:rPr>
        <w:t xml:space="preserve">if a commercial proxy has been appointed, a statement of the proxy including their consent for appointment; </w:t>
      </w:r>
    </w:p>
    <w:bookmarkEnd w:id="0"/>
    <w:p w14:paraId="141EDE8C" w14:textId="1A41031C" w:rsidR="0080295C" w:rsidRPr="00036A70" w:rsidRDefault="0080295C" w:rsidP="00036A70">
      <w:pPr>
        <w:pStyle w:val="divparagraph"/>
        <w:numPr>
          <w:ilvl w:val="0"/>
          <w:numId w:val="3"/>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statements of persons representing the partnership, showing their addresses for service; if such addresses are located outside the territory of the European Union, an agent for service in the Republic of Poland must be named;</w:t>
      </w:r>
    </w:p>
    <w:p w14:paraId="6B61A3A9" w14:textId="4B211AB2" w:rsidR="00030DA2" w:rsidRPr="00036A70" w:rsidRDefault="0080295C" w:rsidP="00036A70">
      <w:pPr>
        <w:pStyle w:val="divparagraph"/>
        <w:numPr>
          <w:ilvl w:val="0"/>
          <w:numId w:val="3"/>
        </w:numPr>
        <w:spacing w:line="240" w:lineRule="auto"/>
        <w:ind w:left="426"/>
        <w:jc w:val="both"/>
        <w:rPr>
          <w:rFonts w:ascii="Times New Roman" w:hAnsi="Times New Roman" w:cs="Times New Roman"/>
          <w:color w:val="auto"/>
          <w:sz w:val="24"/>
          <w:szCs w:val="24"/>
        </w:rPr>
      </w:pPr>
      <w:r>
        <w:rPr>
          <w:rFonts w:ascii="Times New Roman" w:hAnsi="Times New Roman"/>
          <w:color w:val="auto"/>
          <w:sz w:val="24"/>
        </w:rPr>
        <w:t>in case of a partnership whose agreement has been concluded using a template made available in an IT system, a statement whether the applicant is a foreigner in the meaning of the Purchase of Real Estate by Foreigners Act of 24 March 1920, and if the applicant is a foreigner in the meaning of that act, a statement whether they are the owner or perpetual usufructuary of real estate located in the territory of the Republic of Poland.</w:t>
      </w:r>
    </w:p>
    <w:p w14:paraId="7F4804EC" w14:textId="36899E8F" w:rsidR="00011AA7" w:rsidRPr="00036A70" w:rsidRDefault="00011AA7" w:rsidP="00036A70">
      <w:pPr>
        <w:pStyle w:val="divparagraph"/>
        <w:spacing w:line="240" w:lineRule="auto"/>
        <w:ind w:firstLine="567"/>
        <w:jc w:val="both"/>
        <w:rPr>
          <w:rFonts w:ascii="Times New Roman" w:hAnsi="Times New Roman" w:cs="Times New Roman"/>
          <w:color w:val="auto"/>
          <w:sz w:val="24"/>
          <w:szCs w:val="24"/>
        </w:rPr>
      </w:pPr>
      <w:r>
        <w:rPr>
          <w:rFonts w:ascii="Times New Roman" w:hAnsi="Times New Roman"/>
          <w:color w:val="auto"/>
          <w:sz w:val="24"/>
        </w:rPr>
        <w:t>An application to have a general partnership entered into the National Court Register may be signed by any of the partners.</w:t>
      </w:r>
    </w:p>
    <w:p w14:paraId="366DE929" w14:textId="3BE6E060" w:rsidR="00030DA2" w:rsidRPr="00036A70" w:rsidRDefault="00030DA2" w:rsidP="00036A70">
      <w:pPr>
        <w:pStyle w:val="divparagraph"/>
        <w:spacing w:line="240" w:lineRule="auto"/>
        <w:ind w:firstLine="567"/>
        <w:jc w:val="both"/>
        <w:rPr>
          <w:rFonts w:ascii="Times New Roman" w:hAnsi="Times New Roman" w:cs="Times New Roman"/>
          <w:color w:val="auto"/>
          <w:sz w:val="24"/>
          <w:szCs w:val="24"/>
        </w:rPr>
      </w:pPr>
      <w:bookmarkStart w:id="1" w:name="_Hlk105488770"/>
      <w:r>
        <w:rPr>
          <w:rFonts w:ascii="Times New Roman" w:hAnsi="Times New Roman"/>
          <w:color w:val="auto"/>
          <w:sz w:val="24"/>
        </w:rPr>
        <w:t>An application to have the partnership entered into the National Court Register and other pleadings submitted via an ITC system, as well as documents made in electronic form, must be signed by a qualified electronic signature, trusted signature or facsimile.</w:t>
      </w:r>
    </w:p>
    <w:p w14:paraId="31969E6A" w14:textId="77777777" w:rsidR="00030DA2" w:rsidRPr="00036A70" w:rsidRDefault="00030DA2" w:rsidP="00036A70">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7A481E26" w14:textId="77777777" w:rsidR="00030DA2" w:rsidRPr="00036A70" w:rsidRDefault="00030DA2" w:rsidP="00036A70">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3BB9893F" w14:textId="77777777" w:rsidR="00030DA2" w:rsidRPr="00036A70" w:rsidRDefault="00030DA2" w:rsidP="00036A70">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2D151B0C" w14:textId="7CC55718" w:rsidR="00030DA2" w:rsidRDefault="00030DA2" w:rsidP="00036A70">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The application is submitted together with a court fee equal to PLN 500, or PLN 250 in case of a partnership whose agreement was concluded using a template, and a fee for announcing the registration in the Monitor Sądowy i Gospodarczy, equal to PLN 100.</w:t>
      </w:r>
      <w:bookmarkEnd w:id="1"/>
    </w:p>
    <w:p w14:paraId="6A46BBF3" w14:textId="77777777" w:rsidR="00E64D8D" w:rsidRDefault="00E64D8D" w:rsidP="00E64D8D">
      <w:pPr>
        <w:shd w:val="clear" w:color="auto" w:fill="FFFFFF"/>
        <w:spacing w:line="240" w:lineRule="auto"/>
        <w:ind w:firstLine="708"/>
        <w:rPr>
          <w:rStyle w:val="Hipercze"/>
          <w:sz w:val="24"/>
          <w:szCs w:val="24"/>
        </w:rPr>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8" w:history="1">
        <w:r>
          <w:rPr>
            <w:rStyle w:val="Hipercze"/>
            <w:rFonts w:ascii="Times New Roman" w:hAnsi="Times New Roman"/>
            <w:sz w:val="24"/>
          </w:rPr>
          <w:t>Instrukcje</w:t>
        </w:r>
      </w:hyperlink>
      <w:r>
        <w:t xml:space="preserve">. </w:t>
      </w:r>
    </w:p>
    <w:p w14:paraId="39AB1F3E" w14:textId="3BD48401" w:rsidR="00E64D8D" w:rsidRDefault="00E64D8D" w:rsidP="00E64D8D">
      <w:pPr>
        <w:shd w:val="clear" w:color="auto" w:fill="FFFFFF"/>
        <w:spacing w:line="240" w:lineRule="auto"/>
        <w:ind w:firstLine="708"/>
        <w:rPr>
          <w:rFonts w:eastAsiaTheme="minorHAnsi"/>
          <w:color w:val="auto"/>
        </w:rPr>
      </w:pPr>
      <w:r w:rsidRPr="00E64D8D">
        <w:rPr>
          <w:rStyle w:val="Hipercze"/>
          <w:rFonts w:ascii="Times New Roman" w:hAnsi="Times New Roman"/>
          <w:color w:val="auto"/>
          <w:sz w:val="24"/>
          <w:u w:val="none"/>
        </w:rPr>
        <w:t xml:space="preserve">The registration takes place in the Polish language. </w:t>
      </w:r>
    </w:p>
    <w:p w14:paraId="62D8F8FF" w14:textId="77777777" w:rsidR="00E64D8D" w:rsidRPr="00E64D8D" w:rsidRDefault="00E64D8D" w:rsidP="00E64D8D">
      <w:pPr>
        <w:shd w:val="clear" w:color="auto" w:fill="FFFFFF"/>
        <w:spacing w:line="240" w:lineRule="auto"/>
        <w:ind w:firstLine="708"/>
        <w:rPr>
          <w:rFonts w:eastAsiaTheme="minorHAnsi"/>
          <w:color w:val="auto"/>
        </w:rPr>
      </w:pPr>
    </w:p>
    <w:p w14:paraId="1768098B"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55934B94"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0ED82F61"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536D6541"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6CCD94D4"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3A9830E4"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177E1C03" w14:textId="14346832" w:rsidR="00535353" w:rsidRDefault="00535353" w:rsidP="00535353">
      <w:pPr>
        <w:widowControl/>
        <w:shd w:val="clear" w:color="auto" w:fill="FFFFFF"/>
        <w:autoSpaceDE/>
        <w:adjustRightInd/>
        <w:spacing w:line="240" w:lineRule="auto"/>
        <w:rPr>
          <w:rFonts w:ascii="Times New Roman" w:hAnsi="Times New Roman"/>
          <w:b/>
          <w:color w:val="auto"/>
          <w:sz w:val="24"/>
        </w:rPr>
      </w:pPr>
      <w:r>
        <w:rPr>
          <w:rFonts w:ascii="Times New Roman" w:hAnsi="Times New Roman"/>
          <w:b/>
          <w:color w:val="auto"/>
          <w:sz w:val="24"/>
        </w:rPr>
        <w:t>Rules of representation</w:t>
      </w:r>
    </w:p>
    <w:p w14:paraId="5F2B3431" w14:textId="77777777" w:rsidR="00535353" w:rsidRDefault="00535353" w:rsidP="00036A70">
      <w:pPr>
        <w:widowControl/>
        <w:shd w:val="clear" w:color="auto" w:fill="FFFFFF"/>
        <w:autoSpaceDE/>
        <w:adjustRightInd/>
        <w:spacing w:line="240" w:lineRule="auto"/>
        <w:ind w:firstLine="708"/>
        <w:rPr>
          <w:rFonts w:ascii="Times New Roman" w:hAnsi="Times New Roman"/>
          <w:color w:val="auto"/>
          <w:sz w:val="24"/>
        </w:rPr>
      </w:pPr>
    </w:p>
    <w:p w14:paraId="5382A1D2" w14:textId="21EEBF3C" w:rsidR="00C5246B" w:rsidRPr="00036A70" w:rsidRDefault="00C5246B"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Each partner is entitled to represent the partnership,</w:t>
      </w:r>
    </w:p>
    <w:p w14:paraId="5586DDE3" w14:textId="2E487037" w:rsidR="00C5246B" w:rsidRPr="00036A70" w:rsidRDefault="00C5246B"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right of partners to represent the partnership applies to all actions of the partnership in and out of court.</w:t>
      </w:r>
    </w:p>
    <w:p w14:paraId="0E67073F" w14:textId="4D714AFB" w:rsidR="00C5246B" w:rsidRPr="00036A70" w:rsidRDefault="00C5246B"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right to represent the partnership may not be limited with effect towards third parties.</w:t>
      </w:r>
    </w:p>
    <w:p w14:paraId="218DC731" w14:textId="3F85B41D" w:rsidR="00C5246B" w:rsidRPr="00036A70" w:rsidRDefault="00C5246B"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partnership agreement may deprive a partner of the right to represent the partnership or authorise a partner to represent the partnership only together with another partner or commercial proxy.</w:t>
      </w:r>
    </w:p>
    <w:p w14:paraId="571F6B55" w14:textId="2F7EF291" w:rsidR="00C5246B" w:rsidRPr="00036A70" w:rsidRDefault="00C5246B"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Depriving a partner of the right to represent the partnership may occur only for important reasons and following a final verdict of the court.</w:t>
      </w:r>
    </w:p>
    <w:p w14:paraId="6393210E" w14:textId="03EE60DD" w:rsidR="006208CC" w:rsidRPr="00036A70" w:rsidRDefault="006208CC" w:rsidP="00036A70">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 xml:space="preserve">A creditor of the partnership may conduct enforcement proceedings </w:t>
      </w:r>
      <w:hyperlink r:id="rId9" w:history="1">
        <w:r>
          <w:rPr>
            <w:rFonts w:ascii="Times New Roman" w:hAnsi="Times New Roman"/>
            <w:color w:val="auto"/>
            <w:sz w:val="24"/>
          </w:rPr>
          <w:t xml:space="preserve">against the assets of a </w:t>
        </w:r>
      </w:hyperlink>
      <w:r>
        <w:rPr>
          <w:rFonts w:ascii="Times New Roman" w:hAnsi="Times New Roman"/>
          <w:color w:val="auto"/>
          <w:sz w:val="24"/>
        </w:rPr>
        <w:t>partner if enforcement against the assets of the partnership proved ineffective (subsidiary liability of partners).</w:t>
      </w:r>
    </w:p>
    <w:p w14:paraId="3D232B7C" w14:textId="77777777" w:rsidR="0080295C" w:rsidRPr="006208CC" w:rsidRDefault="0080295C" w:rsidP="006208CC">
      <w:pPr>
        <w:widowControl/>
        <w:shd w:val="clear" w:color="auto" w:fill="FFFFFF"/>
        <w:autoSpaceDE/>
        <w:adjustRightInd/>
        <w:spacing w:line="360" w:lineRule="auto"/>
        <w:ind w:firstLine="708"/>
        <w:rPr>
          <w:rFonts w:ascii="Times New Roman" w:hAnsi="Times New Roman" w:cs="Times New Roman"/>
          <w:color w:val="auto"/>
          <w:sz w:val="24"/>
          <w:szCs w:val="24"/>
        </w:rPr>
      </w:pPr>
    </w:p>
    <w:p w14:paraId="62995063" w14:textId="0645B932" w:rsidR="0080295C" w:rsidRDefault="0080295C" w:rsidP="00FB3655">
      <w:pPr>
        <w:pStyle w:val="divpoint"/>
        <w:spacing w:line="360" w:lineRule="auto"/>
        <w:jc w:val="both"/>
        <w:rPr>
          <w:rFonts w:ascii="Times New Roman" w:hAnsi="Times New Roman" w:cs="Times New Roman"/>
          <w:sz w:val="24"/>
          <w:szCs w:val="24"/>
        </w:rPr>
      </w:pPr>
    </w:p>
    <w:p w14:paraId="00A3F3AE" w14:textId="77777777" w:rsidR="00A92982" w:rsidRPr="00585C4C" w:rsidRDefault="00A92982" w:rsidP="00585C4C">
      <w:pPr>
        <w:spacing w:line="360" w:lineRule="auto"/>
        <w:rPr>
          <w:rFonts w:ascii="Times New Roman" w:hAnsi="Times New Roman" w:cs="Times New Roman"/>
          <w:color w:val="auto"/>
          <w:sz w:val="24"/>
          <w:szCs w:val="24"/>
        </w:rPr>
      </w:pPr>
    </w:p>
    <w:p w14:paraId="37FC32E2" w14:textId="77777777" w:rsidR="001E3283" w:rsidRPr="00585C4C" w:rsidRDefault="001E3283" w:rsidP="006208CC">
      <w:pPr>
        <w:spacing w:line="360" w:lineRule="auto"/>
        <w:rPr>
          <w:rFonts w:ascii="Times New Roman" w:hAnsi="Times New Roman" w:cs="Times New Roman"/>
          <w:sz w:val="24"/>
          <w:szCs w:val="24"/>
        </w:rPr>
      </w:pPr>
    </w:p>
    <w:sectPr w:rsidR="001E3283" w:rsidRPr="00585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1C3"/>
    <w:multiLevelType w:val="hybridMultilevel"/>
    <w:tmpl w:val="F732D26E"/>
    <w:lvl w:ilvl="0" w:tplc="157E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677E1311"/>
    <w:multiLevelType w:val="hybridMultilevel"/>
    <w:tmpl w:val="73A4E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5862878">
    <w:abstractNumId w:val="2"/>
  </w:num>
  <w:num w:numId="2" w16cid:durableId="1864048601">
    <w:abstractNumId w:val="1"/>
  </w:num>
  <w:num w:numId="3" w16cid:durableId="443503633">
    <w:abstractNumId w:val="3"/>
  </w:num>
  <w:num w:numId="4" w16cid:durableId="149575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9E"/>
    <w:rsid w:val="00011AA7"/>
    <w:rsid w:val="00030DA2"/>
    <w:rsid w:val="00036A70"/>
    <w:rsid w:val="00086262"/>
    <w:rsid w:val="001E3283"/>
    <w:rsid w:val="00385F9E"/>
    <w:rsid w:val="004101EF"/>
    <w:rsid w:val="00483F28"/>
    <w:rsid w:val="0048617E"/>
    <w:rsid w:val="004C5F52"/>
    <w:rsid w:val="004F488A"/>
    <w:rsid w:val="00535353"/>
    <w:rsid w:val="00585C4C"/>
    <w:rsid w:val="006208CC"/>
    <w:rsid w:val="00725516"/>
    <w:rsid w:val="007860A0"/>
    <w:rsid w:val="00786E67"/>
    <w:rsid w:val="007C2339"/>
    <w:rsid w:val="0080295C"/>
    <w:rsid w:val="00823ABA"/>
    <w:rsid w:val="00831F24"/>
    <w:rsid w:val="00A31587"/>
    <w:rsid w:val="00A92982"/>
    <w:rsid w:val="00A932C3"/>
    <w:rsid w:val="00A944CE"/>
    <w:rsid w:val="00B55F36"/>
    <w:rsid w:val="00C5246B"/>
    <w:rsid w:val="00CE6CF7"/>
    <w:rsid w:val="00E64D8D"/>
    <w:rsid w:val="00F24428"/>
    <w:rsid w:val="00FB3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C0FF"/>
  <w15:docId w15:val="{1C20280E-1F0C-4A89-82E4-F9583DAF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A944CE"/>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aragraph">
    <w:name w:val="div.paragraph"/>
    <w:uiPriority w:val="99"/>
    <w:rsid w:val="00A944CE"/>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A944CE"/>
    <w:rPr>
      <w:color w:val="0000FF"/>
      <w:u w:val="single"/>
    </w:rPr>
  </w:style>
  <w:style w:type="paragraph" w:customStyle="1" w:styleId="divpoint">
    <w:name w:val="div.point"/>
    <w:uiPriority w:val="99"/>
    <w:rsid w:val="00A92982"/>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Nierozpoznanawzmianka">
    <w:name w:val="Unresolved Mention"/>
    <w:basedOn w:val="Domylnaczcionkaakapitu"/>
    <w:uiPriority w:val="99"/>
    <w:semiHidden/>
    <w:unhideWhenUsed/>
    <w:rsid w:val="00585C4C"/>
    <w:rPr>
      <w:color w:val="605E5C"/>
      <w:shd w:val="clear" w:color="auto" w:fill="E1DFDD"/>
    </w:rPr>
  </w:style>
  <w:style w:type="paragraph" w:styleId="NormalnyWeb">
    <w:name w:val="Normal (Web)"/>
    <w:basedOn w:val="Normalny"/>
    <w:uiPriority w:val="99"/>
    <w:semiHidden/>
    <w:unhideWhenUsed/>
    <w:rsid w:val="007C2339"/>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030DA2"/>
    <w:pPr>
      <w:ind w:left="720"/>
      <w:contextualSpacing/>
    </w:pPr>
  </w:style>
  <w:style w:type="paragraph" w:styleId="Poprawka">
    <w:name w:val="Revision"/>
    <w:hidden/>
    <w:uiPriority w:val="99"/>
    <w:semiHidden/>
    <w:rsid w:val="00A932C3"/>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127">
      <w:bodyDiv w:val="1"/>
      <w:marLeft w:val="0"/>
      <w:marRight w:val="0"/>
      <w:marTop w:val="0"/>
      <w:marBottom w:val="0"/>
      <w:divBdr>
        <w:top w:val="none" w:sz="0" w:space="0" w:color="auto"/>
        <w:left w:val="none" w:sz="0" w:space="0" w:color="auto"/>
        <w:bottom w:val="none" w:sz="0" w:space="0" w:color="auto"/>
        <w:right w:val="none" w:sz="0" w:space="0" w:color="auto"/>
      </w:divBdr>
    </w:div>
    <w:div w:id="204298808">
      <w:bodyDiv w:val="1"/>
      <w:marLeft w:val="0"/>
      <w:marRight w:val="0"/>
      <w:marTop w:val="0"/>
      <w:marBottom w:val="0"/>
      <w:divBdr>
        <w:top w:val="none" w:sz="0" w:space="0" w:color="auto"/>
        <w:left w:val="none" w:sz="0" w:space="0" w:color="auto"/>
        <w:bottom w:val="none" w:sz="0" w:space="0" w:color="auto"/>
        <w:right w:val="none" w:sz="0" w:space="0" w:color="auto"/>
      </w:divBdr>
      <w:divsChild>
        <w:div w:id="102650954">
          <w:marLeft w:val="0"/>
          <w:marRight w:val="0"/>
          <w:marTop w:val="0"/>
          <w:marBottom w:val="0"/>
          <w:divBdr>
            <w:top w:val="none" w:sz="0" w:space="0" w:color="auto"/>
            <w:left w:val="none" w:sz="0" w:space="0" w:color="auto"/>
            <w:bottom w:val="none" w:sz="0" w:space="0" w:color="auto"/>
            <w:right w:val="none" w:sz="0" w:space="0" w:color="auto"/>
          </w:divBdr>
          <w:divsChild>
            <w:div w:id="1672564895">
              <w:marLeft w:val="0"/>
              <w:marRight w:val="0"/>
              <w:marTop w:val="105"/>
              <w:marBottom w:val="0"/>
              <w:divBdr>
                <w:top w:val="none" w:sz="0" w:space="0" w:color="auto"/>
                <w:left w:val="none" w:sz="0" w:space="0" w:color="auto"/>
                <w:bottom w:val="none" w:sz="0" w:space="0" w:color="auto"/>
                <w:right w:val="none" w:sz="0" w:space="0" w:color="auto"/>
              </w:divBdr>
            </w:div>
          </w:divsChild>
        </w:div>
        <w:div w:id="602688971">
          <w:marLeft w:val="0"/>
          <w:marRight w:val="0"/>
          <w:marTop w:val="0"/>
          <w:marBottom w:val="0"/>
          <w:divBdr>
            <w:top w:val="none" w:sz="0" w:space="0" w:color="auto"/>
            <w:left w:val="none" w:sz="0" w:space="0" w:color="auto"/>
            <w:bottom w:val="none" w:sz="0" w:space="0" w:color="auto"/>
            <w:right w:val="none" w:sz="0" w:space="0" w:color="auto"/>
          </w:divBdr>
          <w:divsChild>
            <w:div w:id="1661766">
              <w:marLeft w:val="0"/>
              <w:marRight w:val="0"/>
              <w:marTop w:val="105"/>
              <w:marBottom w:val="0"/>
              <w:divBdr>
                <w:top w:val="none" w:sz="0" w:space="0" w:color="auto"/>
                <w:left w:val="none" w:sz="0" w:space="0" w:color="auto"/>
                <w:bottom w:val="none" w:sz="0" w:space="0" w:color="auto"/>
                <w:right w:val="none" w:sz="0" w:space="0" w:color="auto"/>
              </w:divBdr>
            </w:div>
          </w:divsChild>
        </w:div>
        <w:div w:id="793904689">
          <w:marLeft w:val="0"/>
          <w:marRight w:val="0"/>
          <w:marTop w:val="0"/>
          <w:marBottom w:val="0"/>
          <w:divBdr>
            <w:top w:val="none" w:sz="0" w:space="0" w:color="auto"/>
            <w:left w:val="none" w:sz="0" w:space="0" w:color="auto"/>
            <w:bottom w:val="none" w:sz="0" w:space="0" w:color="auto"/>
            <w:right w:val="none" w:sz="0" w:space="0" w:color="auto"/>
          </w:divBdr>
          <w:divsChild>
            <w:div w:id="9508190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83255141">
      <w:bodyDiv w:val="1"/>
      <w:marLeft w:val="0"/>
      <w:marRight w:val="0"/>
      <w:marTop w:val="0"/>
      <w:marBottom w:val="0"/>
      <w:divBdr>
        <w:top w:val="none" w:sz="0" w:space="0" w:color="auto"/>
        <w:left w:val="none" w:sz="0" w:space="0" w:color="auto"/>
        <w:bottom w:val="none" w:sz="0" w:space="0" w:color="auto"/>
        <w:right w:val="none" w:sz="0" w:space="0" w:color="auto"/>
      </w:divBdr>
      <w:divsChild>
        <w:div w:id="2029596320">
          <w:marLeft w:val="0"/>
          <w:marRight w:val="0"/>
          <w:marTop w:val="0"/>
          <w:marBottom w:val="0"/>
          <w:divBdr>
            <w:top w:val="none" w:sz="0" w:space="0" w:color="auto"/>
            <w:left w:val="none" w:sz="0" w:space="0" w:color="auto"/>
            <w:bottom w:val="none" w:sz="0" w:space="0" w:color="auto"/>
            <w:right w:val="none" w:sz="0" w:space="0" w:color="auto"/>
          </w:divBdr>
          <w:divsChild>
            <w:div w:id="193154590">
              <w:marLeft w:val="0"/>
              <w:marRight w:val="0"/>
              <w:marTop w:val="105"/>
              <w:marBottom w:val="0"/>
              <w:divBdr>
                <w:top w:val="none" w:sz="0" w:space="0" w:color="auto"/>
                <w:left w:val="none" w:sz="0" w:space="0" w:color="auto"/>
                <w:bottom w:val="none" w:sz="0" w:space="0" w:color="auto"/>
                <w:right w:val="none" w:sz="0" w:space="0" w:color="auto"/>
              </w:divBdr>
            </w:div>
          </w:divsChild>
        </w:div>
        <w:div w:id="534194312">
          <w:marLeft w:val="0"/>
          <w:marRight w:val="0"/>
          <w:marTop w:val="0"/>
          <w:marBottom w:val="0"/>
          <w:divBdr>
            <w:top w:val="none" w:sz="0" w:space="0" w:color="auto"/>
            <w:left w:val="none" w:sz="0" w:space="0" w:color="auto"/>
            <w:bottom w:val="none" w:sz="0" w:space="0" w:color="auto"/>
            <w:right w:val="none" w:sz="0" w:space="0" w:color="auto"/>
          </w:divBdr>
          <w:divsChild>
            <w:div w:id="1019089899">
              <w:marLeft w:val="0"/>
              <w:marRight w:val="0"/>
              <w:marTop w:val="105"/>
              <w:marBottom w:val="0"/>
              <w:divBdr>
                <w:top w:val="none" w:sz="0" w:space="0" w:color="auto"/>
                <w:left w:val="none" w:sz="0" w:space="0" w:color="auto"/>
                <w:bottom w:val="none" w:sz="0" w:space="0" w:color="auto"/>
                <w:right w:val="none" w:sz="0" w:space="0" w:color="auto"/>
              </w:divBdr>
            </w:div>
          </w:divsChild>
        </w:div>
        <w:div w:id="1423839845">
          <w:marLeft w:val="0"/>
          <w:marRight w:val="0"/>
          <w:marTop w:val="0"/>
          <w:marBottom w:val="0"/>
          <w:divBdr>
            <w:top w:val="none" w:sz="0" w:space="0" w:color="auto"/>
            <w:left w:val="none" w:sz="0" w:space="0" w:color="auto"/>
            <w:bottom w:val="none" w:sz="0" w:space="0" w:color="auto"/>
            <w:right w:val="none" w:sz="0" w:space="0" w:color="auto"/>
          </w:divBdr>
          <w:divsChild>
            <w:div w:id="1951619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9934200">
      <w:bodyDiv w:val="1"/>
      <w:marLeft w:val="0"/>
      <w:marRight w:val="0"/>
      <w:marTop w:val="0"/>
      <w:marBottom w:val="0"/>
      <w:divBdr>
        <w:top w:val="none" w:sz="0" w:space="0" w:color="auto"/>
        <w:left w:val="none" w:sz="0" w:space="0" w:color="auto"/>
        <w:bottom w:val="none" w:sz="0" w:space="0" w:color="auto"/>
        <w:right w:val="none" w:sz="0" w:space="0" w:color="auto"/>
      </w:divBdr>
      <w:divsChild>
        <w:div w:id="975843184">
          <w:marLeft w:val="0"/>
          <w:marRight w:val="0"/>
          <w:marTop w:val="0"/>
          <w:marBottom w:val="0"/>
          <w:divBdr>
            <w:top w:val="none" w:sz="0" w:space="0" w:color="auto"/>
            <w:left w:val="none" w:sz="0" w:space="0" w:color="auto"/>
            <w:bottom w:val="none" w:sz="0" w:space="0" w:color="auto"/>
            <w:right w:val="none" w:sz="0" w:space="0" w:color="auto"/>
          </w:divBdr>
          <w:divsChild>
            <w:div w:id="143083670">
              <w:marLeft w:val="0"/>
              <w:marRight w:val="0"/>
              <w:marTop w:val="150"/>
              <w:marBottom w:val="168"/>
              <w:divBdr>
                <w:top w:val="none" w:sz="0" w:space="0" w:color="auto"/>
                <w:left w:val="none" w:sz="0" w:space="0" w:color="auto"/>
                <w:bottom w:val="none" w:sz="0" w:space="0" w:color="auto"/>
                <w:right w:val="none" w:sz="0" w:space="0" w:color="auto"/>
              </w:divBdr>
            </w:div>
            <w:div w:id="873034159">
              <w:marLeft w:val="0"/>
              <w:marRight w:val="0"/>
              <w:marTop w:val="0"/>
              <w:marBottom w:val="0"/>
              <w:divBdr>
                <w:top w:val="none" w:sz="0" w:space="0" w:color="auto"/>
                <w:left w:val="none" w:sz="0" w:space="0" w:color="auto"/>
                <w:bottom w:val="none" w:sz="0" w:space="0" w:color="auto"/>
                <w:right w:val="none" w:sz="0" w:space="0" w:color="auto"/>
              </w:divBdr>
              <w:divsChild>
                <w:div w:id="1132871212">
                  <w:marLeft w:val="0"/>
                  <w:marRight w:val="0"/>
                  <w:marTop w:val="105"/>
                  <w:marBottom w:val="0"/>
                  <w:divBdr>
                    <w:top w:val="none" w:sz="0" w:space="0" w:color="auto"/>
                    <w:left w:val="none" w:sz="0" w:space="0" w:color="auto"/>
                    <w:bottom w:val="none" w:sz="0" w:space="0" w:color="auto"/>
                    <w:right w:val="none" w:sz="0" w:space="0" w:color="auto"/>
                  </w:divBdr>
                </w:div>
              </w:divsChild>
            </w:div>
            <w:div w:id="906108660">
              <w:marLeft w:val="0"/>
              <w:marRight w:val="0"/>
              <w:marTop w:val="0"/>
              <w:marBottom w:val="0"/>
              <w:divBdr>
                <w:top w:val="none" w:sz="0" w:space="0" w:color="auto"/>
                <w:left w:val="none" w:sz="0" w:space="0" w:color="auto"/>
                <w:bottom w:val="none" w:sz="0" w:space="0" w:color="auto"/>
                <w:right w:val="none" w:sz="0" w:space="0" w:color="auto"/>
              </w:divBdr>
              <w:divsChild>
                <w:div w:id="2117745386">
                  <w:marLeft w:val="0"/>
                  <w:marRight w:val="0"/>
                  <w:marTop w:val="105"/>
                  <w:marBottom w:val="0"/>
                  <w:divBdr>
                    <w:top w:val="none" w:sz="0" w:space="0" w:color="auto"/>
                    <w:left w:val="none" w:sz="0" w:space="0" w:color="auto"/>
                    <w:bottom w:val="none" w:sz="0" w:space="0" w:color="auto"/>
                    <w:right w:val="none" w:sz="0" w:space="0" w:color="auto"/>
                  </w:divBdr>
                </w:div>
              </w:divsChild>
            </w:div>
            <w:div w:id="706681756">
              <w:marLeft w:val="0"/>
              <w:marRight w:val="0"/>
              <w:marTop w:val="0"/>
              <w:marBottom w:val="0"/>
              <w:divBdr>
                <w:top w:val="none" w:sz="0" w:space="0" w:color="auto"/>
                <w:left w:val="none" w:sz="0" w:space="0" w:color="auto"/>
                <w:bottom w:val="none" w:sz="0" w:space="0" w:color="auto"/>
                <w:right w:val="none" w:sz="0" w:space="0" w:color="auto"/>
              </w:divBdr>
              <w:divsChild>
                <w:div w:id="21266576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38116783">
          <w:marLeft w:val="0"/>
          <w:marRight w:val="0"/>
          <w:marTop w:val="0"/>
          <w:marBottom w:val="0"/>
          <w:divBdr>
            <w:top w:val="none" w:sz="0" w:space="0" w:color="auto"/>
            <w:left w:val="none" w:sz="0" w:space="0" w:color="auto"/>
            <w:bottom w:val="none" w:sz="0" w:space="0" w:color="auto"/>
            <w:right w:val="none" w:sz="0" w:space="0" w:color="auto"/>
          </w:divBdr>
          <w:divsChild>
            <w:div w:id="1590964209">
              <w:marLeft w:val="0"/>
              <w:marRight w:val="0"/>
              <w:marTop w:val="150"/>
              <w:marBottom w:val="168"/>
              <w:divBdr>
                <w:top w:val="none" w:sz="0" w:space="0" w:color="auto"/>
                <w:left w:val="none" w:sz="0" w:space="0" w:color="auto"/>
                <w:bottom w:val="none" w:sz="0" w:space="0" w:color="auto"/>
                <w:right w:val="none" w:sz="0" w:space="0" w:color="auto"/>
              </w:divBdr>
            </w:div>
            <w:div w:id="1277642869">
              <w:marLeft w:val="0"/>
              <w:marRight w:val="0"/>
              <w:marTop w:val="0"/>
              <w:marBottom w:val="0"/>
              <w:divBdr>
                <w:top w:val="none" w:sz="0" w:space="0" w:color="auto"/>
                <w:left w:val="none" w:sz="0" w:space="0" w:color="auto"/>
                <w:bottom w:val="none" w:sz="0" w:space="0" w:color="auto"/>
                <w:right w:val="none" w:sz="0" w:space="0" w:color="auto"/>
              </w:divBdr>
              <w:divsChild>
                <w:div w:id="1298101882">
                  <w:marLeft w:val="0"/>
                  <w:marRight w:val="0"/>
                  <w:marTop w:val="105"/>
                  <w:marBottom w:val="0"/>
                  <w:divBdr>
                    <w:top w:val="none" w:sz="0" w:space="0" w:color="auto"/>
                    <w:left w:val="none" w:sz="0" w:space="0" w:color="auto"/>
                    <w:bottom w:val="none" w:sz="0" w:space="0" w:color="auto"/>
                    <w:right w:val="none" w:sz="0" w:space="0" w:color="auto"/>
                  </w:divBdr>
                </w:div>
              </w:divsChild>
            </w:div>
            <w:div w:id="225385316">
              <w:marLeft w:val="0"/>
              <w:marRight w:val="0"/>
              <w:marTop w:val="0"/>
              <w:marBottom w:val="0"/>
              <w:divBdr>
                <w:top w:val="none" w:sz="0" w:space="0" w:color="auto"/>
                <w:left w:val="none" w:sz="0" w:space="0" w:color="auto"/>
                <w:bottom w:val="none" w:sz="0" w:space="0" w:color="auto"/>
                <w:right w:val="none" w:sz="0" w:space="0" w:color="auto"/>
              </w:divBdr>
              <w:divsChild>
                <w:div w:id="14547164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ms.gov.pl/krs-pomoc/instrukcje" TargetMode="External"/><Relationship Id="rId3" Type="http://schemas.openxmlformats.org/officeDocument/2006/relationships/settings" Target="settings.xml"/><Relationship Id="rId7" Type="http://schemas.openxmlformats.org/officeDocument/2006/relationships/hyperlink" Target="https://ekrs.ms.gov.pl/s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11" Type="http://schemas.openxmlformats.org/officeDocument/2006/relationships/theme" Target="theme/theme1.xml"/><Relationship Id="rId5" Type="http://schemas.openxmlformats.org/officeDocument/2006/relationships/hyperlink" Target="https://prs.ms.gov.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urlSearch.seam?HitlistCaption=Odes&#322;ania&amp;pap_group=25010053&amp;refSource=guide&amp;sortField=document-date&amp;filterByUniqueVersionBaseId=tru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696</Words>
  <Characters>4181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11</cp:revision>
  <dcterms:created xsi:type="dcterms:W3CDTF">2022-11-08T08:58:00Z</dcterms:created>
  <dcterms:modified xsi:type="dcterms:W3CDTF">2022-12-13T16:16:00Z</dcterms:modified>
</cp:coreProperties>
</file>