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31D11" w14:textId="77777777" w:rsidR="00747296" w:rsidRPr="00747296" w:rsidRDefault="00747296" w:rsidP="00747296">
      <w:pPr>
        <w:pStyle w:val="NormalnyWeb"/>
        <w:jc w:val="center"/>
        <w:rPr>
          <w:rFonts w:ascii="Verdana" w:hAnsi="Verdana"/>
          <w:sz w:val="20"/>
          <w:lang w:val="az-Latn-AZ"/>
        </w:rPr>
      </w:pPr>
      <w:r w:rsidRPr="00747296">
        <w:rPr>
          <w:rStyle w:val="Pogrubienie"/>
          <w:rFonts w:ascii="Verdana" w:hAnsi="Verdana"/>
          <w:sz w:val="20"/>
          <w:lang w:val="az-Latn-AZ"/>
        </w:rPr>
        <w:t>MÜLKİ PROSESSUAL MƏCƏLLƏNİN 1135⁵-Cİ MADDƏSİNİN MƏZMUNU BARƏDƏ TƏLİMAT</w:t>
      </w:r>
    </w:p>
    <w:p w14:paraId="5B7EFDC6" w14:textId="77777777" w:rsidR="00747296" w:rsidRPr="00747296" w:rsidRDefault="00747296" w:rsidP="00747296">
      <w:pPr>
        <w:pStyle w:val="NormalnyWeb"/>
        <w:numPr>
          <w:ilvl w:val="0"/>
          <w:numId w:val="1"/>
        </w:numPr>
        <w:rPr>
          <w:rFonts w:ascii="Verdana" w:hAnsi="Verdana"/>
          <w:sz w:val="20"/>
          <w:lang w:val="az-Latn-AZ"/>
        </w:rPr>
      </w:pPr>
      <w:r w:rsidRPr="00747296">
        <w:rPr>
          <w:rFonts w:ascii="Verdana" w:hAnsi="Verdana"/>
          <w:sz w:val="20"/>
          <w:lang w:val="az-Latn-AZ"/>
        </w:rPr>
        <w:t>Polşa Respublikasında və ya Avropa İttifaqının digər üzv dövlətlərindən birində yaşayış yeri, daimi yaşayış yeri və ya qeydiyyatdan keçmiş ofisi olmayan, həmçinin işin aparılması üçün Polşa Respublikasında yaşayan nümayəndə təyin etməmiş tərəflər və ya icraat iştirakçıları ........... gün ərzində Polşa Respublikasında sənədlərin qəbul edilməsi üçün nümayəndə təyin etməlidirlər.</w:t>
      </w:r>
      <w:r w:rsidRPr="00747296">
        <w:rPr>
          <w:rFonts w:ascii="Verdana" w:hAnsi="Verdana"/>
          <w:sz w:val="20"/>
          <w:lang w:val="az-Latn-AZ"/>
        </w:rPr>
        <w:br/>
        <w:t xml:space="preserve"> Göstərilən müddət nəticə vermədən başa çatdıqda, tərəflər və ya icraat iştirakçıları üçün nəzərdə tutulmuş sənədlər Mülki Prosessual Məcəllənin 1135⁵-ci maddəsinə uyğun olaraq işin materiallarına əlavə edilir və təqdim edilmiş hesab olunur.</w:t>
      </w:r>
    </w:p>
    <w:p w14:paraId="31DA84A6" w14:textId="77777777" w:rsidR="00747296" w:rsidRPr="00747296" w:rsidRDefault="00747296" w:rsidP="00747296">
      <w:pPr>
        <w:pStyle w:val="NormalnyWeb"/>
        <w:numPr>
          <w:ilvl w:val="0"/>
          <w:numId w:val="1"/>
        </w:numPr>
        <w:rPr>
          <w:rFonts w:ascii="Verdana" w:hAnsi="Verdana"/>
          <w:sz w:val="20"/>
          <w:lang w:val="az-Latn-AZ"/>
        </w:rPr>
      </w:pPr>
      <w:r w:rsidRPr="00747296">
        <w:rPr>
          <w:rFonts w:ascii="Verdana" w:hAnsi="Verdana"/>
          <w:sz w:val="20"/>
          <w:lang w:val="az-Latn-AZ"/>
        </w:rPr>
        <w:t>İcraatın tərəfləri və ya iştirakçıları məhkəmə xərclərini ödəmək üçün kifayət qədər maliyyə vəsaitinə malik olmadıqda, məhkəmə xərclərindən azad olunmaq və pulsuz hüquqi nümayəndə təyin edilməsi üçün müraciət edə bilərlər.</w:t>
      </w:r>
    </w:p>
    <w:p w14:paraId="271FA77A" w14:textId="77777777" w:rsidR="00747296" w:rsidRPr="00747296" w:rsidRDefault="00747296" w:rsidP="00747296">
      <w:pPr>
        <w:pStyle w:val="NormalnyWeb"/>
        <w:ind w:left="348"/>
        <w:rPr>
          <w:rFonts w:ascii="Verdana" w:hAnsi="Verdana"/>
          <w:sz w:val="20"/>
          <w:lang w:val="az-Latn-AZ"/>
        </w:rPr>
      </w:pPr>
      <w:r w:rsidRPr="00747296">
        <w:rPr>
          <w:rFonts w:ascii="Verdana" w:hAnsi="Verdana"/>
          <w:sz w:val="20"/>
          <w:lang w:val="az-Latn-AZ"/>
        </w:rPr>
        <w:t>Əgər tərəf və ya icraat iştirakçısı fiziki şəxsdirsə, müraciətə onun özünün və ailəsinin zəruri   yaşayış təminatını təhlükə altına qoymadan məhkəmə xərclərini ödəyə bilmədiyini bildirən bəyanat əlavə edilməlidir. Bu bəyanatda xərclərdən azad olunmaq üçün müraciət edən şəxsin ailə vəziyyəti, əmlakı, gəlirləri və dolanışıq mənbələri barədə ətraflı məlumat göstərilməlidir.</w:t>
      </w:r>
    </w:p>
    <w:p w14:paraId="0468BEA1" w14:textId="77777777" w:rsidR="00747296" w:rsidRPr="00747296" w:rsidRDefault="00747296" w:rsidP="00747296">
      <w:pPr>
        <w:pStyle w:val="NormalnyWeb"/>
        <w:ind w:left="348"/>
        <w:rPr>
          <w:rFonts w:ascii="Verdana" w:hAnsi="Verdana"/>
          <w:sz w:val="20"/>
          <w:lang w:val="az-Latn-AZ"/>
        </w:rPr>
      </w:pPr>
      <w:r w:rsidRPr="00747296">
        <w:rPr>
          <w:rFonts w:ascii="Verdana" w:hAnsi="Verdana"/>
          <w:sz w:val="20"/>
          <w:lang w:val="az-Latn-AZ"/>
        </w:rPr>
        <w:t>Məhkəmə hüquqi şəxsi, habelə hüquqi şəxs olmasa da qanunla hüquq qabiliyyəti verilmiş təşkilati vahidi, onların məhkəmə xərclərini ödəmək üçün kifayət qədər vəsaitə malik olmadıqları sübuta yetirildikdə, məhkəmə xərclərindən azad edə bilər. Kommersiya şirkəti həmçinin sübut etməlidir ki, onun tərəfdaşları və ya səhmdarları şirkətin əmlakını artırmaq və ya şirkətə borc vermək üçün kifayət qədər vəsaitə malik deyillər. Bu qayda yeganə tərəfdaşı və ya səhmdarı Dövlət Xəzinəsi olan kommersiya şirkətlərinə şamil edilmir.</w:t>
      </w:r>
    </w:p>
    <w:p w14:paraId="4165C8A8" w14:textId="77777777" w:rsidR="00747296" w:rsidRPr="00747296" w:rsidRDefault="00747296" w:rsidP="00747296">
      <w:pPr>
        <w:pStyle w:val="NormalnyWeb"/>
        <w:numPr>
          <w:ilvl w:val="0"/>
          <w:numId w:val="2"/>
        </w:numPr>
        <w:rPr>
          <w:rFonts w:ascii="Verdana" w:hAnsi="Verdana"/>
          <w:sz w:val="20"/>
          <w:lang w:val="az-Latn-AZ"/>
        </w:rPr>
      </w:pPr>
      <w:r w:rsidRPr="00747296">
        <w:rPr>
          <w:rFonts w:ascii="Verdana" w:hAnsi="Verdana"/>
          <w:sz w:val="20"/>
          <w:lang w:val="az-Latn-AZ"/>
        </w:rPr>
        <w:t>Nümayəndə vəkil və ya hüquq məsləhətçisi ola bilər; sənaye mülkiyyəti məsələlərində patent müvəkkili də nümayəndə kimi çıxış edə bilər; restrukturizasiya və müflisləşmə məsələlərində restrukturizasiya üzrə məsləhətçi lisenziyasına malik şəxs də nümayəndə ola bilər; habelə tərəfin əmlakını və ya işlərini idarə edən şəxs, tərəflə daimi agentlik münasibətində olan şəxs (bir şərtlə ki, işin predmeti həmin agentliyin fəaliyyət dairəsinə daxil olsun), mübahisədə həmtərəf, eləcə də tərəfin həyat yoldaşı, bacı-qardaşları, övladları və ya valideynləri, habelə tərəflə övladlığa götürmə münasibətində olan şəxslər də nümayəndə ola bilərlər.</w:t>
      </w:r>
    </w:p>
    <w:p w14:paraId="78CFA846" w14:textId="77777777" w:rsidR="00747296" w:rsidRPr="00747296" w:rsidRDefault="00747296" w:rsidP="00747296">
      <w:pPr>
        <w:pStyle w:val="NormalnyWeb"/>
        <w:ind w:left="360"/>
        <w:rPr>
          <w:rFonts w:ascii="Verdana" w:hAnsi="Verdana"/>
          <w:sz w:val="20"/>
          <w:lang w:val="az-Latn-AZ"/>
        </w:rPr>
      </w:pPr>
      <w:r w:rsidRPr="00747296">
        <w:rPr>
          <w:rFonts w:ascii="Verdana" w:hAnsi="Verdana"/>
          <w:sz w:val="20"/>
          <w:lang w:val="az-Latn-AZ"/>
        </w:rPr>
        <w:t>Hüquqi şəxsin və ya sahibkarın (hüquqi şəxs statusu olmasa belə) əməkdaşı da həmin qurumun və ya onun yuxarı təşkilatının nümayəndəsi kimi çıxış edə bilər. Ayrı qanunvericilik əsasında sahibkara, hüquqi şəxsə və ya başqa təşkilati vahidə hüquqi xidmət göstərən hüquqi şəxs, həmin xidmətləri göstərdiyi qurum adından məhkəmədə çıxış etmək üçün vəkilə və ya hüquq məsləhətçisinə etibarnamə verə bilər, bir şərtlə ki, bu səlahiyyət ona həmin qurum tərəfindən verilsin.</w:t>
      </w:r>
    </w:p>
    <w:p w14:paraId="51777E10" w14:textId="77777777" w:rsidR="00747296" w:rsidRPr="00747296" w:rsidRDefault="00747296" w:rsidP="00747296">
      <w:pPr>
        <w:pStyle w:val="NormalnyWeb"/>
        <w:ind w:left="360"/>
        <w:rPr>
          <w:rFonts w:ascii="Verdana" w:hAnsi="Verdana"/>
          <w:sz w:val="20"/>
          <w:lang w:val="az-Latn-AZ"/>
        </w:rPr>
      </w:pPr>
      <w:r w:rsidRPr="00747296">
        <w:rPr>
          <w:rFonts w:ascii="Verdana" w:hAnsi="Verdana"/>
          <w:sz w:val="20"/>
          <w:lang w:val="az-Latn-AZ"/>
        </w:rPr>
        <w:t>Uşağın mənşəyinin müəyyən edilməsi və ya inkar edilməsi, həmçinin aliment tələbləri ilə bağlı işlərdə sosial müdafiə məsələləri üzrə səlahiyyətli yerli özünüidarəetmə orqanının nümayəndəsi və ya ailələrə yardım göstərən ictimai təşkilatın nümayəndəsi də çıxış edə bilər.</w:t>
      </w:r>
    </w:p>
    <w:p w14:paraId="702C16BC" w14:textId="77777777" w:rsidR="00747296" w:rsidRPr="00747296" w:rsidRDefault="00747296" w:rsidP="00747296">
      <w:pPr>
        <w:pStyle w:val="NormalnyWeb"/>
        <w:ind w:left="360"/>
        <w:rPr>
          <w:rFonts w:ascii="Verdana" w:hAnsi="Verdana"/>
          <w:sz w:val="20"/>
          <w:lang w:val="az-Latn-AZ"/>
        </w:rPr>
      </w:pPr>
      <w:r w:rsidRPr="00747296">
        <w:rPr>
          <w:rFonts w:ascii="Verdana" w:hAnsi="Verdana"/>
          <w:sz w:val="20"/>
          <w:lang w:val="az-Latn-AZ"/>
        </w:rPr>
        <w:t>Fermer təsərrüfatının fəaliyyəti ilə bağlı işlərdə fermerin nümayəndəsi kimi fermerin üzv olduğu fərdi fermerlər təşkilatının nümayəndəsi də çıxış edə bilər.</w:t>
      </w:r>
    </w:p>
    <w:p w14:paraId="66710BDA" w14:textId="77777777" w:rsidR="00747296" w:rsidRPr="00747296" w:rsidRDefault="00747296" w:rsidP="00747296">
      <w:pPr>
        <w:pStyle w:val="NormalnyWeb"/>
        <w:ind w:left="360"/>
        <w:rPr>
          <w:rFonts w:ascii="Verdana" w:hAnsi="Verdana"/>
          <w:sz w:val="20"/>
          <w:lang w:val="az-Latn-AZ"/>
        </w:rPr>
      </w:pPr>
      <w:r w:rsidRPr="00747296">
        <w:rPr>
          <w:rFonts w:ascii="Verdana" w:hAnsi="Verdana"/>
          <w:sz w:val="20"/>
          <w:lang w:val="az-Latn-AZ"/>
        </w:rPr>
        <w:t>İstehlakçı hüquqlarının qorunması ilə bağlı işlərdə nizamnamə üzrə istehlakçıların müdafiəsini həyata keçirən təşkilatın nümayəndəsi də nümayəndə kimi çıxış edə bilər.</w:t>
      </w:r>
    </w:p>
    <w:p w14:paraId="19E09738" w14:textId="77777777" w:rsidR="00747296" w:rsidRPr="00747296" w:rsidRDefault="00747296" w:rsidP="00747296">
      <w:pPr>
        <w:pStyle w:val="NormalnyWeb"/>
        <w:ind w:left="360"/>
        <w:rPr>
          <w:rFonts w:ascii="Verdana" w:hAnsi="Verdana"/>
          <w:sz w:val="20"/>
          <w:lang w:val="az-Latn-AZ"/>
        </w:rPr>
      </w:pPr>
      <w:r w:rsidRPr="00747296">
        <w:rPr>
          <w:rFonts w:ascii="Verdana" w:hAnsi="Verdana"/>
          <w:sz w:val="20"/>
          <w:lang w:val="az-Latn-AZ"/>
        </w:rPr>
        <w:lastRenderedPageBreak/>
        <w:t xml:space="preserve">Sənaye mülkiyyətinin qorunması ilə bağlı məsələlərdə, nizamnamə üzrə vəzifələrinə sənaye mülkiyyətinin təşviqi və ixtiraçılara yardım göstərilməsi daxil olan təşkilatın nümayəndəsi də ixtiraçının nümayəndəsi kimi çıxış edə bilər. </w:t>
      </w:r>
    </w:p>
    <w:p w14:paraId="5815FDD5" w14:textId="77777777" w:rsidR="00747296" w:rsidRPr="00747296" w:rsidRDefault="00747296" w:rsidP="00747296">
      <w:pPr>
        <w:pStyle w:val="NormalnyWeb"/>
        <w:ind w:left="360"/>
        <w:rPr>
          <w:rFonts w:ascii="Verdana" w:hAnsi="Verdana"/>
          <w:sz w:val="20"/>
          <w:lang w:val="az-Latn-AZ"/>
        </w:rPr>
      </w:pPr>
      <w:r w:rsidRPr="00747296">
        <w:rPr>
          <w:rFonts w:ascii="Verdana" w:hAnsi="Verdana"/>
          <w:sz w:val="20"/>
          <w:lang w:val="az-Latn-AZ"/>
        </w:rPr>
        <w:t>Əgər hüquqi nümayəndə təyin edilərsə, o, ilk prosessual hərəkətini həyata keçirərkən bu məhkəməyə etibarnamənin etibarnamə verən şəxsin imzası ilə təsdiqlənmiş əsli və ya təsdiq olunmuş surətini təqdim etməlidir.</w:t>
      </w:r>
    </w:p>
    <w:p w14:paraId="5EB7C0F3" w14:textId="77777777" w:rsidR="00A03FA1" w:rsidRPr="00747296" w:rsidRDefault="00A03FA1">
      <w:pPr>
        <w:rPr>
          <w:rFonts w:ascii="Verdana" w:hAnsi="Verdana"/>
          <w:sz w:val="18"/>
          <w:lang w:val="az-Latn-AZ"/>
        </w:rPr>
      </w:pPr>
    </w:p>
    <w:sectPr w:rsidR="00A03FA1" w:rsidRPr="00747296">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FC007" w14:textId="77777777" w:rsidR="0028737D" w:rsidRDefault="0028737D" w:rsidP="0028737D">
      <w:pPr>
        <w:spacing w:after="0" w:line="240" w:lineRule="auto"/>
      </w:pPr>
      <w:r>
        <w:separator/>
      </w:r>
    </w:p>
  </w:endnote>
  <w:endnote w:type="continuationSeparator" w:id="0">
    <w:p w14:paraId="679BD05C" w14:textId="77777777" w:rsidR="0028737D" w:rsidRDefault="0028737D" w:rsidP="00287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A332C" w14:textId="77777777" w:rsidR="0028737D" w:rsidRDefault="0028737D" w:rsidP="0028737D">
      <w:pPr>
        <w:spacing w:after="0" w:line="240" w:lineRule="auto"/>
      </w:pPr>
      <w:r>
        <w:separator/>
      </w:r>
    </w:p>
  </w:footnote>
  <w:footnote w:type="continuationSeparator" w:id="0">
    <w:p w14:paraId="77802BC1" w14:textId="77777777" w:rsidR="0028737D" w:rsidRDefault="0028737D" w:rsidP="002873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992A65"/>
    <w:multiLevelType w:val="multilevel"/>
    <w:tmpl w:val="36B2C712"/>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46572D40"/>
    <w:multiLevelType w:val="multilevel"/>
    <w:tmpl w:val="5770EC7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494642060">
    <w:abstractNumId w:val="1"/>
  </w:num>
  <w:num w:numId="2" w16cid:durableId="1404180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747296"/>
    <w:rsid w:val="0028737D"/>
    <w:rsid w:val="002C6A18"/>
    <w:rsid w:val="00540417"/>
    <w:rsid w:val="00747296"/>
    <w:rsid w:val="00A03F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139E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747296"/>
    <w:pPr>
      <w:spacing w:before="100" w:beforeAutospacing="1" w:after="100" w:afterAutospacing="1" w:line="240" w:lineRule="auto"/>
    </w:pPr>
    <w:rPr>
      <w:rFonts w:ascii="Times New Roman" w:eastAsia="Times New Roman" w:hAnsi="Times New Roman" w:cs="Times New Roman"/>
      <w:sz w:val="24"/>
      <w:szCs w:val="24"/>
    </w:rPr>
  </w:style>
  <w:style w:type="character" w:styleId="Pogrubienie">
    <w:name w:val="Strong"/>
    <w:basedOn w:val="Domylnaczcionkaakapitu"/>
    <w:uiPriority w:val="22"/>
    <w:qFormat/>
    <w:rsid w:val="00747296"/>
    <w:rPr>
      <w:b/>
      <w:bCs/>
    </w:rPr>
  </w:style>
  <w:style w:type="paragraph" w:styleId="Nagwek">
    <w:name w:val="header"/>
    <w:basedOn w:val="Normalny"/>
    <w:link w:val="NagwekZnak"/>
    <w:uiPriority w:val="99"/>
    <w:unhideWhenUsed/>
    <w:rsid w:val="0028737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8737D"/>
  </w:style>
  <w:style w:type="paragraph" w:styleId="Stopka">
    <w:name w:val="footer"/>
    <w:basedOn w:val="Normalny"/>
    <w:link w:val="StopkaZnak"/>
    <w:uiPriority w:val="99"/>
    <w:unhideWhenUsed/>
    <w:rsid w:val="0028737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873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515</Words>
  <Characters>3447</Characters>
  <Application>Microsoft Office Word</Application>
  <DocSecurity>0</DocSecurity>
  <Lines>52</Lines>
  <Paragraphs>12</Paragraphs>
  <ScaleCrop>false</ScaleCrop>
  <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2026-03-25T10:17:00Z</dcterms:created>
  <dcterms:modified xsi:type="dcterms:W3CDTF">2026-03-25T10:17:00Z</dcterms:modified>
</cp:coreProperties>
</file>