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C9" w:rsidRPr="00AD30C6" w:rsidRDefault="000F7247" w:rsidP="008204C9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color w:val="000000"/>
        </w:rPr>
      </w:pPr>
      <w:r w:rsidRPr="00AD30C6">
        <w:rPr>
          <w:color w:val="000000"/>
        </w:rPr>
        <w:t xml:space="preserve">                      </w:t>
      </w:r>
      <w:r w:rsidRPr="00AD30C6">
        <w:rPr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0C6">
        <w:rPr>
          <w:color w:val="000000"/>
        </w:rPr>
        <w:t xml:space="preserve">                                                                    </w:t>
      </w:r>
    </w:p>
    <w:p w:rsidR="008204C9" w:rsidRPr="00AD30C6" w:rsidRDefault="000F7247" w:rsidP="008204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color w:val="000000"/>
        </w:rPr>
      </w:pPr>
      <w:r w:rsidRPr="00AD30C6">
        <w:rPr>
          <w:rStyle w:val="Pogrubienie"/>
          <w:color w:val="000000"/>
        </w:rPr>
        <w:t>WOJEWODA MAZOWIECKI</w:t>
      </w:r>
    </w:p>
    <w:p w:rsidR="008204C9" w:rsidRPr="00AD30C6" w:rsidRDefault="000F7247" w:rsidP="008204C9">
      <w:pPr>
        <w:framePr w:w="4500" w:h="1553" w:hRule="exact" w:hSpace="180" w:wrap="around" w:vAnchor="text" w:hAnchor="page" w:x="1381" w:y="-29"/>
        <w:jc w:val="center"/>
        <w:rPr>
          <w:color w:val="000000"/>
          <w:u w:val="single"/>
        </w:rPr>
      </w:pPr>
    </w:p>
    <w:p w:rsidR="008204C9" w:rsidRPr="00AD30C6" w:rsidRDefault="000F7247" w:rsidP="008204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</w:rPr>
      </w:pPr>
    </w:p>
    <w:p w:rsidR="008204C9" w:rsidRPr="00AD30C6" w:rsidRDefault="000F7247" w:rsidP="008204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204C9" w:rsidRPr="00AD30C6" w:rsidRDefault="000F7247" w:rsidP="008204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204C9" w:rsidRPr="00AD30C6" w:rsidRDefault="000F7247" w:rsidP="008204C9">
      <w:pPr>
        <w:tabs>
          <w:tab w:val="left" w:pos="6237"/>
        </w:tabs>
        <w:rPr>
          <w:color w:val="000000"/>
        </w:rPr>
      </w:pPr>
      <w:r w:rsidRPr="00AD30C6">
        <w:rPr>
          <w:color w:val="000000"/>
        </w:rPr>
        <w:t xml:space="preserve">                          Warszawa, </w:t>
      </w:r>
      <w:bookmarkStart w:id="0" w:name="ezdDataPodpisu"/>
      <w:r w:rsidRPr="00AD30C6">
        <w:rPr>
          <w:color w:val="000000"/>
        </w:rPr>
        <w:t>08 października 2021 r.</w:t>
      </w:r>
      <w:bookmarkEnd w:id="0"/>
    </w:p>
    <w:p w:rsidR="008204C9" w:rsidRPr="00AD30C6" w:rsidRDefault="000F7247" w:rsidP="008204C9">
      <w:pPr>
        <w:rPr>
          <w:color w:val="000000"/>
        </w:rPr>
      </w:pPr>
    </w:p>
    <w:p w:rsidR="008204C9" w:rsidRPr="00AD30C6" w:rsidRDefault="000F7247" w:rsidP="008204C9">
      <w:pPr>
        <w:rPr>
          <w:color w:val="000000"/>
        </w:rPr>
      </w:pPr>
    </w:p>
    <w:p w:rsidR="008204C9" w:rsidRPr="00AD30C6" w:rsidRDefault="000F7247" w:rsidP="008204C9">
      <w:pPr>
        <w:rPr>
          <w:color w:val="000000"/>
        </w:rPr>
      </w:pPr>
    </w:p>
    <w:p w:rsidR="008204C9" w:rsidRPr="00AD30C6" w:rsidRDefault="000F7247" w:rsidP="008204C9">
      <w:pPr>
        <w:rPr>
          <w:color w:val="000000"/>
        </w:rPr>
      </w:pPr>
    </w:p>
    <w:p w:rsidR="008204C9" w:rsidRPr="00AD30C6" w:rsidRDefault="000F7247" w:rsidP="008204C9">
      <w:pPr>
        <w:spacing w:line="276" w:lineRule="auto"/>
        <w:rPr>
          <w:color w:val="000000"/>
        </w:rPr>
      </w:pPr>
    </w:p>
    <w:p w:rsidR="008204C9" w:rsidRPr="00AD30C6" w:rsidRDefault="000F7247" w:rsidP="008204C9">
      <w:pPr>
        <w:spacing w:line="276" w:lineRule="auto"/>
        <w:rPr>
          <w:color w:val="000000"/>
        </w:rPr>
      </w:pPr>
      <w:r w:rsidRPr="00AD30C6">
        <w:rPr>
          <w:color w:val="000000"/>
        </w:rPr>
        <w:t xml:space="preserve">      </w:t>
      </w:r>
      <w:bookmarkStart w:id="1" w:name="_GoBack"/>
      <w:r w:rsidRPr="00AD30C6">
        <w:rPr>
          <w:color w:val="000000"/>
          <w:sz w:val="20"/>
        </w:rPr>
        <w:t>WNP-I.4131.</w:t>
      </w:r>
      <w:r>
        <w:rPr>
          <w:color w:val="000000"/>
          <w:sz w:val="20"/>
        </w:rPr>
        <w:t>20</w:t>
      </w:r>
      <w:r>
        <w:rPr>
          <w:color w:val="000000"/>
          <w:sz w:val="20"/>
        </w:rPr>
        <w:t>6</w:t>
      </w:r>
      <w:r w:rsidRPr="00AD30C6">
        <w:rPr>
          <w:color w:val="000000"/>
          <w:sz w:val="20"/>
        </w:rPr>
        <w:t>.2021.M</w:t>
      </w:r>
      <w:r>
        <w:rPr>
          <w:color w:val="000000"/>
          <w:sz w:val="20"/>
        </w:rPr>
        <w:t>O</w:t>
      </w:r>
      <w:bookmarkEnd w:id="1"/>
    </w:p>
    <w:p w:rsidR="008204C9" w:rsidRPr="00AD30C6" w:rsidRDefault="000F7247" w:rsidP="008204C9">
      <w:pPr>
        <w:spacing w:line="276" w:lineRule="auto"/>
        <w:rPr>
          <w:color w:val="000000"/>
        </w:rPr>
      </w:pPr>
    </w:p>
    <w:p w:rsidR="008204C9" w:rsidRPr="00AD30C6" w:rsidRDefault="000F7247" w:rsidP="008204C9">
      <w:pPr>
        <w:tabs>
          <w:tab w:val="left" w:pos="4095"/>
        </w:tabs>
        <w:spacing w:line="276" w:lineRule="auto"/>
        <w:rPr>
          <w:color w:val="000000"/>
        </w:rPr>
      </w:pPr>
    </w:p>
    <w:p w:rsidR="008204C9" w:rsidRDefault="000F7247" w:rsidP="008204C9">
      <w:pPr>
        <w:tabs>
          <w:tab w:val="left" w:pos="4962"/>
        </w:tabs>
        <w:suppressAutoHyphens/>
        <w:ind w:left="4678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Rada Gminy w Kuczborku – Osadzie </w:t>
      </w:r>
    </w:p>
    <w:p w:rsidR="008204C9" w:rsidRDefault="000F7247" w:rsidP="008204C9">
      <w:pPr>
        <w:suppressAutoHyphens/>
        <w:ind w:left="4678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ul. </w:t>
      </w:r>
      <w:r>
        <w:rPr>
          <w:b/>
          <w:sz w:val="28"/>
          <w:szCs w:val="28"/>
          <w:lang w:eastAsia="ar-SA"/>
        </w:rPr>
        <w:t>Mickiewicza 7A</w:t>
      </w:r>
    </w:p>
    <w:p w:rsidR="008204C9" w:rsidRDefault="000F7247" w:rsidP="008204C9">
      <w:pPr>
        <w:suppressAutoHyphens/>
        <w:ind w:right="-468" w:firstLine="4678"/>
        <w:jc w:val="both"/>
        <w:rPr>
          <w:b/>
          <w:color w:val="000000"/>
          <w:sz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09 – 310</w:t>
      </w:r>
      <w:r w:rsidRPr="00E11D0F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Kuczbork</w:t>
      </w:r>
    </w:p>
    <w:p w:rsidR="008204C9" w:rsidRPr="00AD30C6" w:rsidRDefault="000F7247" w:rsidP="008204C9">
      <w:pPr>
        <w:spacing w:line="276" w:lineRule="auto"/>
        <w:jc w:val="both"/>
        <w:rPr>
          <w:i/>
          <w:color w:val="000000"/>
        </w:rPr>
      </w:pPr>
    </w:p>
    <w:p w:rsidR="008204C9" w:rsidRPr="00AD30C6" w:rsidRDefault="000F7247" w:rsidP="008204C9">
      <w:pPr>
        <w:spacing w:line="276" w:lineRule="auto"/>
        <w:jc w:val="both"/>
        <w:rPr>
          <w:i/>
          <w:color w:val="000000"/>
        </w:rPr>
      </w:pPr>
    </w:p>
    <w:p w:rsidR="008204C9" w:rsidRPr="00AD30C6" w:rsidRDefault="000F7247" w:rsidP="008204C9">
      <w:pPr>
        <w:spacing w:line="276" w:lineRule="auto"/>
        <w:jc w:val="both"/>
        <w:rPr>
          <w:color w:val="000000"/>
        </w:rPr>
      </w:pPr>
    </w:p>
    <w:p w:rsidR="008204C9" w:rsidRPr="009967EB" w:rsidRDefault="000F7247" w:rsidP="008204C9">
      <w:pPr>
        <w:spacing w:line="360" w:lineRule="auto"/>
        <w:jc w:val="center"/>
        <w:rPr>
          <w:b/>
          <w:color w:val="000000"/>
        </w:rPr>
      </w:pPr>
      <w:r w:rsidRPr="009967EB">
        <w:rPr>
          <w:b/>
          <w:color w:val="000000"/>
        </w:rPr>
        <w:t>Rozstrzygnięcie nadzorcze</w:t>
      </w:r>
    </w:p>
    <w:p w:rsidR="008204C9" w:rsidRPr="009967EB" w:rsidRDefault="000F7247" w:rsidP="008204C9">
      <w:pPr>
        <w:spacing w:line="360" w:lineRule="auto"/>
        <w:jc w:val="both"/>
        <w:rPr>
          <w:color w:val="000000"/>
        </w:rPr>
      </w:pPr>
      <w:r w:rsidRPr="009967EB">
        <w:rPr>
          <w:color w:val="000000"/>
        </w:rPr>
        <w:t>Działając na podstawie art. 91 ust. 1, w związku z art. 86 ustawy z 8 marca 1990 r. o samorządzie gminnym (Dz. U. z 2021 r. poz. 1372)</w:t>
      </w:r>
    </w:p>
    <w:p w:rsidR="008204C9" w:rsidRPr="009967EB" w:rsidRDefault="000F7247" w:rsidP="008204C9">
      <w:pPr>
        <w:spacing w:before="120" w:after="120" w:line="360" w:lineRule="auto"/>
        <w:jc w:val="center"/>
        <w:rPr>
          <w:b/>
          <w:color w:val="000000"/>
        </w:rPr>
      </w:pPr>
      <w:r w:rsidRPr="009967EB">
        <w:rPr>
          <w:b/>
          <w:color w:val="000000"/>
        </w:rPr>
        <w:t>stwierdzam nieważność</w:t>
      </w:r>
    </w:p>
    <w:p w:rsidR="008204C9" w:rsidRPr="009967EB" w:rsidRDefault="000F7247" w:rsidP="008204C9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uchwały </w:t>
      </w:r>
      <w:r w:rsidRPr="009967EB">
        <w:t>Nr XXVIII/17</w:t>
      </w:r>
      <w:r w:rsidRPr="009967EB">
        <w:t>2</w:t>
      </w:r>
      <w:r w:rsidRPr="009967EB">
        <w:t xml:space="preserve">/2021 Rady Gminy w Kuczborku – Osadzie z 31 sierpnia 2021 r. </w:t>
      </w:r>
      <w:r w:rsidRPr="009967EB">
        <w:rPr>
          <w:i/>
        </w:rPr>
        <w:t xml:space="preserve">w sprawie stwierdzenia w części nieważności uchwały nr VIII/46/2019 Rady Gminy w Kuczborku – Osadzie </w:t>
      </w:r>
      <w:r w:rsidRPr="009967EB">
        <w:rPr>
          <w:i/>
        </w:rPr>
        <w:br/>
        <w:t>z dnia 24 maja 2019 r. w sprawie uchwalenia miejscowego planu zagospodarowania przestrzennego</w:t>
      </w:r>
      <w:r w:rsidRPr="009967EB">
        <w:rPr>
          <w:i/>
        </w:rPr>
        <w:t xml:space="preserve"> południowej części obrębu geodezyjnego Zielona 3.</w:t>
      </w:r>
    </w:p>
    <w:p w:rsidR="008204C9" w:rsidRPr="009967EB" w:rsidRDefault="000F7247" w:rsidP="008204C9">
      <w:pPr>
        <w:tabs>
          <w:tab w:val="left" w:pos="426"/>
          <w:tab w:val="left" w:pos="8292"/>
        </w:tabs>
        <w:spacing w:before="120" w:after="120" w:line="360" w:lineRule="auto"/>
        <w:jc w:val="center"/>
        <w:rPr>
          <w:b/>
          <w:bCs/>
          <w:iCs/>
          <w:color w:val="000000"/>
          <w:u w:val="single"/>
        </w:rPr>
      </w:pPr>
      <w:r w:rsidRPr="009967EB">
        <w:rPr>
          <w:b/>
          <w:bCs/>
          <w:iCs/>
          <w:color w:val="000000"/>
          <w:u w:val="single"/>
        </w:rPr>
        <w:t>Uzasadnienie</w:t>
      </w:r>
    </w:p>
    <w:p w:rsidR="008204C9" w:rsidRPr="009967EB" w:rsidRDefault="000F7247" w:rsidP="008204C9">
      <w:pPr>
        <w:tabs>
          <w:tab w:val="left" w:pos="426"/>
          <w:tab w:val="left" w:pos="8292"/>
        </w:tabs>
        <w:spacing w:before="120" w:after="120" w:line="360" w:lineRule="auto"/>
        <w:jc w:val="both"/>
        <w:rPr>
          <w:i/>
        </w:rPr>
      </w:pPr>
      <w:r w:rsidRPr="009967EB">
        <w:rPr>
          <w:color w:val="000000"/>
        </w:rPr>
        <w:t xml:space="preserve">Na sesji w dniu 31 sierpnia 2021 r. Rada Gminy </w:t>
      </w:r>
      <w:r w:rsidRPr="009967EB">
        <w:t xml:space="preserve">w Kuczborku – Osadzie podjęła uchwałę </w:t>
      </w:r>
      <w:r w:rsidRPr="009967EB">
        <w:br/>
        <w:t>Nr XXVIII/17</w:t>
      </w:r>
      <w:r w:rsidRPr="009967EB">
        <w:t>2</w:t>
      </w:r>
      <w:r w:rsidRPr="009967EB">
        <w:t xml:space="preserve">/2021 </w:t>
      </w:r>
      <w:r w:rsidRPr="009967EB">
        <w:rPr>
          <w:i/>
        </w:rPr>
        <w:t xml:space="preserve">w sprawie stwierdzenia w części nieważności uchwały nr VIII/46/2019 Rady Gminy w </w:t>
      </w:r>
      <w:r w:rsidRPr="009967EB">
        <w:rPr>
          <w:i/>
        </w:rPr>
        <w:t>Kuczborku – Osadzie z dnia 24 maja 2019 r. w sprawie uchwalenia miejscowego planu zagospodarowania przestrzennego południowej części obrębu geodezyjnego Zielona 3.</w:t>
      </w:r>
    </w:p>
    <w:p w:rsidR="008204C9" w:rsidRPr="009967EB" w:rsidRDefault="000F7247" w:rsidP="008204C9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Uchwałę tę podjęto na podstawie art. 18 ust. 2 pkt 15 ustawy o samorządzie gminnym </w:t>
      </w:r>
      <w:r w:rsidRPr="009967EB">
        <w:rPr>
          <w:b/>
          <w:color w:val="000000"/>
          <w:u w:val="single"/>
        </w:rPr>
        <w:t xml:space="preserve">oraz </w:t>
      </w:r>
      <w:r w:rsidRPr="009967EB">
        <w:rPr>
          <w:b/>
          <w:color w:val="000000"/>
          <w:u w:val="single"/>
        </w:rPr>
        <w:br/>
        <w:t xml:space="preserve">na </w:t>
      </w:r>
      <w:r w:rsidRPr="009967EB">
        <w:rPr>
          <w:b/>
          <w:color w:val="000000"/>
          <w:u w:val="single"/>
        </w:rPr>
        <w:t xml:space="preserve">podstawie art. 54 § 3 </w:t>
      </w:r>
      <w:r w:rsidRPr="009967EB">
        <w:rPr>
          <w:b/>
          <w:color w:val="000000"/>
          <w:u w:val="single"/>
          <w:lang w:eastAsia="ar-SA"/>
        </w:rPr>
        <w:t xml:space="preserve">ustawy </w:t>
      </w:r>
      <w:r w:rsidRPr="009967EB">
        <w:rPr>
          <w:b/>
          <w:color w:val="000000"/>
          <w:u w:val="single"/>
        </w:rPr>
        <w:t>z 30 sierpnia 2002 r. Prawo o postępowaniu przed sądami administracyjnymi</w:t>
      </w:r>
      <w:r w:rsidRPr="009967EB">
        <w:rPr>
          <w:color w:val="000000"/>
        </w:rPr>
        <w:t xml:space="preserve"> (Dz. U. z 2019 r. poz. 2325, z późn. zm.), zwanej dalej </w:t>
      </w:r>
      <w:r w:rsidRPr="009967EB">
        <w:rPr>
          <w:i/>
          <w:color w:val="000000"/>
        </w:rPr>
        <w:t xml:space="preserve">„p.p.s.a.”, </w:t>
      </w:r>
      <w:r w:rsidRPr="009967EB">
        <w:rPr>
          <w:color w:val="000000"/>
        </w:rPr>
        <w:t>w związku</w:t>
      </w:r>
      <w:r w:rsidRPr="009967EB">
        <w:rPr>
          <w:i/>
          <w:color w:val="000000"/>
        </w:rPr>
        <w:t xml:space="preserve"> </w:t>
      </w:r>
      <w:r w:rsidRPr="009967EB">
        <w:rPr>
          <w:color w:val="000000"/>
        </w:rPr>
        <w:t xml:space="preserve">ze skargą z </w:t>
      </w:r>
      <w:r w:rsidRPr="009967EB">
        <w:rPr>
          <w:color w:val="000000"/>
          <w:u w:val="single"/>
        </w:rPr>
        <w:t>30 marca 2021 r.</w:t>
      </w:r>
      <w:r w:rsidRPr="009967EB">
        <w:rPr>
          <w:color w:val="000000"/>
        </w:rPr>
        <w:t xml:space="preserve"> Państwa </w:t>
      </w:r>
      <w:r w:rsidRPr="009967EB">
        <w:rPr>
          <w:color w:val="000000"/>
        </w:rPr>
        <w:t>J.</w:t>
      </w:r>
      <w:r w:rsidRPr="009967EB">
        <w:rPr>
          <w:color w:val="000000"/>
        </w:rPr>
        <w:t xml:space="preserve">M. </w:t>
      </w:r>
      <w:r w:rsidRPr="009967EB">
        <w:rPr>
          <w:rStyle w:val="ng-binding"/>
        </w:rPr>
        <w:t xml:space="preserve">i </w:t>
      </w:r>
      <w:r w:rsidRPr="009967EB">
        <w:rPr>
          <w:rStyle w:val="ng-binding"/>
        </w:rPr>
        <w:t>J</w:t>
      </w:r>
      <w:r w:rsidRPr="009967EB">
        <w:rPr>
          <w:rStyle w:val="ng-binding"/>
        </w:rPr>
        <w:t>.</w:t>
      </w:r>
      <w:r w:rsidRPr="009967EB">
        <w:rPr>
          <w:rStyle w:val="ng-binding"/>
        </w:rPr>
        <w:t>M</w:t>
      </w:r>
      <w:r w:rsidRPr="009967EB">
        <w:rPr>
          <w:rStyle w:val="ng-binding"/>
        </w:rPr>
        <w:t xml:space="preserve">. na uchwałę Nr VIII/46/2019 Rady Gminy </w:t>
      </w:r>
      <w:r w:rsidRPr="009967EB">
        <w:rPr>
          <w:rStyle w:val="ng-binding"/>
        </w:rPr>
        <w:br/>
        <w:t xml:space="preserve">w Kuczborku – Osadzie </w:t>
      </w:r>
      <w:r w:rsidRPr="009967EB">
        <w:t xml:space="preserve">z 24 maja 2019 r. </w:t>
      </w:r>
      <w:r w:rsidRPr="009967EB">
        <w:rPr>
          <w:i/>
        </w:rPr>
        <w:t>w sprawie uchwalenia miejscowego planu zagospodarowania przestrzennego południowej części obrębu geodezyjnego Zielona 3</w:t>
      </w:r>
      <w:r w:rsidRPr="009967EB">
        <w:t>, w zakresie ustaleń części tekstowej i graficznej uchwa</w:t>
      </w:r>
      <w:r w:rsidRPr="009967EB">
        <w:t>ły, w odniesieniu do działki nr ew. 9</w:t>
      </w:r>
      <w:r w:rsidRPr="009967EB">
        <w:t>76</w:t>
      </w:r>
      <w:r w:rsidRPr="009967EB">
        <w:t xml:space="preserve"> z obrębu Zielona.</w:t>
      </w:r>
    </w:p>
    <w:p w:rsidR="008204C9" w:rsidRPr="009967EB" w:rsidRDefault="000F7247" w:rsidP="008204C9">
      <w:pPr>
        <w:spacing w:before="120" w:after="120" w:line="360" w:lineRule="auto"/>
        <w:jc w:val="both"/>
        <w:rPr>
          <w:color w:val="000000"/>
        </w:rPr>
      </w:pPr>
    </w:p>
    <w:p w:rsidR="008204C9" w:rsidRPr="009967EB" w:rsidRDefault="000F7247" w:rsidP="008204C9">
      <w:pPr>
        <w:spacing w:before="120" w:after="120" w:line="360" w:lineRule="auto"/>
        <w:jc w:val="both"/>
        <w:rPr>
          <w:rStyle w:val="ng-binding"/>
          <w:i/>
        </w:rPr>
      </w:pPr>
      <w:r w:rsidRPr="009967EB">
        <w:rPr>
          <w:rStyle w:val="ng-binding"/>
        </w:rPr>
        <w:lastRenderedPageBreak/>
        <w:t xml:space="preserve">W § 1 uchwały, Rada Gminy w Kuczborku – Osadzie postanowiła: </w:t>
      </w:r>
      <w:r w:rsidRPr="009967EB">
        <w:rPr>
          <w:rStyle w:val="ng-binding"/>
          <w:i/>
        </w:rPr>
        <w:t>„</w:t>
      </w:r>
      <w:r w:rsidRPr="009967EB">
        <w:rPr>
          <w:rStyle w:val="ng-binding"/>
          <w:i/>
        </w:rPr>
        <w:t>5</w:t>
      </w:r>
      <w:r w:rsidRPr="009967EB">
        <w:rPr>
          <w:rStyle w:val="ng-binding"/>
          <w:i/>
        </w:rPr>
        <w:t xml:space="preserve">. Uwzględnić w całości skargę … z dnia 30 marca 2021 r. na uchwałę nr VIII/46/2019 Rady Gminy w Kuczborku – Osadzie </w:t>
      </w:r>
      <w:r w:rsidRPr="009967EB">
        <w:rPr>
          <w:rStyle w:val="ng-binding"/>
          <w:i/>
        </w:rPr>
        <w:br/>
      </w:r>
      <w:r w:rsidRPr="009967EB">
        <w:rPr>
          <w:i/>
        </w:rPr>
        <w:t xml:space="preserve">z </w:t>
      </w:r>
      <w:r w:rsidRPr="009967EB">
        <w:rPr>
          <w:i/>
        </w:rPr>
        <w:t xml:space="preserve">dnia </w:t>
      </w:r>
      <w:r w:rsidRPr="009967EB">
        <w:rPr>
          <w:i/>
        </w:rPr>
        <w:t>24 maja 20</w:t>
      </w:r>
      <w:r w:rsidRPr="009967EB">
        <w:rPr>
          <w:i/>
        </w:rPr>
        <w:t xml:space="preserve">19 r. w sprawie uchwalenia miejscowego planu zagospodarowania przestrzennego południowej części obrębu geodezyjnego Zielona 3 </w:t>
      </w:r>
      <w:r w:rsidRPr="009967EB">
        <w:rPr>
          <w:b/>
          <w:i/>
          <w:u w:val="single"/>
        </w:rPr>
        <w:t>i stwierdzić nieważność ww. uchwały w części</w:t>
      </w:r>
      <w:r w:rsidRPr="009967EB">
        <w:rPr>
          <w:i/>
        </w:rPr>
        <w:t>, tj. w zakresie postanowień miejscowego planu zagospodarowania przestrzennego południ</w:t>
      </w:r>
      <w:r w:rsidRPr="009967EB">
        <w:rPr>
          <w:i/>
        </w:rPr>
        <w:t>owej części obrębu geodezyjnego Zielona 3 w części opisowej i graficznej dotyczących działki 9</w:t>
      </w:r>
      <w:r w:rsidRPr="009967EB">
        <w:rPr>
          <w:i/>
        </w:rPr>
        <w:t>76</w:t>
      </w:r>
      <w:r w:rsidRPr="009967EB">
        <w:rPr>
          <w:i/>
        </w:rPr>
        <w:t xml:space="preserve">, obręb Zielona. </w:t>
      </w:r>
      <w:r w:rsidRPr="009967EB">
        <w:rPr>
          <w:i/>
        </w:rPr>
        <w:t>6</w:t>
      </w:r>
      <w:r w:rsidRPr="009967EB">
        <w:rPr>
          <w:i/>
        </w:rPr>
        <w:t xml:space="preserve">. </w:t>
      </w:r>
      <w:r w:rsidRPr="009967EB">
        <w:rPr>
          <w:b/>
          <w:i/>
        </w:rPr>
        <w:t xml:space="preserve">Granice terenu objętego stwierdzeniem nieważności przedstawia załącznik graficzny sporządzony na rysunku miejscowego planu zagospodarowania </w:t>
      </w:r>
      <w:r w:rsidRPr="009967EB">
        <w:rPr>
          <w:b/>
          <w:i/>
        </w:rPr>
        <w:t xml:space="preserve">przestrzennego, o którym mowa </w:t>
      </w:r>
      <w:r w:rsidRPr="009967EB">
        <w:rPr>
          <w:b/>
          <w:i/>
        </w:rPr>
        <w:br/>
        <w:t xml:space="preserve">w </w:t>
      </w:r>
      <w:r w:rsidRPr="009967EB">
        <w:rPr>
          <w:b/>
          <w:i/>
          <w:u w:val="single"/>
        </w:rPr>
        <w:t>ust. 1</w:t>
      </w:r>
      <w:r w:rsidRPr="009967EB">
        <w:rPr>
          <w:b/>
          <w:i/>
        </w:rPr>
        <w:t>.</w:t>
      </w:r>
      <w:r w:rsidRPr="009967EB">
        <w:rPr>
          <w:i/>
        </w:rPr>
        <w:t>”.</w:t>
      </w:r>
      <w:r w:rsidRPr="009967EB">
        <w:rPr>
          <w:rStyle w:val="ng-binding"/>
          <w:i/>
        </w:rPr>
        <w:t xml:space="preserve">  </w:t>
      </w:r>
    </w:p>
    <w:p w:rsidR="008204C9" w:rsidRPr="009967EB" w:rsidRDefault="000F7247" w:rsidP="008204C9">
      <w:pPr>
        <w:spacing w:before="120" w:after="120" w:line="360" w:lineRule="auto"/>
        <w:jc w:val="both"/>
        <w:rPr>
          <w:rStyle w:val="ng-binding"/>
        </w:rPr>
      </w:pPr>
      <w:r w:rsidRPr="009967EB">
        <w:rPr>
          <w:rStyle w:val="ng-binding"/>
        </w:rPr>
        <w:t xml:space="preserve">Z uzasadnienia uchwały wynika, że skarga Państwa </w:t>
      </w:r>
      <w:r w:rsidRPr="009967EB">
        <w:rPr>
          <w:rStyle w:val="ng-binding"/>
        </w:rPr>
        <w:t>J.</w:t>
      </w:r>
      <w:r w:rsidRPr="009967EB">
        <w:rPr>
          <w:rStyle w:val="ng-binding"/>
        </w:rPr>
        <w:t xml:space="preserve">M. i </w:t>
      </w:r>
      <w:r w:rsidRPr="009967EB">
        <w:rPr>
          <w:rStyle w:val="ng-binding"/>
        </w:rPr>
        <w:t>J</w:t>
      </w:r>
      <w:r w:rsidRPr="009967EB">
        <w:rPr>
          <w:rStyle w:val="ng-binding"/>
        </w:rPr>
        <w:t>.</w:t>
      </w:r>
      <w:r w:rsidRPr="009967EB">
        <w:rPr>
          <w:rStyle w:val="ng-binding"/>
        </w:rPr>
        <w:t>M</w:t>
      </w:r>
      <w:r w:rsidRPr="009967EB">
        <w:rPr>
          <w:rStyle w:val="ng-binding"/>
        </w:rPr>
        <w:t xml:space="preserve">. reprezentowanych przez adwokat Wiktorię Rogaską, została wniesiona do Wojewódzkiego Sądu Administracyjnego w Warszawie, za pośrednictwem Rady Gminy w </w:t>
      </w:r>
      <w:r w:rsidRPr="009967EB">
        <w:rPr>
          <w:rStyle w:val="ng-binding"/>
        </w:rPr>
        <w:t xml:space="preserve">Kuczborku – Osadzie, w dniu </w:t>
      </w:r>
      <w:r w:rsidRPr="009967EB">
        <w:rPr>
          <w:rStyle w:val="ng-binding"/>
          <w:b/>
          <w:u w:val="single"/>
        </w:rPr>
        <w:t>30 marca 2021 r.</w:t>
      </w:r>
      <w:r w:rsidRPr="009967EB">
        <w:rPr>
          <w:rStyle w:val="ng-binding"/>
        </w:rPr>
        <w:t xml:space="preserve"> </w:t>
      </w:r>
    </w:p>
    <w:p w:rsidR="008204C9" w:rsidRPr="009967EB" w:rsidRDefault="000F7247" w:rsidP="008204C9">
      <w:pPr>
        <w:spacing w:before="120" w:after="120" w:line="360" w:lineRule="auto"/>
        <w:jc w:val="both"/>
        <w:rPr>
          <w:rStyle w:val="ng-binding"/>
        </w:rPr>
      </w:pPr>
      <w:r w:rsidRPr="009967EB">
        <w:rPr>
          <w:rStyle w:val="ng-binding"/>
        </w:rPr>
        <w:t xml:space="preserve">Z toku dokonywania oceny zgodności z prawem podjętej uchwały wynika, iż  skarga została złożona w Urzędzie Gminy w Kuczborku – Osadzie w dniu </w:t>
      </w:r>
      <w:r w:rsidRPr="009967EB">
        <w:rPr>
          <w:rStyle w:val="ng-binding"/>
          <w:b/>
          <w:u w:val="single"/>
        </w:rPr>
        <w:t>1</w:t>
      </w:r>
      <w:r w:rsidRPr="009967EB">
        <w:rPr>
          <w:rStyle w:val="ng-binding"/>
          <w:b/>
          <w:u w:val="single"/>
        </w:rPr>
        <w:t xml:space="preserve"> kwietnia 2021 r.</w:t>
      </w:r>
      <w:r w:rsidRPr="009967EB">
        <w:rPr>
          <w:rStyle w:val="ng-binding"/>
        </w:rPr>
        <w:t xml:space="preserve">, co potwierdza stosowna prezentata na odpisie skargi, doręczonej przez gminę w odpowiedzi na zawiadomienie </w:t>
      </w:r>
      <w:r w:rsidRPr="009967EB">
        <w:rPr>
          <w:rStyle w:val="ng-binding"/>
        </w:rPr>
        <w:br/>
        <w:t>z 1 października 2021 r. znak: WNP-I.4131.20</w:t>
      </w:r>
      <w:r w:rsidRPr="009967EB">
        <w:rPr>
          <w:rStyle w:val="ng-binding"/>
        </w:rPr>
        <w:t>6</w:t>
      </w:r>
      <w:r w:rsidRPr="009967EB">
        <w:rPr>
          <w:rStyle w:val="ng-binding"/>
        </w:rPr>
        <w:t xml:space="preserve">.2021.MO o wszczęciu postępowania nadzorczego </w:t>
      </w:r>
      <w:r w:rsidRPr="009967EB">
        <w:rPr>
          <w:rStyle w:val="ng-binding"/>
        </w:rPr>
        <w:br/>
      </w:r>
      <w:r w:rsidRPr="009967EB">
        <w:rPr>
          <w:rStyle w:val="ng-binding"/>
        </w:rPr>
        <w:t xml:space="preserve">w sprawie stwierdzenia nieważności uchwały.  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rStyle w:val="ng-binding"/>
        </w:rPr>
        <w:t>Z przekaz</w:t>
      </w:r>
      <w:r w:rsidRPr="009967EB">
        <w:rPr>
          <w:rStyle w:val="ng-binding"/>
        </w:rPr>
        <w:t>anych dokumentów wynika również, iż postanowieniem z 17 czerwca 2021 r.  sygn. akt VII SA/Wa 85</w:t>
      </w:r>
      <w:r w:rsidRPr="009967EB">
        <w:rPr>
          <w:rStyle w:val="ng-binding"/>
        </w:rPr>
        <w:t>5</w:t>
      </w:r>
      <w:r w:rsidRPr="009967EB">
        <w:rPr>
          <w:rStyle w:val="ng-binding"/>
        </w:rPr>
        <w:t xml:space="preserve">/21 Wojewódzki Sąd Administracyjny w Warszawie, po rozpoznaniu na posiedzeniu niejawnym sprawy ze skargi </w:t>
      </w:r>
      <w:r w:rsidRPr="009967EB">
        <w:rPr>
          <w:rStyle w:val="ng-binding"/>
        </w:rPr>
        <w:t>J.M</w:t>
      </w:r>
      <w:r w:rsidRPr="009967EB">
        <w:rPr>
          <w:rStyle w:val="ng-binding"/>
        </w:rPr>
        <w:t xml:space="preserve">. i </w:t>
      </w:r>
      <w:r w:rsidRPr="009967EB">
        <w:rPr>
          <w:rStyle w:val="ng-binding"/>
        </w:rPr>
        <w:t>J</w:t>
      </w:r>
      <w:r w:rsidRPr="009967EB">
        <w:rPr>
          <w:rStyle w:val="ng-binding"/>
        </w:rPr>
        <w:t>.</w:t>
      </w:r>
      <w:r w:rsidRPr="009967EB">
        <w:rPr>
          <w:rStyle w:val="ng-binding"/>
        </w:rPr>
        <w:t>M</w:t>
      </w:r>
      <w:r w:rsidRPr="009967EB">
        <w:rPr>
          <w:rStyle w:val="ng-binding"/>
        </w:rPr>
        <w:t xml:space="preserve">., postanowił umorzyć postępowanie sądowe, w </w:t>
      </w:r>
      <w:r w:rsidRPr="009967EB">
        <w:rPr>
          <w:rStyle w:val="ng-binding"/>
        </w:rPr>
        <w:t>związku ze skutecznym cofnięciem przez skarżących skargi (oświadczenie z 27 maja 2021 r. o cofnięciu skargi).</w:t>
      </w:r>
    </w:p>
    <w:p w:rsidR="008204C9" w:rsidRPr="009967EB" w:rsidRDefault="000F7247" w:rsidP="008204C9">
      <w:pPr>
        <w:spacing w:before="120" w:after="120" w:line="360" w:lineRule="auto"/>
        <w:jc w:val="both"/>
        <w:rPr>
          <w:rStyle w:val="ng-binding"/>
        </w:rPr>
      </w:pPr>
      <w:r w:rsidRPr="009967EB">
        <w:rPr>
          <w:rStyle w:val="ng-binding"/>
        </w:rPr>
        <w:t xml:space="preserve">Tymczasem Rada Gminy w Kuczborku – Osadzie, podejmując 31 sierpnia 2021 r. uchwałę </w:t>
      </w:r>
      <w:r w:rsidRPr="009967EB">
        <w:rPr>
          <w:rStyle w:val="ng-binding"/>
        </w:rPr>
        <w:br/>
      </w:r>
      <w:r w:rsidRPr="009967EB">
        <w:t>Nr XXVIII/17</w:t>
      </w:r>
      <w:r w:rsidRPr="009967EB">
        <w:t>2</w:t>
      </w:r>
      <w:r w:rsidRPr="009967EB">
        <w:t xml:space="preserve">/2021, powołując się na </w:t>
      </w:r>
      <w:r w:rsidRPr="009967EB">
        <w:rPr>
          <w:rStyle w:val="ng-binding"/>
        </w:rPr>
        <w:t>art. 54 § 3 p.p.s.a., w r</w:t>
      </w:r>
      <w:r w:rsidRPr="009967EB">
        <w:rPr>
          <w:rStyle w:val="ng-binding"/>
        </w:rPr>
        <w:t>amach autokontroli, postanowiła uwzględnić skargę, objętą ww. umorzeniem.</w:t>
      </w:r>
    </w:p>
    <w:p w:rsidR="008204C9" w:rsidRPr="009967EB" w:rsidRDefault="000F7247" w:rsidP="008204C9">
      <w:pPr>
        <w:spacing w:after="120" w:line="360" w:lineRule="auto"/>
        <w:jc w:val="both"/>
        <w:rPr>
          <w:rStyle w:val="ng-binding"/>
        </w:rPr>
      </w:pPr>
      <w:r w:rsidRPr="009967EB">
        <w:rPr>
          <w:rStyle w:val="ng-binding"/>
        </w:rPr>
        <w:t xml:space="preserve">Zgodnie z art. 54 § 3 ustawy p.p.s.a. </w:t>
      </w:r>
      <w:r w:rsidRPr="009967EB">
        <w:rPr>
          <w:rStyle w:val="ng-binding"/>
          <w:i/>
        </w:rPr>
        <w:t>„</w:t>
      </w:r>
      <w:r w:rsidRPr="009967EB">
        <w:rPr>
          <w:i/>
        </w:rPr>
        <w:t xml:space="preserve">Organ, którego działanie, bezczynność lub przewlekłe prowadzenie postępowania zaskarżono, może w zakresie swojej właściwości </w:t>
      </w:r>
      <w:r w:rsidRPr="009967EB">
        <w:rPr>
          <w:b/>
          <w:i/>
        </w:rPr>
        <w:t xml:space="preserve">uwzględnić skargę </w:t>
      </w:r>
      <w:r w:rsidRPr="009967EB">
        <w:rPr>
          <w:b/>
          <w:i/>
        </w:rPr>
        <w:br/>
        <w:t xml:space="preserve">w całości w terminie </w:t>
      </w:r>
      <w:r w:rsidRPr="009967EB">
        <w:rPr>
          <w:b/>
          <w:i/>
          <w:u w:val="single"/>
        </w:rPr>
        <w:t>trzydziestu dni od dnia jej otrzymania</w:t>
      </w:r>
      <w:r w:rsidRPr="009967EB">
        <w:rPr>
          <w:i/>
        </w:rPr>
        <w:t>. W przypadku skargi na decyzję, uwzględniając skargę w całości, organ uchyla zaskarżoną decyzję i wydaje nową decyzję. Uwzględniając skargę, organ stwierdza jednocześnie, czy działanie, bezczynno</w:t>
      </w:r>
      <w:r w:rsidRPr="009967EB">
        <w:rPr>
          <w:i/>
        </w:rPr>
        <w:t>ść lub przewlekłe prowadzenie postępowania miały miejsce bez podstawy prawnej albo z rażącym naruszeniem prawa. Przepis § 2 stosuje się odpowiednio.”.</w:t>
      </w:r>
    </w:p>
    <w:p w:rsidR="008204C9" w:rsidRPr="009967EB" w:rsidRDefault="000F7247" w:rsidP="008204C9">
      <w:pPr>
        <w:spacing w:after="120" w:line="360" w:lineRule="auto"/>
        <w:jc w:val="both"/>
        <w:rPr>
          <w:rStyle w:val="ng-binding"/>
        </w:rPr>
      </w:pPr>
      <w:r w:rsidRPr="009967EB">
        <w:rPr>
          <w:rStyle w:val="ng-binding"/>
        </w:rPr>
        <w:lastRenderedPageBreak/>
        <w:t xml:space="preserve">Powyższy przepis ustawy p.p.s.a. jednoznacznie stanowi, że w ramach autokontroli, </w:t>
      </w:r>
      <w:r w:rsidRPr="009967EB">
        <w:rPr>
          <w:rStyle w:val="ng-binding"/>
          <w:b/>
          <w:u w:val="single"/>
        </w:rPr>
        <w:t>gmina może uwzględnić s</w:t>
      </w:r>
      <w:r w:rsidRPr="009967EB">
        <w:rPr>
          <w:rStyle w:val="ng-binding"/>
          <w:b/>
          <w:u w:val="single"/>
        </w:rPr>
        <w:t>kargę w całości wyłącznie w terminie trzydziestu dni od dnia jej otrzymania.</w:t>
      </w:r>
      <w:r w:rsidRPr="009967EB">
        <w:rPr>
          <w:rStyle w:val="ng-binding"/>
        </w:rPr>
        <w:t xml:space="preserve">  </w:t>
      </w:r>
    </w:p>
    <w:p w:rsidR="008204C9" w:rsidRPr="009967EB" w:rsidRDefault="000F7247" w:rsidP="008204C9">
      <w:pPr>
        <w:spacing w:after="120"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Dnia 15 sierpnia 2015 r. weszła w życie ustawa z 9 kwietnia 2015 r. o zmianie ustawy – Prawo </w:t>
      </w:r>
      <w:r w:rsidRPr="009967EB">
        <w:rPr>
          <w:color w:val="000000"/>
        </w:rPr>
        <w:br/>
        <w:t>o postępowaniu przed sądami administracyjnymi (Dz.</w:t>
      </w:r>
      <w:r w:rsidRPr="009967EB">
        <w:rPr>
          <w:color w:val="000000"/>
        </w:rPr>
        <w:t xml:space="preserve"> </w:t>
      </w:r>
      <w:r w:rsidRPr="009967EB">
        <w:rPr>
          <w:color w:val="000000"/>
        </w:rPr>
        <w:t xml:space="preserve">U. z 2015 r. poz. 658). Zgodnie </w:t>
      </w:r>
      <w:r w:rsidRPr="009967EB">
        <w:rPr>
          <w:color w:val="000000"/>
        </w:rPr>
        <w:t xml:space="preserve">ze znowelizowanym brzmieniem art. 54 § 3 organ, którego działanie, bezczynność lub przewlekłe prowadzenie postępowania zaskarżono, może w zakresie swojej właściwości uwzględnić skargę </w:t>
      </w:r>
      <w:r w:rsidRPr="009967EB">
        <w:rPr>
          <w:color w:val="000000"/>
        </w:rPr>
        <w:br/>
        <w:t xml:space="preserve">w całości, </w:t>
      </w:r>
      <w:r w:rsidRPr="009967EB">
        <w:rPr>
          <w:b/>
          <w:color w:val="000000"/>
        </w:rPr>
        <w:t xml:space="preserve">ale jedynie </w:t>
      </w:r>
      <w:r w:rsidRPr="009967EB">
        <w:rPr>
          <w:b/>
          <w:color w:val="000000"/>
          <w:u w:val="single"/>
        </w:rPr>
        <w:t>w terminie trzydziestu dni od dnia jej otrzymani</w:t>
      </w:r>
      <w:r w:rsidRPr="009967EB">
        <w:rPr>
          <w:b/>
          <w:color w:val="000000"/>
          <w:u w:val="single"/>
        </w:rPr>
        <w:t>a</w:t>
      </w:r>
      <w:r w:rsidRPr="009967EB">
        <w:rPr>
          <w:b/>
          <w:color w:val="000000"/>
        </w:rPr>
        <w:t xml:space="preserve">. </w:t>
      </w:r>
    </w:p>
    <w:p w:rsidR="008204C9" w:rsidRPr="009967EB" w:rsidRDefault="000F7247" w:rsidP="008204C9">
      <w:pPr>
        <w:spacing w:after="120" w:line="360" w:lineRule="auto"/>
        <w:jc w:val="both"/>
        <w:rPr>
          <w:b/>
        </w:rPr>
      </w:pPr>
      <w:r w:rsidRPr="009967EB">
        <w:t xml:space="preserve">Przy liczeniu biegu tego terminu, jak wynika z szerokiego orzecznictwa, zastosowanie znajdzie </w:t>
      </w:r>
      <w:r w:rsidRPr="009967EB">
        <w:br/>
        <w:t>art. 57 § 4 ustawy z 14 czerwca 1960 r. Kodeks postępowania administracyjnego (Dz. U. z 2021 r. poz. 735, z późn. zm.) przewidujący, że do terminu nie wlicza</w:t>
      </w:r>
      <w:r w:rsidRPr="009967EB">
        <w:t xml:space="preserve"> się dnia ustawowo wolnego od pracy lub soboty, jeżeli wypada on w ostatnim dniu terminu (tak np.: wyrok Naczelnego Sądu Administracyjnego z 29 czerwca 2017 r., w sprawie sygn. akt I OSK 2727/16, publ. LEX </w:t>
      </w:r>
      <w:r w:rsidRPr="009967EB">
        <w:br/>
        <w:t>nr 2328572).</w:t>
      </w:r>
      <w:r w:rsidRPr="009967EB">
        <w:rPr>
          <w:b/>
        </w:rPr>
        <w:t xml:space="preserve"> Oznacza to, że w sytuacji, gdy konie</w:t>
      </w:r>
      <w:r w:rsidRPr="009967EB">
        <w:rPr>
          <w:b/>
        </w:rPr>
        <w:t xml:space="preserve">c terminu na rozpatrzenie skargi przez organ gminy przypada na dzień wolny od pracy lub sobotę, skargę można wydać jeszcze następnego dnia, który nie jest dniem wolnym od pracy ani sobotą.  </w:t>
      </w:r>
    </w:p>
    <w:p w:rsidR="008204C9" w:rsidRPr="009967EB" w:rsidRDefault="000F7247" w:rsidP="008204C9">
      <w:pPr>
        <w:spacing w:line="360" w:lineRule="auto"/>
        <w:jc w:val="both"/>
      </w:pPr>
      <w:r w:rsidRPr="009967EB">
        <w:rPr>
          <w:rStyle w:val="ng-binding"/>
        </w:rPr>
        <w:t xml:space="preserve">Przyjmując datę doręczenia skargi, tj. </w:t>
      </w:r>
      <w:r w:rsidRPr="009967EB">
        <w:rPr>
          <w:rStyle w:val="ng-binding"/>
          <w:b/>
        </w:rPr>
        <w:t>1</w:t>
      </w:r>
      <w:r w:rsidRPr="009967EB">
        <w:rPr>
          <w:rStyle w:val="ng-binding"/>
          <w:b/>
        </w:rPr>
        <w:t xml:space="preserve"> kwietnia 2021 r.</w:t>
      </w:r>
      <w:r w:rsidRPr="009967EB">
        <w:rPr>
          <w:rStyle w:val="ng-binding"/>
        </w:rPr>
        <w:t xml:space="preserve">, termin jej uwzględnienia w całości </w:t>
      </w:r>
      <w:r w:rsidRPr="009967EB">
        <w:t xml:space="preserve">upłynął w dniu </w:t>
      </w:r>
      <w:r w:rsidRPr="009967EB">
        <w:rPr>
          <w:b/>
          <w:u w:val="single"/>
        </w:rPr>
        <w:t>4 maja 2021 r</w:t>
      </w:r>
      <w:r w:rsidRPr="009967EB">
        <w:t xml:space="preserve">., albowiem zarówno </w:t>
      </w:r>
      <w:r w:rsidRPr="009967EB">
        <w:t xml:space="preserve">1, </w:t>
      </w:r>
      <w:r w:rsidRPr="009967EB">
        <w:t>2, jak i 3 maja 2021 r</w:t>
      </w:r>
      <w:r w:rsidRPr="009967EB">
        <w:t>.</w:t>
      </w:r>
      <w:r w:rsidRPr="009967EB">
        <w:t>, był dniem wolnym od pracy.</w:t>
      </w:r>
    </w:p>
    <w:p w:rsidR="008204C9" w:rsidRPr="009967EB" w:rsidRDefault="000F7247" w:rsidP="008204C9">
      <w:pPr>
        <w:tabs>
          <w:tab w:val="left" w:pos="2535"/>
        </w:tabs>
        <w:spacing w:before="120" w:line="360" w:lineRule="auto"/>
        <w:jc w:val="both"/>
        <w:outlineLvl w:val="0"/>
      </w:pPr>
      <w:r w:rsidRPr="009967EB">
        <w:t xml:space="preserve">Po upływie tego terminu, gmina nie miała podstaw prawnych, wynikających z przepisu </w:t>
      </w:r>
      <w:r w:rsidRPr="009967EB">
        <w:rPr>
          <w:rStyle w:val="ng-binding"/>
        </w:rPr>
        <w:t>art. 54 § 3 p.p.s.a.,</w:t>
      </w:r>
      <w:r w:rsidRPr="009967EB">
        <w:t xml:space="preserve"> do uwzględn</w:t>
      </w:r>
      <w:r w:rsidRPr="009967EB">
        <w:t xml:space="preserve">ienia skargi w całości poprzez podjęcie uchwały stwierdzającej nieważność miejscowego planu zagospodarowania przestrzennego, w części tekstowej i graficznej, </w:t>
      </w:r>
      <w:r w:rsidRPr="009967EB">
        <w:rPr>
          <w:u w:val="single"/>
        </w:rPr>
        <w:t xml:space="preserve">w odniesieniu do działki </w:t>
      </w:r>
      <w:r w:rsidRPr="009967EB">
        <w:rPr>
          <w:b/>
          <w:u w:val="single"/>
        </w:rPr>
        <w:t>nr ew. 9</w:t>
      </w:r>
      <w:r w:rsidRPr="009967EB">
        <w:rPr>
          <w:b/>
          <w:u w:val="single"/>
        </w:rPr>
        <w:t>76</w:t>
      </w:r>
      <w:r w:rsidRPr="009967EB">
        <w:rPr>
          <w:u w:val="single"/>
        </w:rPr>
        <w:t xml:space="preserve"> z obrębu Zielona.</w:t>
      </w:r>
      <w:r w:rsidRPr="009967EB">
        <w:t xml:space="preserve">  </w:t>
      </w:r>
    </w:p>
    <w:p w:rsidR="008204C9" w:rsidRPr="009967EB" w:rsidRDefault="000F7247" w:rsidP="008204C9">
      <w:pPr>
        <w:tabs>
          <w:tab w:val="left" w:pos="2535"/>
        </w:tabs>
        <w:spacing w:before="120" w:line="360" w:lineRule="auto"/>
        <w:jc w:val="both"/>
        <w:outlineLvl w:val="0"/>
      </w:pPr>
      <w:r w:rsidRPr="009967EB">
        <w:t>W wyroku z 12 grudnia 2017 r., sygn. akt I</w:t>
      </w:r>
      <w:r w:rsidRPr="009967EB">
        <w:t xml:space="preserve">II SA/Kr 1027/17 Wojewódzki Sąd Administracyjny </w:t>
      </w:r>
      <w:r w:rsidRPr="009967EB">
        <w:br/>
        <w:t xml:space="preserve">w Krakowie stwierdził: </w:t>
      </w:r>
      <w:r w:rsidRPr="009967EB">
        <w:rPr>
          <w:i/>
        </w:rPr>
        <w:t>„W postanowieniu z dnia 29 grudnia 2009 r., II OW 73/09 (publ. Centralna Baza Orzeczeń Sądów Administracyjnych) Naczelny Sąd Administracyjny wyjaśnił, że skoro przepis art. 54 § 3 p.p.</w:t>
      </w:r>
      <w:r w:rsidRPr="009967EB">
        <w:rPr>
          <w:i/>
        </w:rPr>
        <w:t xml:space="preserve">s.a. przewiduje możliwość uwzględnienia skargi do dnia rozpoczęcia rozprawy </w:t>
      </w:r>
      <w:r w:rsidRPr="009967EB">
        <w:rPr>
          <w:b/>
          <w:i/>
          <w:u w:val="single"/>
        </w:rPr>
        <w:t>(obecnie - w terminie trzydziestu dni od dnia otrzymania skargi)</w:t>
      </w:r>
      <w:r w:rsidRPr="009967EB">
        <w:rPr>
          <w:i/>
        </w:rPr>
        <w:t>, to nie ulega wątpliwości, iż</w:t>
      </w:r>
      <w:r w:rsidRPr="009967EB">
        <w:rPr>
          <w:i/>
        </w:rPr>
        <w:br/>
        <w:t xml:space="preserve"> </w:t>
      </w:r>
      <w:r w:rsidRPr="009967EB">
        <w:rPr>
          <w:b/>
          <w:i/>
          <w:u w:val="single"/>
        </w:rPr>
        <w:t>z instytucji autokontroli może skorzystać jedynie organ administracji publicznej, kt</w:t>
      </w:r>
      <w:r w:rsidRPr="009967EB">
        <w:rPr>
          <w:b/>
          <w:i/>
          <w:u w:val="single"/>
        </w:rPr>
        <w:t>óremu w tym właśnie czasie, tj. w terminie trzydziestu dni od dania otrzymania skargi, przysługują kompetencje do rozstrzygania danego rodzaju spraw administracyjnych</w:t>
      </w:r>
      <w:r w:rsidRPr="009967EB">
        <w:rPr>
          <w:b/>
          <w:i/>
        </w:rPr>
        <w:t>.</w:t>
      </w:r>
      <w:r w:rsidRPr="009967EB">
        <w:rPr>
          <w:i/>
        </w:rPr>
        <w:t xml:space="preserve"> A zatem, warunkiem skorzystania </w:t>
      </w:r>
      <w:r w:rsidRPr="009967EB">
        <w:rPr>
          <w:i/>
        </w:rPr>
        <w:br/>
        <w:t xml:space="preserve">z uprawnienia do autokontroli, przewidzianym w art. 54 </w:t>
      </w:r>
      <w:r w:rsidRPr="009967EB">
        <w:rPr>
          <w:i/>
        </w:rPr>
        <w:t xml:space="preserve">§ 3 p.p.s.a., jest posiadanie przez organ administracji publicznej - </w:t>
      </w:r>
      <w:r w:rsidRPr="009967EB">
        <w:rPr>
          <w:b/>
          <w:i/>
          <w:u w:val="single"/>
        </w:rPr>
        <w:t>w dacie korzystania z tego uprawnienia</w:t>
      </w:r>
      <w:r w:rsidRPr="009967EB">
        <w:rPr>
          <w:i/>
        </w:rPr>
        <w:t xml:space="preserve"> - kompetencji do załatwiania danego rodzaju spraw administracyjnych. Z uprawnienia tego nie może skorzystać organ </w:t>
      </w:r>
      <w:r w:rsidRPr="009967EB">
        <w:rPr>
          <w:i/>
        </w:rPr>
        <w:lastRenderedPageBreak/>
        <w:t>administracji publicznej, który co</w:t>
      </w:r>
      <w:r w:rsidRPr="009967EB">
        <w:rPr>
          <w:i/>
        </w:rPr>
        <w:t xml:space="preserve"> prawda posiadał kompetencje do rozstrzygnięcia danej sprawy administracyjnej w dacie wydania zaskarżonej do sądu administracyjnego decyzji, lecz utracił ją po wydaniu decyzji.”.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rStyle w:val="ng-binding"/>
        </w:rPr>
      </w:pPr>
      <w:r w:rsidRPr="009967EB">
        <w:rPr>
          <w:color w:val="000000"/>
        </w:rPr>
        <w:t xml:space="preserve">Podjęcie przez Radę Gminy w Kuczborku – Osadzie przedmiotowej uchwały w dniu </w:t>
      </w:r>
      <w:r w:rsidRPr="009967EB">
        <w:rPr>
          <w:color w:val="000000"/>
        </w:rPr>
        <w:t xml:space="preserve">31 sierpnia </w:t>
      </w:r>
      <w:r w:rsidRPr="009967EB">
        <w:rPr>
          <w:color w:val="000000"/>
        </w:rPr>
        <w:br/>
        <w:t xml:space="preserve">2021 r., tj. </w:t>
      </w:r>
      <w:r w:rsidRPr="009967EB">
        <w:rPr>
          <w:rStyle w:val="ng-binding"/>
          <w:b/>
          <w:u w:val="single"/>
        </w:rPr>
        <w:t>po upływie terminu</w:t>
      </w:r>
      <w:r w:rsidRPr="009967EB">
        <w:rPr>
          <w:b/>
          <w:color w:val="000000"/>
          <w:u w:val="single"/>
        </w:rPr>
        <w:t xml:space="preserve"> określonego w </w:t>
      </w:r>
      <w:r w:rsidRPr="009967EB">
        <w:rPr>
          <w:rStyle w:val="ng-binding"/>
          <w:b/>
          <w:u w:val="single"/>
        </w:rPr>
        <w:t>art. 54 § 3 p.p.s.a.</w:t>
      </w:r>
      <w:r w:rsidRPr="009967EB">
        <w:rPr>
          <w:rStyle w:val="ng-binding"/>
        </w:rPr>
        <w:t>, oznacza istotne naruszenie dyspozycji ww. przepisu ustawy p.p.s.a., co stanowi podstawę do stwierdzenia nieważności uchwały.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rStyle w:val="ng-binding"/>
        </w:rPr>
      </w:pPr>
      <w:r w:rsidRPr="009967EB">
        <w:rPr>
          <w:rStyle w:val="ng-binding"/>
        </w:rPr>
        <w:t>Należy przy tym zauważyć, iż wobec skutecznego cofnięcia skargi i umorzenia postępowania sądowego, przepis art. 54 § 3 p.p.s.a., w ogóle nie może mieć zastosowania, albowiem w dacie podjęcia niniejszej uchwały, nie było żadnej skargi, a tym samym Rada Gmin</w:t>
      </w:r>
      <w:r w:rsidRPr="009967EB">
        <w:rPr>
          <w:rStyle w:val="ng-binding"/>
        </w:rPr>
        <w:t>y w Kuczborku</w:t>
      </w:r>
      <w:r w:rsidRPr="009967EB">
        <w:rPr>
          <w:rStyle w:val="ng-binding"/>
        </w:rPr>
        <w:t xml:space="preserve"> </w:t>
      </w:r>
      <w:r w:rsidRPr="009967EB">
        <w:rPr>
          <w:rStyle w:val="ng-binding"/>
        </w:rPr>
        <w:br/>
        <w:t xml:space="preserve">– </w:t>
      </w:r>
      <w:r w:rsidRPr="009967EB">
        <w:rPr>
          <w:rStyle w:val="ng-binding"/>
        </w:rPr>
        <w:t xml:space="preserve">Osadzie nie mogła odnosić się do nieistniejącego przedmiotu skargi. 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Ponadto organ nadzoru wskazuje na błędną numerację ustępów, na które został podzielony </w:t>
      </w:r>
      <w:r w:rsidRPr="009967EB">
        <w:rPr>
          <w:color w:val="000000"/>
        </w:rPr>
        <w:br/>
      </w:r>
      <w:r w:rsidRPr="009967EB">
        <w:rPr>
          <w:color w:val="000000"/>
        </w:rPr>
        <w:t xml:space="preserve">§ 1 uchwały. Z redakcji § 1 uchwały wynika bowiem, że został on podzielony na ustępy o numerach porządkowych oznaczonych kolejnymi cyframi </w:t>
      </w:r>
      <w:r w:rsidRPr="009967EB">
        <w:rPr>
          <w:color w:val="000000"/>
        </w:rPr>
        <w:t>5</w:t>
      </w:r>
      <w:r w:rsidRPr="009967EB">
        <w:rPr>
          <w:color w:val="000000"/>
        </w:rPr>
        <w:t xml:space="preserve"> i </w:t>
      </w:r>
      <w:r w:rsidRPr="009967EB">
        <w:rPr>
          <w:color w:val="000000"/>
        </w:rPr>
        <w:t>6</w:t>
      </w:r>
      <w:r w:rsidRPr="009967EB">
        <w:rPr>
          <w:color w:val="000000"/>
        </w:rPr>
        <w:t xml:space="preserve">, przy jednoczesnym braku jednostek redakcyjnych oznaczonych cyframi </w:t>
      </w:r>
      <w:r w:rsidRPr="009967EB">
        <w:rPr>
          <w:color w:val="000000"/>
          <w:u w:val="single"/>
        </w:rPr>
        <w:t>1</w:t>
      </w:r>
      <w:r w:rsidRPr="009967EB">
        <w:rPr>
          <w:color w:val="000000"/>
          <w:u w:val="single"/>
        </w:rPr>
        <w:t>, 2, 3</w:t>
      </w:r>
      <w:r w:rsidRPr="009967EB">
        <w:rPr>
          <w:color w:val="000000"/>
          <w:u w:val="single"/>
        </w:rPr>
        <w:t xml:space="preserve"> i </w:t>
      </w:r>
      <w:r w:rsidRPr="009967EB">
        <w:rPr>
          <w:color w:val="000000"/>
          <w:u w:val="single"/>
        </w:rPr>
        <w:t>4</w:t>
      </w:r>
      <w:r w:rsidRPr="009967EB">
        <w:rPr>
          <w:color w:val="000000"/>
        </w:rPr>
        <w:t xml:space="preserve">. Jednocześnie ustęp </w:t>
      </w:r>
      <w:r w:rsidRPr="009967EB">
        <w:rPr>
          <w:color w:val="000000"/>
        </w:rPr>
        <w:t>6</w:t>
      </w:r>
      <w:r w:rsidRPr="009967EB">
        <w:rPr>
          <w:color w:val="000000"/>
        </w:rPr>
        <w:t xml:space="preserve"> ww. parag</w:t>
      </w:r>
      <w:r w:rsidRPr="009967EB">
        <w:rPr>
          <w:color w:val="000000"/>
        </w:rPr>
        <w:t xml:space="preserve">rafu odwołuje się do ustępu 1, którego paragraf ten nie zawiera. Powyższe oznacza odwołanie się do </w:t>
      </w:r>
      <w:r w:rsidRPr="009967EB">
        <w:rPr>
          <w:color w:val="000000"/>
          <w:u w:val="single"/>
        </w:rPr>
        <w:t>nieistniejącej jednostki redakcyjnej uchwały</w:t>
      </w:r>
      <w:r w:rsidRPr="009967EB">
        <w:rPr>
          <w:color w:val="000000"/>
        </w:rPr>
        <w:t xml:space="preserve">, co stanowi o wzajemnej sprzeczności jej ustaleń, a także wpływa na jej wykonalność. 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</w:pPr>
      <w:r w:rsidRPr="009967EB">
        <w:t>Powyższe oznacza, że uchwa</w:t>
      </w:r>
      <w:r w:rsidRPr="009967EB">
        <w:t xml:space="preserve">ła nie spełnia wymogów określonych w załączniku do rozporządzenia Prezesa Rady Ministrów z 20 czerwca 2002 r. w sprawie „Zasad techniki prawodawczej” (Dz. U. </w:t>
      </w:r>
      <w:r w:rsidRPr="009967EB">
        <w:br/>
        <w:t xml:space="preserve">z 2016 r. poz. 283), w tym, w związku z § 143, w szczególności zawartych w § 57 ust. 2, zgodnie </w:t>
      </w:r>
      <w:r w:rsidRPr="009967EB">
        <w:br/>
      </w:r>
      <w:r w:rsidRPr="009967EB">
        <w:t xml:space="preserve">z którym: </w:t>
      </w:r>
      <w:r w:rsidRPr="009967EB">
        <w:rPr>
          <w:i/>
        </w:rPr>
        <w:t>„</w:t>
      </w:r>
      <w:r w:rsidRPr="009967EB">
        <w:rPr>
          <w:i/>
          <w:u w:val="single"/>
        </w:rPr>
        <w:t>Ustęp</w:t>
      </w:r>
      <w:r w:rsidRPr="009967EB">
        <w:rPr>
          <w:i/>
        </w:rPr>
        <w:t xml:space="preserve"> oznacza się cyframi arabskimi z kropką bez nawiasu, </w:t>
      </w:r>
      <w:r w:rsidRPr="009967EB">
        <w:rPr>
          <w:i/>
          <w:u w:val="single"/>
        </w:rPr>
        <w:t>z zachowaniem ciągłości numeracji w obrębie danego artykułu</w:t>
      </w:r>
      <w:r w:rsidRPr="009967EB">
        <w:rPr>
          <w:i/>
        </w:rPr>
        <w:t xml:space="preserve">, a przy powoływaniu - skrótem "ust." bez względu na liczbę </w:t>
      </w:r>
      <w:r w:rsidRPr="009967EB">
        <w:rPr>
          <w:i/>
        </w:rPr>
        <w:br/>
        <w:t>i przypadek oraz cyframi arabskimi bez kropki.”</w:t>
      </w:r>
      <w:r w:rsidRPr="009967EB">
        <w:t>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>Organ nadzoru wska</w:t>
      </w:r>
      <w:r w:rsidRPr="009967EB">
        <w:rPr>
          <w:color w:val="000000"/>
        </w:rPr>
        <w:t xml:space="preserve">zuje również, że na załączniku graficznym do uchwały, wbrew ustaleniom </w:t>
      </w:r>
      <w:r w:rsidRPr="009967EB">
        <w:rPr>
          <w:color w:val="000000"/>
        </w:rPr>
        <w:br/>
        <w:t xml:space="preserve">o których mowa w § 1 </w:t>
      </w:r>
      <w:r w:rsidRPr="009967EB">
        <w:rPr>
          <w:b/>
          <w:color w:val="000000"/>
          <w:u w:val="single"/>
        </w:rPr>
        <w:t xml:space="preserve">ust. </w:t>
      </w:r>
      <w:r w:rsidRPr="009967EB">
        <w:rPr>
          <w:b/>
          <w:color w:val="000000"/>
          <w:u w:val="single"/>
        </w:rPr>
        <w:t>6</w:t>
      </w:r>
      <w:r w:rsidRPr="009967EB">
        <w:rPr>
          <w:color w:val="000000"/>
        </w:rPr>
        <w:t xml:space="preserve"> uchwały, </w:t>
      </w:r>
      <w:r w:rsidRPr="009967EB">
        <w:rPr>
          <w:b/>
          <w:color w:val="000000"/>
          <w:u w:val="single"/>
        </w:rPr>
        <w:t>nie wyznaczono granic obszaru objętego stwierdzeniem nieważności, tj. granic działki nr ew. 9</w:t>
      </w:r>
      <w:r w:rsidRPr="009967EB">
        <w:rPr>
          <w:b/>
          <w:color w:val="000000"/>
          <w:u w:val="single"/>
        </w:rPr>
        <w:t>76</w:t>
      </w:r>
      <w:r w:rsidRPr="009967EB">
        <w:rPr>
          <w:b/>
          <w:color w:val="000000"/>
          <w:u w:val="single"/>
        </w:rPr>
        <w:t xml:space="preserve"> z obrębu Zielona.</w:t>
      </w:r>
      <w:r w:rsidRPr="009967EB">
        <w:rPr>
          <w:color w:val="000000"/>
        </w:rPr>
        <w:t xml:space="preserve"> Załącznik graficzny przedstawia b</w:t>
      </w:r>
      <w:r w:rsidRPr="009967EB">
        <w:rPr>
          <w:color w:val="000000"/>
        </w:rPr>
        <w:t xml:space="preserve">owiem wyłącznie granice całego obszaru objętego inkryminowanym planem miejscowym, wraz ze wskazaniem liczbowym działki ewidencyjnej numer </w:t>
      </w:r>
      <w:r w:rsidRPr="009967EB">
        <w:rPr>
          <w:b/>
          <w:color w:val="000000"/>
        </w:rPr>
        <w:t>9</w:t>
      </w:r>
      <w:r w:rsidRPr="009967EB">
        <w:rPr>
          <w:b/>
          <w:color w:val="000000"/>
        </w:rPr>
        <w:t>76</w:t>
      </w:r>
      <w:r w:rsidRPr="009967EB">
        <w:rPr>
          <w:color w:val="000000"/>
        </w:rPr>
        <w:t xml:space="preserve">, która faktycznie znajduje się w innym miejscu. 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>Ponadto na załączniku graficznym zamieszczono inne numery działek</w:t>
      </w:r>
      <w:r w:rsidRPr="009967EB">
        <w:rPr>
          <w:color w:val="000000"/>
        </w:rPr>
        <w:t xml:space="preserve">, które, w związku z dyspozycją § 1 ust. </w:t>
      </w:r>
      <w:r w:rsidRPr="009967EB">
        <w:rPr>
          <w:color w:val="000000"/>
        </w:rPr>
        <w:t>5</w:t>
      </w:r>
      <w:r w:rsidRPr="009967EB">
        <w:rPr>
          <w:color w:val="000000"/>
        </w:rPr>
        <w:t xml:space="preserve"> i </w:t>
      </w:r>
      <w:r w:rsidRPr="009967EB">
        <w:rPr>
          <w:color w:val="000000"/>
        </w:rPr>
        <w:t>6</w:t>
      </w:r>
      <w:r w:rsidRPr="009967EB">
        <w:rPr>
          <w:color w:val="000000"/>
        </w:rPr>
        <w:t xml:space="preserve"> uchwały, nie dotyczą ustaleń odnoszących się do działki numer 9</w:t>
      </w:r>
      <w:r w:rsidRPr="009967EB">
        <w:rPr>
          <w:color w:val="000000"/>
        </w:rPr>
        <w:t>76</w:t>
      </w:r>
      <w:r w:rsidRPr="009967EB">
        <w:rPr>
          <w:color w:val="000000"/>
        </w:rPr>
        <w:t xml:space="preserve">. 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9967EB">
        <w:rPr>
          <w:color w:val="000000"/>
        </w:rPr>
        <w:lastRenderedPageBreak/>
        <w:t xml:space="preserve">Powyższe oznacza, że </w:t>
      </w:r>
      <w:r w:rsidRPr="009967EB">
        <w:rPr>
          <w:color w:val="000000"/>
          <w:u w:val="single"/>
        </w:rPr>
        <w:t>z załącznika graficznego do uchwały nie wynika, jaki obszar objęty jest stwierdzeniem nieważności</w:t>
      </w:r>
      <w:r w:rsidRPr="009967EB">
        <w:rPr>
          <w:color w:val="000000"/>
        </w:rPr>
        <w:t>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W odniesieniu do </w:t>
      </w:r>
      <w:r w:rsidRPr="009967EB">
        <w:rPr>
          <w:color w:val="000000"/>
        </w:rPr>
        <w:t>podstaw stwierdzenia nieważności aktów organu samorządowego przyjmuje się, że już z samego brzmienia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art. 91 ust. 1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w związku z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art. 91 ust. 4</w:t>
      </w:r>
      <w:r w:rsidRPr="009967EB">
        <w:rPr>
          <w:rStyle w:val="apple-converted-space"/>
          <w:color w:val="000000"/>
        </w:rPr>
        <w:t xml:space="preserve"> ustawy o samorządzie gminnym </w:t>
      </w:r>
      <w:r w:rsidRPr="009967EB">
        <w:rPr>
          <w:color w:val="000000"/>
        </w:rPr>
        <w:t>wynika, iż tylko istotne naruszenie prawa stanowi podstawę do stwierdzenia nieważnoś</w:t>
      </w:r>
      <w:r w:rsidRPr="009967EB">
        <w:rPr>
          <w:color w:val="000000"/>
        </w:rPr>
        <w:t xml:space="preserve">ci uchwały (aktu) organu gminy. </w:t>
      </w:r>
      <w:r w:rsidRPr="009967EB">
        <w:rPr>
          <w:b/>
          <w:color w:val="000000"/>
        </w:rPr>
        <w:t xml:space="preserve">Za „istotne” naruszenie prawa uznaje się uchybienie, prowadzące </w:t>
      </w:r>
      <w:r w:rsidRPr="009967EB">
        <w:rPr>
          <w:b/>
          <w:color w:val="000000"/>
        </w:rPr>
        <w:br/>
        <w:t>do skutków, które nie mogą być akceptowane w demokratycznym państwie prawnym</w:t>
      </w:r>
      <w:r w:rsidRPr="009967EB">
        <w:rPr>
          <w:color w:val="000000"/>
        </w:rPr>
        <w:t xml:space="preserve">. </w:t>
      </w:r>
      <w:r w:rsidRPr="009967EB">
        <w:rPr>
          <w:b/>
          <w:color w:val="000000"/>
        </w:rPr>
        <w:t>Zalicza się do nich między innymi naruszenie przepisów wyznaczających kompetencję</w:t>
      </w:r>
      <w:r w:rsidRPr="009967EB">
        <w:rPr>
          <w:b/>
          <w:color w:val="000000"/>
        </w:rPr>
        <w:t xml:space="preserve"> do podejmowania uchwał, podstawy prawnej podejmowania uchwał,</w:t>
      </w:r>
      <w:r w:rsidRPr="009967EB">
        <w:rPr>
          <w:color w:val="000000"/>
        </w:rPr>
        <w:t xml:space="preserve"> </w:t>
      </w:r>
      <w:r w:rsidRPr="009967EB">
        <w:rPr>
          <w:b/>
          <w:color w:val="000000"/>
        </w:rPr>
        <w:t>prawa ustrojowego oraz prawa materialnego, a także przepisów regulujących procedury podejmowania uchwał</w:t>
      </w:r>
      <w:r w:rsidRPr="009967EB">
        <w:rPr>
          <w:color w:val="000000"/>
        </w:rPr>
        <w:t xml:space="preserve"> </w:t>
      </w:r>
      <w:r w:rsidRPr="009967EB">
        <w:rPr>
          <w:color w:val="000000"/>
        </w:rPr>
        <w:br/>
        <w:t>(por. M. Stahl, Z. Kmieciak: w Akty nadzoru nad działalnością samorządu terytorialnego w</w:t>
      </w:r>
      <w:r w:rsidRPr="009967EB">
        <w:rPr>
          <w:color w:val="000000"/>
        </w:rPr>
        <w:t xml:space="preserve"> świetle orzecznictwa NSA i poglądów doktryny, Samorząd Terytorialny 2001, z. 1-2, str. 101-102). </w:t>
      </w:r>
      <w:r w:rsidRPr="009967EB">
        <w:rPr>
          <w:color w:val="000000"/>
        </w:rPr>
        <w:br/>
        <w:t xml:space="preserve">Na powyższe wskazuje również stanowisko judykatury, w tym m.in. wyrażone w wyroku Wojewódzkiego Sądu Administracyjnego w Warszawie z 10 października 2017 r. </w:t>
      </w:r>
      <w:r w:rsidRPr="009967EB">
        <w:rPr>
          <w:color w:val="000000"/>
        </w:rPr>
        <w:t xml:space="preserve">sygn. akt </w:t>
      </w:r>
      <w:r w:rsidRPr="009967EB">
        <w:rPr>
          <w:color w:val="000000"/>
        </w:rPr>
        <w:br/>
        <w:t xml:space="preserve">IV SA/Wa 837/17, w którym Sąd stwierdził: </w:t>
      </w:r>
      <w:r w:rsidRPr="009967EB">
        <w:rPr>
          <w:i/>
          <w:color w:val="000000"/>
        </w:rPr>
        <w:t>„</w:t>
      </w:r>
      <w:r w:rsidRPr="009967EB">
        <w:rPr>
          <w:i/>
          <w:color w:val="000000"/>
          <w:shd w:val="clear" w:color="auto" w:fill="FFFFFF"/>
        </w:rPr>
        <w:t xml:space="preserve">Za istotne naruszenie prawa uznaje się bowiem uchybienie prowadzące do takich skutków, które nie mogą zostać zaakceptowane </w:t>
      </w:r>
      <w:r w:rsidRPr="009967EB">
        <w:rPr>
          <w:i/>
          <w:color w:val="000000"/>
          <w:shd w:val="clear" w:color="auto" w:fill="FFFFFF"/>
        </w:rPr>
        <w:br/>
        <w:t xml:space="preserve">w demokratycznym państwie prawnym, które wpływają na treść uchwały. Do takich </w:t>
      </w:r>
      <w:r w:rsidRPr="009967EB">
        <w:rPr>
          <w:i/>
          <w:color w:val="000000"/>
          <w:shd w:val="clear" w:color="auto" w:fill="FFFFFF"/>
        </w:rPr>
        <w:t>uchybień należą między innymi: naruszenie przepisów prawa wyznaczających kompetencje do wydania aktu, przepisów prawa ustrojowego, przepisów prawa materialnego przez wadliwą ich wykładnię oraz przepisów regulujących procedurę podejmowania uchwał, jeżeli na</w:t>
      </w:r>
      <w:r w:rsidRPr="009967EB">
        <w:rPr>
          <w:i/>
          <w:color w:val="000000"/>
          <w:shd w:val="clear" w:color="auto" w:fill="FFFFFF"/>
        </w:rPr>
        <w:t xml:space="preserve"> skutek tego naruszenia zapadła uchwała innej treści, niż gdyby naruszenie nie nastąpiło.”.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>Wobec ogólnie wyznaczonych wskazanymi przepisami ram prawnych i podstaw stwierdzania nieważności aktów organów jednostek samorządu terytorialnego, wykładnia poszcze</w:t>
      </w:r>
      <w:r w:rsidRPr="009967EB">
        <w:rPr>
          <w:color w:val="000000"/>
        </w:rPr>
        <w:t>gólnych pojęć użytych w treści tych przepisów dokonywana jest w orzecznictwie sądów administracyjnych, przy uwzględnianiu poglądów doktryny.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9967EB">
        <w:rPr>
          <w:color w:val="000000"/>
        </w:rPr>
        <w:t>Wskazana regulacja, określając kategorie wad (istotne naruszenie prawa, nieistotne naruszenie prawa), wyznacza pods</w:t>
      </w:r>
      <w:r w:rsidRPr="009967EB">
        <w:rPr>
          <w:color w:val="000000"/>
        </w:rPr>
        <w:t xml:space="preserve">tawy do stwierdzenia nieważności uchwały. Za nieistotne naruszenia prawa uznaje się naruszenia drobne, niedotyczące istoty zagadnienia, a zatem będą to takie naruszenia prawa jak błąd lub nieścisłość prawna niemająca wpływu na materialną treść uchwały. </w:t>
      </w:r>
      <w:r w:rsidRPr="009967EB">
        <w:rPr>
          <w:b/>
          <w:color w:val="000000"/>
        </w:rPr>
        <w:t>Nat</w:t>
      </w:r>
      <w:r w:rsidRPr="009967EB">
        <w:rPr>
          <w:b/>
          <w:color w:val="000000"/>
        </w:rPr>
        <w:t xml:space="preserve">omiast do kategorii </w:t>
      </w:r>
      <w:r w:rsidRPr="009967EB">
        <w:rPr>
          <w:b/>
          <w:color w:val="000000"/>
          <w:u w:val="single"/>
        </w:rPr>
        <w:t>istotnych naruszeń należy zaliczyć naruszenia znaczące, wpływające na treść uchwały, dotyczące meritum sprawy jak np.</w:t>
      </w:r>
      <w:r w:rsidRPr="009967EB">
        <w:rPr>
          <w:b/>
          <w:color w:val="000000"/>
        </w:rPr>
        <w:t xml:space="preserve"> </w:t>
      </w:r>
      <w:r w:rsidRPr="009967EB">
        <w:rPr>
          <w:b/>
          <w:color w:val="000000"/>
          <w:u w:val="single"/>
        </w:rPr>
        <w:t>naruszenie przepisów wyznaczających kompetencje do podejmowania uchwał, przepisów podstawy prawnej podejmowanych uchwa</w:t>
      </w:r>
      <w:r w:rsidRPr="009967EB">
        <w:rPr>
          <w:b/>
          <w:color w:val="000000"/>
          <w:u w:val="single"/>
        </w:rPr>
        <w:t>ł</w:t>
      </w:r>
      <w:r w:rsidRPr="009967EB">
        <w:rPr>
          <w:color w:val="000000"/>
          <w:u w:val="single"/>
        </w:rPr>
        <w:t>,</w:t>
      </w:r>
      <w:r w:rsidRPr="009967EB">
        <w:rPr>
          <w:color w:val="000000"/>
        </w:rPr>
        <w:t xml:space="preserve"> przepisów </w:t>
      </w:r>
      <w:r w:rsidRPr="009967EB">
        <w:rPr>
          <w:color w:val="000000"/>
        </w:rPr>
        <w:lastRenderedPageBreak/>
        <w:t xml:space="preserve">ustrojowych, </w:t>
      </w:r>
      <w:r w:rsidRPr="009967EB">
        <w:rPr>
          <w:b/>
          <w:color w:val="000000"/>
          <w:u w:val="single"/>
        </w:rPr>
        <w:t>przepisów prawa materialnego – przez wadliwą ich wykładnię</w:t>
      </w:r>
      <w:r w:rsidRPr="009967EB">
        <w:rPr>
          <w:color w:val="000000"/>
        </w:rPr>
        <w:t xml:space="preserve"> – oraz przepisów regulujących procedurę podejmowania uchwał.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>Trybunał Konstytucyjny w uzasadnieniu wyroku z 16 września 2008 r., w sprawie sygn. akt</w:t>
      </w:r>
      <w:r w:rsidRPr="009967EB">
        <w:rPr>
          <w:rStyle w:val="apple-converted-space"/>
          <w:color w:val="000000"/>
        </w:rPr>
        <w:t> </w:t>
      </w:r>
      <w:r w:rsidRPr="009967EB">
        <w:rPr>
          <w:rStyle w:val="apple-converted-space"/>
          <w:color w:val="000000"/>
        </w:rPr>
        <w:br/>
      </w:r>
      <w:r w:rsidRPr="009967EB">
        <w:rPr>
          <w:color w:val="000000"/>
        </w:rPr>
        <w:t>SK 76/06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(publ. OTK-A</w:t>
      </w:r>
      <w:r w:rsidRPr="009967EB">
        <w:rPr>
          <w:color w:val="000000"/>
        </w:rPr>
        <w:t xml:space="preserve"> 2008/7/121, Dz. U. z 2008 r. Nr 170,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poz. 1053), wydanego na tle kontroli konstytucyjnej dotyczącej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>art. 101 ust. 1</w:t>
      </w:r>
      <w:r w:rsidRPr="009967EB">
        <w:rPr>
          <w:rStyle w:val="apple-converted-space"/>
          <w:color w:val="000000"/>
        </w:rPr>
        <w:t> </w:t>
      </w:r>
      <w:r w:rsidRPr="009967EB">
        <w:rPr>
          <w:color w:val="000000"/>
        </w:rPr>
        <w:t xml:space="preserve">ustawy o samorządzie gminnym, wyjaśnił, że: </w:t>
      </w:r>
      <w:r w:rsidRPr="009967EB">
        <w:rPr>
          <w:i/>
          <w:color w:val="000000"/>
        </w:rPr>
        <w:t>„Działalność samorządu terytorialnego podlega nadzorowi z punktu widzenia legalności, zgodnie z</w:t>
      </w:r>
      <w:r w:rsidRPr="009967EB">
        <w:rPr>
          <w:rStyle w:val="apple-converted-space"/>
          <w:i/>
          <w:color w:val="000000"/>
        </w:rPr>
        <w:t> </w:t>
      </w:r>
      <w:r w:rsidRPr="009967EB">
        <w:rPr>
          <w:i/>
          <w:color w:val="000000"/>
        </w:rPr>
        <w:t xml:space="preserve">art. 171 </w:t>
      </w:r>
      <w:r w:rsidRPr="009967EB">
        <w:rPr>
          <w:i/>
          <w:color w:val="000000"/>
        </w:rPr>
        <w:br/>
        <w:t>ust. 1</w:t>
      </w:r>
      <w:r w:rsidRPr="009967EB">
        <w:rPr>
          <w:rStyle w:val="apple-converted-space"/>
          <w:i/>
          <w:color w:val="000000"/>
        </w:rPr>
        <w:t> </w:t>
      </w:r>
      <w:r w:rsidRPr="009967EB">
        <w:rPr>
          <w:i/>
          <w:color w:val="000000"/>
        </w:rPr>
        <w:t>Konstytucji RP. Sprawowanie nadzoru ustrojodawca powierzył Prezesowi Rady Ministrów, wojewodom i regionalnym izbom obrachunkowym (art. 171 ust. 2</w:t>
      </w:r>
      <w:r w:rsidRPr="009967EB">
        <w:rPr>
          <w:rStyle w:val="apple-converted-space"/>
          <w:i/>
          <w:color w:val="000000"/>
        </w:rPr>
        <w:t> </w:t>
      </w:r>
      <w:r w:rsidRPr="009967EB">
        <w:rPr>
          <w:i/>
          <w:color w:val="000000"/>
        </w:rPr>
        <w:t xml:space="preserve">Konstytucji RP). Nadzór nad działalnością samorządu sprawowany </w:t>
      </w:r>
      <w:r w:rsidRPr="009967EB">
        <w:rPr>
          <w:b/>
          <w:i/>
          <w:color w:val="000000"/>
        </w:rPr>
        <w:t>jest według kryterium legalno</w:t>
      </w:r>
      <w:r w:rsidRPr="009967EB">
        <w:rPr>
          <w:b/>
          <w:i/>
          <w:color w:val="000000"/>
        </w:rPr>
        <w:t>ści</w:t>
      </w:r>
      <w:r w:rsidRPr="009967EB">
        <w:rPr>
          <w:i/>
          <w:color w:val="000000"/>
        </w:rPr>
        <w:t>.”</w:t>
      </w:r>
      <w:r w:rsidRPr="009967EB">
        <w:rPr>
          <w:color w:val="000000"/>
        </w:rPr>
        <w:t>.</w:t>
      </w:r>
    </w:p>
    <w:p w:rsidR="008204C9" w:rsidRPr="009967EB" w:rsidRDefault="000F7247" w:rsidP="008204C9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Z powyższego wynika, że Konstytucja RP poddaje nadzorowi całą działalność samorządu terytorialnego wyłącznie z punktu widzenia legalności. Oznacza to, że organ nadzoru może badać działalność jednostki samorządu tylko co do jej zgodności z prawem </w:t>
      </w:r>
      <w:r w:rsidRPr="009967EB">
        <w:rPr>
          <w:color w:val="000000"/>
        </w:rPr>
        <w:t>powszechnie obowiązującym. Organy nadzoru mogą zatem wkraczać w działalność samorządu tylko wówczas, gdy zostanie naruszone prawo, nie są zaś upoważnione do oceny celowości, rzetelności i gospodarności działań podejmowanych przez samorząd (Komentarz do Kon</w:t>
      </w:r>
      <w:r w:rsidRPr="009967EB">
        <w:rPr>
          <w:color w:val="000000"/>
        </w:rPr>
        <w:t>stytucji RP, Małgorzata Masternak - Kubiak).</w:t>
      </w:r>
    </w:p>
    <w:p w:rsidR="008204C9" w:rsidRPr="009967EB" w:rsidRDefault="000F7247" w:rsidP="0061645B">
      <w:pPr>
        <w:shd w:val="clear" w:color="auto" w:fill="FFFFFF"/>
        <w:spacing w:before="120" w:after="120" w:line="360" w:lineRule="auto"/>
        <w:jc w:val="both"/>
      </w:pPr>
      <w:r w:rsidRPr="009967EB">
        <w:t xml:space="preserve">Zgodnie z zasadą praworządności, wyrażoną w art. 7 Konstytucji RP, organy władzy publicznej </w:t>
      </w:r>
      <w:r w:rsidRPr="009967EB">
        <w:rPr>
          <w:b/>
        </w:rPr>
        <w:t>mają obowiązek działania na podstawie i w granicach prawa</w:t>
      </w:r>
      <w:r w:rsidRPr="009967EB">
        <w:t xml:space="preserve">. Zobowiązanie organu do działania </w:t>
      </w:r>
      <w:r w:rsidRPr="009967EB">
        <w:br/>
        <w:t xml:space="preserve">w granicach prawa oznacza </w:t>
      </w:r>
      <w:r w:rsidRPr="009967EB">
        <w:t xml:space="preserve">w szczególności, że organ władzy publicznej powinien przestrzegać wszelkich norm związanych z kompetencjami tego organu, przy czym nie chodzi tu tylko o prawo materialne i ustrojowe, lecz także o normy procesowe (tak: wyrok Trybunału Konstytucyjnego </w:t>
      </w:r>
      <w:r w:rsidRPr="009967EB">
        <w:br/>
        <w:t xml:space="preserve">z 22 </w:t>
      </w:r>
      <w:r w:rsidRPr="009967EB">
        <w:t xml:space="preserve">września 2006 r. w sprawie sygn. akt U 4/06, publ. Legalis numer </w:t>
      </w:r>
      <w:r w:rsidRPr="009967EB">
        <w:rPr>
          <w:i/>
        </w:rPr>
        <w:t>79197</w:t>
      </w:r>
      <w:r w:rsidRPr="009967EB">
        <w:t xml:space="preserve">). Z punktu widzenia wszelkich regulacji procesowych istotne jest także, że z </w:t>
      </w:r>
      <w:r w:rsidRPr="009967EB">
        <w:rPr>
          <w:b/>
          <w:bCs/>
        </w:rPr>
        <w:t>zasady legalizmu wynika obowiązek rzetelnego wykonywania przez organy władzy publicznej powierzonych im zada</w:t>
      </w:r>
      <w:r w:rsidRPr="009967EB">
        <w:rPr>
          <w:b/>
          <w:bCs/>
        </w:rPr>
        <w:t>ń</w:t>
      </w:r>
      <w:r w:rsidRPr="009967EB">
        <w:t xml:space="preserve"> (tak: wyrok Trybunału Konstytucyjnego z 12 czerwca 2002 r., w sprawie sygn. akt P 13/01, publ. Legalis numer </w:t>
      </w:r>
      <w:r w:rsidRPr="009967EB">
        <w:rPr>
          <w:i/>
        </w:rPr>
        <w:t>54429</w:t>
      </w:r>
      <w:r w:rsidRPr="009967EB">
        <w:t xml:space="preserve">), przy czym w wyroku tym Trybunał stwierdził również, że zasada ta oznacza, że </w:t>
      </w:r>
      <w:r w:rsidRPr="009967EB">
        <w:rPr>
          <w:i/>
        </w:rPr>
        <w:t>„na ograny władzy publicznej nałożony jest obowiązek działan</w:t>
      </w:r>
      <w:r w:rsidRPr="009967EB">
        <w:rPr>
          <w:i/>
        </w:rPr>
        <w:t xml:space="preserve">ia na podstawie oraz w granicach prawa (art. 7 Konstytucji). Ich działania, podstawa i granice tych działań powinny być ściśle wyznaczone przez prawo. Niedopuszczalne jest zatem działanie bez podstawy prawnej - wykraczające poza te granice (por. np. wyrok </w:t>
      </w:r>
      <w:r w:rsidRPr="009967EB">
        <w:rPr>
          <w:i/>
        </w:rPr>
        <w:t>TK z 14 czerwca 2000 r., P 3/00, OTK ZU nr 5/2000, poz. 138).”</w:t>
      </w:r>
      <w:r w:rsidRPr="009967EB">
        <w:t>.</w:t>
      </w:r>
    </w:p>
    <w:p w:rsidR="008204C9" w:rsidRPr="009967EB" w:rsidRDefault="000F7247" w:rsidP="008204C9">
      <w:pPr>
        <w:tabs>
          <w:tab w:val="left" w:pos="5670"/>
          <w:tab w:val="left" w:pos="8292"/>
        </w:tabs>
        <w:spacing w:after="120" w:line="360" w:lineRule="auto"/>
        <w:jc w:val="both"/>
        <w:rPr>
          <w:color w:val="000000"/>
        </w:rPr>
      </w:pPr>
      <w:r w:rsidRPr="009967EB">
        <w:rPr>
          <w:color w:val="000000"/>
        </w:rPr>
        <w:t xml:space="preserve">Wziąwszy powyższe pod uwagę, organ nadzoru stwierdza nieważność uchwały </w:t>
      </w:r>
      <w:r w:rsidRPr="009967EB">
        <w:t>Nr XXVIII/17</w:t>
      </w:r>
      <w:r w:rsidRPr="009967EB">
        <w:t>2</w:t>
      </w:r>
      <w:r w:rsidRPr="009967EB">
        <w:t xml:space="preserve">/2021 Rady Gminy w Kuczborku – Osadzie z 31 sierpnia 2021 r. </w:t>
      </w:r>
      <w:r w:rsidRPr="009967EB">
        <w:rPr>
          <w:i/>
        </w:rPr>
        <w:t>w sprawie stwierdzenia w części nieważności uc</w:t>
      </w:r>
      <w:r w:rsidRPr="009967EB">
        <w:rPr>
          <w:i/>
        </w:rPr>
        <w:t xml:space="preserve">hwały nr VIII/46/2019 Rady Gminy w Kuczborku – Osadzie z dnia 24 maja 2019 r. </w:t>
      </w:r>
      <w:r w:rsidRPr="009967EB">
        <w:rPr>
          <w:i/>
        </w:rPr>
        <w:br/>
      </w:r>
      <w:r w:rsidRPr="009967EB">
        <w:rPr>
          <w:i/>
        </w:rPr>
        <w:lastRenderedPageBreak/>
        <w:t xml:space="preserve">w sprawie uchwalenia miejscowego planu zagospodarowania przestrzennego południowej części obrębu geodezyjnego Zielona 3, </w:t>
      </w:r>
      <w:r w:rsidRPr="009967EB">
        <w:rPr>
          <w:color w:val="000000"/>
        </w:rPr>
        <w:t>co na mocy art. 92 ust. 1 ustawy o samorządzie gminnym s</w:t>
      </w:r>
      <w:r w:rsidRPr="009967EB">
        <w:rPr>
          <w:color w:val="000000"/>
        </w:rPr>
        <w:t>kutkuje wstrzymaniem jej wykonania, z dniem doręczenia rozstrzygnięcia.</w:t>
      </w:r>
    </w:p>
    <w:p w:rsidR="008204C9" w:rsidRPr="00AD30C6" w:rsidRDefault="000F7247" w:rsidP="008204C9">
      <w:pPr>
        <w:spacing w:before="120" w:after="120" w:line="360" w:lineRule="auto"/>
        <w:jc w:val="both"/>
        <w:rPr>
          <w:color w:val="000000"/>
        </w:rPr>
      </w:pPr>
      <w:r w:rsidRPr="009967EB">
        <w:rPr>
          <w:color w:val="000000"/>
        </w:rPr>
        <w:t>Gminie, w świetle art. 98 ust. 1 ustawy o samorządzie gminnym, służy skarga do Wojewódzkiego Sądu Administracyjnego w Warszawie w terminie 30 dni od dnia doręczenia rozstrzygnięcia nad</w:t>
      </w:r>
      <w:r w:rsidRPr="009967EB">
        <w:rPr>
          <w:color w:val="000000"/>
        </w:rPr>
        <w:t>zorczego wnoszona za pośrednictwem organu, który skarżone orzeczenie wydał.</w:t>
      </w:r>
    </w:p>
    <w:p w:rsidR="008204C9" w:rsidRPr="00AD30C6" w:rsidRDefault="000F7247" w:rsidP="008204C9">
      <w:pPr>
        <w:spacing w:before="120" w:after="120" w:line="360" w:lineRule="auto"/>
        <w:jc w:val="both"/>
        <w:rPr>
          <w:color w:val="000000"/>
        </w:rPr>
      </w:pPr>
    </w:p>
    <w:p w:rsidR="008204C9" w:rsidRPr="00AD30C6" w:rsidRDefault="000F7247" w:rsidP="008204C9">
      <w:pPr>
        <w:ind w:firstLine="708"/>
        <w:jc w:val="both"/>
        <w:rPr>
          <w:color w:val="000000"/>
        </w:rPr>
      </w:pPr>
    </w:p>
    <w:p w:rsidR="008204C9" w:rsidRPr="00AD30C6" w:rsidRDefault="000F7247" w:rsidP="008204C9">
      <w:pPr>
        <w:spacing w:line="276" w:lineRule="auto"/>
        <w:ind w:left="2825" w:firstLine="720"/>
        <w:jc w:val="center"/>
        <w:rPr>
          <w:i/>
          <w:color w:val="000000"/>
        </w:rPr>
      </w:pPr>
    </w:p>
    <w:p w:rsidR="008204C9" w:rsidRPr="00AD30C6" w:rsidRDefault="000F7247" w:rsidP="008204C9">
      <w:pPr>
        <w:spacing w:line="276" w:lineRule="auto"/>
        <w:ind w:left="2825" w:firstLine="720"/>
        <w:jc w:val="center"/>
        <w:rPr>
          <w:i/>
          <w:color w:val="000000"/>
        </w:rPr>
      </w:pPr>
      <w:bookmarkStart w:id="2" w:name="ezdPracownikNazwa"/>
      <w:r w:rsidRPr="00AD30C6">
        <w:rPr>
          <w:i/>
          <w:color w:val="000000"/>
        </w:rPr>
        <w:t>Konstanty Radziwiłł</w:t>
      </w:r>
      <w:bookmarkEnd w:id="2"/>
    </w:p>
    <w:p w:rsidR="008204C9" w:rsidRPr="00AD30C6" w:rsidRDefault="000F7247" w:rsidP="008204C9">
      <w:pPr>
        <w:spacing w:line="276" w:lineRule="auto"/>
        <w:ind w:left="2825" w:firstLine="720"/>
        <w:jc w:val="center"/>
        <w:rPr>
          <w:i/>
          <w:color w:val="000000"/>
        </w:rPr>
      </w:pPr>
      <w:bookmarkStart w:id="3" w:name="ezdPracownikStanowisko"/>
      <w:r w:rsidRPr="00AD30C6">
        <w:rPr>
          <w:i/>
          <w:color w:val="000000"/>
        </w:rPr>
        <w:t>Wojewoda Mazowiecki</w:t>
      </w:r>
      <w:bookmarkEnd w:id="3"/>
    </w:p>
    <w:p w:rsidR="008204C9" w:rsidRPr="00AD30C6" w:rsidRDefault="000F7247" w:rsidP="008204C9">
      <w:pPr>
        <w:spacing w:line="276" w:lineRule="auto"/>
        <w:rPr>
          <w:i/>
          <w:color w:val="000000"/>
        </w:rPr>
      </w:pPr>
    </w:p>
    <w:p w:rsidR="008204C9" w:rsidRPr="00AD30C6" w:rsidRDefault="000F7247" w:rsidP="008204C9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/podpisano bezpiecznym podpisem elektronicznym</w:t>
      </w:r>
    </w:p>
    <w:p w:rsidR="008204C9" w:rsidRPr="00AD30C6" w:rsidRDefault="000F7247" w:rsidP="008204C9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weryfikowanym ważnym kwalifikowanym certyfikatem/</w:t>
      </w:r>
    </w:p>
    <w:p w:rsidR="008204C9" w:rsidRDefault="000F7247" w:rsidP="008204C9"/>
    <w:p w:rsidR="008204C9" w:rsidRDefault="000F7247" w:rsidP="008204C9"/>
    <w:p w:rsidR="00AF64E3" w:rsidRDefault="000F7247"/>
    <w:sectPr w:rsidR="00AF64E3" w:rsidSect="007E2B4A">
      <w:footerReference w:type="default" r:id="rId7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247" w:rsidRDefault="000F7247">
      <w:r>
        <w:separator/>
      </w:r>
    </w:p>
  </w:endnote>
  <w:endnote w:type="continuationSeparator" w:id="0">
    <w:p w:rsidR="000F7247" w:rsidRDefault="000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7D" w:rsidRPr="00FE75F9" w:rsidRDefault="000F7247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FE75F9">
      <w:rPr>
        <w:sz w:val="22"/>
        <w:szCs w:val="22"/>
      </w:rPr>
      <w:fldChar w:fldCharType="end"/>
    </w:r>
  </w:p>
  <w:p w:rsidR="001D4E87" w:rsidRPr="004A1390" w:rsidRDefault="000F7247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247" w:rsidRDefault="000F7247">
      <w:r>
        <w:separator/>
      </w:r>
    </w:p>
  </w:footnote>
  <w:footnote w:type="continuationSeparator" w:id="0">
    <w:p w:rsidR="000F7247" w:rsidRDefault="000F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2E"/>
    <w:rsid w:val="000F7247"/>
    <w:rsid w:val="006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F861C-4F50-4DFE-B055-C923A99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0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8204C9"/>
    <w:rPr>
      <w:b/>
      <w:bCs/>
    </w:rPr>
  </w:style>
  <w:style w:type="character" w:customStyle="1" w:styleId="apple-converted-space">
    <w:name w:val="apple-converted-space"/>
    <w:rsid w:val="008204C9"/>
  </w:style>
  <w:style w:type="character" w:customStyle="1" w:styleId="ng-binding">
    <w:name w:val="ng-binding"/>
    <w:basedOn w:val="Domylnaczcionkaakapitu"/>
    <w:rsid w:val="008204C9"/>
  </w:style>
  <w:style w:type="character" w:styleId="Hipercze">
    <w:name w:val="Hyperlink"/>
    <w:basedOn w:val="Domylnaczcionkaakapitu"/>
    <w:uiPriority w:val="99"/>
    <w:semiHidden/>
    <w:unhideWhenUsed/>
    <w:rsid w:val="00820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2299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Beata Darnowska</cp:lastModifiedBy>
  <cp:revision>2</cp:revision>
  <dcterms:created xsi:type="dcterms:W3CDTF">2021-10-08T12:57:00Z</dcterms:created>
  <dcterms:modified xsi:type="dcterms:W3CDTF">2021-10-08T12:57:00Z</dcterms:modified>
</cp:coreProperties>
</file>