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138069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516A02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28 luty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516A02" w:rsidRDefault="00516A02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516A02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DOOŚ-WDŚZOO.420.19.2020.BL.3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516A02" w:rsidRPr="00516A02" w:rsidRDefault="00516A02" w:rsidP="00516A0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16A02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(Dz. U. z 2021 r. poz. 735, ze zm.), dalej Kpa, w związku z art. 74 ust. 3f ustawy z dnia 3 października 2008 r. o udostępnianiu informacji o środowisku i jego ochronie, udziale społeczeństwa w ochronie środowiska oraz o ocenach oddziaływania na środowisko (Dz. U. z 2021 r. poz. 2373, ze zm.), dalej ustawa ooś, zawiadamiam osoby posiadające prawo rzeczowe do nieruchomości o nieustalonym stanie prawnym o numerze ewidencyjnym 307, obręb 0001 Izbica Kujawska, powiat włocławski, że Generalny Dyrektor Ochrony Środowiska postanowieniem z dnia 17 lutego 2022 r., znak: DOOŚ-WDŚZOO.420.19.2029.BL.2, umorzył postępowanie w sprawie stwierdzenia nieważności postanowienia Regionalnego Dyrektora Ochrony Środowiska w Bydgoszczy z dnia 29 sierpnia 2019 r., znak: WOO.420.109.2019.JM.2, odmawiającego wznowienia postępowania w sprawie zakończonej postanowieniem RDOŚ w Bydgoszczy z dnia 15 maja 2019 r., znak: W00.420.109.2019.JM, odmawiającym wszczęcia postępowania w sprawie wydania decyzji o środowiskowych uwarunkowaniach dla przedsięwzięcia polegającego na budowie targowiska wraz infrastrukturą towarzyszącą na działce o numerze ewidencyjnym 309 obręb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ewidencyjny m. Izbica Kujawska, gmina Izbi</w:t>
      </w:r>
      <w:r w:rsidRPr="00516A02">
        <w:rPr>
          <w:rFonts w:asciiTheme="minorHAnsi" w:hAnsiTheme="minorHAnsi" w:cstheme="minorHAnsi"/>
          <w:bCs/>
          <w:color w:val="000000"/>
          <w:sz w:val="24"/>
          <w:szCs w:val="24"/>
        </w:rPr>
        <w:t>ca Kujawska.</w:t>
      </w:r>
    </w:p>
    <w:p w:rsidR="00516A02" w:rsidRPr="00516A02" w:rsidRDefault="00516A02" w:rsidP="00516A0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16A02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:rsidR="00516A02" w:rsidRPr="00516A02" w:rsidRDefault="00516A02" w:rsidP="00516A0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16A02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 Generalnej Dyrekcji Ochrony Środowiska oraz Regionalnej Dyrekcji Ochrony Środowiska w Bydgoszczy lub w sposób wskazany w art. 49b § 1 Kpa.</w:t>
      </w:r>
    </w:p>
    <w:p w:rsidR="00457259" w:rsidRDefault="00516A02" w:rsidP="00516A02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6A02">
        <w:rPr>
          <w:rFonts w:asciiTheme="minorHAnsi" w:hAnsiTheme="minorHAnsi" w:cstheme="minorHAnsi"/>
          <w:bCs/>
          <w:color w:val="000000"/>
          <w:sz w:val="24"/>
          <w:szCs w:val="24"/>
        </w:rPr>
        <w:t>Ponadto treść postanowienia zostanie opublikowana w terminie do 14 dni od dnia jego wydania w „Publicznie dostępnym wykazie danych o dokumentach zawierających informację o środowisku i jego ochronie”, do którego link znajduje się w Biuletynie Informacji Publicznej Generalnej Dyrekcji Ochrony Środowiska (https://www.gov.pl/web/gdos/udostepnianie-informacji-publicznej 3).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lastRenderedPageBreak/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516A02" w:rsidRPr="00516A02" w:rsidRDefault="00516A02" w:rsidP="00516A0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16A02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516A02" w:rsidRPr="00516A02" w:rsidRDefault="00516A02" w:rsidP="00516A0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16A02">
        <w:rPr>
          <w:rFonts w:asciiTheme="minorHAnsi" w:hAnsiTheme="minorHAnsi" w:cstheme="minorHAnsi"/>
          <w:bCs/>
        </w:rPr>
        <w:t xml:space="preserve">Art. 49b § 1 Kpa W przypadku zawiadomienia strony zgodnie z art. 49 § 1 lub art. 49a o decyzji lub postanowieniu, które podlega zaskarżeniu, na wniosek strony, organ, który wydał decyzję lub postanowienie, niezwłocznie, nic później niż w terminie trzech dni od dnia otrzymania wniosku, udostępnia stronie odpis decyzji lub postanowienia w sposób i formie </w:t>
      </w:r>
      <w:r>
        <w:rPr>
          <w:rFonts w:asciiTheme="minorHAnsi" w:hAnsiTheme="minorHAnsi" w:cstheme="minorHAnsi"/>
          <w:bCs/>
        </w:rPr>
        <w:t>określonych we wniosku, chyba że</w:t>
      </w:r>
      <w:r w:rsidRPr="00516A02">
        <w:rPr>
          <w:rFonts w:asciiTheme="minorHAnsi" w:hAnsiTheme="minorHAnsi" w:cstheme="minorHAnsi"/>
          <w:bCs/>
        </w:rPr>
        <w:t xml:space="preserve"> środki technicz</w:t>
      </w:r>
      <w:r>
        <w:rPr>
          <w:rFonts w:asciiTheme="minorHAnsi" w:hAnsiTheme="minorHAnsi" w:cstheme="minorHAnsi"/>
          <w:bCs/>
        </w:rPr>
        <w:t>ne, którymi dysponuje organ, nie</w:t>
      </w:r>
      <w:r w:rsidRPr="00516A02">
        <w:rPr>
          <w:rFonts w:asciiTheme="minorHAnsi" w:hAnsiTheme="minorHAnsi" w:cstheme="minorHAnsi"/>
          <w:bCs/>
        </w:rPr>
        <w:t xml:space="preserve"> umożliwiają udostępnienia w taki sposób lub takiej formie.</w:t>
      </w:r>
    </w:p>
    <w:p w:rsidR="00516A02" w:rsidRPr="00516A02" w:rsidRDefault="00516A02" w:rsidP="00516A0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16A02">
        <w:rPr>
          <w:rFonts w:asciiTheme="minorHAnsi" w:hAnsiTheme="minorHAnsi" w:cstheme="minorHAnsi"/>
          <w:bCs/>
        </w:rPr>
        <w:t xml:space="preserve">Art. 74 ust. 3f ustawy ooś Nieuregulowany lub nieujawniony stan prawny nieruchomości znajdujących się w obszarze, na który będzie </w:t>
      </w:r>
      <w:r>
        <w:rPr>
          <w:rFonts w:asciiTheme="minorHAnsi" w:hAnsiTheme="minorHAnsi" w:cstheme="minorHAnsi"/>
          <w:bCs/>
        </w:rPr>
        <w:t>oddziaływać przedsięwzięcie, nie</w:t>
      </w:r>
      <w:r w:rsidRPr="00516A02">
        <w:rPr>
          <w:rFonts w:asciiTheme="minorHAnsi" w:hAnsiTheme="minorHAnsi" w:cstheme="minorHAnsi"/>
          <w:bCs/>
        </w:rPr>
        <w:t xml:space="preserve"> stanowi przeszkody do wszczęcia i prowadzenia postępowania oraz wydania decyzji o środowiskowych uwarunkowaniach. Do zawiadomień o decyzjach i innych czynnościach organu osób, którym przysługują prawa rzeczowe do nieruchomości o nieuregu</w:t>
      </w:r>
      <w:r>
        <w:rPr>
          <w:rFonts w:asciiTheme="minorHAnsi" w:hAnsiTheme="minorHAnsi" w:cstheme="minorHAnsi"/>
          <w:bCs/>
        </w:rPr>
        <w:t>lowanym lub nieujawnionym stanie</w:t>
      </w:r>
      <w:r w:rsidRPr="00516A02">
        <w:rPr>
          <w:rFonts w:asciiTheme="minorHAnsi" w:hAnsiTheme="minorHAnsi" w:cstheme="minorHAnsi"/>
          <w:bCs/>
        </w:rPr>
        <w:t xml:space="preserve"> prawnym, stosuje się przepis art. 49 Kodeksu postępowania administracyjnego.</w:t>
      </w:r>
    </w:p>
    <w:p w:rsidR="00985B8F" w:rsidRPr="00B35A7F" w:rsidRDefault="00516A02" w:rsidP="00516A0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16A02">
        <w:rPr>
          <w:rFonts w:asciiTheme="minorHAnsi" w:hAnsiTheme="minorHAnsi" w:cstheme="minorHAnsi"/>
          <w:bCs/>
        </w:rPr>
        <w:t>Art. 74 ust. 3g ustawy ooś Przez nieuregulowany stan prawny należy rozumieć sytuację, w której: 1) dotychczasowy właściciel lub użytko</w:t>
      </w:r>
      <w:r>
        <w:rPr>
          <w:rFonts w:asciiTheme="minorHAnsi" w:hAnsiTheme="minorHAnsi" w:cstheme="minorHAnsi"/>
          <w:bCs/>
        </w:rPr>
        <w:t xml:space="preserve">wnik wieczysty nieruchomości nie żyje i nie </w:t>
      </w:r>
      <w:r w:rsidRPr="00516A02">
        <w:rPr>
          <w:rFonts w:asciiTheme="minorHAnsi" w:hAnsiTheme="minorHAnsi" w:cstheme="minorHAnsi"/>
          <w:bCs/>
        </w:rPr>
        <w:t>przeprowadzono</w:t>
      </w:r>
      <w:r>
        <w:rPr>
          <w:rFonts w:asciiTheme="minorHAnsi" w:hAnsiTheme="minorHAnsi" w:cstheme="minorHAnsi"/>
          <w:bCs/>
        </w:rPr>
        <w:t xml:space="preserve"> postępowania spadkowego lub nie</w:t>
      </w:r>
      <w:r w:rsidRPr="00516A02">
        <w:rPr>
          <w:rFonts w:asciiTheme="minorHAnsi" w:hAnsiTheme="minorHAnsi" w:cstheme="minorHAnsi"/>
          <w:bCs/>
        </w:rPr>
        <w:t xml:space="preserve"> zostało ono zakończone; 2) nieruchomość, dla której ze względu na brak księgi wieczystej, zbioru dokumentów albo innych dokumentów nie można ustalić osób, którym przysługują do niej prawa rzeczowe.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83F" w:rsidRDefault="000F483F">
      <w:pPr>
        <w:spacing w:after="0" w:line="240" w:lineRule="auto"/>
      </w:pPr>
      <w:r>
        <w:separator/>
      </w:r>
    </w:p>
  </w:endnote>
  <w:endnote w:type="continuationSeparator" w:id="0">
    <w:p w:rsidR="000F483F" w:rsidRDefault="000F4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516A02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0F483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83F" w:rsidRDefault="000F483F">
      <w:pPr>
        <w:spacing w:after="0" w:line="240" w:lineRule="auto"/>
      </w:pPr>
      <w:r>
        <w:separator/>
      </w:r>
    </w:p>
  </w:footnote>
  <w:footnote w:type="continuationSeparator" w:id="0">
    <w:p w:rsidR="000F483F" w:rsidRDefault="000F4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0F483F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0F483F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0F483F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F483F"/>
    <w:rsid w:val="00155027"/>
    <w:rsid w:val="00183492"/>
    <w:rsid w:val="001D479F"/>
    <w:rsid w:val="002446E3"/>
    <w:rsid w:val="003A4832"/>
    <w:rsid w:val="00457259"/>
    <w:rsid w:val="004F5C94"/>
    <w:rsid w:val="00516A02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B8745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37058-1058-43BC-91AB-ED2E83A25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601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2023-07-06T06:41:00Z</dcterms:created>
  <dcterms:modified xsi:type="dcterms:W3CDTF">2023-07-06T06:41:00Z</dcterms:modified>
</cp:coreProperties>
</file>