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203"/>
      </w:tblGrid>
      <w:tr w:rsidR="005A6A1E" w:rsidRPr="005A6A1E" w:rsidTr="005A6A1E">
        <w:trPr>
          <w:trHeight w:val="292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Informacja dodatkowa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I.</w:t>
            </w:r>
          </w:p>
        </w:tc>
        <w:tc>
          <w:tcPr>
            <w:tcW w:w="8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Wprowadzenie do sprawozdania finansowego, obejmuje w szczególności: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nazwę jednostki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siedzibę jednostki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adres jednostki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1.4.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podstawowy przedmiot działalności jednostki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wskazanie okresu objętego sprawozdaniem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Pr="005A6A1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01.01.2018-31.12.2018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wskazanie, że sprawozdanie finansowe zawiera dane łączne, jeżeli w skład jednostki nadrzędnej lub jednostki samorządu terytorialnego wchodzą jednostki sporządzające samodzielne sprawozdania finansowe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Pr="005A6A1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omówienie przyjętych zasad (polityki) rachunkowości, w tym metod wyceny aktywów i pasywów (także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amortyzacji)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F0" w:rsidRPr="00F920F0" w:rsidRDefault="00F920F0" w:rsidP="00F920F0">
            <w:pPr>
              <w:pStyle w:val="Tekstpodstawowy"/>
              <w:spacing w:before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 jednostce przyjęto następujące</w:t>
            </w:r>
            <w:r w:rsidRPr="00F920F0">
              <w:rPr>
                <w:color w:val="FF0000"/>
                <w:sz w:val="16"/>
                <w:szCs w:val="16"/>
              </w:rPr>
              <w:t xml:space="preserve"> metody wyceny aktywów i pasywów:</w:t>
            </w:r>
          </w:p>
          <w:tbl>
            <w:tblPr>
              <w:tblW w:w="6804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268"/>
              <w:gridCol w:w="2551"/>
            </w:tblGrid>
            <w:tr w:rsidR="00F920F0" w:rsidRPr="00F920F0" w:rsidTr="008003D4">
              <w:tc>
                <w:tcPr>
                  <w:tcW w:w="19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jc w:val="center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b/>
                      <w:iCs/>
                      <w:color w:val="FF0000"/>
                      <w:sz w:val="16"/>
                      <w:szCs w:val="16"/>
                    </w:rPr>
                    <w:t>Rodzaj aktywa/pasywa</w:t>
                  </w:r>
                </w:p>
              </w:tc>
              <w:tc>
                <w:tcPr>
                  <w:tcW w:w="22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920F0" w:rsidRPr="00F920F0" w:rsidRDefault="00F920F0" w:rsidP="00F920F0">
                  <w:pPr>
                    <w:pStyle w:val="Tekstpodstawowy"/>
                    <w:snapToGrid w:val="0"/>
                    <w:spacing w:before="0" w:line="240" w:lineRule="auto"/>
                    <w:jc w:val="center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b/>
                      <w:iCs/>
                      <w:color w:val="FF0000"/>
                      <w:sz w:val="16"/>
                      <w:szCs w:val="16"/>
                    </w:rPr>
                    <w:t>Wycena na moment początkowego ujęcia w księgach rachunkowych</w:t>
                  </w:r>
                </w:p>
              </w:tc>
              <w:tc>
                <w:tcPr>
                  <w:tcW w:w="255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920F0" w:rsidRPr="00F920F0" w:rsidRDefault="00F920F0" w:rsidP="00F920F0">
                  <w:pPr>
                    <w:pStyle w:val="Tekstpodstawowy"/>
                    <w:snapToGrid w:val="0"/>
                    <w:spacing w:before="0" w:line="240" w:lineRule="auto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b/>
                      <w:iCs/>
                      <w:color w:val="FF0000"/>
                      <w:sz w:val="16"/>
                      <w:szCs w:val="16"/>
                    </w:rPr>
                    <w:t>Wycena na dzień bilansowy</w:t>
                  </w:r>
                </w:p>
              </w:tc>
            </w:tr>
            <w:tr w:rsidR="00F920F0" w:rsidRPr="00F920F0" w:rsidTr="008003D4"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 xml:space="preserve">Środki trwałe i wartości niematerialne i prawne: nabyte, otrzymane nieodpłatnie 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 xml:space="preserve">Polega na wycenie </w:t>
                  </w:r>
                </w:p>
                <w:p w:rsidR="00F920F0" w:rsidRPr="00F920F0" w:rsidRDefault="00F920F0" w:rsidP="00F920F0">
                  <w:pPr>
                    <w:pStyle w:val="Tretabeli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według: - ceny nabycia, na podstawie decyzji właściwego organu w wartości określonej w tej decyzji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 bilansie pomniejszone o odpisy amortyzacyjne lub umorzeniowe, a także o odpisy z tytułu trwałej utraty wartości</w:t>
                  </w:r>
                </w:p>
              </w:tc>
            </w:tr>
            <w:tr w:rsidR="00F920F0" w:rsidRPr="00F920F0" w:rsidTr="008003D4"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Środki trwałe w budowie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 wysokości ogółu kosztów pozostających w bezpośrednim związku z ich nabyciem lub wytworzeniem.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 bilansie pomniejszonych o odpisy z tytułu trwałej utraty wartości</w:t>
                  </w:r>
                </w:p>
              </w:tc>
            </w:tr>
            <w:tr w:rsidR="00F920F0" w:rsidRPr="00F920F0" w:rsidTr="008003D4"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Rzeczowe składniki aktywów obrotowych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według cen nabycia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 bilansie nie wyższych od cen ich sprzedaży netto</w:t>
                  </w:r>
                </w:p>
              </w:tc>
            </w:tr>
            <w:tr w:rsidR="00F920F0" w:rsidRPr="00F920F0" w:rsidTr="008003D4"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Materiały (w tym zbiory biblioteczne)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cenach nabycia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w bilansie nie wyższych od cen ich sprzedaży netto</w:t>
                  </w:r>
                </w:p>
              </w:tc>
            </w:tr>
            <w:tr w:rsidR="00F920F0" w:rsidRPr="00F920F0" w:rsidTr="008003D4">
              <w:trPr>
                <w:trHeight w:val="546"/>
              </w:trPr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Należności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według wartości nominalnej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bilansie w kwocie wymaganej zapłaty, z zachowaniem ostrożności, po uwzględnieniu odpisu aktualizującego należności</w:t>
                  </w:r>
                </w:p>
              </w:tc>
            </w:tr>
            <w:tr w:rsidR="00F920F0" w:rsidRPr="00F920F0" w:rsidTr="008003D4">
              <w:trPr>
                <w:trHeight w:val="224"/>
              </w:trPr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Zobowiązania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według wartości nominalnej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bilansie w kwocie wymagającej zapłaty,</w:t>
                  </w:r>
                </w:p>
              </w:tc>
            </w:tr>
            <w:tr w:rsidR="00F920F0" w:rsidRPr="00F920F0" w:rsidTr="008003D4">
              <w:trPr>
                <w:trHeight w:val="82"/>
              </w:trPr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Rezerwy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uzasadnionej, wiarygodnie oszacowanej wartości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uzasadnionej, wiarygodnie oszacowanej wartości</w:t>
                  </w:r>
                </w:p>
              </w:tc>
            </w:tr>
            <w:tr w:rsidR="00F920F0" w:rsidRPr="00F920F0" w:rsidTr="008003D4"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pStyle w:val="Tretabeli"/>
                    <w:snapToGrid w:val="0"/>
                    <w:rPr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color w:val="FF0000"/>
                      <w:sz w:val="16"/>
                      <w:szCs w:val="16"/>
                    </w:rPr>
                    <w:t>Fundusz  oraz pozostałe aktywa i pasywa</w:t>
                  </w: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wartości nominalnej</w:t>
                  </w: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20F0" w:rsidRPr="00F920F0" w:rsidRDefault="00F920F0" w:rsidP="00F92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F920F0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w wartości nominalnej</w:t>
                  </w:r>
                </w:p>
              </w:tc>
            </w:tr>
          </w:tbl>
          <w:p w:rsidR="00F920F0" w:rsidRPr="00F920F0" w:rsidRDefault="00F920F0" w:rsidP="00F920F0">
            <w:pPr>
              <w:pStyle w:val="Tekstpodstawowy"/>
              <w:numPr>
                <w:ilvl w:val="0"/>
                <w:numId w:val="3"/>
              </w:numPr>
              <w:spacing w:before="0" w:line="240" w:lineRule="auto"/>
              <w:ind w:left="213" w:hanging="213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należności i zobowiązania oraz inne składniki aktywów i pasywów wyrażone w walutach obcych wycenia się nie później niż na koniec kwartału, według zasad obowiązujących na dzień bilansowy.</w:t>
            </w:r>
          </w:p>
          <w:p w:rsidR="00F920F0" w:rsidRPr="00F920F0" w:rsidRDefault="00F920F0" w:rsidP="00F920F0">
            <w:pPr>
              <w:pStyle w:val="Tekstpodstawowy"/>
              <w:numPr>
                <w:ilvl w:val="0"/>
                <w:numId w:val="3"/>
              </w:numPr>
              <w:spacing w:before="0" w:line="240" w:lineRule="auto"/>
              <w:ind w:left="213" w:hanging="213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amortyzacja środków trwałych powyżej 10.000 zł dokonywana jest metodą liniową, poprzez jednorazowy roczny odpis amortyzacyjny. Odpisy dokonuje się od miesiąca następnego po przyjęciu do używania środka trwałego.</w:t>
            </w:r>
          </w:p>
          <w:p w:rsidR="00F920F0" w:rsidRPr="00F920F0" w:rsidRDefault="00F920F0" w:rsidP="00F920F0">
            <w:pPr>
              <w:pStyle w:val="Tekstpodstawowy"/>
              <w:numPr>
                <w:ilvl w:val="0"/>
                <w:numId w:val="3"/>
              </w:numPr>
              <w:spacing w:before="0" w:line="240" w:lineRule="auto"/>
              <w:ind w:left="213" w:hanging="213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jednorazowo, przez spisanie w koszty w miesiącu przyjęcia do używania umarzane są:</w:t>
            </w:r>
          </w:p>
          <w:p w:rsidR="00F920F0" w:rsidRPr="00F920F0" w:rsidRDefault="00F920F0" w:rsidP="00F920F0">
            <w:pPr>
              <w:pStyle w:val="Tekstpodstawowy"/>
              <w:numPr>
                <w:ilvl w:val="1"/>
                <w:numId w:val="1"/>
              </w:numPr>
              <w:spacing w:before="0" w:line="240" w:lineRule="auto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 xml:space="preserve">książki i inne zbiory biblioteczne; </w:t>
            </w:r>
          </w:p>
          <w:p w:rsidR="00F920F0" w:rsidRPr="00F920F0" w:rsidRDefault="00F920F0" w:rsidP="00F920F0">
            <w:pPr>
              <w:pStyle w:val="Tekstpodstawowy"/>
              <w:numPr>
                <w:ilvl w:val="1"/>
                <w:numId w:val="1"/>
              </w:numPr>
              <w:spacing w:before="0" w:line="240" w:lineRule="auto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odzież;</w:t>
            </w:r>
          </w:p>
          <w:p w:rsidR="00F920F0" w:rsidRPr="00F920F0" w:rsidRDefault="00F920F0" w:rsidP="00F920F0">
            <w:pPr>
              <w:pStyle w:val="Tekstpodstawowy"/>
              <w:numPr>
                <w:ilvl w:val="1"/>
                <w:numId w:val="1"/>
              </w:numPr>
              <w:spacing w:before="0" w:line="240" w:lineRule="auto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lastRenderedPageBreak/>
              <w:t xml:space="preserve">meble i dywany; </w:t>
            </w:r>
          </w:p>
          <w:p w:rsidR="00F920F0" w:rsidRPr="00F920F0" w:rsidRDefault="00F920F0" w:rsidP="00F920F0">
            <w:pPr>
              <w:pStyle w:val="Tekstpodstawowy"/>
              <w:numPr>
                <w:ilvl w:val="1"/>
                <w:numId w:val="1"/>
              </w:numPr>
              <w:spacing w:before="0" w:line="240" w:lineRule="auto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pomoce dydaktyczne;</w:t>
            </w:r>
          </w:p>
          <w:p w:rsidR="00F920F0" w:rsidRPr="00F920F0" w:rsidRDefault="00F920F0" w:rsidP="00F920F0">
            <w:pPr>
              <w:pStyle w:val="Tekstpodstawowy"/>
              <w:numPr>
                <w:ilvl w:val="1"/>
                <w:numId w:val="1"/>
              </w:numPr>
              <w:spacing w:line="240" w:lineRule="auto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pozostałe środki trwałe oraz wartości niematerialne i prawne o wartości nieprzekraczającej wielkości ustalonej w przepisach o podatku dochodowym od osób prawnych, dla których odpisy amortyzacyjne są uznawane za koszt uzyskania przychodu w 100% ich wartości, w momencie oddania do używania.</w:t>
            </w:r>
          </w:p>
          <w:p w:rsidR="00F920F0" w:rsidRPr="00F920F0" w:rsidRDefault="00F920F0" w:rsidP="005A6A1E">
            <w:pPr>
              <w:pStyle w:val="Tekstpodstawowy"/>
              <w:numPr>
                <w:ilvl w:val="0"/>
                <w:numId w:val="3"/>
              </w:numPr>
              <w:spacing w:line="240" w:lineRule="auto"/>
              <w:ind w:left="213" w:hanging="213"/>
              <w:rPr>
                <w:color w:val="FF0000"/>
                <w:sz w:val="16"/>
                <w:szCs w:val="16"/>
              </w:rPr>
            </w:pPr>
            <w:r w:rsidRPr="00F920F0">
              <w:rPr>
                <w:color w:val="FF0000"/>
                <w:sz w:val="16"/>
                <w:szCs w:val="16"/>
              </w:rPr>
              <w:t>nie umarza się gruntów oraz dóbr kultury.</w:t>
            </w:r>
            <w:r w:rsidR="005A6A1E" w:rsidRPr="00F920F0">
              <w:rPr>
                <w:rFonts w:ascii="Calibri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5.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inne informacje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F920F0" w:rsidRPr="00F920F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Wzajemne rozliczenia między jednostkami</w:t>
            </w:r>
            <w:bookmarkStart w:id="0" w:name="_GoBack"/>
            <w:bookmarkEnd w:id="0"/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II.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Dodatkowe informacje i objaśnienia obejmują w szczególności: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145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szczegółowy zakres zmian wartości grup rodzajowych środków trwałych, wartości niematerialnych i prawnych, zawierający stan tych aktywów na początek roku obrotowego, zwiększenia i zmniejszenia z tytułu: aktualizacji wartości, nabycia, rozchodu, przemieszczenia wewnętrznego oraz stan końcowy, a dla majątku amortyzowanego </w:t>
            </w: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br/>
              <w:t>– podobne przedstawienie stanów i tytułów zmian dotychczasowej amortyzacji lub umorzenia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27"/>
              <w:gridCol w:w="1274"/>
              <w:gridCol w:w="1130"/>
              <w:gridCol w:w="1130"/>
              <w:gridCol w:w="1130"/>
              <w:gridCol w:w="1130"/>
              <w:gridCol w:w="1132"/>
            </w:tblGrid>
            <w:tr w:rsidR="00851CD8" w:rsidRPr="00C16284" w:rsidTr="00851CD8">
              <w:tc>
                <w:tcPr>
                  <w:tcW w:w="1127" w:type="dxa"/>
                  <w:vAlign w:val="center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konto</w:t>
                  </w:r>
                </w:p>
              </w:tc>
              <w:tc>
                <w:tcPr>
                  <w:tcW w:w="1274" w:type="dxa"/>
                  <w:vAlign w:val="center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Saldo na dzień 01.01.2018</w:t>
                  </w: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zakup</w:t>
                  </w: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aktualizacja</w:t>
                  </w: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zbycie</w:t>
                  </w: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likwidacja</w:t>
                  </w:r>
                </w:p>
              </w:tc>
              <w:tc>
                <w:tcPr>
                  <w:tcW w:w="1132" w:type="dxa"/>
                  <w:vAlign w:val="center"/>
                </w:tcPr>
                <w:p w:rsidR="00851CD8" w:rsidRPr="00851CD8" w:rsidRDefault="00851CD8" w:rsidP="00F920F0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Saldo na dzień 31.12.2018</w:t>
                  </w: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011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013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014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016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017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020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071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  <w:tr w:rsidR="00851CD8" w:rsidTr="00851CD8">
              <w:tc>
                <w:tcPr>
                  <w:tcW w:w="1127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072</w:t>
                  </w:r>
                </w:p>
              </w:tc>
              <w:tc>
                <w:tcPr>
                  <w:tcW w:w="1274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2" w:type="dxa"/>
                </w:tcPr>
                <w:p w:rsidR="00851CD8" w:rsidRPr="00851CD8" w:rsidRDefault="00851CD8" w:rsidP="00F920F0">
                  <w:pPr>
                    <w:rPr>
                      <w:color w:val="FF0000"/>
                    </w:rPr>
                  </w:pPr>
                </w:p>
              </w:tc>
            </w:tr>
          </w:tbl>
          <w:p w:rsidR="00F920F0" w:rsidRPr="005A6A1E" w:rsidRDefault="00F920F0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aktualną wartość rynkową środków trwałych, w tym dóbr kultury – o ile jednostka dysponuje takimi informacjami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E0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 xml:space="preserve">Dane z </w:t>
            </w:r>
            <w:r w:rsidR="00E06742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polis lub 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kwotę dokonanych w trakcie roku obrotowego odpisów aktualizujących wartość aktywów trwałych odrębnie dla długoterminowych aktywów niefinansowych oraz długoterminowych aktywów finansowych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851CD8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1.4.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wartość gruntów użytkowanych wieczyście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  <w:r w:rsid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 xml:space="preserve"> – chyba, że jednostka jest w posiadaniu wieczystego użytkowania określonego umową na podstawie k.c.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1.5.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wartość nieamortyzowanych lub nieumarzanych przez jednostkę środków trwałych, używanych na podstawie umów najmu, dzierżawy i innych umów, w tym z tytułu umów leasingu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Np.</w:t>
            </w:r>
            <w:r w:rsid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 xml:space="preserve"> 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ksero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1.6.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liczbę oraz wartość posiadanych papierów wartościowych, w tym akcji i udziałów oraz dłużnych papierów wartościowych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1.7.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dane o odpisach aktualizujących wartość należności, ze wskazaniem stanu na początek roku obrotowego, zwiększeniach, wykorzystaniu, rozwiązaniu i stanie na koniec roku obrotowego, z uwzględnieniem </w:t>
            </w: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należności finansowych jednostek samorządu terytorialnego (stan pożyczek zagrożonych)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</w:t>
            </w:r>
            <w:r w:rsid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Konto 290</w:t>
            </w:r>
            <w:r w:rsidR="00E06742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 xml:space="preserve"> lub 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1.8.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dane o stanie rezerw według celu ich utworzenia na początek roku obrotowego, zwiększeniach, wykorzystaniu, rozwiązaniu i stanie końcowym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1.9.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podział zobowiązań długoterminowych według pozycji bilansu o pozostałym od dnia bilansowego,</w:t>
            </w: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br/>
              <w:t xml:space="preserve">przewidywanym umową lub wynikającym z innego tytułu prawnego, okresie spłaty: 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a)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powyżej 1 roku do 3 lat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b)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powyżej 3 do 5 lat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c)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powyżej 5 lat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1.10.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kwotę zobowiązań w sytuacji gdy jednostka kwalifikuje umowy leasingu zgodnie z przepisami podatkowymi (leasing operacyjny), a według przepisów o rachunkowości byłby to leasing finansowy lub zwrotny z podziałem na kwotę zobowiązań z tytułu leasingu finansowego lub leasingu zwrotnego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łączną kwotę zobowiązań zabezpieczonych na majątku jednostki ze wskazaniem charakteru i formy tych zabezpieczeń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łączną kwotę zobowiązań warunkowych, w tym również udzielonych przez jednostkę gwarancji i poręczeń, także wekslowych, niewykazanych w bilansie, ze wskazaniem zobowiązań zabezpieczonych na majątku jednostki oraz charakteru i formy tych zabezpieczeń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51CD8" w:rsidRPr="00851CD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Nie dotyczy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1.14.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łączną kwotę otrzymanych przez jednostkę gwarancji i poręczeń niewykazanych w bilansie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 chyba, że ktoś posiada takie gwarancje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1.15.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kwotę wypłaconych środków pieniężnych na świadczenia pracownicze                                                                      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8938BB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Wynikające z regulaminu wynagradzania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0"/>
              <w:gridCol w:w="1701"/>
            </w:tblGrid>
            <w:tr w:rsidR="008938BB" w:rsidRPr="00C16284" w:rsidTr="008938BB">
              <w:tc>
                <w:tcPr>
                  <w:tcW w:w="2900" w:type="dxa"/>
                  <w:vAlign w:val="center"/>
                </w:tcPr>
                <w:p w:rsidR="008938BB" w:rsidRPr="00C16284" w:rsidRDefault="008938BB" w:rsidP="008938BB">
                  <w:pPr>
                    <w:jc w:val="center"/>
                    <w:rPr>
                      <w:sz w:val="12"/>
                    </w:rPr>
                  </w:pPr>
                  <w:r w:rsidRPr="008938BB">
                    <w:rPr>
                      <w:color w:val="FF0000"/>
                      <w:sz w:val="16"/>
                    </w:rPr>
                    <w:t>Suma pozycji 1-5</w:t>
                  </w:r>
                </w:p>
              </w:tc>
              <w:tc>
                <w:tcPr>
                  <w:tcW w:w="1701" w:type="dxa"/>
                  <w:vAlign w:val="center"/>
                </w:tcPr>
                <w:p w:rsidR="008938BB" w:rsidRDefault="008938BB" w:rsidP="008938BB">
                  <w:pPr>
                    <w:jc w:val="center"/>
                    <w:rPr>
                      <w:sz w:val="12"/>
                    </w:rPr>
                  </w:pPr>
                </w:p>
                <w:p w:rsidR="008938BB" w:rsidRPr="00C16284" w:rsidRDefault="008938BB" w:rsidP="008938BB">
                  <w:pPr>
                    <w:jc w:val="center"/>
                    <w:rPr>
                      <w:sz w:val="12"/>
                    </w:rPr>
                  </w:pPr>
                </w:p>
              </w:tc>
            </w:tr>
            <w:tr w:rsidR="008938BB" w:rsidRPr="00861754" w:rsidTr="008938BB">
              <w:tc>
                <w:tcPr>
                  <w:tcW w:w="2900" w:type="dxa"/>
                </w:tcPr>
                <w:p w:rsidR="008938BB" w:rsidRPr="008938BB" w:rsidRDefault="008938BB" w:rsidP="008938BB">
                  <w:pPr>
                    <w:pStyle w:val="Akapitzlist"/>
                    <w:numPr>
                      <w:ilvl w:val="3"/>
                      <w:numId w:val="1"/>
                    </w:numPr>
                    <w:tabs>
                      <w:tab w:val="clear" w:pos="1680"/>
                    </w:tabs>
                    <w:ind w:left="382"/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</w:rPr>
                  </w:pPr>
                  <w:r w:rsidRPr="008938BB"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  <w:lang w:eastAsia="pl-PL"/>
                    </w:rPr>
                    <w:t xml:space="preserve">wynagrodzenia wraz z dodatkami </w:t>
                  </w:r>
                </w:p>
              </w:tc>
              <w:tc>
                <w:tcPr>
                  <w:tcW w:w="1701" w:type="dxa"/>
                </w:tcPr>
                <w:p w:rsidR="00714A28" w:rsidRPr="00861754" w:rsidRDefault="00714A28" w:rsidP="008938BB">
                  <w:pPr>
                    <w:rPr>
                      <w:sz w:val="16"/>
                    </w:rPr>
                  </w:pPr>
                </w:p>
              </w:tc>
            </w:tr>
            <w:tr w:rsidR="008938BB" w:rsidRPr="00861754" w:rsidTr="008938BB">
              <w:tc>
                <w:tcPr>
                  <w:tcW w:w="2900" w:type="dxa"/>
                </w:tcPr>
                <w:p w:rsidR="008938BB" w:rsidRPr="008938BB" w:rsidRDefault="008938BB" w:rsidP="008938BB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</w:rPr>
                  </w:pPr>
                  <w:r w:rsidRPr="008938BB"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  <w:lang w:eastAsia="pl-PL"/>
                    </w:rPr>
                    <w:t xml:space="preserve">nagrody </w:t>
                  </w:r>
                </w:p>
              </w:tc>
              <w:tc>
                <w:tcPr>
                  <w:tcW w:w="1701" w:type="dxa"/>
                </w:tcPr>
                <w:p w:rsidR="008938BB" w:rsidRPr="00861754" w:rsidRDefault="008938BB" w:rsidP="008938BB">
                  <w:pPr>
                    <w:rPr>
                      <w:sz w:val="16"/>
                    </w:rPr>
                  </w:pPr>
                </w:p>
              </w:tc>
            </w:tr>
            <w:tr w:rsidR="008938BB" w:rsidRPr="00861754" w:rsidTr="008938BB">
              <w:tc>
                <w:tcPr>
                  <w:tcW w:w="2900" w:type="dxa"/>
                </w:tcPr>
                <w:p w:rsidR="008938BB" w:rsidRPr="008938BB" w:rsidRDefault="008938BB" w:rsidP="008938BB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</w:rPr>
                  </w:pPr>
                  <w:r w:rsidRPr="008938BB"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  <w:lang w:eastAsia="pl-PL"/>
                    </w:rPr>
                    <w:t xml:space="preserve">nagrody jubileuszowe </w:t>
                  </w:r>
                </w:p>
              </w:tc>
              <w:tc>
                <w:tcPr>
                  <w:tcW w:w="1701" w:type="dxa"/>
                </w:tcPr>
                <w:p w:rsidR="008938BB" w:rsidRPr="00861754" w:rsidRDefault="008938BB" w:rsidP="008938BB">
                  <w:pPr>
                    <w:rPr>
                      <w:sz w:val="16"/>
                    </w:rPr>
                  </w:pPr>
                </w:p>
              </w:tc>
            </w:tr>
            <w:tr w:rsidR="008938BB" w:rsidRPr="00861754" w:rsidTr="008938BB">
              <w:tc>
                <w:tcPr>
                  <w:tcW w:w="2900" w:type="dxa"/>
                </w:tcPr>
                <w:p w:rsidR="008938BB" w:rsidRPr="008938BB" w:rsidRDefault="008938BB" w:rsidP="008938BB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</w:rPr>
                  </w:pPr>
                  <w:r w:rsidRPr="008938BB"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  <w:lang w:eastAsia="pl-PL"/>
                    </w:rPr>
                    <w:t xml:space="preserve">odprawy emerytalne </w:t>
                  </w:r>
                </w:p>
              </w:tc>
              <w:tc>
                <w:tcPr>
                  <w:tcW w:w="1701" w:type="dxa"/>
                </w:tcPr>
                <w:p w:rsidR="008938BB" w:rsidRPr="00861754" w:rsidRDefault="008938BB" w:rsidP="008938BB">
                  <w:pPr>
                    <w:rPr>
                      <w:sz w:val="16"/>
                    </w:rPr>
                  </w:pPr>
                </w:p>
              </w:tc>
            </w:tr>
            <w:tr w:rsidR="008938BB" w:rsidRPr="00861754" w:rsidTr="008938BB">
              <w:tc>
                <w:tcPr>
                  <w:tcW w:w="2900" w:type="dxa"/>
                </w:tcPr>
                <w:p w:rsidR="008938BB" w:rsidRPr="008938BB" w:rsidRDefault="008938BB" w:rsidP="008938BB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6"/>
                    </w:rPr>
                  </w:pPr>
                  <w:r w:rsidRPr="008938BB">
                    <w:rPr>
                      <w:rFonts w:ascii="Calibri" w:eastAsia="Times New Roman" w:hAnsi="Calibri" w:cs="Calibri"/>
                      <w:color w:val="FF0000"/>
                      <w:sz w:val="16"/>
                      <w:szCs w:val="28"/>
                      <w:lang w:eastAsia="pl-PL"/>
                    </w:rPr>
                    <w:t xml:space="preserve">odprawy rentowe </w:t>
                  </w:r>
                </w:p>
              </w:tc>
              <w:tc>
                <w:tcPr>
                  <w:tcW w:w="1701" w:type="dxa"/>
                </w:tcPr>
                <w:p w:rsidR="008938BB" w:rsidRPr="00861754" w:rsidRDefault="008938BB" w:rsidP="008938BB">
                  <w:pPr>
                    <w:rPr>
                      <w:sz w:val="16"/>
                    </w:rPr>
                  </w:pPr>
                </w:p>
              </w:tc>
            </w:tr>
          </w:tbl>
          <w:p w:rsidR="008938BB" w:rsidRPr="008938BB" w:rsidRDefault="008938BB" w:rsidP="00893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1.16.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inne informacje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 wartość wpisana w poz.1.1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2.1.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wysokość odpisów aktualizujących wartość zapasów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2.2.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27"/>
              <w:gridCol w:w="1274"/>
              <w:gridCol w:w="1130"/>
            </w:tblGrid>
            <w:tr w:rsidR="008938BB" w:rsidRPr="00851CD8" w:rsidTr="008003D4">
              <w:tc>
                <w:tcPr>
                  <w:tcW w:w="1127" w:type="dxa"/>
                  <w:vAlign w:val="center"/>
                </w:tcPr>
                <w:p w:rsidR="008938BB" w:rsidRPr="00851CD8" w:rsidRDefault="008938BB" w:rsidP="008938BB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konto</w:t>
                  </w:r>
                </w:p>
              </w:tc>
              <w:tc>
                <w:tcPr>
                  <w:tcW w:w="1274" w:type="dxa"/>
                  <w:vAlign w:val="center"/>
                </w:tcPr>
                <w:p w:rsidR="008938BB" w:rsidRPr="00851CD8" w:rsidRDefault="008938BB" w:rsidP="008938BB">
                  <w:pPr>
                    <w:jc w:val="center"/>
                    <w:rPr>
                      <w:color w:val="FF0000"/>
                      <w:sz w:val="12"/>
                    </w:rPr>
                  </w:pPr>
                  <w:r w:rsidRPr="00851CD8">
                    <w:rPr>
                      <w:color w:val="FF0000"/>
                      <w:sz w:val="12"/>
                    </w:rPr>
                    <w:t>Saldo na dzień 01.01.2018</w:t>
                  </w:r>
                </w:p>
              </w:tc>
              <w:tc>
                <w:tcPr>
                  <w:tcW w:w="1130" w:type="dxa"/>
                </w:tcPr>
                <w:p w:rsidR="008938BB" w:rsidRPr="00851CD8" w:rsidRDefault="008938BB" w:rsidP="008938BB">
                  <w:pPr>
                    <w:jc w:val="center"/>
                    <w:rPr>
                      <w:color w:val="FF0000"/>
                      <w:sz w:val="12"/>
                    </w:rPr>
                  </w:pPr>
                  <w:r>
                    <w:rPr>
                      <w:color w:val="FF0000"/>
                      <w:sz w:val="12"/>
                    </w:rPr>
                    <w:t>Saldo na dzień 31.12.2018</w:t>
                  </w:r>
                </w:p>
              </w:tc>
            </w:tr>
            <w:tr w:rsidR="008938BB" w:rsidRPr="00851CD8" w:rsidTr="008003D4">
              <w:tc>
                <w:tcPr>
                  <w:tcW w:w="1127" w:type="dxa"/>
                </w:tcPr>
                <w:p w:rsidR="008938BB" w:rsidRPr="00851CD8" w:rsidRDefault="008938BB" w:rsidP="008938BB">
                  <w:pPr>
                    <w:rPr>
                      <w:color w:val="FF0000"/>
                    </w:rPr>
                  </w:pPr>
                  <w:r w:rsidRPr="00851CD8">
                    <w:rPr>
                      <w:color w:val="FF0000"/>
                    </w:rPr>
                    <w:t>0</w:t>
                  </w:r>
                  <w:r>
                    <w:rPr>
                      <w:color w:val="FF0000"/>
                    </w:rPr>
                    <w:t>80</w:t>
                  </w:r>
                </w:p>
              </w:tc>
              <w:tc>
                <w:tcPr>
                  <w:tcW w:w="1274" w:type="dxa"/>
                </w:tcPr>
                <w:p w:rsidR="008938BB" w:rsidRPr="00851CD8" w:rsidRDefault="008938BB" w:rsidP="008938B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0" w:type="dxa"/>
                </w:tcPr>
                <w:p w:rsidR="008938BB" w:rsidRPr="00851CD8" w:rsidRDefault="008938BB" w:rsidP="008938BB">
                  <w:pPr>
                    <w:rPr>
                      <w:color w:val="FF0000"/>
                    </w:rPr>
                  </w:pPr>
                </w:p>
              </w:tc>
            </w:tr>
          </w:tbl>
          <w:p w:rsidR="008938BB" w:rsidRPr="005A6A1E" w:rsidRDefault="008938BB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kwotę i charakter poszczególnych pozycji przychodów lub kosztów o nadzwyczajnej wartości lub które wystąpiły incydentalnie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Konto 760 i 761 (konto może być wykorzystane przy termomodernizacji)</w:t>
            </w:r>
          </w:p>
        </w:tc>
      </w:tr>
      <w:tr w:rsidR="005A6A1E" w:rsidRPr="005A6A1E" w:rsidTr="005A6A1E">
        <w:trPr>
          <w:trHeight w:val="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2.4.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2.5.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inne informacje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8938BB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</w:p>
        </w:tc>
      </w:tr>
      <w:tr w:rsidR="005A6A1E" w:rsidRPr="005A6A1E" w:rsidTr="005A6A1E">
        <w:trPr>
          <w:trHeight w:val="58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Inne informacje niż wymienione powyżej, jeżeli mogłyby w istotny sposób wpłynąć na ocenę sytuacji majątkowej i finansowej oraz wynik finansowy jednostki</w:t>
            </w:r>
          </w:p>
        </w:tc>
      </w:tr>
      <w:tr w:rsidR="005A6A1E" w:rsidRPr="005A6A1E" w:rsidTr="005A6A1E">
        <w:trPr>
          <w:trHeight w:val="29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1E" w:rsidRPr="005A6A1E" w:rsidRDefault="005A6A1E" w:rsidP="005A6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28" w:rsidRDefault="005A6A1E" w:rsidP="00714A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5A6A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  <w:r w:rsidR="00A6659A" w:rsidRPr="008938B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nie dotyczy</w:t>
            </w:r>
            <w:r w:rsidR="00A6659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 xml:space="preserve"> – </w:t>
            </w:r>
          </w:p>
          <w:p w:rsidR="00714A28" w:rsidRDefault="00714A28" w:rsidP="00714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  <w:p w:rsidR="00714A28" w:rsidRPr="00714A28" w:rsidRDefault="00714A28" w:rsidP="00714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714A2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dotyczy jeśli wpłaty na radę rodziców wpływają na konto szkoły tzw.: DW</w:t>
            </w:r>
          </w:p>
        </w:tc>
      </w:tr>
    </w:tbl>
    <w:p w:rsidR="0043710D" w:rsidRPr="005A6A1E" w:rsidRDefault="0043710D">
      <w:pPr>
        <w:rPr>
          <w:sz w:val="28"/>
          <w:szCs w:val="28"/>
        </w:rPr>
      </w:pPr>
    </w:p>
    <w:sectPr w:rsidR="0043710D" w:rsidRPr="005A6A1E" w:rsidSect="00A6659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7AB"/>
    <w:multiLevelType w:val="hybridMultilevel"/>
    <w:tmpl w:val="EC30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C408E"/>
    <w:multiLevelType w:val="hybridMultilevel"/>
    <w:tmpl w:val="13004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D7ACB"/>
    <w:multiLevelType w:val="hybridMultilevel"/>
    <w:tmpl w:val="00041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5BD1"/>
    <w:multiLevelType w:val="multilevel"/>
    <w:tmpl w:val="412458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7E002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1E"/>
    <w:rsid w:val="0043710D"/>
    <w:rsid w:val="005A6A1E"/>
    <w:rsid w:val="00714A28"/>
    <w:rsid w:val="00851CD8"/>
    <w:rsid w:val="008938BB"/>
    <w:rsid w:val="00A6659A"/>
    <w:rsid w:val="00E06742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3F00"/>
  <w15:chartTrackingRefBased/>
  <w15:docId w15:val="{6FFD139A-08FB-4ABA-9FDB-D65EE0F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A1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920F0"/>
    <w:pPr>
      <w:tabs>
        <w:tab w:val="right" w:leader="dot" w:pos="9072"/>
      </w:tabs>
      <w:suppressAutoHyphens/>
      <w:autoSpaceDE w:val="0"/>
      <w:spacing w:before="80" w:after="0" w:line="275" w:lineRule="atLeast"/>
      <w:jc w:val="both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20F0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Tretabeli">
    <w:name w:val="Treść tabeli"/>
    <w:basedOn w:val="Normalny"/>
    <w:rsid w:val="00F920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F9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8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6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2019-01-27T09:27:00Z</cp:lastPrinted>
  <dcterms:created xsi:type="dcterms:W3CDTF">2019-01-28T18:41:00Z</dcterms:created>
  <dcterms:modified xsi:type="dcterms:W3CDTF">2019-01-29T07:40:00Z</dcterms:modified>
</cp:coreProperties>
</file>