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878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8"/>
        <w:gridCol w:w="8203"/>
      </w:tblGrid>
      <w:tr w:rsidR="005A6A1E" w:rsidRPr="005A6A1E" w:rsidTr="005A6A1E">
        <w:trPr>
          <w:trHeight w:val="292"/>
        </w:trPr>
        <w:tc>
          <w:tcPr>
            <w:tcW w:w="87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A1E" w:rsidRPr="005A6A1E" w:rsidRDefault="005A6A1E" w:rsidP="005A6A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5A6A1E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Informacja dodatkowa</w:t>
            </w:r>
          </w:p>
        </w:tc>
      </w:tr>
      <w:tr w:rsidR="005A6A1E" w:rsidRPr="005A6A1E" w:rsidTr="005A6A1E">
        <w:trPr>
          <w:trHeight w:val="292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A1E" w:rsidRPr="005A6A1E" w:rsidRDefault="005A6A1E" w:rsidP="005A6A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8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6A1E" w:rsidRPr="005A6A1E" w:rsidRDefault="005A6A1E" w:rsidP="005A6A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</w:p>
        </w:tc>
      </w:tr>
      <w:tr w:rsidR="005A6A1E" w:rsidRPr="005A6A1E" w:rsidTr="005A6A1E">
        <w:trPr>
          <w:trHeight w:val="292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6A1E" w:rsidRPr="005A6A1E" w:rsidRDefault="005A6A1E" w:rsidP="005A6A1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5A6A1E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I.</w:t>
            </w:r>
          </w:p>
        </w:tc>
        <w:tc>
          <w:tcPr>
            <w:tcW w:w="8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6A1E" w:rsidRPr="005A6A1E" w:rsidRDefault="005A6A1E" w:rsidP="005A6A1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5A6A1E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Wprowadzenie do sprawozdania finansowego, obejmuje w szczególności:</w:t>
            </w:r>
          </w:p>
        </w:tc>
      </w:tr>
      <w:tr w:rsidR="005A6A1E" w:rsidRPr="005A6A1E" w:rsidTr="005A6A1E">
        <w:trPr>
          <w:trHeight w:val="292"/>
        </w:trPr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6A1E" w:rsidRPr="005A6A1E" w:rsidRDefault="005A6A1E" w:rsidP="005A6A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5A6A1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1.</w:t>
            </w:r>
          </w:p>
        </w:tc>
        <w:tc>
          <w:tcPr>
            <w:tcW w:w="8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6A1E" w:rsidRPr="005A6A1E" w:rsidRDefault="005A6A1E" w:rsidP="005A6A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5A6A1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 </w:t>
            </w:r>
          </w:p>
        </w:tc>
      </w:tr>
      <w:tr w:rsidR="005A6A1E" w:rsidRPr="005A6A1E" w:rsidTr="005A6A1E">
        <w:trPr>
          <w:trHeight w:val="292"/>
        </w:trPr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6A1E" w:rsidRPr="005A6A1E" w:rsidRDefault="005A6A1E" w:rsidP="005A6A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5A6A1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1.1.</w:t>
            </w:r>
          </w:p>
        </w:tc>
        <w:tc>
          <w:tcPr>
            <w:tcW w:w="8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6A1E" w:rsidRPr="005A6A1E" w:rsidRDefault="005A6A1E" w:rsidP="005A6A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5A6A1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nazwę jednostki</w:t>
            </w:r>
          </w:p>
        </w:tc>
      </w:tr>
      <w:tr w:rsidR="005A6A1E" w:rsidRPr="005A6A1E" w:rsidTr="005A6A1E">
        <w:trPr>
          <w:trHeight w:val="292"/>
        </w:trPr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6A1E" w:rsidRPr="005A6A1E" w:rsidRDefault="005A6A1E" w:rsidP="005A6A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5A6A1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 </w:t>
            </w:r>
          </w:p>
        </w:tc>
        <w:tc>
          <w:tcPr>
            <w:tcW w:w="8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6A1E" w:rsidRPr="005A6A1E" w:rsidRDefault="005A6A1E" w:rsidP="005A6A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5A6A1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 </w:t>
            </w:r>
          </w:p>
        </w:tc>
      </w:tr>
      <w:tr w:rsidR="005A6A1E" w:rsidRPr="005A6A1E" w:rsidTr="005A6A1E">
        <w:trPr>
          <w:trHeight w:val="292"/>
        </w:trPr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6A1E" w:rsidRPr="005A6A1E" w:rsidRDefault="005A6A1E" w:rsidP="005A6A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5A6A1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1.2.</w:t>
            </w:r>
          </w:p>
        </w:tc>
        <w:tc>
          <w:tcPr>
            <w:tcW w:w="8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6A1E" w:rsidRPr="005A6A1E" w:rsidRDefault="005A6A1E" w:rsidP="005A6A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5A6A1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siedzibę jednostki</w:t>
            </w:r>
          </w:p>
        </w:tc>
      </w:tr>
      <w:tr w:rsidR="005A6A1E" w:rsidRPr="005A6A1E" w:rsidTr="005A6A1E">
        <w:trPr>
          <w:trHeight w:val="292"/>
        </w:trPr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6A1E" w:rsidRPr="005A6A1E" w:rsidRDefault="005A6A1E" w:rsidP="005A6A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5A6A1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 </w:t>
            </w:r>
          </w:p>
        </w:tc>
        <w:tc>
          <w:tcPr>
            <w:tcW w:w="8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6A1E" w:rsidRPr="005A6A1E" w:rsidRDefault="005A6A1E" w:rsidP="005A6A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5A6A1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 </w:t>
            </w:r>
          </w:p>
        </w:tc>
      </w:tr>
      <w:tr w:rsidR="005A6A1E" w:rsidRPr="005A6A1E" w:rsidTr="005A6A1E">
        <w:trPr>
          <w:trHeight w:val="292"/>
        </w:trPr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6A1E" w:rsidRPr="005A6A1E" w:rsidRDefault="005A6A1E" w:rsidP="005A6A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5A6A1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1.3.</w:t>
            </w:r>
          </w:p>
        </w:tc>
        <w:tc>
          <w:tcPr>
            <w:tcW w:w="8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6A1E" w:rsidRPr="005A6A1E" w:rsidRDefault="005A6A1E" w:rsidP="005A6A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5A6A1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adres jednostki</w:t>
            </w:r>
          </w:p>
        </w:tc>
      </w:tr>
      <w:tr w:rsidR="005A6A1E" w:rsidRPr="005A6A1E" w:rsidTr="005A6A1E">
        <w:trPr>
          <w:trHeight w:val="292"/>
        </w:trPr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6A1E" w:rsidRPr="005A6A1E" w:rsidRDefault="005A6A1E" w:rsidP="005A6A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5A6A1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 </w:t>
            </w:r>
          </w:p>
        </w:tc>
        <w:tc>
          <w:tcPr>
            <w:tcW w:w="8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6A1E" w:rsidRPr="005A6A1E" w:rsidRDefault="005A6A1E" w:rsidP="005A6A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5A6A1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 </w:t>
            </w:r>
          </w:p>
        </w:tc>
      </w:tr>
      <w:tr w:rsidR="005A6A1E" w:rsidRPr="005A6A1E" w:rsidTr="005A6A1E">
        <w:trPr>
          <w:trHeight w:val="292"/>
        </w:trPr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6A1E" w:rsidRPr="005A6A1E" w:rsidRDefault="005A6A1E" w:rsidP="005A6A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5A6A1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1.4.</w:t>
            </w:r>
          </w:p>
        </w:tc>
        <w:tc>
          <w:tcPr>
            <w:tcW w:w="8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6A1E" w:rsidRPr="005A6A1E" w:rsidRDefault="005A6A1E" w:rsidP="005A6A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5A6A1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podstawowy przedmiot działalności jednostki</w:t>
            </w:r>
          </w:p>
        </w:tc>
      </w:tr>
      <w:tr w:rsidR="005A6A1E" w:rsidRPr="005A6A1E" w:rsidTr="005A6A1E">
        <w:trPr>
          <w:trHeight w:val="292"/>
        </w:trPr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6A1E" w:rsidRPr="005A6A1E" w:rsidRDefault="005A6A1E" w:rsidP="005A6A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5A6A1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 </w:t>
            </w:r>
          </w:p>
        </w:tc>
        <w:tc>
          <w:tcPr>
            <w:tcW w:w="8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6A1E" w:rsidRPr="005A6A1E" w:rsidRDefault="005A6A1E" w:rsidP="005A6A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5A6A1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 </w:t>
            </w:r>
          </w:p>
        </w:tc>
      </w:tr>
      <w:tr w:rsidR="005A6A1E" w:rsidRPr="005A6A1E" w:rsidTr="005A6A1E">
        <w:trPr>
          <w:trHeight w:val="292"/>
        </w:trPr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6A1E" w:rsidRPr="005A6A1E" w:rsidRDefault="005A6A1E" w:rsidP="005A6A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5A6A1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2.</w:t>
            </w:r>
          </w:p>
        </w:tc>
        <w:tc>
          <w:tcPr>
            <w:tcW w:w="8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6A1E" w:rsidRPr="005A6A1E" w:rsidRDefault="005A6A1E" w:rsidP="005A6A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5A6A1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wskazanie okresu objętego sprawozdaniem</w:t>
            </w:r>
          </w:p>
        </w:tc>
      </w:tr>
      <w:tr w:rsidR="005A6A1E" w:rsidRPr="005A6A1E" w:rsidTr="005A6A1E">
        <w:trPr>
          <w:trHeight w:val="292"/>
        </w:trPr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6A1E" w:rsidRPr="005A6A1E" w:rsidRDefault="005A6A1E" w:rsidP="005A6A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5A6A1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 </w:t>
            </w:r>
          </w:p>
        </w:tc>
        <w:tc>
          <w:tcPr>
            <w:tcW w:w="8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6A1E" w:rsidRPr="005A6A1E" w:rsidRDefault="005A6A1E" w:rsidP="005A6A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5A6A1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 </w:t>
            </w:r>
            <w:r w:rsidRPr="005A6A1E">
              <w:rPr>
                <w:rFonts w:ascii="Calibri" w:eastAsia="Times New Roman" w:hAnsi="Calibri" w:cs="Calibri"/>
                <w:color w:val="FF0000"/>
                <w:sz w:val="28"/>
                <w:szCs w:val="28"/>
                <w:lang w:eastAsia="pl-PL"/>
              </w:rPr>
              <w:t>01.01.2018-31.12.2018</w:t>
            </w:r>
          </w:p>
        </w:tc>
      </w:tr>
      <w:tr w:rsidR="005A6A1E" w:rsidRPr="005A6A1E" w:rsidTr="005A6A1E">
        <w:trPr>
          <w:trHeight w:val="583"/>
        </w:trPr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6A1E" w:rsidRPr="005A6A1E" w:rsidRDefault="005A6A1E" w:rsidP="005A6A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5A6A1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3.</w:t>
            </w:r>
          </w:p>
        </w:tc>
        <w:tc>
          <w:tcPr>
            <w:tcW w:w="8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6A1E" w:rsidRPr="005A6A1E" w:rsidRDefault="005A6A1E" w:rsidP="005A6A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5A6A1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wskazanie, że sprawozdanie finansowe zawiera dane łączne, jeżeli w skład jednostki nadrzędnej lub jednostki samorządu terytorialnego wchodzą jednostki sporządzające samodzielne sprawozdania finansowe</w:t>
            </w:r>
          </w:p>
        </w:tc>
      </w:tr>
      <w:tr w:rsidR="005A6A1E" w:rsidRPr="005A6A1E" w:rsidTr="005A6A1E">
        <w:trPr>
          <w:trHeight w:val="292"/>
        </w:trPr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6A1E" w:rsidRPr="005A6A1E" w:rsidRDefault="005A6A1E" w:rsidP="005A6A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5A6A1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 </w:t>
            </w:r>
          </w:p>
        </w:tc>
        <w:tc>
          <w:tcPr>
            <w:tcW w:w="8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6A1E" w:rsidRPr="005A6A1E" w:rsidRDefault="005A6A1E" w:rsidP="005A6A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5A6A1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 </w:t>
            </w:r>
            <w:r w:rsidRPr="005A6A1E">
              <w:rPr>
                <w:rFonts w:ascii="Calibri" w:eastAsia="Times New Roman" w:hAnsi="Calibri" w:cs="Calibri"/>
                <w:color w:val="FF0000"/>
                <w:sz w:val="28"/>
                <w:szCs w:val="28"/>
                <w:lang w:eastAsia="pl-PL"/>
              </w:rPr>
              <w:t>Nie dotyczy</w:t>
            </w:r>
          </w:p>
        </w:tc>
      </w:tr>
      <w:tr w:rsidR="005A6A1E" w:rsidRPr="005A6A1E" w:rsidTr="005A6A1E">
        <w:trPr>
          <w:trHeight w:val="583"/>
        </w:trPr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6A1E" w:rsidRPr="005A6A1E" w:rsidRDefault="005A6A1E" w:rsidP="005A6A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5A6A1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4.</w:t>
            </w:r>
          </w:p>
        </w:tc>
        <w:tc>
          <w:tcPr>
            <w:tcW w:w="8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6A1E" w:rsidRPr="005A6A1E" w:rsidRDefault="005A6A1E" w:rsidP="005A6A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5A6A1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omówienie przyjętych zasad (polityki) rachunkowości, w tym metod wyceny aktywów i pasywów (także</w:t>
            </w: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 xml:space="preserve"> </w:t>
            </w:r>
            <w:r w:rsidRPr="005A6A1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amortyzacji)</w:t>
            </w:r>
          </w:p>
        </w:tc>
      </w:tr>
      <w:tr w:rsidR="005A6A1E" w:rsidRPr="005A6A1E" w:rsidTr="005A6A1E">
        <w:trPr>
          <w:trHeight w:val="292"/>
        </w:trPr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6A1E" w:rsidRPr="005A6A1E" w:rsidRDefault="005A6A1E" w:rsidP="005A6A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5A6A1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 </w:t>
            </w:r>
          </w:p>
        </w:tc>
        <w:tc>
          <w:tcPr>
            <w:tcW w:w="8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0F0" w:rsidRPr="00F920F0" w:rsidRDefault="00F920F0" w:rsidP="00F920F0">
            <w:pPr>
              <w:pStyle w:val="Tekstpodstawowy"/>
              <w:spacing w:before="0" w:line="240" w:lineRule="auto"/>
              <w:jc w:val="left"/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W jednostce przyjęto następujące</w:t>
            </w:r>
            <w:r w:rsidRPr="00F920F0">
              <w:rPr>
                <w:color w:val="FF0000"/>
                <w:sz w:val="16"/>
                <w:szCs w:val="16"/>
              </w:rPr>
              <w:t xml:space="preserve"> metody wyceny aktywów i pasywów:</w:t>
            </w:r>
          </w:p>
          <w:tbl>
            <w:tblPr>
              <w:tblW w:w="6804" w:type="dxa"/>
              <w:tblInd w:w="55" w:type="dxa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 w:firstRow="0" w:lastRow="0" w:firstColumn="0" w:lastColumn="0" w:noHBand="0" w:noVBand="0"/>
            </w:tblPr>
            <w:tblGrid>
              <w:gridCol w:w="1985"/>
              <w:gridCol w:w="2268"/>
              <w:gridCol w:w="2551"/>
            </w:tblGrid>
            <w:tr w:rsidR="00F920F0" w:rsidRPr="00F920F0" w:rsidTr="008003D4">
              <w:tc>
                <w:tcPr>
                  <w:tcW w:w="1985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  <w:vAlign w:val="center"/>
                </w:tcPr>
                <w:p w:rsidR="00F920F0" w:rsidRPr="00F920F0" w:rsidRDefault="00F920F0" w:rsidP="00F920F0">
                  <w:pPr>
                    <w:pStyle w:val="Tretabeli"/>
                    <w:snapToGrid w:val="0"/>
                    <w:jc w:val="center"/>
                    <w:rPr>
                      <w:b/>
                      <w:iCs/>
                      <w:color w:val="FF0000"/>
                      <w:sz w:val="16"/>
                      <w:szCs w:val="16"/>
                    </w:rPr>
                  </w:pPr>
                  <w:r w:rsidRPr="00F920F0">
                    <w:rPr>
                      <w:b/>
                      <w:iCs/>
                      <w:color w:val="FF0000"/>
                      <w:sz w:val="16"/>
                      <w:szCs w:val="16"/>
                    </w:rPr>
                    <w:t>Rodzaj aktywa/pasywa</w:t>
                  </w:r>
                </w:p>
              </w:tc>
              <w:tc>
                <w:tcPr>
                  <w:tcW w:w="2268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  <w:vAlign w:val="center"/>
                </w:tcPr>
                <w:p w:rsidR="00F920F0" w:rsidRPr="00F920F0" w:rsidRDefault="00F920F0" w:rsidP="00F920F0">
                  <w:pPr>
                    <w:pStyle w:val="Tekstpodstawowy"/>
                    <w:snapToGrid w:val="0"/>
                    <w:spacing w:before="0" w:line="240" w:lineRule="auto"/>
                    <w:jc w:val="center"/>
                    <w:rPr>
                      <w:b/>
                      <w:iCs/>
                      <w:color w:val="FF0000"/>
                      <w:sz w:val="16"/>
                      <w:szCs w:val="16"/>
                    </w:rPr>
                  </w:pPr>
                  <w:r w:rsidRPr="00F920F0">
                    <w:rPr>
                      <w:b/>
                      <w:iCs/>
                      <w:color w:val="FF0000"/>
                      <w:sz w:val="16"/>
                      <w:szCs w:val="16"/>
                    </w:rPr>
                    <w:t>Wycena na moment początkowego ujęcia w księgach rachunkowych</w:t>
                  </w:r>
                </w:p>
              </w:tc>
              <w:tc>
                <w:tcPr>
                  <w:tcW w:w="2551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  <w:vAlign w:val="center"/>
                </w:tcPr>
                <w:p w:rsidR="00F920F0" w:rsidRPr="00F920F0" w:rsidRDefault="00F920F0" w:rsidP="00F920F0">
                  <w:pPr>
                    <w:pStyle w:val="Tekstpodstawowy"/>
                    <w:snapToGrid w:val="0"/>
                    <w:spacing w:before="0" w:line="240" w:lineRule="auto"/>
                    <w:jc w:val="center"/>
                    <w:rPr>
                      <w:b/>
                      <w:color w:val="FF0000"/>
                      <w:sz w:val="16"/>
                      <w:szCs w:val="16"/>
                    </w:rPr>
                  </w:pPr>
                  <w:r w:rsidRPr="00F920F0">
                    <w:rPr>
                      <w:b/>
                      <w:iCs/>
                      <w:color w:val="FF0000"/>
                      <w:sz w:val="16"/>
                      <w:szCs w:val="16"/>
                    </w:rPr>
                    <w:t>Wycena na dzień bilansowy</w:t>
                  </w:r>
                </w:p>
              </w:tc>
            </w:tr>
            <w:tr w:rsidR="00F920F0" w:rsidRPr="00F920F0" w:rsidTr="008003D4">
              <w:tc>
                <w:tcPr>
                  <w:tcW w:w="1985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F920F0" w:rsidRPr="00F920F0" w:rsidRDefault="00F920F0" w:rsidP="00F920F0">
                  <w:pPr>
                    <w:pStyle w:val="Tretabeli"/>
                    <w:snapToGrid w:val="0"/>
                    <w:rPr>
                      <w:color w:val="FF0000"/>
                      <w:sz w:val="16"/>
                      <w:szCs w:val="16"/>
                    </w:rPr>
                  </w:pPr>
                  <w:r w:rsidRPr="00F920F0">
                    <w:rPr>
                      <w:color w:val="FF0000"/>
                      <w:sz w:val="16"/>
                      <w:szCs w:val="16"/>
                    </w:rPr>
                    <w:t xml:space="preserve">Środki trwałe i wartości niematerialne i prawne: nabyte, otrzymane nieodpłatnie </w:t>
                  </w:r>
                </w:p>
              </w:tc>
              <w:tc>
                <w:tcPr>
                  <w:tcW w:w="2268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F920F0" w:rsidRPr="00F920F0" w:rsidRDefault="00F920F0" w:rsidP="00F920F0">
                  <w:pPr>
                    <w:pStyle w:val="Tretabeli"/>
                    <w:snapToGrid w:val="0"/>
                    <w:rPr>
                      <w:color w:val="FF0000"/>
                      <w:sz w:val="16"/>
                      <w:szCs w:val="16"/>
                    </w:rPr>
                  </w:pPr>
                  <w:r w:rsidRPr="00F920F0">
                    <w:rPr>
                      <w:color w:val="FF0000"/>
                      <w:sz w:val="16"/>
                      <w:szCs w:val="16"/>
                    </w:rPr>
                    <w:t xml:space="preserve">Polega na wycenie </w:t>
                  </w:r>
                </w:p>
                <w:p w:rsidR="00F920F0" w:rsidRPr="00F920F0" w:rsidRDefault="00F920F0" w:rsidP="00F920F0">
                  <w:pPr>
                    <w:pStyle w:val="Tretabeli"/>
                    <w:rPr>
                      <w:color w:val="FF0000"/>
                      <w:sz w:val="16"/>
                      <w:szCs w:val="16"/>
                    </w:rPr>
                  </w:pPr>
                  <w:r w:rsidRPr="00F920F0">
                    <w:rPr>
                      <w:color w:val="FF0000"/>
                      <w:sz w:val="16"/>
                      <w:szCs w:val="16"/>
                    </w:rPr>
                    <w:t>według: - ceny nabycia, na podstawie decyzji właściwego organu w wartości określonej w tej decyzji</w:t>
                  </w:r>
                </w:p>
              </w:tc>
              <w:tc>
                <w:tcPr>
                  <w:tcW w:w="2551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F920F0" w:rsidRPr="00F920F0" w:rsidRDefault="00F920F0" w:rsidP="00F920F0">
                  <w:pPr>
                    <w:pStyle w:val="Tretabeli"/>
                    <w:snapToGrid w:val="0"/>
                    <w:rPr>
                      <w:color w:val="FF0000"/>
                      <w:sz w:val="16"/>
                      <w:szCs w:val="16"/>
                    </w:rPr>
                  </w:pPr>
                  <w:r w:rsidRPr="00F920F0">
                    <w:rPr>
                      <w:color w:val="FF0000"/>
                      <w:sz w:val="16"/>
                      <w:szCs w:val="16"/>
                    </w:rPr>
                    <w:t>w bilansie pomniejszone o odpisy amortyzacyjne lub umorzeniowe, a także o odpisy z tytułu trwałej utraty wartości</w:t>
                  </w:r>
                </w:p>
              </w:tc>
            </w:tr>
            <w:tr w:rsidR="00F920F0" w:rsidRPr="00F920F0" w:rsidTr="008003D4">
              <w:tc>
                <w:tcPr>
                  <w:tcW w:w="1985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F920F0" w:rsidRPr="00F920F0" w:rsidRDefault="00F920F0" w:rsidP="00F920F0">
                  <w:pPr>
                    <w:snapToGrid w:val="0"/>
                    <w:spacing w:after="0" w:line="240" w:lineRule="auto"/>
                    <w:rPr>
                      <w:rFonts w:ascii="Times New Roman" w:hAnsi="Times New Roman"/>
                      <w:color w:val="FF0000"/>
                      <w:sz w:val="16"/>
                      <w:szCs w:val="16"/>
                    </w:rPr>
                  </w:pPr>
                  <w:r w:rsidRPr="00F920F0">
                    <w:rPr>
                      <w:rFonts w:ascii="Times New Roman" w:hAnsi="Times New Roman"/>
                      <w:color w:val="FF0000"/>
                      <w:sz w:val="16"/>
                      <w:szCs w:val="16"/>
                    </w:rPr>
                    <w:t>Środki trwałe w budowie</w:t>
                  </w:r>
                </w:p>
              </w:tc>
              <w:tc>
                <w:tcPr>
                  <w:tcW w:w="2268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F920F0" w:rsidRPr="00F920F0" w:rsidRDefault="00F920F0" w:rsidP="00F920F0">
                  <w:pPr>
                    <w:pStyle w:val="Tretabeli"/>
                    <w:snapToGrid w:val="0"/>
                    <w:rPr>
                      <w:color w:val="FF0000"/>
                      <w:sz w:val="16"/>
                      <w:szCs w:val="16"/>
                    </w:rPr>
                  </w:pPr>
                  <w:r w:rsidRPr="00F920F0">
                    <w:rPr>
                      <w:color w:val="FF0000"/>
                      <w:sz w:val="16"/>
                      <w:szCs w:val="16"/>
                    </w:rPr>
                    <w:t>w wysokości ogółu kosztów pozostających w bezpośrednim związku z ich nabyciem lub wytworzeniem.</w:t>
                  </w:r>
                </w:p>
              </w:tc>
              <w:tc>
                <w:tcPr>
                  <w:tcW w:w="2551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F920F0" w:rsidRPr="00F920F0" w:rsidRDefault="00F920F0" w:rsidP="00F920F0">
                  <w:pPr>
                    <w:pStyle w:val="Tretabeli"/>
                    <w:snapToGrid w:val="0"/>
                    <w:rPr>
                      <w:color w:val="FF0000"/>
                      <w:sz w:val="16"/>
                      <w:szCs w:val="16"/>
                    </w:rPr>
                  </w:pPr>
                  <w:r w:rsidRPr="00F920F0">
                    <w:rPr>
                      <w:color w:val="FF0000"/>
                      <w:sz w:val="16"/>
                      <w:szCs w:val="16"/>
                    </w:rPr>
                    <w:t>w bilansie pomniejszonych o odpisy z tytułu trwałej utraty wartości</w:t>
                  </w:r>
                </w:p>
              </w:tc>
            </w:tr>
            <w:tr w:rsidR="00F920F0" w:rsidRPr="00F920F0" w:rsidTr="008003D4">
              <w:tc>
                <w:tcPr>
                  <w:tcW w:w="1985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F920F0" w:rsidRPr="00F920F0" w:rsidRDefault="00F920F0" w:rsidP="00F920F0">
                  <w:pPr>
                    <w:pStyle w:val="Tretabeli"/>
                    <w:snapToGrid w:val="0"/>
                    <w:rPr>
                      <w:color w:val="FF0000"/>
                      <w:sz w:val="16"/>
                      <w:szCs w:val="16"/>
                    </w:rPr>
                  </w:pPr>
                  <w:r w:rsidRPr="00F920F0">
                    <w:rPr>
                      <w:color w:val="FF0000"/>
                      <w:sz w:val="16"/>
                      <w:szCs w:val="16"/>
                    </w:rPr>
                    <w:t>Rzeczowe składniki aktywów obrotowych</w:t>
                  </w:r>
                </w:p>
              </w:tc>
              <w:tc>
                <w:tcPr>
                  <w:tcW w:w="2268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F920F0" w:rsidRPr="00F920F0" w:rsidRDefault="00F920F0" w:rsidP="00F920F0">
                  <w:pPr>
                    <w:pStyle w:val="Tretabeli"/>
                    <w:snapToGrid w:val="0"/>
                    <w:rPr>
                      <w:color w:val="FF0000"/>
                      <w:sz w:val="16"/>
                      <w:szCs w:val="16"/>
                    </w:rPr>
                  </w:pPr>
                  <w:r w:rsidRPr="00F920F0">
                    <w:rPr>
                      <w:color w:val="FF0000"/>
                      <w:sz w:val="16"/>
                      <w:szCs w:val="16"/>
                    </w:rPr>
                    <w:t>według cen nabycia</w:t>
                  </w:r>
                </w:p>
              </w:tc>
              <w:tc>
                <w:tcPr>
                  <w:tcW w:w="2551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F920F0" w:rsidRPr="00F920F0" w:rsidRDefault="00F920F0" w:rsidP="00F920F0">
                  <w:pPr>
                    <w:pStyle w:val="Tretabeli"/>
                    <w:snapToGrid w:val="0"/>
                    <w:rPr>
                      <w:color w:val="FF0000"/>
                      <w:sz w:val="16"/>
                      <w:szCs w:val="16"/>
                    </w:rPr>
                  </w:pPr>
                  <w:r w:rsidRPr="00F920F0">
                    <w:rPr>
                      <w:color w:val="FF0000"/>
                      <w:sz w:val="16"/>
                      <w:szCs w:val="16"/>
                    </w:rPr>
                    <w:t>w bilansie nie wyższych od cen ich sprzedaży netto</w:t>
                  </w:r>
                </w:p>
              </w:tc>
            </w:tr>
            <w:tr w:rsidR="00F920F0" w:rsidRPr="00F920F0" w:rsidTr="008003D4">
              <w:tc>
                <w:tcPr>
                  <w:tcW w:w="1985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F920F0" w:rsidRPr="00F920F0" w:rsidRDefault="00F920F0" w:rsidP="00F920F0">
                  <w:pPr>
                    <w:pStyle w:val="Tretabeli"/>
                    <w:snapToGrid w:val="0"/>
                    <w:rPr>
                      <w:color w:val="FF0000"/>
                      <w:sz w:val="16"/>
                      <w:szCs w:val="16"/>
                    </w:rPr>
                  </w:pPr>
                  <w:r w:rsidRPr="00F920F0">
                    <w:rPr>
                      <w:color w:val="FF0000"/>
                      <w:sz w:val="16"/>
                      <w:szCs w:val="16"/>
                    </w:rPr>
                    <w:t>Materiały (w tym zbiory biblioteczne)</w:t>
                  </w:r>
                </w:p>
              </w:tc>
              <w:tc>
                <w:tcPr>
                  <w:tcW w:w="2268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F920F0" w:rsidRPr="00F920F0" w:rsidRDefault="00F920F0" w:rsidP="00F920F0">
                  <w:pPr>
                    <w:snapToGrid w:val="0"/>
                    <w:spacing w:after="0" w:line="240" w:lineRule="auto"/>
                    <w:rPr>
                      <w:rFonts w:ascii="Times New Roman" w:hAnsi="Times New Roman"/>
                      <w:color w:val="FF0000"/>
                      <w:sz w:val="16"/>
                      <w:szCs w:val="16"/>
                    </w:rPr>
                  </w:pPr>
                  <w:r w:rsidRPr="00F920F0">
                    <w:rPr>
                      <w:rFonts w:ascii="Times New Roman" w:hAnsi="Times New Roman"/>
                      <w:color w:val="FF0000"/>
                      <w:sz w:val="16"/>
                      <w:szCs w:val="16"/>
                    </w:rPr>
                    <w:t>w cenach nabycia</w:t>
                  </w:r>
                </w:p>
              </w:tc>
              <w:tc>
                <w:tcPr>
                  <w:tcW w:w="2551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F920F0" w:rsidRPr="00F920F0" w:rsidRDefault="00F920F0" w:rsidP="00F920F0">
                  <w:pPr>
                    <w:pStyle w:val="Tretabeli"/>
                    <w:snapToGrid w:val="0"/>
                    <w:rPr>
                      <w:color w:val="FF0000"/>
                      <w:sz w:val="16"/>
                      <w:szCs w:val="16"/>
                    </w:rPr>
                  </w:pPr>
                  <w:r w:rsidRPr="00F920F0">
                    <w:rPr>
                      <w:color w:val="FF0000"/>
                      <w:sz w:val="16"/>
                      <w:szCs w:val="16"/>
                    </w:rPr>
                    <w:t>w bilansie nie wyższych od cen ich sprzedaży netto</w:t>
                  </w:r>
                </w:p>
              </w:tc>
            </w:tr>
            <w:tr w:rsidR="00F920F0" w:rsidRPr="00F920F0" w:rsidTr="008003D4">
              <w:trPr>
                <w:trHeight w:val="546"/>
              </w:trPr>
              <w:tc>
                <w:tcPr>
                  <w:tcW w:w="1985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F920F0" w:rsidRPr="00F920F0" w:rsidRDefault="00F920F0" w:rsidP="00F920F0">
                  <w:pPr>
                    <w:pStyle w:val="Tretabeli"/>
                    <w:snapToGrid w:val="0"/>
                    <w:rPr>
                      <w:color w:val="FF0000"/>
                      <w:sz w:val="16"/>
                      <w:szCs w:val="16"/>
                    </w:rPr>
                  </w:pPr>
                  <w:r w:rsidRPr="00F920F0">
                    <w:rPr>
                      <w:color w:val="FF0000"/>
                      <w:sz w:val="16"/>
                      <w:szCs w:val="16"/>
                    </w:rPr>
                    <w:t>Należności</w:t>
                  </w:r>
                </w:p>
              </w:tc>
              <w:tc>
                <w:tcPr>
                  <w:tcW w:w="2268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F920F0" w:rsidRPr="00F920F0" w:rsidRDefault="00F920F0" w:rsidP="00F920F0">
                  <w:pPr>
                    <w:snapToGrid w:val="0"/>
                    <w:spacing w:after="0" w:line="240" w:lineRule="auto"/>
                    <w:rPr>
                      <w:rFonts w:ascii="Times New Roman" w:hAnsi="Times New Roman"/>
                      <w:color w:val="FF0000"/>
                      <w:sz w:val="16"/>
                      <w:szCs w:val="16"/>
                    </w:rPr>
                  </w:pPr>
                  <w:r w:rsidRPr="00F920F0">
                    <w:rPr>
                      <w:rFonts w:ascii="Times New Roman" w:hAnsi="Times New Roman"/>
                      <w:color w:val="FF0000"/>
                      <w:sz w:val="16"/>
                      <w:szCs w:val="16"/>
                    </w:rPr>
                    <w:t>według wartości nominalnej</w:t>
                  </w:r>
                </w:p>
              </w:tc>
              <w:tc>
                <w:tcPr>
                  <w:tcW w:w="2551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F920F0" w:rsidRPr="00F920F0" w:rsidRDefault="00F920F0" w:rsidP="00F920F0">
                  <w:pPr>
                    <w:snapToGrid w:val="0"/>
                    <w:spacing w:after="0" w:line="240" w:lineRule="auto"/>
                    <w:rPr>
                      <w:rFonts w:ascii="Times New Roman" w:hAnsi="Times New Roman"/>
                      <w:color w:val="FF0000"/>
                      <w:sz w:val="16"/>
                      <w:szCs w:val="16"/>
                    </w:rPr>
                  </w:pPr>
                  <w:r w:rsidRPr="00F920F0">
                    <w:rPr>
                      <w:rFonts w:ascii="Times New Roman" w:hAnsi="Times New Roman"/>
                      <w:color w:val="FF0000"/>
                      <w:sz w:val="16"/>
                      <w:szCs w:val="16"/>
                    </w:rPr>
                    <w:t>w bilansie w kwocie wymaganej zapłaty, z zachowaniem ostrożności, po uwzględnieniu odpisu aktualizującego należności</w:t>
                  </w:r>
                </w:p>
              </w:tc>
            </w:tr>
            <w:tr w:rsidR="00F920F0" w:rsidRPr="00F920F0" w:rsidTr="008003D4">
              <w:trPr>
                <w:trHeight w:val="224"/>
              </w:trPr>
              <w:tc>
                <w:tcPr>
                  <w:tcW w:w="1985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F920F0" w:rsidRPr="00F920F0" w:rsidRDefault="00F920F0" w:rsidP="00F920F0">
                  <w:pPr>
                    <w:pStyle w:val="Tretabeli"/>
                    <w:snapToGrid w:val="0"/>
                    <w:rPr>
                      <w:color w:val="FF0000"/>
                      <w:sz w:val="16"/>
                      <w:szCs w:val="16"/>
                    </w:rPr>
                  </w:pPr>
                  <w:r w:rsidRPr="00F920F0">
                    <w:rPr>
                      <w:color w:val="FF0000"/>
                      <w:sz w:val="16"/>
                      <w:szCs w:val="16"/>
                    </w:rPr>
                    <w:t>Zobowiązania</w:t>
                  </w:r>
                </w:p>
              </w:tc>
              <w:tc>
                <w:tcPr>
                  <w:tcW w:w="2268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F920F0" w:rsidRPr="00F920F0" w:rsidRDefault="00F920F0" w:rsidP="00F920F0">
                  <w:pPr>
                    <w:snapToGrid w:val="0"/>
                    <w:spacing w:after="0" w:line="240" w:lineRule="auto"/>
                    <w:rPr>
                      <w:rFonts w:ascii="Times New Roman" w:hAnsi="Times New Roman"/>
                      <w:color w:val="FF0000"/>
                      <w:sz w:val="16"/>
                      <w:szCs w:val="16"/>
                    </w:rPr>
                  </w:pPr>
                  <w:r w:rsidRPr="00F920F0">
                    <w:rPr>
                      <w:rFonts w:ascii="Times New Roman" w:hAnsi="Times New Roman"/>
                      <w:color w:val="FF0000"/>
                      <w:sz w:val="16"/>
                      <w:szCs w:val="16"/>
                    </w:rPr>
                    <w:t>według wartości nominalnej</w:t>
                  </w:r>
                </w:p>
              </w:tc>
              <w:tc>
                <w:tcPr>
                  <w:tcW w:w="2551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F920F0" w:rsidRPr="00F920F0" w:rsidRDefault="00F920F0" w:rsidP="00F920F0">
                  <w:pPr>
                    <w:snapToGrid w:val="0"/>
                    <w:spacing w:after="0" w:line="240" w:lineRule="auto"/>
                    <w:rPr>
                      <w:rFonts w:ascii="Times New Roman" w:hAnsi="Times New Roman"/>
                      <w:color w:val="FF0000"/>
                      <w:sz w:val="16"/>
                      <w:szCs w:val="16"/>
                    </w:rPr>
                  </w:pPr>
                  <w:r w:rsidRPr="00F920F0">
                    <w:rPr>
                      <w:rFonts w:ascii="Times New Roman" w:hAnsi="Times New Roman"/>
                      <w:color w:val="FF0000"/>
                      <w:sz w:val="16"/>
                      <w:szCs w:val="16"/>
                    </w:rPr>
                    <w:t>w bilansie w kwocie wymagającej zapłaty,</w:t>
                  </w:r>
                </w:p>
              </w:tc>
            </w:tr>
            <w:tr w:rsidR="00F920F0" w:rsidRPr="00F920F0" w:rsidTr="008003D4">
              <w:trPr>
                <w:trHeight w:val="82"/>
              </w:trPr>
              <w:tc>
                <w:tcPr>
                  <w:tcW w:w="1985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F920F0" w:rsidRPr="00F920F0" w:rsidRDefault="00F920F0" w:rsidP="00F920F0">
                  <w:pPr>
                    <w:pStyle w:val="Tretabeli"/>
                    <w:snapToGrid w:val="0"/>
                    <w:rPr>
                      <w:color w:val="FF0000"/>
                      <w:sz w:val="16"/>
                      <w:szCs w:val="16"/>
                    </w:rPr>
                  </w:pPr>
                  <w:r w:rsidRPr="00F920F0">
                    <w:rPr>
                      <w:color w:val="FF0000"/>
                      <w:sz w:val="16"/>
                      <w:szCs w:val="16"/>
                    </w:rPr>
                    <w:t>Rezerwy</w:t>
                  </w:r>
                </w:p>
              </w:tc>
              <w:tc>
                <w:tcPr>
                  <w:tcW w:w="2268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F920F0" w:rsidRPr="00F920F0" w:rsidRDefault="00F920F0" w:rsidP="00F920F0">
                  <w:pPr>
                    <w:snapToGrid w:val="0"/>
                    <w:spacing w:after="0" w:line="240" w:lineRule="auto"/>
                    <w:rPr>
                      <w:rFonts w:ascii="Times New Roman" w:hAnsi="Times New Roman"/>
                      <w:color w:val="FF0000"/>
                      <w:sz w:val="16"/>
                      <w:szCs w:val="16"/>
                    </w:rPr>
                  </w:pPr>
                  <w:r w:rsidRPr="00F920F0">
                    <w:rPr>
                      <w:rFonts w:ascii="Times New Roman" w:hAnsi="Times New Roman"/>
                      <w:color w:val="FF0000"/>
                      <w:sz w:val="16"/>
                      <w:szCs w:val="16"/>
                    </w:rPr>
                    <w:t>w uzasadnionej, wiarygodnie oszacowanej wartości</w:t>
                  </w:r>
                </w:p>
              </w:tc>
              <w:tc>
                <w:tcPr>
                  <w:tcW w:w="2551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F920F0" w:rsidRPr="00F920F0" w:rsidRDefault="00F920F0" w:rsidP="00F920F0">
                  <w:pPr>
                    <w:snapToGrid w:val="0"/>
                    <w:spacing w:after="0" w:line="240" w:lineRule="auto"/>
                    <w:rPr>
                      <w:rFonts w:ascii="Times New Roman" w:hAnsi="Times New Roman"/>
                      <w:color w:val="FF0000"/>
                      <w:sz w:val="16"/>
                      <w:szCs w:val="16"/>
                    </w:rPr>
                  </w:pPr>
                  <w:r w:rsidRPr="00F920F0">
                    <w:rPr>
                      <w:rFonts w:ascii="Times New Roman" w:hAnsi="Times New Roman"/>
                      <w:color w:val="FF0000"/>
                      <w:sz w:val="16"/>
                      <w:szCs w:val="16"/>
                    </w:rPr>
                    <w:t>w uzasadnionej, wiarygodnie oszacowanej wartości</w:t>
                  </w:r>
                </w:p>
              </w:tc>
            </w:tr>
            <w:tr w:rsidR="00F920F0" w:rsidRPr="00F920F0" w:rsidTr="008003D4">
              <w:tc>
                <w:tcPr>
                  <w:tcW w:w="1985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F920F0" w:rsidRPr="00F920F0" w:rsidRDefault="00F920F0" w:rsidP="00F920F0">
                  <w:pPr>
                    <w:pStyle w:val="Tretabeli"/>
                    <w:snapToGrid w:val="0"/>
                    <w:rPr>
                      <w:color w:val="FF0000"/>
                      <w:sz w:val="16"/>
                      <w:szCs w:val="16"/>
                    </w:rPr>
                  </w:pPr>
                  <w:r w:rsidRPr="00F920F0">
                    <w:rPr>
                      <w:color w:val="FF0000"/>
                      <w:sz w:val="16"/>
                      <w:szCs w:val="16"/>
                    </w:rPr>
                    <w:t>Fundusz  oraz pozostałe aktywa i pasywa</w:t>
                  </w:r>
                </w:p>
              </w:tc>
              <w:tc>
                <w:tcPr>
                  <w:tcW w:w="2268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F920F0" w:rsidRPr="00F920F0" w:rsidRDefault="00F920F0" w:rsidP="00F920F0">
                  <w:pPr>
                    <w:snapToGrid w:val="0"/>
                    <w:spacing w:after="0" w:line="240" w:lineRule="auto"/>
                    <w:rPr>
                      <w:rFonts w:ascii="Times New Roman" w:hAnsi="Times New Roman"/>
                      <w:color w:val="FF0000"/>
                      <w:sz w:val="16"/>
                      <w:szCs w:val="16"/>
                    </w:rPr>
                  </w:pPr>
                  <w:r w:rsidRPr="00F920F0">
                    <w:rPr>
                      <w:rFonts w:ascii="Times New Roman" w:hAnsi="Times New Roman"/>
                      <w:color w:val="FF0000"/>
                      <w:sz w:val="16"/>
                      <w:szCs w:val="16"/>
                    </w:rPr>
                    <w:t>w wartości nominalnej</w:t>
                  </w:r>
                </w:p>
              </w:tc>
              <w:tc>
                <w:tcPr>
                  <w:tcW w:w="2551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F920F0" w:rsidRPr="00F920F0" w:rsidRDefault="00F920F0" w:rsidP="00F920F0">
                  <w:pPr>
                    <w:snapToGrid w:val="0"/>
                    <w:spacing w:after="0" w:line="240" w:lineRule="auto"/>
                    <w:rPr>
                      <w:rFonts w:ascii="Times New Roman" w:hAnsi="Times New Roman"/>
                      <w:color w:val="FF0000"/>
                      <w:sz w:val="16"/>
                      <w:szCs w:val="16"/>
                    </w:rPr>
                  </w:pPr>
                  <w:r w:rsidRPr="00F920F0">
                    <w:rPr>
                      <w:rFonts w:ascii="Times New Roman" w:hAnsi="Times New Roman"/>
                      <w:color w:val="FF0000"/>
                      <w:sz w:val="16"/>
                      <w:szCs w:val="16"/>
                    </w:rPr>
                    <w:t>w wartości nominalnej</w:t>
                  </w:r>
                </w:p>
              </w:tc>
            </w:tr>
          </w:tbl>
          <w:p w:rsidR="00F920F0" w:rsidRPr="00F920F0" w:rsidRDefault="00F920F0" w:rsidP="00F920F0">
            <w:pPr>
              <w:pStyle w:val="Tekstpodstawowy"/>
              <w:numPr>
                <w:ilvl w:val="0"/>
                <w:numId w:val="3"/>
              </w:numPr>
              <w:spacing w:before="0" w:line="240" w:lineRule="auto"/>
              <w:ind w:left="213" w:hanging="213"/>
              <w:rPr>
                <w:color w:val="FF0000"/>
                <w:sz w:val="16"/>
                <w:szCs w:val="16"/>
              </w:rPr>
            </w:pPr>
            <w:r w:rsidRPr="00F920F0">
              <w:rPr>
                <w:color w:val="FF0000"/>
                <w:sz w:val="16"/>
                <w:szCs w:val="16"/>
              </w:rPr>
              <w:t>należności i zobowiązania oraz inne składniki aktywów i pasywów wyrażone w walutach obcych wycenia się nie później niż na koniec kwartału, według zasad obowiązujących na dzień bilansowy.</w:t>
            </w:r>
          </w:p>
          <w:p w:rsidR="00F920F0" w:rsidRPr="00F920F0" w:rsidRDefault="00F920F0" w:rsidP="00F920F0">
            <w:pPr>
              <w:pStyle w:val="Tekstpodstawowy"/>
              <w:numPr>
                <w:ilvl w:val="0"/>
                <w:numId w:val="3"/>
              </w:numPr>
              <w:spacing w:before="0" w:line="240" w:lineRule="auto"/>
              <w:ind w:left="213" w:hanging="213"/>
              <w:rPr>
                <w:color w:val="FF0000"/>
                <w:sz w:val="16"/>
                <w:szCs w:val="16"/>
              </w:rPr>
            </w:pPr>
            <w:r w:rsidRPr="00F920F0">
              <w:rPr>
                <w:color w:val="FF0000"/>
                <w:sz w:val="16"/>
                <w:szCs w:val="16"/>
              </w:rPr>
              <w:t>amortyzacja środków trwałych powyżej 10.000 zł dokonywana jest metodą liniową, poprzez jednorazowy roczny odpis amortyzacyjny. Odpisy dokonuje się od miesiąca następnego po przyjęciu do używania środka trwałego.</w:t>
            </w:r>
          </w:p>
          <w:p w:rsidR="00F920F0" w:rsidRPr="00F920F0" w:rsidRDefault="00F920F0" w:rsidP="00F920F0">
            <w:pPr>
              <w:pStyle w:val="Tekstpodstawowy"/>
              <w:numPr>
                <w:ilvl w:val="0"/>
                <w:numId w:val="3"/>
              </w:numPr>
              <w:spacing w:before="0" w:line="240" w:lineRule="auto"/>
              <w:ind w:left="213" w:hanging="213"/>
              <w:rPr>
                <w:color w:val="FF0000"/>
                <w:sz w:val="16"/>
                <w:szCs w:val="16"/>
              </w:rPr>
            </w:pPr>
            <w:r w:rsidRPr="00F920F0">
              <w:rPr>
                <w:color w:val="FF0000"/>
                <w:sz w:val="16"/>
                <w:szCs w:val="16"/>
              </w:rPr>
              <w:t>jednorazowo, przez spisanie w koszty w miesiącu przyjęcia do używania umarzane są:</w:t>
            </w:r>
          </w:p>
          <w:p w:rsidR="00F920F0" w:rsidRPr="00F920F0" w:rsidRDefault="00F920F0" w:rsidP="00F920F0">
            <w:pPr>
              <w:pStyle w:val="Tekstpodstawowy"/>
              <w:numPr>
                <w:ilvl w:val="1"/>
                <w:numId w:val="1"/>
              </w:numPr>
              <w:spacing w:before="0" w:line="240" w:lineRule="auto"/>
              <w:rPr>
                <w:color w:val="FF0000"/>
                <w:sz w:val="16"/>
                <w:szCs w:val="16"/>
              </w:rPr>
            </w:pPr>
            <w:r w:rsidRPr="00F920F0">
              <w:rPr>
                <w:color w:val="FF0000"/>
                <w:sz w:val="16"/>
                <w:szCs w:val="16"/>
              </w:rPr>
              <w:t xml:space="preserve">książki i inne zbiory biblioteczne; </w:t>
            </w:r>
          </w:p>
          <w:p w:rsidR="00F920F0" w:rsidRPr="00F920F0" w:rsidRDefault="00F920F0" w:rsidP="00F920F0">
            <w:pPr>
              <w:pStyle w:val="Tekstpodstawowy"/>
              <w:numPr>
                <w:ilvl w:val="1"/>
                <w:numId w:val="1"/>
              </w:numPr>
              <w:spacing w:before="0" w:line="240" w:lineRule="auto"/>
              <w:rPr>
                <w:color w:val="FF0000"/>
                <w:sz w:val="16"/>
                <w:szCs w:val="16"/>
              </w:rPr>
            </w:pPr>
            <w:r w:rsidRPr="00F920F0">
              <w:rPr>
                <w:color w:val="FF0000"/>
                <w:sz w:val="16"/>
                <w:szCs w:val="16"/>
              </w:rPr>
              <w:t>odzież;</w:t>
            </w:r>
          </w:p>
          <w:p w:rsidR="00F920F0" w:rsidRPr="00F920F0" w:rsidRDefault="00F920F0" w:rsidP="00F920F0">
            <w:pPr>
              <w:pStyle w:val="Tekstpodstawowy"/>
              <w:numPr>
                <w:ilvl w:val="1"/>
                <w:numId w:val="1"/>
              </w:numPr>
              <w:spacing w:before="0" w:line="240" w:lineRule="auto"/>
              <w:rPr>
                <w:color w:val="FF0000"/>
                <w:sz w:val="16"/>
                <w:szCs w:val="16"/>
              </w:rPr>
            </w:pPr>
            <w:r w:rsidRPr="00F920F0">
              <w:rPr>
                <w:color w:val="FF0000"/>
                <w:sz w:val="16"/>
                <w:szCs w:val="16"/>
              </w:rPr>
              <w:lastRenderedPageBreak/>
              <w:t xml:space="preserve">meble i dywany; </w:t>
            </w:r>
          </w:p>
          <w:p w:rsidR="00F920F0" w:rsidRPr="00F920F0" w:rsidRDefault="00F920F0" w:rsidP="00F920F0">
            <w:pPr>
              <w:pStyle w:val="Tekstpodstawowy"/>
              <w:numPr>
                <w:ilvl w:val="1"/>
                <w:numId w:val="1"/>
              </w:numPr>
              <w:spacing w:before="0" w:line="240" w:lineRule="auto"/>
              <w:rPr>
                <w:color w:val="FF0000"/>
                <w:sz w:val="16"/>
                <w:szCs w:val="16"/>
              </w:rPr>
            </w:pPr>
            <w:r w:rsidRPr="00F920F0">
              <w:rPr>
                <w:color w:val="FF0000"/>
                <w:sz w:val="16"/>
                <w:szCs w:val="16"/>
              </w:rPr>
              <w:t>pomoce dydaktyczne;</w:t>
            </w:r>
          </w:p>
          <w:p w:rsidR="00F920F0" w:rsidRPr="00F920F0" w:rsidRDefault="00F920F0" w:rsidP="00F920F0">
            <w:pPr>
              <w:pStyle w:val="Tekstpodstawowy"/>
              <w:numPr>
                <w:ilvl w:val="1"/>
                <w:numId w:val="1"/>
              </w:numPr>
              <w:spacing w:line="240" w:lineRule="auto"/>
              <w:rPr>
                <w:color w:val="FF0000"/>
                <w:sz w:val="16"/>
                <w:szCs w:val="16"/>
              </w:rPr>
            </w:pPr>
            <w:r w:rsidRPr="00F920F0">
              <w:rPr>
                <w:color w:val="FF0000"/>
                <w:sz w:val="16"/>
                <w:szCs w:val="16"/>
              </w:rPr>
              <w:t>pozostałe środki trwałe oraz wartości niematerialne i prawne o wartości nieprzekraczającej wielkości ustalonej w przepisach o podatku dochodowym od osób prawnych, dla których odpisy amortyzacyjne są uznawane za koszt uzyskania przychodu w 100% ich wartości, w momencie oddania do używania.</w:t>
            </w:r>
          </w:p>
          <w:p w:rsidR="00F920F0" w:rsidRPr="00F920F0" w:rsidRDefault="00F920F0" w:rsidP="005A6A1E">
            <w:pPr>
              <w:pStyle w:val="Tekstpodstawowy"/>
              <w:numPr>
                <w:ilvl w:val="0"/>
                <w:numId w:val="3"/>
              </w:numPr>
              <w:spacing w:line="240" w:lineRule="auto"/>
              <w:ind w:left="213" w:hanging="213"/>
              <w:rPr>
                <w:color w:val="FF0000"/>
                <w:sz w:val="16"/>
                <w:szCs w:val="16"/>
              </w:rPr>
            </w:pPr>
            <w:r w:rsidRPr="00F920F0">
              <w:rPr>
                <w:color w:val="FF0000"/>
                <w:sz w:val="16"/>
                <w:szCs w:val="16"/>
              </w:rPr>
              <w:t>nie umarza się gruntów oraz dóbr kultury.</w:t>
            </w:r>
            <w:r w:rsidR="005A6A1E" w:rsidRPr="00F920F0">
              <w:rPr>
                <w:rFonts w:ascii="Calibri" w:hAnsi="Calibri" w:cs="Calibri"/>
                <w:color w:val="FF0000"/>
                <w:sz w:val="16"/>
                <w:szCs w:val="16"/>
                <w:lang w:eastAsia="pl-PL"/>
              </w:rPr>
              <w:t> </w:t>
            </w:r>
          </w:p>
        </w:tc>
      </w:tr>
      <w:tr w:rsidR="005A6A1E" w:rsidRPr="005A6A1E" w:rsidTr="005A6A1E">
        <w:trPr>
          <w:trHeight w:val="292"/>
        </w:trPr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6A1E" w:rsidRPr="005A6A1E" w:rsidRDefault="005A6A1E" w:rsidP="005A6A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5A6A1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lastRenderedPageBreak/>
              <w:t>5.</w:t>
            </w:r>
          </w:p>
        </w:tc>
        <w:tc>
          <w:tcPr>
            <w:tcW w:w="8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6A1E" w:rsidRPr="005A6A1E" w:rsidRDefault="005A6A1E" w:rsidP="005A6A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5A6A1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inne informacje</w:t>
            </w:r>
          </w:p>
        </w:tc>
      </w:tr>
      <w:tr w:rsidR="005A6A1E" w:rsidRPr="005A6A1E" w:rsidTr="005A6A1E">
        <w:trPr>
          <w:trHeight w:val="292"/>
        </w:trPr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6A1E" w:rsidRPr="005A6A1E" w:rsidRDefault="005A6A1E" w:rsidP="005A6A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5A6A1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 </w:t>
            </w:r>
          </w:p>
        </w:tc>
        <w:tc>
          <w:tcPr>
            <w:tcW w:w="8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6A1E" w:rsidRPr="005A6A1E" w:rsidRDefault="005A6A1E" w:rsidP="005A6A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5A6A1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 </w:t>
            </w:r>
            <w:r w:rsidR="00F920F0" w:rsidRPr="00F920F0">
              <w:rPr>
                <w:rFonts w:ascii="Calibri" w:eastAsia="Times New Roman" w:hAnsi="Calibri" w:cs="Calibri"/>
                <w:color w:val="FF0000"/>
                <w:sz w:val="28"/>
                <w:szCs w:val="28"/>
                <w:lang w:eastAsia="pl-PL"/>
              </w:rPr>
              <w:t>Wzajemne rozliczenia między jednostkami</w:t>
            </w:r>
            <w:bookmarkStart w:id="0" w:name="_GoBack"/>
            <w:bookmarkEnd w:id="0"/>
          </w:p>
        </w:tc>
      </w:tr>
      <w:tr w:rsidR="005A6A1E" w:rsidRPr="005A6A1E" w:rsidTr="005A6A1E">
        <w:trPr>
          <w:trHeight w:val="292"/>
        </w:trPr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6A1E" w:rsidRPr="005A6A1E" w:rsidRDefault="005A6A1E" w:rsidP="005A6A1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5A6A1E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II.</w:t>
            </w:r>
          </w:p>
        </w:tc>
        <w:tc>
          <w:tcPr>
            <w:tcW w:w="8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6A1E" w:rsidRPr="005A6A1E" w:rsidRDefault="005A6A1E" w:rsidP="005A6A1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5A6A1E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Dodatkowe informacje i objaśnienia obejmują w szczególności:</w:t>
            </w:r>
          </w:p>
        </w:tc>
      </w:tr>
      <w:tr w:rsidR="005A6A1E" w:rsidRPr="005A6A1E" w:rsidTr="005A6A1E">
        <w:trPr>
          <w:trHeight w:val="292"/>
        </w:trPr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6A1E" w:rsidRPr="005A6A1E" w:rsidRDefault="005A6A1E" w:rsidP="005A6A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5A6A1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1.</w:t>
            </w:r>
          </w:p>
        </w:tc>
        <w:tc>
          <w:tcPr>
            <w:tcW w:w="8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6A1E" w:rsidRPr="005A6A1E" w:rsidRDefault="005A6A1E" w:rsidP="005A6A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5A6A1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 </w:t>
            </w:r>
          </w:p>
        </w:tc>
      </w:tr>
      <w:tr w:rsidR="005A6A1E" w:rsidRPr="005A6A1E" w:rsidTr="005A6A1E">
        <w:trPr>
          <w:trHeight w:val="1458"/>
        </w:trPr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6A1E" w:rsidRPr="005A6A1E" w:rsidRDefault="005A6A1E" w:rsidP="005A6A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5A6A1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1.1.</w:t>
            </w:r>
          </w:p>
        </w:tc>
        <w:tc>
          <w:tcPr>
            <w:tcW w:w="8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6A1E" w:rsidRPr="005A6A1E" w:rsidRDefault="005A6A1E" w:rsidP="005A6A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5A6A1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 xml:space="preserve">szczegółowy zakres zmian wartości grup rodzajowych środków trwałych, wartości niematerialnych i prawnych, zawierający stan tych aktywów na początek roku obrotowego, zwiększenia i zmniejszenia z tytułu: aktualizacji wartości, nabycia, rozchodu, przemieszczenia wewnętrznego oraz stan końcowy, a dla majątku amortyzowanego </w:t>
            </w:r>
            <w:r w:rsidRPr="005A6A1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br/>
              <w:t>– podobne przedstawienie stanów i tytułów zmian dotychczasowej amortyzacji lub umorzenia</w:t>
            </w:r>
          </w:p>
        </w:tc>
      </w:tr>
      <w:tr w:rsidR="005A6A1E" w:rsidRPr="005A6A1E" w:rsidTr="005A6A1E">
        <w:trPr>
          <w:trHeight w:val="292"/>
        </w:trPr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6A1E" w:rsidRPr="005A6A1E" w:rsidRDefault="005A6A1E" w:rsidP="005A6A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5A6A1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 </w:t>
            </w:r>
          </w:p>
        </w:tc>
        <w:tc>
          <w:tcPr>
            <w:tcW w:w="8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1127"/>
              <w:gridCol w:w="1274"/>
              <w:gridCol w:w="1130"/>
              <w:gridCol w:w="1130"/>
              <w:gridCol w:w="1130"/>
              <w:gridCol w:w="1130"/>
              <w:gridCol w:w="1132"/>
            </w:tblGrid>
            <w:tr w:rsidR="00851CD8" w:rsidRPr="00C16284" w:rsidTr="00851CD8">
              <w:tc>
                <w:tcPr>
                  <w:tcW w:w="1127" w:type="dxa"/>
                  <w:vAlign w:val="center"/>
                </w:tcPr>
                <w:p w:rsidR="00851CD8" w:rsidRPr="00851CD8" w:rsidRDefault="00851CD8" w:rsidP="00F920F0">
                  <w:pPr>
                    <w:jc w:val="center"/>
                    <w:rPr>
                      <w:color w:val="FF0000"/>
                      <w:sz w:val="12"/>
                    </w:rPr>
                  </w:pPr>
                  <w:r w:rsidRPr="00851CD8">
                    <w:rPr>
                      <w:color w:val="FF0000"/>
                      <w:sz w:val="12"/>
                    </w:rPr>
                    <w:t>konto</w:t>
                  </w:r>
                </w:p>
              </w:tc>
              <w:tc>
                <w:tcPr>
                  <w:tcW w:w="1274" w:type="dxa"/>
                  <w:vAlign w:val="center"/>
                </w:tcPr>
                <w:p w:rsidR="00851CD8" w:rsidRPr="00851CD8" w:rsidRDefault="00851CD8" w:rsidP="00F920F0">
                  <w:pPr>
                    <w:jc w:val="center"/>
                    <w:rPr>
                      <w:color w:val="FF0000"/>
                      <w:sz w:val="12"/>
                    </w:rPr>
                  </w:pPr>
                  <w:r w:rsidRPr="00851CD8">
                    <w:rPr>
                      <w:color w:val="FF0000"/>
                      <w:sz w:val="12"/>
                    </w:rPr>
                    <w:t>Saldo na dzień 01.01.2018</w:t>
                  </w:r>
                </w:p>
              </w:tc>
              <w:tc>
                <w:tcPr>
                  <w:tcW w:w="1130" w:type="dxa"/>
                </w:tcPr>
                <w:p w:rsidR="00851CD8" w:rsidRPr="00851CD8" w:rsidRDefault="00851CD8" w:rsidP="00F920F0">
                  <w:pPr>
                    <w:jc w:val="center"/>
                    <w:rPr>
                      <w:color w:val="FF0000"/>
                      <w:sz w:val="12"/>
                    </w:rPr>
                  </w:pPr>
                  <w:r w:rsidRPr="00851CD8">
                    <w:rPr>
                      <w:color w:val="FF0000"/>
                      <w:sz w:val="12"/>
                    </w:rPr>
                    <w:t>zakup</w:t>
                  </w:r>
                </w:p>
              </w:tc>
              <w:tc>
                <w:tcPr>
                  <w:tcW w:w="1130" w:type="dxa"/>
                </w:tcPr>
                <w:p w:rsidR="00851CD8" w:rsidRPr="00851CD8" w:rsidRDefault="00851CD8" w:rsidP="00F920F0">
                  <w:pPr>
                    <w:jc w:val="center"/>
                    <w:rPr>
                      <w:color w:val="FF0000"/>
                      <w:sz w:val="12"/>
                    </w:rPr>
                  </w:pPr>
                  <w:r w:rsidRPr="00851CD8">
                    <w:rPr>
                      <w:color w:val="FF0000"/>
                      <w:sz w:val="12"/>
                    </w:rPr>
                    <w:t>aktualizacja</w:t>
                  </w:r>
                </w:p>
              </w:tc>
              <w:tc>
                <w:tcPr>
                  <w:tcW w:w="1130" w:type="dxa"/>
                </w:tcPr>
                <w:p w:rsidR="00851CD8" w:rsidRPr="00851CD8" w:rsidRDefault="00851CD8" w:rsidP="00F920F0">
                  <w:pPr>
                    <w:jc w:val="center"/>
                    <w:rPr>
                      <w:color w:val="FF0000"/>
                      <w:sz w:val="12"/>
                    </w:rPr>
                  </w:pPr>
                  <w:r w:rsidRPr="00851CD8">
                    <w:rPr>
                      <w:color w:val="FF0000"/>
                      <w:sz w:val="12"/>
                    </w:rPr>
                    <w:t>zbycie</w:t>
                  </w:r>
                </w:p>
              </w:tc>
              <w:tc>
                <w:tcPr>
                  <w:tcW w:w="1130" w:type="dxa"/>
                </w:tcPr>
                <w:p w:rsidR="00851CD8" w:rsidRPr="00851CD8" w:rsidRDefault="00851CD8" w:rsidP="00F920F0">
                  <w:pPr>
                    <w:jc w:val="center"/>
                    <w:rPr>
                      <w:color w:val="FF0000"/>
                      <w:sz w:val="12"/>
                    </w:rPr>
                  </w:pPr>
                  <w:r w:rsidRPr="00851CD8">
                    <w:rPr>
                      <w:color w:val="FF0000"/>
                      <w:sz w:val="12"/>
                    </w:rPr>
                    <w:t>likwidacja</w:t>
                  </w:r>
                </w:p>
              </w:tc>
              <w:tc>
                <w:tcPr>
                  <w:tcW w:w="1132" w:type="dxa"/>
                  <w:vAlign w:val="center"/>
                </w:tcPr>
                <w:p w:rsidR="00851CD8" w:rsidRPr="00851CD8" w:rsidRDefault="00851CD8" w:rsidP="00F920F0">
                  <w:pPr>
                    <w:jc w:val="center"/>
                    <w:rPr>
                      <w:color w:val="FF0000"/>
                      <w:sz w:val="12"/>
                    </w:rPr>
                  </w:pPr>
                  <w:r w:rsidRPr="00851CD8">
                    <w:rPr>
                      <w:color w:val="FF0000"/>
                      <w:sz w:val="12"/>
                    </w:rPr>
                    <w:t>Saldo na dzień 31.12.2018</w:t>
                  </w:r>
                </w:p>
              </w:tc>
            </w:tr>
            <w:tr w:rsidR="00851CD8" w:rsidTr="00851CD8">
              <w:tc>
                <w:tcPr>
                  <w:tcW w:w="1127" w:type="dxa"/>
                </w:tcPr>
                <w:p w:rsidR="00851CD8" w:rsidRPr="00851CD8" w:rsidRDefault="00851CD8" w:rsidP="00F920F0">
                  <w:pPr>
                    <w:rPr>
                      <w:color w:val="FF0000"/>
                    </w:rPr>
                  </w:pPr>
                  <w:r w:rsidRPr="00851CD8">
                    <w:rPr>
                      <w:color w:val="FF0000"/>
                    </w:rPr>
                    <w:t>011</w:t>
                  </w:r>
                </w:p>
              </w:tc>
              <w:tc>
                <w:tcPr>
                  <w:tcW w:w="1274" w:type="dxa"/>
                </w:tcPr>
                <w:p w:rsidR="00851CD8" w:rsidRPr="00851CD8" w:rsidRDefault="00851CD8" w:rsidP="00F920F0">
                  <w:pPr>
                    <w:rPr>
                      <w:color w:val="FF0000"/>
                    </w:rPr>
                  </w:pPr>
                </w:p>
              </w:tc>
              <w:tc>
                <w:tcPr>
                  <w:tcW w:w="1130" w:type="dxa"/>
                </w:tcPr>
                <w:p w:rsidR="00851CD8" w:rsidRPr="00851CD8" w:rsidRDefault="00851CD8" w:rsidP="00F920F0">
                  <w:pPr>
                    <w:rPr>
                      <w:color w:val="FF0000"/>
                    </w:rPr>
                  </w:pPr>
                </w:p>
              </w:tc>
              <w:tc>
                <w:tcPr>
                  <w:tcW w:w="1130" w:type="dxa"/>
                </w:tcPr>
                <w:p w:rsidR="00851CD8" w:rsidRPr="00851CD8" w:rsidRDefault="00851CD8" w:rsidP="00F920F0">
                  <w:pPr>
                    <w:rPr>
                      <w:color w:val="FF0000"/>
                    </w:rPr>
                  </w:pPr>
                </w:p>
              </w:tc>
              <w:tc>
                <w:tcPr>
                  <w:tcW w:w="1130" w:type="dxa"/>
                </w:tcPr>
                <w:p w:rsidR="00851CD8" w:rsidRPr="00851CD8" w:rsidRDefault="00851CD8" w:rsidP="00F920F0">
                  <w:pPr>
                    <w:rPr>
                      <w:color w:val="FF0000"/>
                    </w:rPr>
                  </w:pPr>
                </w:p>
              </w:tc>
              <w:tc>
                <w:tcPr>
                  <w:tcW w:w="1130" w:type="dxa"/>
                </w:tcPr>
                <w:p w:rsidR="00851CD8" w:rsidRPr="00851CD8" w:rsidRDefault="00851CD8" w:rsidP="00F920F0">
                  <w:pPr>
                    <w:rPr>
                      <w:color w:val="FF0000"/>
                    </w:rPr>
                  </w:pPr>
                </w:p>
              </w:tc>
              <w:tc>
                <w:tcPr>
                  <w:tcW w:w="1132" w:type="dxa"/>
                </w:tcPr>
                <w:p w:rsidR="00851CD8" w:rsidRPr="00851CD8" w:rsidRDefault="00851CD8" w:rsidP="00F920F0">
                  <w:pPr>
                    <w:rPr>
                      <w:color w:val="FF0000"/>
                    </w:rPr>
                  </w:pPr>
                </w:p>
              </w:tc>
            </w:tr>
            <w:tr w:rsidR="00851CD8" w:rsidTr="00851CD8">
              <w:tc>
                <w:tcPr>
                  <w:tcW w:w="1127" w:type="dxa"/>
                </w:tcPr>
                <w:p w:rsidR="00851CD8" w:rsidRPr="00851CD8" w:rsidRDefault="00851CD8" w:rsidP="00F920F0">
                  <w:pPr>
                    <w:rPr>
                      <w:color w:val="FF0000"/>
                    </w:rPr>
                  </w:pPr>
                  <w:r w:rsidRPr="00851CD8">
                    <w:rPr>
                      <w:color w:val="FF0000"/>
                    </w:rPr>
                    <w:t>013</w:t>
                  </w:r>
                </w:p>
              </w:tc>
              <w:tc>
                <w:tcPr>
                  <w:tcW w:w="1274" w:type="dxa"/>
                </w:tcPr>
                <w:p w:rsidR="00851CD8" w:rsidRPr="00851CD8" w:rsidRDefault="00851CD8" w:rsidP="00F920F0">
                  <w:pPr>
                    <w:rPr>
                      <w:color w:val="FF0000"/>
                    </w:rPr>
                  </w:pPr>
                </w:p>
              </w:tc>
              <w:tc>
                <w:tcPr>
                  <w:tcW w:w="1130" w:type="dxa"/>
                </w:tcPr>
                <w:p w:rsidR="00851CD8" w:rsidRPr="00851CD8" w:rsidRDefault="00851CD8" w:rsidP="00F920F0">
                  <w:pPr>
                    <w:rPr>
                      <w:color w:val="FF0000"/>
                    </w:rPr>
                  </w:pPr>
                </w:p>
              </w:tc>
              <w:tc>
                <w:tcPr>
                  <w:tcW w:w="1130" w:type="dxa"/>
                </w:tcPr>
                <w:p w:rsidR="00851CD8" w:rsidRPr="00851CD8" w:rsidRDefault="00851CD8" w:rsidP="00F920F0">
                  <w:pPr>
                    <w:rPr>
                      <w:color w:val="FF0000"/>
                    </w:rPr>
                  </w:pPr>
                </w:p>
              </w:tc>
              <w:tc>
                <w:tcPr>
                  <w:tcW w:w="1130" w:type="dxa"/>
                </w:tcPr>
                <w:p w:rsidR="00851CD8" w:rsidRPr="00851CD8" w:rsidRDefault="00851CD8" w:rsidP="00F920F0">
                  <w:pPr>
                    <w:rPr>
                      <w:color w:val="FF0000"/>
                    </w:rPr>
                  </w:pPr>
                </w:p>
              </w:tc>
              <w:tc>
                <w:tcPr>
                  <w:tcW w:w="1130" w:type="dxa"/>
                </w:tcPr>
                <w:p w:rsidR="00851CD8" w:rsidRPr="00851CD8" w:rsidRDefault="00851CD8" w:rsidP="00F920F0">
                  <w:pPr>
                    <w:rPr>
                      <w:color w:val="FF0000"/>
                    </w:rPr>
                  </w:pPr>
                </w:p>
              </w:tc>
              <w:tc>
                <w:tcPr>
                  <w:tcW w:w="1132" w:type="dxa"/>
                </w:tcPr>
                <w:p w:rsidR="00851CD8" w:rsidRPr="00851CD8" w:rsidRDefault="00851CD8" w:rsidP="00F920F0">
                  <w:pPr>
                    <w:rPr>
                      <w:color w:val="FF0000"/>
                    </w:rPr>
                  </w:pPr>
                </w:p>
              </w:tc>
            </w:tr>
            <w:tr w:rsidR="00851CD8" w:rsidTr="00851CD8">
              <w:tc>
                <w:tcPr>
                  <w:tcW w:w="1127" w:type="dxa"/>
                </w:tcPr>
                <w:p w:rsidR="00851CD8" w:rsidRPr="00851CD8" w:rsidRDefault="00851CD8" w:rsidP="00F920F0">
                  <w:pPr>
                    <w:rPr>
                      <w:color w:val="FF0000"/>
                    </w:rPr>
                  </w:pPr>
                  <w:r w:rsidRPr="00851CD8">
                    <w:rPr>
                      <w:color w:val="FF0000"/>
                    </w:rPr>
                    <w:t>014</w:t>
                  </w:r>
                </w:p>
              </w:tc>
              <w:tc>
                <w:tcPr>
                  <w:tcW w:w="1274" w:type="dxa"/>
                </w:tcPr>
                <w:p w:rsidR="00851CD8" w:rsidRPr="00851CD8" w:rsidRDefault="00851CD8" w:rsidP="00F920F0">
                  <w:pPr>
                    <w:rPr>
                      <w:color w:val="FF0000"/>
                    </w:rPr>
                  </w:pPr>
                </w:p>
              </w:tc>
              <w:tc>
                <w:tcPr>
                  <w:tcW w:w="1130" w:type="dxa"/>
                </w:tcPr>
                <w:p w:rsidR="00851CD8" w:rsidRPr="00851CD8" w:rsidRDefault="00851CD8" w:rsidP="00F920F0">
                  <w:pPr>
                    <w:rPr>
                      <w:color w:val="FF0000"/>
                    </w:rPr>
                  </w:pPr>
                </w:p>
              </w:tc>
              <w:tc>
                <w:tcPr>
                  <w:tcW w:w="1130" w:type="dxa"/>
                </w:tcPr>
                <w:p w:rsidR="00851CD8" w:rsidRPr="00851CD8" w:rsidRDefault="00851CD8" w:rsidP="00F920F0">
                  <w:pPr>
                    <w:rPr>
                      <w:color w:val="FF0000"/>
                    </w:rPr>
                  </w:pPr>
                </w:p>
              </w:tc>
              <w:tc>
                <w:tcPr>
                  <w:tcW w:w="1130" w:type="dxa"/>
                </w:tcPr>
                <w:p w:rsidR="00851CD8" w:rsidRPr="00851CD8" w:rsidRDefault="00851CD8" w:rsidP="00F920F0">
                  <w:pPr>
                    <w:rPr>
                      <w:color w:val="FF0000"/>
                    </w:rPr>
                  </w:pPr>
                </w:p>
              </w:tc>
              <w:tc>
                <w:tcPr>
                  <w:tcW w:w="1130" w:type="dxa"/>
                </w:tcPr>
                <w:p w:rsidR="00851CD8" w:rsidRPr="00851CD8" w:rsidRDefault="00851CD8" w:rsidP="00F920F0">
                  <w:pPr>
                    <w:rPr>
                      <w:color w:val="FF0000"/>
                    </w:rPr>
                  </w:pPr>
                </w:p>
              </w:tc>
              <w:tc>
                <w:tcPr>
                  <w:tcW w:w="1132" w:type="dxa"/>
                </w:tcPr>
                <w:p w:rsidR="00851CD8" w:rsidRPr="00851CD8" w:rsidRDefault="00851CD8" w:rsidP="00F920F0">
                  <w:pPr>
                    <w:rPr>
                      <w:color w:val="FF0000"/>
                    </w:rPr>
                  </w:pPr>
                </w:p>
              </w:tc>
            </w:tr>
            <w:tr w:rsidR="00851CD8" w:rsidTr="00851CD8">
              <w:tc>
                <w:tcPr>
                  <w:tcW w:w="1127" w:type="dxa"/>
                </w:tcPr>
                <w:p w:rsidR="00851CD8" w:rsidRPr="00851CD8" w:rsidRDefault="00851CD8" w:rsidP="00F920F0">
                  <w:pPr>
                    <w:rPr>
                      <w:color w:val="FF0000"/>
                    </w:rPr>
                  </w:pPr>
                  <w:r w:rsidRPr="00851CD8">
                    <w:rPr>
                      <w:color w:val="FF0000"/>
                    </w:rPr>
                    <w:t>016</w:t>
                  </w:r>
                </w:p>
              </w:tc>
              <w:tc>
                <w:tcPr>
                  <w:tcW w:w="1274" w:type="dxa"/>
                </w:tcPr>
                <w:p w:rsidR="00851CD8" w:rsidRPr="00851CD8" w:rsidRDefault="00851CD8" w:rsidP="00F920F0">
                  <w:pPr>
                    <w:rPr>
                      <w:color w:val="FF0000"/>
                    </w:rPr>
                  </w:pPr>
                </w:p>
              </w:tc>
              <w:tc>
                <w:tcPr>
                  <w:tcW w:w="1130" w:type="dxa"/>
                </w:tcPr>
                <w:p w:rsidR="00851CD8" w:rsidRPr="00851CD8" w:rsidRDefault="00851CD8" w:rsidP="00F920F0">
                  <w:pPr>
                    <w:rPr>
                      <w:color w:val="FF0000"/>
                    </w:rPr>
                  </w:pPr>
                </w:p>
              </w:tc>
              <w:tc>
                <w:tcPr>
                  <w:tcW w:w="1130" w:type="dxa"/>
                </w:tcPr>
                <w:p w:rsidR="00851CD8" w:rsidRPr="00851CD8" w:rsidRDefault="00851CD8" w:rsidP="00F920F0">
                  <w:pPr>
                    <w:rPr>
                      <w:color w:val="FF0000"/>
                    </w:rPr>
                  </w:pPr>
                </w:p>
              </w:tc>
              <w:tc>
                <w:tcPr>
                  <w:tcW w:w="1130" w:type="dxa"/>
                </w:tcPr>
                <w:p w:rsidR="00851CD8" w:rsidRPr="00851CD8" w:rsidRDefault="00851CD8" w:rsidP="00F920F0">
                  <w:pPr>
                    <w:rPr>
                      <w:color w:val="FF0000"/>
                    </w:rPr>
                  </w:pPr>
                </w:p>
              </w:tc>
              <w:tc>
                <w:tcPr>
                  <w:tcW w:w="1130" w:type="dxa"/>
                </w:tcPr>
                <w:p w:rsidR="00851CD8" w:rsidRPr="00851CD8" w:rsidRDefault="00851CD8" w:rsidP="00F920F0">
                  <w:pPr>
                    <w:rPr>
                      <w:color w:val="FF0000"/>
                    </w:rPr>
                  </w:pPr>
                </w:p>
              </w:tc>
              <w:tc>
                <w:tcPr>
                  <w:tcW w:w="1132" w:type="dxa"/>
                </w:tcPr>
                <w:p w:rsidR="00851CD8" w:rsidRPr="00851CD8" w:rsidRDefault="00851CD8" w:rsidP="00F920F0">
                  <w:pPr>
                    <w:rPr>
                      <w:color w:val="FF0000"/>
                    </w:rPr>
                  </w:pPr>
                </w:p>
              </w:tc>
            </w:tr>
            <w:tr w:rsidR="00851CD8" w:rsidTr="00851CD8">
              <w:tc>
                <w:tcPr>
                  <w:tcW w:w="1127" w:type="dxa"/>
                </w:tcPr>
                <w:p w:rsidR="00851CD8" w:rsidRPr="00851CD8" w:rsidRDefault="00851CD8" w:rsidP="00F920F0">
                  <w:pPr>
                    <w:rPr>
                      <w:color w:val="FF0000"/>
                    </w:rPr>
                  </w:pPr>
                  <w:r w:rsidRPr="00851CD8">
                    <w:rPr>
                      <w:color w:val="FF0000"/>
                    </w:rPr>
                    <w:t>017</w:t>
                  </w:r>
                </w:p>
              </w:tc>
              <w:tc>
                <w:tcPr>
                  <w:tcW w:w="1274" w:type="dxa"/>
                </w:tcPr>
                <w:p w:rsidR="00851CD8" w:rsidRPr="00851CD8" w:rsidRDefault="00851CD8" w:rsidP="00F920F0">
                  <w:pPr>
                    <w:rPr>
                      <w:color w:val="FF0000"/>
                    </w:rPr>
                  </w:pPr>
                </w:p>
              </w:tc>
              <w:tc>
                <w:tcPr>
                  <w:tcW w:w="1130" w:type="dxa"/>
                </w:tcPr>
                <w:p w:rsidR="00851CD8" w:rsidRPr="00851CD8" w:rsidRDefault="00851CD8" w:rsidP="00F920F0">
                  <w:pPr>
                    <w:rPr>
                      <w:color w:val="FF0000"/>
                    </w:rPr>
                  </w:pPr>
                </w:p>
              </w:tc>
              <w:tc>
                <w:tcPr>
                  <w:tcW w:w="1130" w:type="dxa"/>
                </w:tcPr>
                <w:p w:rsidR="00851CD8" w:rsidRPr="00851CD8" w:rsidRDefault="00851CD8" w:rsidP="00F920F0">
                  <w:pPr>
                    <w:rPr>
                      <w:color w:val="FF0000"/>
                    </w:rPr>
                  </w:pPr>
                </w:p>
              </w:tc>
              <w:tc>
                <w:tcPr>
                  <w:tcW w:w="1130" w:type="dxa"/>
                </w:tcPr>
                <w:p w:rsidR="00851CD8" w:rsidRPr="00851CD8" w:rsidRDefault="00851CD8" w:rsidP="00F920F0">
                  <w:pPr>
                    <w:rPr>
                      <w:color w:val="FF0000"/>
                    </w:rPr>
                  </w:pPr>
                </w:p>
              </w:tc>
              <w:tc>
                <w:tcPr>
                  <w:tcW w:w="1130" w:type="dxa"/>
                </w:tcPr>
                <w:p w:rsidR="00851CD8" w:rsidRPr="00851CD8" w:rsidRDefault="00851CD8" w:rsidP="00F920F0">
                  <w:pPr>
                    <w:rPr>
                      <w:color w:val="FF0000"/>
                    </w:rPr>
                  </w:pPr>
                </w:p>
              </w:tc>
              <w:tc>
                <w:tcPr>
                  <w:tcW w:w="1132" w:type="dxa"/>
                </w:tcPr>
                <w:p w:rsidR="00851CD8" w:rsidRPr="00851CD8" w:rsidRDefault="00851CD8" w:rsidP="00F920F0">
                  <w:pPr>
                    <w:rPr>
                      <w:color w:val="FF0000"/>
                    </w:rPr>
                  </w:pPr>
                </w:p>
              </w:tc>
            </w:tr>
            <w:tr w:rsidR="00851CD8" w:rsidTr="00851CD8">
              <w:tc>
                <w:tcPr>
                  <w:tcW w:w="1127" w:type="dxa"/>
                </w:tcPr>
                <w:p w:rsidR="00851CD8" w:rsidRPr="00851CD8" w:rsidRDefault="00851CD8" w:rsidP="00F920F0">
                  <w:pPr>
                    <w:rPr>
                      <w:color w:val="FF0000"/>
                    </w:rPr>
                  </w:pPr>
                  <w:r w:rsidRPr="00851CD8">
                    <w:rPr>
                      <w:color w:val="FF0000"/>
                    </w:rPr>
                    <w:t>020</w:t>
                  </w:r>
                </w:p>
              </w:tc>
              <w:tc>
                <w:tcPr>
                  <w:tcW w:w="1274" w:type="dxa"/>
                </w:tcPr>
                <w:p w:rsidR="00851CD8" w:rsidRPr="00851CD8" w:rsidRDefault="00851CD8" w:rsidP="00F920F0">
                  <w:pPr>
                    <w:rPr>
                      <w:color w:val="FF0000"/>
                    </w:rPr>
                  </w:pPr>
                </w:p>
              </w:tc>
              <w:tc>
                <w:tcPr>
                  <w:tcW w:w="1130" w:type="dxa"/>
                </w:tcPr>
                <w:p w:rsidR="00851CD8" w:rsidRPr="00851CD8" w:rsidRDefault="00851CD8" w:rsidP="00F920F0">
                  <w:pPr>
                    <w:rPr>
                      <w:color w:val="FF0000"/>
                    </w:rPr>
                  </w:pPr>
                </w:p>
              </w:tc>
              <w:tc>
                <w:tcPr>
                  <w:tcW w:w="1130" w:type="dxa"/>
                </w:tcPr>
                <w:p w:rsidR="00851CD8" w:rsidRPr="00851CD8" w:rsidRDefault="00851CD8" w:rsidP="00F920F0">
                  <w:pPr>
                    <w:rPr>
                      <w:color w:val="FF0000"/>
                    </w:rPr>
                  </w:pPr>
                </w:p>
              </w:tc>
              <w:tc>
                <w:tcPr>
                  <w:tcW w:w="1130" w:type="dxa"/>
                </w:tcPr>
                <w:p w:rsidR="00851CD8" w:rsidRPr="00851CD8" w:rsidRDefault="00851CD8" w:rsidP="00F920F0">
                  <w:pPr>
                    <w:rPr>
                      <w:color w:val="FF0000"/>
                    </w:rPr>
                  </w:pPr>
                </w:p>
              </w:tc>
              <w:tc>
                <w:tcPr>
                  <w:tcW w:w="1130" w:type="dxa"/>
                </w:tcPr>
                <w:p w:rsidR="00851CD8" w:rsidRPr="00851CD8" w:rsidRDefault="00851CD8" w:rsidP="00F920F0">
                  <w:pPr>
                    <w:rPr>
                      <w:color w:val="FF0000"/>
                    </w:rPr>
                  </w:pPr>
                </w:p>
              </w:tc>
              <w:tc>
                <w:tcPr>
                  <w:tcW w:w="1132" w:type="dxa"/>
                </w:tcPr>
                <w:p w:rsidR="00851CD8" w:rsidRPr="00851CD8" w:rsidRDefault="00851CD8" w:rsidP="00F920F0">
                  <w:pPr>
                    <w:rPr>
                      <w:color w:val="FF0000"/>
                    </w:rPr>
                  </w:pPr>
                </w:p>
              </w:tc>
            </w:tr>
            <w:tr w:rsidR="00851CD8" w:rsidTr="00851CD8">
              <w:tc>
                <w:tcPr>
                  <w:tcW w:w="1127" w:type="dxa"/>
                </w:tcPr>
                <w:p w:rsidR="00851CD8" w:rsidRPr="00851CD8" w:rsidRDefault="00851CD8" w:rsidP="00F920F0">
                  <w:pPr>
                    <w:rPr>
                      <w:color w:val="FF0000"/>
                    </w:rPr>
                  </w:pPr>
                  <w:r w:rsidRPr="00851CD8">
                    <w:rPr>
                      <w:color w:val="FF0000"/>
                    </w:rPr>
                    <w:t>071</w:t>
                  </w:r>
                </w:p>
              </w:tc>
              <w:tc>
                <w:tcPr>
                  <w:tcW w:w="1274" w:type="dxa"/>
                </w:tcPr>
                <w:p w:rsidR="00851CD8" w:rsidRPr="00851CD8" w:rsidRDefault="00851CD8" w:rsidP="00F920F0">
                  <w:pPr>
                    <w:rPr>
                      <w:color w:val="FF0000"/>
                    </w:rPr>
                  </w:pPr>
                </w:p>
              </w:tc>
              <w:tc>
                <w:tcPr>
                  <w:tcW w:w="1130" w:type="dxa"/>
                </w:tcPr>
                <w:p w:rsidR="00851CD8" w:rsidRPr="00851CD8" w:rsidRDefault="00851CD8" w:rsidP="00F920F0">
                  <w:pPr>
                    <w:rPr>
                      <w:color w:val="FF0000"/>
                    </w:rPr>
                  </w:pPr>
                </w:p>
              </w:tc>
              <w:tc>
                <w:tcPr>
                  <w:tcW w:w="1130" w:type="dxa"/>
                </w:tcPr>
                <w:p w:rsidR="00851CD8" w:rsidRPr="00851CD8" w:rsidRDefault="00851CD8" w:rsidP="00F920F0">
                  <w:pPr>
                    <w:rPr>
                      <w:color w:val="FF0000"/>
                    </w:rPr>
                  </w:pPr>
                </w:p>
              </w:tc>
              <w:tc>
                <w:tcPr>
                  <w:tcW w:w="1130" w:type="dxa"/>
                </w:tcPr>
                <w:p w:rsidR="00851CD8" w:rsidRPr="00851CD8" w:rsidRDefault="00851CD8" w:rsidP="00F920F0">
                  <w:pPr>
                    <w:rPr>
                      <w:color w:val="FF0000"/>
                    </w:rPr>
                  </w:pPr>
                </w:p>
              </w:tc>
              <w:tc>
                <w:tcPr>
                  <w:tcW w:w="1130" w:type="dxa"/>
                </w:tcPr>
                <w:p w:rsidR="00851CD8" w:rsidRPr="00851CD8" w:rsidRDefault="00851CD8" w:rsidP="00F920F0">
                  <w:pPr>
                    <w:rPr>
                      <w:color w:val="FF0000"/>
                    </w:rPr>
                  </w:pPr>
                </w:p>
              </w:tc>
              <w:tc>
                <w:tcPr>
                  <w:tcW w:w="1132" w:type="dxa"/>
                </w:tcPr>
                <w:p w:rsidR="00851CD8" w:rsidRPr="00851CD8" w:rsidRDefault="00851CD8" w:rsidP="00F920F0">
                  <w:pPr>
                    <w:rPr>
                      <w:color w:val="FF0000"/>
                    </w:rPr>
                  </w:pPr>
                </w:p>
              </w:tc>
            </w:tr>
            <w:tr w:rsidR="00851CD8" w:rsidTr="00851CD8">
              <w:tc>
                <w:tcPr>
                  <w:tcW w:w="1127" w:type="dxa"/>
                </w:tcPr>
                <w:p w:rsidR="00851CD8" w:rsidRPr="00851CD8" w:rsidRDefault="00851CD8" w:rsidP="00F920F0">
                  <w:pPr>
                    <w:rPr>
                      <w:color w:val="FF0000"/>
                    </w:rPr>
                  </w:pPr>
                  <w:r w:rsidRPr="00851CD8">
                    <w:rPr>
                      <w:color w:val="FF0000"/>
                    </w:rPr>
                    <w:t>072</w:t>
                  </w:r>
                </w:p>
              </w:tc>
              <w:tc>
                <w:tcPr>
                  <w:tcW w:w="1274" w:type="dxa"/>
                </w:tcPr>
                <w:p w:rsidR="00851CD8" w:rsidRPr="00851CD8" w:rsidRDefault="00851CD8" w:rsidP="00F920F0">
                  <w:pPr>
                    <w:rPr>
                      <w:color w:val="FF0000"/>
                    </w:rPr>
                  </w:pPr>
                </w:p>
              </w:tc>
              <w:tc>
                <w:tcPr>
                  <w:tcW w:w="1130" w:type="dxa"/>
                </w:tcPr>
                <w:p w:rsidR="00851CD8" w:rsidRPr="00851CD8" w:rsidRDefault="00851CD8" w:rsidP="00F920F0">
                  <w:pPr>
                    <w:rPr>
                      <w:color w:val="FF0000"/>
                    </w:rPr>
                  </w:pPr>
                </w:p>
              </w:tc>
              <w:tc>
                <w:tcPr>
                  <w:tcW w:w="1130" w:type="dxa"/>
                </w:tcPr>
                <w:p w:rsidR="00851CD8" w:rsidRPr="00851CD8" w:rsidRDefault="00851CD8" w:rsidP="00F920F0">
                  <w:pPr>
                    <w:rPr>
                      <w:color w:val="FF0000"/>
                    </w:rPr>
                  </w:pPr>
                </w:p>
              </w:tc>
              <w:tc>
                <w:tcPr>
                  <w:tcW w:w="1130" w:type="dxa"/>
                </w:tcPr>
                <w:p w:rsidR="00851CD8" w:rsidRPr="00851CD8" w:rsidRDefault="00851CD8" w:rsidP="00F920F0">
                  <w:pPr>
                    <w:rPr>
                      <w:color w:val="FF0000"/>
                    </w:rPr>
                  </w:pPr>
                </w:p>
              </w:tc>
              <w:tc>
                <w:tcPr>
                  <w:tcW w:w="1130" w:type="dxa"/>
                </w:tcPr>
                <w:p w:rsidR="00851CD8" w:rsidRPr="00851CD8" w:rsidRDefault="00851CD8" w:rsidP="00F920F0">
                  <w:pPr>
                    <w:rPr>
                      <w:color w:val="FF0000"/>
                    </w:rPr>
                  </w:pPr>
                </w:p>
              </w:tc>
              <w:tc>
                <w:tcPr>
                  <w:tcW w:w="1132" w:type="dxa"/>
                </w:tcPr>
                <w:p w:rsidR="00851CD8" w:rsidRPr="00851CD8" w:rsidRDefault="00851CD8" w:rsidP="00F920F0">
                  <w:pPr>
                    <w:rPr>
                      <w:color w:val="FF0000"/>
                    </w:rPr>
                  </w:pPr>
                </w:p>
              </w:tc>
            </w:tr>
          </w:tbl>
          <w:p w:rsidR="00F920F0" w:rsidRPr="005A6A1E" w:rsidRDefault="00F920F0" w:rsidP="005A6A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</w:p>
        </w:tc>
      </w:tr>
      <w:tr w:rsidR="005A6A1E" w:rsidRPr="005A6A1E" w:rsidTr="005A6A1E">
        <w:trPr>
          <w:trHeight w:val="583"/>
        </w:trPr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6A1E" w:rsidRPr="005A6A1E" w:rsidRDefault="005A6A1E" w:rsidP="005A6A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5A6A1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1.2.</w:t>
            </w:r>
          </w:p>
        </w:tc>
        <w:tc>
          <w:tcPr>
            <w:tcW w:w="8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6A1E" w:rsidRPr="005A6A1E" w:rsidRDefault="005A6A1E" w:rsidP="005A6A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5A6A1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aktualną wartość rynkową środków trwałych, w tym dóbr kultury – o ile jednostka dysponuje takimi informacjami</w:t>
            </w:r>
          </w:p>
        </w:tc>
      </w:tr>
      <w:tr w:rsidR="005A6A1E" w:rsidRPr="005A6A1E" w:rsidTr="005A6A1E">
        <w:trPr>
          <w:trHeight w:val="292"/>
        </w:trPr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6A1E" w:rsidRPr="005A6A1E" w:rsidRDefault="005A6A1E" w:rsidP="005A6A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5A6A1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 </w:t>
            </w:r>
          </w:p>
        </w:tc>
        <w:tc>
          <w:tcPr>
            <w:tcW w:w="8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6A1E" w:rsidRPr="005A6A1E" w:rsidRDefault="005A6A1E" w:rsidP="00E067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5A6A1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 </w:t>
            </w:r>
            <w:r w:rsidR="00851CD8" w:rsidRPr="00851CD8">
              <w:rPr>
                <w:rFonts w:ascii="Calibri" w:eastAsia="Times New Roman" w:hAnsi="Calibri" w:cs="Calibri"/>
                <w:color w:val="FF0000"/>
                <w:sz w:val="28"/>
                <w:szCs w:val="28"/>
                <w:lang w:eastAsia="pl-PL"/>
              </w:rPr>
              <w:t xml:space="preserve">Dane z </w:t>
            </w:r>
            <w:r w:rsidR="00E06742">
              <w:rPr>
                <w:rFonts w:ascii="Calibri" w:eastAsia="Times New Roman" w:hAnsi="Calibri" w:cs="Calibri"/>
                <w:color w:val="FF0000"/>
                <w:sz w:val="28"/>
                <w:szCs w:val="28"/>
                <w:lang w:eastAsia="pl-PL"/>
              </w:rPr>
              <w:t>polis lub nie dotyczy</w:t>
            </w:r>
          </w:p>
        </w:tc>
      </w:tr>
      <w:tr w:rsidR="005A6A1E" w:rsidRPr="005A6A1E" w:rsidTr="005A6A1E">
        <w:trPr>
          <w:trHeight w:val="583"/>
        </w:trPr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6A1E" w:rsidRPr="005A6A1E" w:rsidRDefault="005A6A1E" w:rsidP="005A6A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5A6A1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1.3.</w:t>
            </w:r>
          </w:p>
        </w:tc>
        <w:tc>
          <w:tcPr>
            <w:tcW w:w="8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6A1E" w:rsidRPr="005A6A1E" w:rsidRDefault="005A6A1E" w:rsidP="005A6A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5A6A1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kwotę dokonanych w trakcie roku obrotowego odpisów aktualizujących wartość aktywów trwałych odrębnie dla długoterminowych aktywów niefinansowych oraz długoterminowych aktywów finansowych</w:t>
            </w:r>
          </w:p>
        </w:tc>
      </w:tr>
      <w:tr w:rsidR="005A6A1E" w:rsidRPr="005A6A1E" w:rsidTr="005A6A1E">
        <w:trPr>
          <w:trHeight w:val="292"/>
        </w:trPr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6A1E" w:rsidRPr="005A6A1E" w:rsidRDefault="005A6A1E" w:rsidP="005A6A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5A6A1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 </w:t>
            </w:r>
          </w:p>
        </w:tc>
        <w:tc>
          <w:tcPr>
            <w:tcW w:w="8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6A1E" w:rsidRPr="00851CD8" w:rsidRDefault="005A6A1E" w:rsidP="005A6A1E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8"/>
                <w:szCs w:val="28"/>
                <w:lang w:eastAsia="pl-PL"/>
              </w:rPr>
            </w:pPr>
            <w:r w:rsidRPr="00851CD8">
              <w:rPr>
                <w:rFonts w:ascii="Calibri" w:eastAsia="Times New Roman" w:hAnsi="Calibri" w:cs="Calibri"/>
                <w:color w:val="FF0000"/>
                <w:sz w:val="28"/>
                <w:szCs w:val="28"/>
                <w:lang w:eastAsia="pl-PL"/>
              </w:rPr>
              <w:t> </w:t>
            </w:r>
            <w:r w:rsidR="00851CD8" w:rsidRPr="00851CD8">
              <w:rPr>
                <w:rFonts w:ascii="Calibri" w:eastAsia="Times New Roman" w:hAnsi="Calibri" w:cs="Calibri"/>
                <w:color w:val="FF0000"/>
                <w:sz w:val="28"/>
                <w:szCs w:val="28"/>
                <w:lang w:eastAsia="pl-PL"/>
              </w:rPr>
              <w:t>Nie dotyczy</w:t>
            </w:r>
          </w:p>
        </w:tc>
      </w:tr>
      <w:tr w:rsidR="005A6A1E" w:rsidRPr="005A6A1E" w:rsidTr="005A6A1E">
        <w:trPr>
          <w:trHeight w:val="292"/>
        </w:trPr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6A1E" w:rsidRPr="005A6A1E" w:rsidRDefault="005A6A1E" w:rsidP="005A6A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5A6A1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1.4.</w:t>
            </w:r>
          </w:p>
        </w:tc>
        <w:tc>
          <w:tcPr>
            <w:tcW w:w="8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6A1E" w:rsidRPr="005A6A1E" w:rsidRDefault="005A6A1E" w:rsidP="005A6A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5A6A1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wartość gruntów użytkowanych wieczyście</w:t>
            </w:r>
          </w:p>
        </w:tc>
      </w:tr>
      <w:tr w:rsidR="005A6A1E" w:rsidRPr="005A6A1E" w:rsidTr="005A6A1E">
        <w:trPr>
          <w:trHeight w:val="292"/>
        </w:trPr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6A1E" w:rsidRPr="005A6A1E" w:rsidRDefault="005A6A1E" w:rsidP="005A6A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5A6A1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 </w:t>
            </w:r>
          </w:p>
        </w:tc>
        <w:tc>
          <w:tcPr>
            <w:tcW w:w="8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6A1E" w:rsidRPr="005A6A1E" w:rsidRDefault="005A6A1E" w:rsidP="005A6A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5A6A1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 </w:t>
            </w:r>
            <w:r w:rsidR="00851CD8" w:rsidRPr="00851CD8">
              <w:rPr>
                <w:rFonts w:ascii="Calibri" w:eastAsia="Times New Roman" w:hAnsi="Calibri" w:cs="Calibri"/>
                <w:color w:val="FF0000"/>
                <w:sz w:val="28"/>
                <w:szCs w:val="28"/>
                <w:lang w:eastAsia="pl-PL"/>
              </w:rPr>
              <w:t>Nie dotyczy</w:t>
            </w:r>
            <w:r w:rsidR="00851CD8">
              <w:rPr>
                <w:rFonts w:ascii="Calibri" w:eastAsia="Times New Roman" w:hAnsi="Calibri" w:cs="Calibri"/>
                <w:color w:val="FF0000"/>
                <w:sz w:val="28"/>
                <w:szCs w:val="28"/>
                <w:lang w:eastAsia="pl-PL"/>
              </w:rPr>
              <w:t xml:space="preserve"> – chyba, że jednostka jest w posiadaniu wieczystego użytkowania określonego umową na podstawie k.c.</w:t>
            </w:r>
          </w:p>
        </w:tc>
      </w:tr>
      <w:tr w:rsidR="005A6A1E" w:rsidRPr="005A6A1E" w:rsidTr="005A6A1E">
        <w:trPr>
          <w:trHeight w:val="583"/>
        </w:trPr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6A1E" w:rsidRPr="005A6A1E" w:rsidRDefault="005A6A1E" w:rsidP="005A6A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5A6A1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1.5.</w:t>
            </w:r>
          </w:p>
        </w:tc>
        <w:tc>
          <w:tcPr>
            <w:tcW w:w="8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6A1E" w:rsidRPr="005A6A1E" w:rsidRDefault="005A6A1E" w:rsidP="005A6A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5A6A1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wartość nieamortyzowanych lub nieumarzanych przez jednostkę środków trwałych, używanych na podstawie umów najmu, dzierżawy i innych umów, w tym z tytułu umów leasingu</w:t>
            </w:r>
          </w:p>
        </w:tc>
      </w:tr>
      <w:tr w:rsidR="005A6A1E" w:rsidRPr="005A6A1E" w:rsidTr="005A6A1E">
        <w:trPr>
          <w:trHeight w:val="292"/>
        </w:trPr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6A1E" w:rsidRPr="005A6A1E" w:rsidRDefault="005A6A1E" w:rsidP="005A6A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5A6A1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 </w:t>
            </w:r>
          </w:p>
        </w:tc>
        <w:tc>
          <w:tcPr>
            <w:tcW w:w="8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6A1E" w:rsidRPr="005A6A1E" w:rsidRDefault="005A6A1E" w:rsidP="005A6A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5A6A1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 </w:t>
            </w:r>
            <w:r w:rsidR="00851CD8" w:rsidRPr="00851CD8">
              <w:rPr>
                <w:rFonts w:ascii="Calibri" w:eastAsia="Times New Roman" w:hAnsi="Calibri" w:cs="Calibri"/>
                <w:color w:val="FF0000"/>
                <w:sz w:val="28"/>
                <w:szCs w:val="28"/>
                <w:lang w:eastAsia="pl-PL"/>
              </w:rPr>
              <w:t>Np.</w:t>
            </w:r>
            <w:r w:rsidR="00851CD8">
              <w:rPr>
                <w:rFonts w:ascii="Calibri" w:eastAsia="Times New Roman" w:hAnsi="Calibri" w:cs="Calibri"/>
                <w:color w:val="FF0000"/>
                <w:sz w:val="28"/>
                <w:szCs w:val="28"/>
                <w:lang w:eastAsia="pl-PL"/>
              </w:rPr>
              <w:t xml:space="preserve"> </w:t>
            </w:r>
            <w:r w:rsidR="00851CD8" w:rsidRPr="00851CD8">
              <w:rPr>
                <w:rFonts w:ascii="Calibri" w:eastAsia="Times New Roman" w:hAnsi="Calibri" w:cs="Calibri"/>
                <w:color w:val="FF0000"/>
                <w:sz w:val="28"/>
                <w:szCs w:val="28"/>
                <w:lang w:eastAsia="pl-PL"/>
              </w:rPr>
              <w:t>ksero</w:t>
            </w:r>
          </w:p>
        </w:tc>
      </w:tr>
      <w:tr w:rsidR="005A6A1E" w:rsidRPr="005A6A1E" w:rsidTr="005A6A1E">
        <w:trPr>
          <w:trHeight w:val="583"/>
        </w:trPr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6A1E" w:rsidRPr="005A6A1E" w:rsidRDefault="005A6A1E" w:rsidP="005A6A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5A6A1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1.6.</w:t>
            </w:r>
          </w:p>
        </w:tc>
        <w:tc>
          <w:tcPr>
            <w:tcW w:w="8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6A1E" w:rsidRPr="005A6A1E" w:rsidRDefault="005A6A1E" w:rsidP="005A6A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5A6A1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liczbę oraz wartość posiadanych papierów wartościowych, w tym akcji i udziałów oraz dłużnych papierów wartościowych</w:t>
            </w:r>
          </w:p>
        </w:tc>
      </w:tr>
      <w:tr w:rsidR="005A6A1E" w:rsidRPr="005A6A1E" w:rsidTr="005A6A1E">
        <w:trPr>
          <w:trHeight w:val="292"/>
        </w:trPr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6A1E" w:rsidRPr="005A6A1E" w:rsidRDefault="005A6A1E" w:rsidP="005A6A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5A6A1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 </w:t>
            </w:r>
          </w:p>
        </w:tc>
        <w:tc>
          <w:tcPr>
            <w:tcW w:w="8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6A1E" w:rsidRPr="005A6A1E" w:rsidRDefault="005A6A1E" w:rsidP="005A6A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851CD8">
              <w:rPr>
                <w:rFonts w:ascii="Calibri" w:eastAsia="Times New Roman" w:hAnsi="Calibri" w:cs="Calibri"/>
                <w:color w:val="FF0000"/>
                <w:sz w:val="28"/>
                <w:szCs w:val="28"/>
                <w:lang w:eastAsia="pl-PL"/>
              </w:rPr>
              <w:t> </w:t>
            </w:r>
            <w:r w:rsidR="00851CD8" w:rsidRPr="00851CD8">
              <w:rPr>
                <w:rFonts w:ascii="Calibri" w:eastAsia="Times New Roman" w:hAnsi="Calibri" w:cs="Calibri"/>
                <w:color w:val="FF0000"/>
                <w:sz w:val="28"/>
                <w:szCs w:val="28"/>
                <w:lang w:eastAsia="pl-PL"/>
              </w:rPr>
              <w:t>Nie dotyczy</w:t>
            </w:r>
          </w:p>
        </w:tc>
      </w:tr>
      <w:tr w:rsidR="005A6A1E" w:rsidRPr="005A6A1E" w:rsidTr="005A6A1E">
        <w:trPr>
          <w:trHeight w:val="875"/>
        </w:trPr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6A1E" w:rsidRPr="005A6A1E" w:rsidRDefault="005A6A1E" w:rsidP="005A6A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5A6A1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1.7.</w:t>
            </w:r>
          </w:p>
        </w:tc>
        <w:tc>
          <w:tcPr>
            <w:tcW w:w="8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6A1E" w:rsidRPr="005A6A1E" w:rsidRDefault="005A6A1E" w:rsidP="005A6A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5A6A1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 xml:space="preserve">dane o odpisach aktualizujących wartość należności, ze wskazaniem stanu na początek roku obrotowego, zwiększeniach, wykorzystaniu, rozwiązaniu i stanie na koniec roku obrotowego, z uwzględnieniem </w:t>
            </w:r>
            <w:r w:rsidRPr="005A6A1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lastRenderedPageBreak/>
              <w:t>należności finansowych jednostek samorządu terytorialnego (stan pożyczek zagrożonych)</w:t>
            </w:r>
          </w:p>
        </w:tc>
      </w:tr>
      <w:tr w:rsidR="005A6A1E" w:rsidRPr="005A6A1E" w:rsidTr="005A6A1E">
        <w:trPr>
          <w:trHeight w:val="292"/>
        </w:trPr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6A1E" w:rsidRPr="005A6A1E" w:rsidRDefault="005A6A1E" w:rsidP="005A6A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5A6A1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lastRenderedPageBreak/>
              <w:t> </w:t>
            </w:r>
          </w:p>
        </w:tc>
        <w:tc>
          <w:tcPr>
            <w:tcW w:w="8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6A1E" w:rsidRPr="005A6A1E" w:rsidRDefault="005A6A1E" w:rsidP="005A6A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5A6A1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 </w:t>
            </w:r>
            <w:r w:rsidR="00851CD8" w:rsidRPr="00851CD8">
              <w:rPr>
                <w:rFonts w:ascii="Calibri" w:eastAsia="Times New Roman" w:hAnsi="Calibri" w:cs="Calibri"/>
                <w:color w:val="FF0000"/>
                <w:sz w:val="28"/>
                <w:szCs w:val="28"/>
                <w:lang w:eastAsia="pl-PL"/>
              </w:rPr>
              <w:t> </w:t>
            </w:r>
            <w:r w:rsidR="00851CD8">
              <w:rPr>
                <w:rFonts w:ascii="Calibri" w:eastAsia="Times New Roman" w:hAnsi="Calibri" w:cs="Calibri"/>
                <w:color w:val="FF0000"/>
                <w:sz w:val="28"/>
                <w:szCs w:val="28"/>
                <w:lang w:eastAsia="pl-PL"/>
              </w:rPr>
              <w:t>Konto 290</w:t>
            </w:r>
            <w:r w:rsidR="00E06742">
              <w:rPr>
                <w:rFonts w:ascii="Calibri" w:eastAsia="Times New Roman" w:hAnsi="Calibri" w:cs="Calibri"/>
                <w:color w:val="FF0000"/>
                <w:sz w:val="28"/>
                <w:szCs w:val="28"/>
                <w:lang w:eastAsia="pl-PL"/>
              </w:rPr>
              <w:t xml:space="preserve"> lub nie dotyczy</w:t>
            </w:r>
          </w:p>
        </w:tc>
      </w:tr>
      <w:tr w:rsidR="005A6A1E" w:rsidRPr="005A6A1E" w:rsidTr="005A6A1E">
        <w:trPr>
          <w:trHeight w:val="583"/>
        </w:trPr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6A1E" w:rsidRPr="005A6A1E" w:rsidRDefault="005A6A1E" w:rsidP="005A6A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5A6A1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1.8.</w:t>
            </w:r>
          </w:p>
        </w:tc>
        <w:tc>
          <w:tcPr>
            <w:tcW w:w="8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6A1E" w:rsidRPr="005A6A1E" w:rsidRDefault="005A6A1E" w:rsidP="005A6A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5A6A1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dane o stanie rezerw według celu ich utworzenia na początek roku obrotowego, zwiększeniach, wykorzystaniu, rozwiązaniu i stanie końcowym</w:t>
            </w:r>
          </w:p>
        </w:tc>
      </w:tr>
      <w:tr w:rsidR="005A6A1E" w:rsidRPr="005A6A1E" w:rsidTr="005A6A1E">
        <w:trPr>
          <w:trHeight w:val="292"/>
        </w:trPr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6A1E" w:rsidRPr="005A6A1E" w:rsidRDefault="005A6A1E" w:rsidP="005A6A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5A6A1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 </w:t>
            </w:r>
          </w:p>
        </w:tc>
        <w:tc>
          <w:tcPr>
            <w:tcW w:w="8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6A1E" w:rsidRPr="005A6A1E" w:rsidRDefault="005A6A1E" w:rsidP="005A6A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5A6A1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 </w:t>
            </w:r>
            <w:r w:rsidR="00851CD8" w:rsidRPr="00851CD8">
              <w:rPr>
                <w:rFonts w:ascii="Calibri" w:eastAsia="Times New Roman" w:hAnsi="Calibri" w:cs="Calibri"/>
                <w:color w:val="FF0000"/>
                <w:sz w:val="28"/>
                <w:szCs w:val="28"/>
                <w:lang w:eastAsia="pl-PL"/>
              </w:rPr>
              <w:t> Nie dotyczy</w:t>
            </w:r>
          </w:p>
        </w:tc>
      </w:tr>
      <w:tr w:rsidR="005A6A1E" w:rsidRPr="005A6A1E" w:rsidTr="005A6A1E">
        <w:trPr>
          <w:trHeight w:val="583"/>
        </w:trPr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6A1E" w:rsidRPr="005A6A1E" w:rsidRDefault="005A6A1E" w:rsidP="005A6A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5A6A1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1.9.</w:t>
            </w:r>
          </w:p>
        </w:tc>
        <w:tc>
          <w:tcPr>
            <w:tcW w:w="8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6A1E" w:rsidRPr="005A6A1E" w:rsidRDefault="005A6A1E" w:rsidP="005A6A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5A6A1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podział zobowiązań długoterminowych według pozycji bilansu o pozostałym od dnia bilansowego,</w:t>
            </w:r>
            <w:r w:rsidRPr="005A6A1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br/>
              <w:t xml:space="preserve">przewidywanym umową lub wynikającym z innego tytułu prawnego, okresie spłaty: </w:t>
            </w:r>
          </w:p>
        </w:tc>
      </w:tr>
      <w:tr w:rsidR="005A6A1E" w:rsidRPr="005A6A1E" w:rsidTr="005A6A1E">
        <w:trPr>
          <w:trHeight w:val="292"/>
        </w:trPr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6A1E" w:rsidRPr="005A6A1E" w:rsidRDefault="005A6A1E" w:rsidP="005A6A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5A6A1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a)</w:t>
            </w:r>
          </w:p>
        </w:tc>
        <w:tc>
          <w:tcPr>
            <w:tcW w:w="8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6A1E" w:rsidRPr="005A6A1E" w:rsidRDefault="005A6A1E" w:rsidP="005A6A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5A6A1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powyżej 1 roku do 3 lat</w:t>
            </w:r>
          </w:p>
        </w:tc>
      </w:tr>
      <w:tr w:rsidR="005A6A1E" w:rsidRPr="005A6A1E" w:rsidTr="005A6A1E">
        <w:trPr>
          <w:trHeight w:val="292"/>
        </w:trPr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6A1E" w:rsidRPr="005A6A1E" w:rsidRDefault="005A6A1E" w:rsidP="005A6A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5A6A1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 </w:t>
            </w:r>
          </w:p>
        </w:tc>
        <w:tc>
          <w:tcPr>
            <w:tcW w:w="8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6A1E" w:rsidRPr="005A6A1E" w:rsidRDefault="005A6A1E" w:rsidP="005A6A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5A6A1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 </w:t>
            </w:r>
            <w:r w:rsidR="00851CD8" w:rsidRPr="00851CD8">
              <w:rPr>
                <w:rFonts w:ascii="Calibri" w:eastAsia="Times New Roman" w:hAnsi="Calibri" w:cs="Calibri"/>
                <w:color w:val="FF0000"/>
                <w:sz w:val="28"/>
                <w:szCs w:val="28"/>
                <w:lang w:eastAsia="pl-PL"/>
              </w:rPr>
              <w:t> Nie dotyczy</w:t>
            </w:r>
          </w:p>
        </w:tc>
      </w:tr>
      <w:tr w:rsidR="005A6A1E" w:rsidRPr="005A6A1E" w:rsidTr="005A6A1E">
        <w:trPr>
          <w:trHeight w:val="292"/>
        </w:trPr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6A1E" w:rsidRPr="005A6A1E" w:rsidRDefault="005A6A1E" w:rsidP="005A6A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5A6A1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b)</w:t>
            </w:r>
          </w:p>
        </w:tc>
        <w:tc>
          <w:tcPr>
            <w:tcW w:w="8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6A1E" w:rsidRPr="005A6A1E" w:rsidRDefault="005A6A1E" w:rsidP="005A6A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5A6A1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powyżej 3 do 5 lat</w:t>
            </w:r>
          </w:p>
        </w:tc>
      </w:tr>
      <w:tr w:rsidR="005A6A1E" w:rsidRPr="005A6A1E" w:rsidTr="005A6A1E">
        <w:trPr>
          <w:trHeight w:val="292"/>
        </w:trPr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6A1E" w:rsidRPr="005A6A1E" w:rsidRDefault="005A6A1E" w:rsidP="005A6A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5A6A1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 </w:t>
            </w:r>
          </w:p>
        </w:tc>
        <w:tc>
          <w:tcPr>
            <w:tcW w:w="8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6A1E" w:rsidRPr="005A6A1E" w:rsidRDefault="005A6A1E" w:rsidP="005A6A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5A6A1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 </w:t>
            </w:r>
            <w:r w:rsidR="00851CD8" w:rsidRPr="00851CD8">
              <w:rPr>
                <w:rFonts w:ascii="Calibri" w:eastAsia="Times New Roman" w:hAnsi="Calibri" w:cs="Calibri"/>
                <w:color w:val="FF0000"/>
                <w:sz w:val="28"/>
                <w:szCs w:val="28"/>
                <w:lang w:eastAsia="pl-PL"/>
              </w:rPr>
              <w:t> Nie dotyczy</w:t>
            </w:r>
          </w:p>
        </w:tc>
      </w:tr>
      <w:tr w:rsidR="005A6A1E" w:rsidRPr="005A6A1E" w:rsidTr="005A6A1E">
        <w:trPr>
          <w:trHeight w:val="292"/>
        </w:trPr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6A1E" w:rsidRPr="005A6A1E" w:rsidRDefault="005A6A1E" w:rsidP="005A6A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5A6A1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c)</w:t>
            </w:r>
          </w:p>
        </w:tc>
        <w:tc>
          <w:tcPr>
            <w:tcW w:w="8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6A1E" w:rsidRPr="005A6A1E" w:rsidRDefault="005A6A1E" w:rsidP="005A6A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5A6A1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powyżej 5 lat</w:t>
            </w:r>
          </w:p>
        </w:tc>
      </w:tr>
      <w:tr w:rsidR="005A6A1E" w:rsidRPr="005A6A1E" w:rsidTr="005A6A1E">
        <w:trPr>
          <w:trHeight w:val="292"/>
        </w:trPr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6A1E" w:rsidRPr="005A6A1E" w:rsidRDefault="005A6A1E" w:rsidP="005A6A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5A6A1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 </w:t>
            </w:r>
          </w:p>
        </w:tc>
        <w:tc>
          <w:tcPr>
            <w:tcW w:w="8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6A1E" w:rsidRPr="005A6A1E" w:rsidRDefault="005A6A1E" w:rsidP="005A6A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5A6A1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 </w:t>
            </w:r>
            <w:r w:rsidR="00851CD8" w:rsidRPr="00851CD8">
              <w:rPr>
                <w:rFonts w:ascii="Calibri" w:eastAsia="Times New Roman" w:hAnsi="Calibri" w:cs="Calibri"/>
                <w:color w:val="FF0000"/>
                <w:sz w:val="28"/>
                <w:szCs w:val="28"/>
                <w:lang w:eastAsia="pl-PL"/>
              </w:rPr>
              <w:t> Nie dotyczy</w:t>
            </w:r>
          </w:p>
        </w:tc>
      </w:tr>
      <w:tr w:rsidR="005A6A1E" w:rsidRPr="005A6A1E" w:rsidTr="005A6A1E">
        <w:trPr>
          <w:trHeight w:val="875"/>
        </w:trPr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6A1E" w:rsidRPr="005A6A1E" w:rsidRDefault="005A6A1E" w:rsidP="005A6A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5A6A1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1.10.</w:t>
            </w:r>
          </w:p>
        </w:tc>
        <w:tc>
          <w:tcPr>
            <w:tcW w:w="8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6A1E" w:rsidRPr="005A6A1E" w:rsidRDefault="005A6A1E" w:rsidP="005A6A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5A6A1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kwotę zobowiązań w sytuacji gdy jednostka kwalifikuje umowy leasingu zgodnie z przepisami podatkowymi (leasing operacyjny), a według przepisów o rachunkowości byłby to leasing finansowy lub zwrotny z podziałem na kwotę zobowiązań z tytułu leasingu finansowego lub leasingu zwrotnego</w:t>
            </w:r>
          </w:p>
        </w:tc>
      </w:tr>
      <w:tr w:rsidR="005A6A1E" w:rsidRPr="005A6A1E" w:rsidTr="005A6A1E">
        <w:trPr>
          <w:trHeight w:val="292"/>
        </w:trPr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6A1E" w:rsidRPr="005A6A1E" w:rsidRDefault="005A6A1E" w:rsidP="005A6A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5A6A1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 </w:t>
            </w:r>
          </w:p>
        </w:tc>
        <w:tc>
          <w:tcPr>
            <w:tcW w:w="8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6A1E" w:rsidRPr="005A6A1E" w:rsidRDefault="005A6A1E" w:rsidP="005A6A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5A6A1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 </w:t>
            </w:r>
            <w:r w:rsidR="00851CD8" w:rsidRPr="00851CD8">
              <w:rPr>
                <w:rFonts w:ascii="Calibri" w:eastAsia="Times New Roman" w:hAnsi="Calibri" w:cs="Calibri"/>
                <w:color w:val="FF0000"/>
                <w:sz w:val="28"/>
                <w:szCs w:val="28"/>
                <w:lang w:eastAsia="pl-PL"/>
              </w:rPr>
              <w:t> Nie dotyczy</w:t>
            </w:r>
          </w:p>
        </w:tc>
      </w:tr>
      <w:tr w:rsidR="005A6A1E" w:rsidRPr="005A6A1E" w:rsidTr="005A6A1E">
        <w:trPr>
          <w:trHeight w:val="583"/>
        </w:trPr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6A1E" w:rsidRPr="005A6A1E" w:rsidRDefault="005A6A1E" w:rsidP="005A6A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5A6A1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1.11.</w:t>
            </w:r>
          </w:p>
        </w:tc>
        <w:tc>
          <w:tcPr>
            <w:tcW w:w="8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6A1E" w:rsidRPr="005A6A1E" w:rsidRDefault="005A6A1E" w:rsidP="005A6A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5A6A1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łączną kwotę zobowiązań zabezpieczonych na majątku jednostki ze wskazaniem charakteru i formy tych zabezpieczeń</w:t>
            </w:r>
          </w:p>
        </w:tc>
      </w:tr>
      <w:tr w:rsidR="005A6A1E" w:rsidRPr="005A6A1E" w:rsidTr="005A6A1E">
        <w:trPr>
          <w:trHeight w:val="292"/>
        </w:trPr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6A1E" w:rsidRPr="005A6A1E" w:rsidRDefault="005A6A1E" w:rsidP="005A6A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5A6A1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 </w:t>
            </w:r>
          </w:p>
        </w:tc>
        <w:tc>
          <w:tcPr>
            <w:tcW w:w="8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6A1E" w:rsidRPr="005A6A1E" w:rsidRDefault="005A6A1E" w:rsidP="005A6A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5A6A1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 </w:t>
            </w:r>
            <w:r w:rsidR="00851CD8" w:rsidRPr="00851CD8">
              <w:rPr>
                <w:rFonts w:ascii="Calibri" w:eastAsia="Times New Roman" w:hAnsi="Calibri" w:cs="Calibri"/>
                <w:color w:val="FF0000"/>
                <w:sz w:val="28"/>
                <w:szCs w:val="28"/>
                <w:lang w:eastAsia="pl-PL"/>
              </w:rPr>
              <w:t> Nie dotyczy</w:t>
            </w:r>
          </w:p>
        </w:tc>
      </w:tr>
      <w:tr w:rsidR="005A6A1E" w:rsidRPr="005A6A1E" w:rsidTr="005A6A1E">
        <w:trPr>
          <w:trHeight w:val="875"/>
        </w:trPr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6A1E" w:rsidRPr="005A6A1E" w:rsidRDefault="005A6A1E" w:rsidP="005A6A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5A6A1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1.12.</w:t>
            </w:r>
          </w:p>
        </w:tc>
        <w:tc>
          <w:tcPr>
            <w:tcW w:w="8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6A1E" w:rsidRPr="005A6A1E" w:rsidRDefault="005A6A1E" w:rsidP="005A6A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5A6A1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łączną kwotę zobowiązań warunkowych, w tym również udzielonych przez jednostkę gwarancji i poręczeń, także wekslowych, niewykazanych w bilansie, ze wskazaniem zobowiązań zabezpieczonych na majątku jednostki oraz charakteru i formy tych zabezpieczeń</w:t>
            </w:r>
          </w:p>
        </w:tc>
      </w:tr>
      <w:tr w:rsidR="005A6A1E" w:rsidRPr="005A6A1E" w:rsidTr="005A6A1E">
        <w:trPr>
          <w:trHeight w:val="292"/>
        </w:trPr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6A1E" w:rsidRPr="005A6A1E" w:rsidRDefault="005A6A1E" w:rsidP="005A6A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5A6A1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 </w:t>
            </w:r>
          </w:p>
        </w:tc>
        <w:tc>
          <w:tcPr>
            <w:tcW w:w="8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6A1E" w:rsidRPr="005A6A1E" w:rsidRDefault="005A6A1E" w:rsidP="005A6A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5A6A1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 </w:t>
            </w:r>
            <w:r w:rsidR="00851CD8" w:rsidRPr="00851CD8">
              <w:rPr>
                <w:rFonts w:ascii="Calibri" w:eastAsia="Times New Roman" w:hAnsi="Calibri" w:cs="Calibri"/>
                <w:color w:val="FF0000"/>
                <w:sz w:val="28"/>
                <w:szCs w:val="28"/>
                <w:lang w:eastAsia="pl-PL"/>
              </w:rPr>
              <w:t> Nie dotyczy</w:t>
            </w:r>
          </w:p>
        </w:tc>
      </w:tr>
      <w:tr w:rsidR="005A6A1E" w:rsidRPr="005A6A1E" w:rsidTr="005A6A1E">
        <w:trPr>
          <w:trHeight w:val="875"/>
        </w:trPr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6A1E" w:rsidRPr="005A6A1E" w:rsidRDefault="005A6A1E" w:rsidP="005A6A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5A6A1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1.13.</w:t>
            </w:r>
          </w:p>
        </w:tc>
        <w:tc>
          <w:tcPr>
            <w:tcW w:w="8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6A1E" w:rsidRPr="005A6A1E" w:rsidRDefault="005A6A1E" w:rsidP="005A6A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5A6A1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wykaz istotnych pozycji czynnych i biernych rozliczeń międzyokresowych, w tym kwotę czynnych rozliczeń międzyokresowych kosztów stanowiących różnicę między wartością otrzymanych finansowych składników aktywów a zobowiązaniem zapłaty za nie</w:t>
            </w:r>
          </w:p>
        </w:tc>
      </w:tr>
      <w:tr w:rsidR="005A6A1E" w:rsidRPr="005A6A1E" w:rsidTr="005A6A1E">
        <w:trPr>
          <w:trHeight w:val="292"/>
        </w:trPr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6A1E" w:rsidRPr="005A6A1E" w:rsidRDefault="005A6A1E" w:rsidP="005A6A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5A6A1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 </w:t>
            </w:r>
          </w:p>
        </w:tc>
        <w:tc>
          <w:tcPr>
            <w:tcW w:w="8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6A1E" w:rsidRPr="005A6A1E" w:rsidRDefault="005A6A1E" w:rsidP="005A6A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5A6A1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 </w:t>
            </w:r>
            <w:r w:rsidR="00851CD8" w:rsidRPr="00851CD8">
              <w:rPr>
                <w:rFonts w:ascii="Calibri" w:eastAsia="Times New Roman" w:hAnsi="Calibri" w:cs="Calibri"/>
                <w:color w:val="FF0000"/>
                <w:sz w:val="28"/>
                <w:szCs w:val="28"/>
                <w:lang w:eastAsia="pl-PL"/>
              </w:rPr>
              <w:t> Nie dotyczy</w:t>
            </w:r>
          </w:p>
        </w:tc>
      </w:tr>
      <w:tr w:rsidR="005A6A1E" w:rsidRPr="005A6A1E" w:rsidTr="005A6A1E">
        <w:trPr>
          <w:trHeight w:val="292"/>
        </w:trPr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6A1E" w:rsidRPr="005A6A1E" w:rsidRDefault="005A6A1E" w:rsidP="005A6A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5A6A1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1.14.</w:t>
            </w:r>
          </w:p>
        </w:tc>
        <w:tc>
          <w:tcPr>
            <w:tcW w:w="8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6A1E" w:rsidRPr="005A6A1E" w:rsidRDefault="005A6A1E" w:rsidP="005A6A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5A6A1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łączną kwotę otrzymanych przez jednostkę gwarancji i poręczeń niewykazanych w bilansie</w:t>
            </w:r>
          </w:p>
        </w:tc>
      </w:tr>
      <w:tr w:rsidR="005A6A1E" w:rsidRPr="005A6A1E" w:rsidTr="005A6A1E">
        <w:trPr>
          <w:trHeight w:val="292"/>
        </w:trPr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6A1E" w:rsidRPr="005A6A1E" w:rsidRDefault="005A6A1E" w:rsidP="005A6A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5A6A1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 </w:t>
            </w:r>
          </w:p>
        </w:tc>
        <w:tc>
          <w:tcPr>
            <w:tcW w:w="8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6A1E" w:rsidRPr="005A6A1E" w:rsidRDefault="005A6A1E" w:rsidP="005A6A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5A6A1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 </w:t>
            </w:r>
            <w:r w:rsidR="008938BB" w:rsidRPr="008938BB">
              <w:rPr>
                <w:rFonts w:ascii="Calibri" w:eastAsia="Times New Roman" w:hAnsi="Calibri" w:cs="Calibri"/>
                <w:color w:val="FF0000"/>
                <w:sz w:val="28"/>
                <w:szCs w:val="28"/>
                <w:lang w:eastAsia="pl-PL"/>
              </w:rPr>
              <w:t>Nie dotyczy chyba, że ktoś posiada takie gwarancje</w:t>
            </w:r>
          </w:p>
        </w:tc>
      </w:tr>
      <w:tr w:rsidR="005A6A1E" w:rsidRPr="005A6A1E" w:rsidTr="005A6A1E">
        <w:trPr>
          <w:trHeight w:val="292"/>
        </w:trPr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6A1E" w:rsidRPr="005A6A1E" w:rsidRDefault="005A6A1E" w:rsidP="005A6A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5A6A1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1.15.</w:t>
            </w:r>
          </w:p>
        </w:tc>
        <w:tc>
          <w:tcPr>
            <w:tcW w:w="8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6A1E" w:rsidRPr="005A6A1E" w:rsidRDefault="005A6A1E" w:rsidP="005A6A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5A6A1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 xml:space="preserve">kwotę wypłaconych środków pieniężnych na świadczenia pracownicze                                                                      </w:t>
            </w:r>
          </w:p>
        </w:tc>
      </w:tr>
      <w:tr w:rsidR="005A6A1E" w:rsidRPr="005A6A1E" w:rsidTr="005A6A1E">
        <w:trPr>
          <w:trHeight w:val="292"/>
        </w:trPr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6A1E" w:rsidRPr="005A6A1E" w:rsidRDefault="005A6A1E" w:rsidP="005A6A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5A6A1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lastRenderedPageBreak/>
              <w:t> </w:t>
            </w:r>
          </w:p>
        </w:tc>
        <w:tc>
          <w:tcPr>
            <w:tcW w:w="8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6A1E" w:rsidRPr="008938BB" w:rsidRDefault="005A6A1E" w:rsidP="005A6A1E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8"/>
                <w:szCs w:val="28"/>
                <w:lang w:eastAsia="pl-PL"/>
              </w:rPr>
            </w:pPr>
            <w:r w:rsidRPr="005A6A1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 </w:t>
            </w:r>
            <w:r w:rsidR="008938BB" w:rsidRPr="008938BB">
              <w:rPr>
                <w:rFonts w:ascii="Calibri" w:eastAsia="Times New Roman" w:hAnsi="Calibri" w:cs="Calibri"/>
                <w:color w:val="FF0000"/>
                <w:sz w:val="28"/>
                <w:szCs w:val="28"/>
                <w:lang w:eastAsia="pl-PL"/>
              </w:rPr>
              <w:t>Wynikające z regulaminu wynagradzania</w:t>
            </w:r>
          </w:p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2900"/>
              <w:gridCol w:w="1701"/>
            </w:tblGrid>
            <w:tr w:rsidR="008938BB" w:rsidRPr="00C16284" w:rsidTr="008938BB">
              <w:tc>
                <w:tcPr>
                  <w:tcW w:w="2900" w:type="dxa"/>
                  <w:vAlign w:val="center"/>
                </w:tcPr>
                <w:p w:rsidR="008938BB" w:rsidRPr="00C16284" w:rsidRDefault="008938BB" w:rsidP="008938BB">
                  <w:pPr>
                    <w:jc w:val="center"/>
                    <w:rPr>
                      <w:sz w:val="12"/>
                    </w:rPr>
                  </w:pPr>
                  <w:r w:rsidRPr="008938BB">
                    <w:rPr>
                      <w:color w:val="FF0000"/>
                      <w:sz w:val="16"/>
                    </w:rPr>
                    <w:t>Suma pozycji 1-5</w:t>
                  </w:r>
                </w:p>
              </w:tc>
              <w:tc>
                <w:tcPr>
                  <w:tcW w:w="1701" w:type="dxa"/>
                  <w:vAlign w:val="center"/>
                </w:tcPr>
                <w:p w:rsidR="008938BB" w:rsidRDefault="008938BB" w:rsidP="008938BB">
                  <w:pPr>
                    <w:jc w:val="center"/>
                    <w:rPr>
                      <w:sz w:val="12"/>
                    </w:rPr>
                  </w:pPr>
                </w:p>
                <w:p w:rsidR="008938BB" w:rsidRPr="00C16284" w:rsidRDefault="008938BB" w:rsidP="008938BB">
                  <w:pPr>
                    <w:jc w:val="center"/>
                    <w:rPr>
                      <w:sz w:val="12"/>
                    </w:rPr>
                  </w:pPr>
                </w:p>
              </w:tc>
            </w:tr>
            <w:tr w:rsidR="008938BB" w:rsidRPr="00861754" w:rsidTr="008938BB">
              <w:tc>
                <w:tcPr>
                  <w:tcW w:w="2900" w:type="dxa"/>
                </w:tcPr>
                <w:p w:rsidR="008938BB" w:rsidRPr="008938BB" w:rsidRDefault="008938BB" w:rsidP="008938BB">
                  <w:pPr>
                    <w:pStyle w:val="Akapitzlist"/>
                    <w:numPr>
                      <w:ilvl w:val="3"/>
                      <w:numId w:val="1"/>
                    </w:numPr>
                    <w:tabs>
                      <w:tab w:val="clear" w:pos="1680"/>
                    </w:tabs>
                    <w:ind w:left="382"/>
                    <w:rPr>
                      <w:rFonts w:ascii="Calibri" w:eastAsia="Times New Roman" w:hAnsi="Calibri" w:cs="Calibri"/>
                      <w:color w:val="FF0000"/>
                      <w:sz w:val="16"/>
                      <w:szCs w:val="28"/>
                    </w:rPr>
                  </w:pPr>
                  <w:r w:rsidRPr="008938BB">
                    <w:rPr>
                      <w:rFonts w:ascii="Calibri" w:eastAsia="Times New Roman" w:hAnsi="Calibri" w:cs="Calibri"/>
                      <w:color w:val="FF0000"/>
                      <w:sz w:val="16"/>
                      <w:szCs w:val="28"/>
                      <w:lang w:eastAsia="pl-PL"/>
                    </w:rPr>
                    <w:t xml:space="preserve">wynagrodzenia wraz z dodatkami </w:t>
                  </w:r>
                </w:p>
              </w:tc>
              <w:tc>
                <w:tcPr>
                  <w:tcW w:w="1701" w:type="dxa"/>
                </w:tcPr>
                <w:p w:rsidR="00714A28" w:rsidRPr="00861754" w:rsidRDefault="00714A28" w:rsidP="008938BB">
                  <w:pPr>
                    <w:rPr>
                      <w:sz w:val="16"/>
                    </w:rPr>
                  </w:pPr>
                </w:p>
              </w:tc>
            </w:tr>
            <w:tr w:rsidR="008938BB" w:rsidRPr="00861754" w:rsidTr="008938BB">
              <w:tc>
                <w:tcPr>
                  <w:tcW w:w="2900" w:type="dxa"/>
                </w:tcPr>
                <w:p w:rsidR="008938BB" w:rsidRPr="008938BB" w:rsidRDefault="008938BB" w:rsidP="008938BB">
                  <w:pPr>
                    <w:pStyle w:val="Akapitzlist"/>
                    <w:numPr>
                      <w:ilvl w:val="0"/>
                      <w:numId w:val="1"/>
                    </w:numPr>
                    <w:rPr>
                      <w:rFonts w:ascii="Calibri" w:eastAsia="Times New Roman" w:hAnsi="Calibri" w:cs="Calibri"/>
                      <w:color w:val="FF0000"/>
                      <w:sz w:val="16"/>
                      <w:szCs w:val="28"/>
                    </w:rPr>
                  </w:pPr>
                  <w:r w:rsidRPr="008938BB">
                    <w:rPr>
                      <w:rFonts w:ascii="Calibri" w:eastAsia="Times New Roman" w:hAnsi="Calibri" w:cs="Calibri"/>
                      <w:color w:val="FF0000"/>
                      <w:sz w:val="16"/>
                      <w:szCs w:val="28"/>
                      <w:lang w:eastAsia="pl-PL"/>
                    </w:rPr>
                    <w:t xml:space="preserve">nagrody </w:t>
                  </w:r>
                </w:p>
              </w:tc>
              <w:tc>
                <w:tcPr>
                  <w:tcW w:w="1701" w:type="dxa"/>
                </w:tcPr>
                <w:p w:rsidR="008938BB" w:rsidRPr="00861754" w:rsidRDefault="008938BB" w:rsidP="008938BB">
                  <w:pPr>
                    <w:rPr>
                      <w:sz w:val="16"/>
                    </w:rPr>
                  </w:pPr>
                </w:p>
              </w:tc>
            </w:tr>
            <w:tr w:rsidR="008938BB" w:rsidRPr="00861754" w:rsidTr="008938BB">
              <w:tc>
                <w:tcPr>
                  <w:tcW w:w="2900" w:type="dxa"/>
                </w:tcPr>
                <w:p w:rsidR="008938BB" w:rsidRPr="008938BB" w:rsidRDefault="008938BB" w:rsidP="008938BB">
                  <w:pPr>
                    <w:pStyle w:val="Akapitzlist"/>
                    <w:numPr>
                      <w:ilvl w:val="0"/>
                      <w:numId w:val="1"/>
                    </w:numPr>
                    <w:rPr>
                      <w:rFonts w:ascii="Calibri" w:eastAsia="Times New Roman" w:hAnsi="Calibri" w:cs="Calibri"/>
                      <w:color w:val="FF0000"/>
                      <w:sz w:val="16"/>
                      <w:szCs w:val="28"/>
                    </w:rPr>
                  </w:pPr>
                  <w:r w:rsidRPr="008938BB">
                    <w:rPr>
                      <w:rFonts w:ascii="Calibri" w:eastAsia="Times New Roman" w:hAnsi="Calibri" w:cs="Calibri"/>
                      <w:color w:val="FF0000"/>
                      <w:sz w:val="16"/>
                      <w:szCs w:val="28"/>
                      <w:lang w:eastAsia="pl-PL"/>
                    </w:rPr>
                    <w:t xml:space="preserve">nagrody jubileuszowe </w:t>
                  </w:r>
                </w:p>
              </w:tc>
              <w:tc>
                <w:tcPr>
                  <w:tcW w:w="1701" w:type="dxa"/>
                </w:tcPr>
                <w:p w:rsidR="008938BB" w:rsidRPr="00861754" w:rsidRDefault="008938BB" w:rsidP="008938BB">
                  <w:pPr>
                    <w:rPr>
                      <w:sz w:val="16"/>
                    </w:rPr>
                  </w:pPr>
                </w:p>
              </w:tc>
            </w:tr>
            <w:tr w:rsidR="008938BB" w:rsidRPr="00861754" w:rsidTr="008938BB">
              <w:tc>
                <w:tcPr>
                  <w:tcW w:w="2900" w:type="dxa"/>
                </w:tcPr>
                <w:p w:rsidR="008938BB" w:rsidRPr="008938BB" w:rsidRDefault="008938BB" w:rsidP="008938BB">
                  <w:pPr>
                    <w:pStyle w:val="Akapitzlist"/>
                    <w:numPr>
                      <w:ilvl w:val="0"/>
                      <w:numId w:val="1"/>
                    </w:numPr>
                    <w:rPr>
                      <w:rFonts w:ascii="Calibri" w:eastAsia="Times New Roman" w:hAnsi="Calibri" w:cs="Calibri"/>
                      <w:color w:val="FF0000"/>
                      <w:sz w:val="16"/>
                      <w:szCs w:val="28"/>
                    </w:rPr>
                  </w:pPr>
                  <w:r w:rsidRPr="008938BB">
                    <w:rPr>
                      <w:rFonts w:ascii="Calibri" w:eastAsia="Times New Roman" w:hAnsi="Calibri" w:cs="Calibri"/>
                      <w:color w:val="FF0000"/>
                      <w:sz w:val="16"/>
                      <w:szCs w:val="28"/>
                      <w:lang w:eastAsia="pl-PL"/>
                    </w:rPr>
                    <w:t xml:space="preserve">odprawy emerytalne </w:t>
                  </w:r>
                </w:p>
              </w:tc>
              <w:tc>
                <w:tcPr>
                  <w:tcW w:w="1701" w:type="dxa"/>
                </w:tcPr>
                <w:p w:rsidR="008938BB" w:rsidRPr="00861754" w:rsidRDefault="008938BB" w:rsidP="008938BB">
                  <w:pPr>
                    <w:rPr>
                      <w:sz w:val="16"/>
                    </w:rPr>
                  </w:pPr>
                </w:p>
              </w:tc>
            </w:tr>
            <w:tr w:rsidR="008938BB" w:rsidRPr="00861754" w:rsidTr="008938BB">
              <w:tc>
                <w:tcPr>
                  <w:tcW w:w="2900" w:type="dxa"/>
                </w:tcPr>
                <w:p w:rsidR="008938BB" w:rsidRPr="008938BB" w:rsidRDefault="008938BB" w:rsidP="008938BB">
                  <w:pPr>
                    <w:pStyle w:val="Akapitzlist"/>
                    <w:numPr>
                      <w:ilvl w:val="0"/>
                      <w:numId w:val="1"/>
                    </w:numPr>
                    <w:rPr>
                      <w:sz w:val="16"/>
                    </w:rPr>
                  </w:pPr>
                  <w:r w:rsidRPr="008938BB">
                    <w:rPr>
                      <w:rFonts w:ascii="Calibri" w:eastAsia="Times New Roman" w:hAnsi="Calibri" w:cs="Calibri"/>
                      <w:color w:val="FF0000"/>
                      <w:sz w:val="16"/>
                      <w:szCs w:val="28"/>
                      <w:lang w:eastAsia="pl-PL"/>
                    </w:rPr>
                    <w:t xml:space="preserve">odprawy rentowe </w:t>
                  </w:r>
                </w:p>
              </w:tc>
              <w:tc>
                <w:tcPr>
                  <w:tcW w:w="1701" w:type="dxa"/>
                </w:tcPr>
                <w:p w:rsidR="008938BB" w:rsidRPr="00861754" w:rsidRDefault="008938BB" w:rsidP="008938BB">
                  <w:pPr>
                    <w:rPr>
                      <w:sz w:val="16"/>
                    </w:rPr>
                  </w:pPr>
                </w:p>
              </w:tc>
            </w:tr>
          </w:tbl>
          <w:p w:rsidR="008938BB" w:rsidRPr="008938BB" w:rsidRDefault="008938BB" w:rsidP="008938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</w:p>
        </w:tc>
      </w:tr>
      <w:tr w:rsidR="005A6A1E" w:rsidRPr="005A6A1E" w:rsidTr="005A6A1E">
        <w:trPr>
          <w:trHeight w:val="292"/>
        </w:trPr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6A1E" w:rsidRPr="005A6A1E" w:rsidRDefault="005A6A1E" w:rsidP="005A6A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5A6A1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1.16.</w:t>
            </w:r>
          </w:p>
        </w:tc>
        <w:tc>
          <w:tcPr>
            <w:tcW w:w="8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6A1E" w:rsidRPr="005A6A1E" w:rsidRDefault="005A6A1E" w:rsidP="005A6A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5A6A1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inne informacje</w:t>
            </w:r>
          </w:p>
        </w:tc>
      </w:tr>
      <w:tr w:rsidR="005A6A1E" w:rsidRPr="005A6A1E" w:rsidTr="005A6A1E">
        <w:trPr>
          <w:trHeight w:val="292"/>
        </w:trPr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6A1E" w:rsidRPr="005A6A1E" w:rsidRDefault="005A6A1E" w:rsidP="005A6A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5A6A1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 </w:t>
            </w:r>
          </w:p>
        </w:tc>
        <w:tc>
          <w:tcPr>
            <w:tcW w:w="8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6A1E" w:rsidRPr="005A6A1E" w:rsidRDefault="005A6A1E" w:rsidP="005A6A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8938BB">
              <w:rPr>
                <w:rFonts w:ascii="Calibri" w:eastAsia="Times New Roman" w:hAnsi="Calibri" w:cs="Calibri"/>
                <w:color w:val="FF0000"/>
                <w:sz w:val="28"/>
                <w:szCs w:val="28"/>
                <w:lang w:eastAsia="pl-PL"/>
              </w:rPr>
              <w:t> </w:t>
            </w:r>
            <w:r w:rsidR="008938BB" w:rsidRPr="008938BB">
              <w:rPr>
                <w:rFonts w:ascii="Calibri" w:eastAsia="Times New Roman" w:hAnsi="Calibri" w:cs="Calibri"/>
                <w:color w:val="FF0000"/>
                <w:sz w:val="28"/>
                <w:szCs w:val="28"/>
                <w:lang w:eastAsia="pl-PL"/>
              </w:rPr>
              <w:t>Nie dotyczy wartość wpisana w poz.1.1</w:t>
            </w:r>
          </w:p>
        </w:tc>
      </w:tr>
      <w:tr w:rsidR="005A6A1E" w:rsidRPr="005A6A1E" w:rsidTr="005A6A1E">
        <w:trPr>
          <w:trHeight w:val="292"/>
        </w:trPr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6A1E" w:rsidRPr="005A6A1E" w:rsidRDefault="005A6A1E" w:rsidP="005A6A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5A6A1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2.</w:t>
            </w:r>
          </w:p>
        </w:tc>
        <w:tc>
          <w:tcPr>
            <w:tcW w:w="8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6A1E" w:rsidRPr="005A6A1E" w:rsidRDefault="005A6A1E" w:rsidP="005A6A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5A6A1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 </w:t>
            </w:r>
          </w:p>
        </w:tc>
      </w:tr>
      <w:tr w:rsidR="005A6A1E" w:rsidRPr="005A6A1E" w:rsidTr="005A6A1E">
        <w:trPr>
          <w:trHeight w:val="292"/>
        </w:trPr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6A1E" w:rsidRPr="005A6A1E" w:rsidRDefault="005A6A1E" w:rsidP="005A6A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5A6A1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2.1.</w:t>
            </w:r>
          </w:p>
        </w:tc>
        <w:tc>
          <w:tcPr>
            <w:tcW w:w="8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6A1E" w:rsidRPr="005A6A1E" w:rsidRDefault="005A6A1E" w:rsidP="005A6A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5A6A1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wysokość odpisów aktualizujących wartość zapasów</w:t>
            </w:r>
          </w:p>
        </w:tc>
      </w:tr>
      <w:tr w:rsidR="005A6A1E" w:rsidRPr="005A6A1E" w:rsidTr="005A6A1E">
        <w:trPr>
          <w:trHeight w:val="292"/>
        </w:trPr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6A1E" w:rsidRPr="005A6A1E" w:rsidRDefault="005A6A1E" w:rsidP="005A6A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5A6A1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 </w:t>
            </w:r>
          </w:p>
        </w:tc>
        <w:tc>
          <w:tcPr>
            <w:tcW w:w="8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6A1E" w:rsidRPr="005A6A1E" w:rsidRDefault="005A6A1E" w:rsidP="005A6A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5A6A1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 </w:t>
            </w:r>
            <w:r w:rsidR="008938BB" w:rsidRPr="008938BB">
              <w:rPr>
                <w:rFonts w:ascii="Calibri" w:eastAsia="Times New Roman" w:hAnsi="Calibri" w:cs="Calibri"/>
                <w:color w:val="FF0000"/>
                <w:sz w:val="28"/>
                <w:szCs w:val="28"/>
                <w:lang w:eastAsia="pl-PL"/>
              </w:rPr>
              <w:t>nie dotyczy</w:t>
            </w:r>
          </w:p>
        </w:tc>
      </w:tr>
      <w:tr w:rsidR="005A6A1E" w:rsidRPr="005A6A1E" w:rsidTr="005A6A1E">
        <w:trPr>
          <w:trHeight w:val="583"/>
        </w:trPr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6A1E" w:rsidRPr="005A6A1E" w:rsidRDefault="005A6A1E" w:rsidP="005A6A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5A6A1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2.2.</w:t>
            </w:r>
          </w:p>
        </w:tc>
        <w:tc>
          <w:tcPr>
            <w:tcW w:w="8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6A1E" w:rsidRPr="005A6A1E" w:rsidRDefault="005A6A1E" w:rsidP="005A6A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5A6A1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koszt wytworzenia środków trwałych w budowie, w tym odsetki oraz różnice kursowe, które powiększyły koszt wytworzenia środków trwałych w budowie w roku obrotowym</w:t>
            </w:r>
          </w:p>
        </w:tc>
      </w:tr>
      <w:tr w:rsidR="005A6A1E" w:rsidRPr="005A6A1E" w:rsidTr="005A6A1E">
        <w:trPr>
          <w:trHeight w:val="292"/>
        </w:trPr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6A1E" w:rsidRPr="005A6A1E" w:rsidRDefault="005A6A1E" w:rsidP="005A6A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5A6A1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 </w:t>
            </w:r>
          </w:p>
        </w:tc>
        <w:tc>
          <w:tcPr>
            <w:tcW w:w="8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1127"/>
              <w:gridCol w:w="1274"/>
              <w:gridCol w:w="1130"/>
            </w:tblGrid>
            <w:tr w:rsidR="008938BB" w:rsidRPr="00851CD8" w:rsidTr="008003D4">
              <w:tc>
                <w:tcPr>
                  <w:tcW w:w="1127" w:type="dxa"/>
                  <w:vAlign w:val="center"/>
                </w:tcPr>
                <w:p w:rsidR="008938BB" w:rsidRPr="00851CD8" w:rsidRDefault="008938BB" w:rsidP="008938BB">
                  <w:pPr>
                    <w:jc w:val="center"/>
                    <w:rPr>
                      <w:color w:val="FF0000"/>
                      <w:sz w:val="12"/>
                    </w:rPr>
                  </w:pPr>
                  <w:r w:rsidRPr="00851CD8">
                    <w:rPr>
                      <w:color w:val="FF0000"/>
                      <w:sz w:val="12"/>
                    </w:rPr>
                    <w:t>konto</w:t>
                  </w:r>
                </w:p>
              </w:tc>
              <w:tc>
                <w:tcPr>
                  <w:tcW w:w="1274" w:type="dxa"/>
                  <w:vAlign w:val="center"/>
                </w:tcPr>
                <w:p w:rsidR="008938BB" w:rsidRPr="00851CD8" w:rsidRDefault="008938BB" w:rsidP="008938BB">
                  <w:pPr>
                    <w:jc w:val="center"/>
                    <w:rPr>
                      <w:color w:val="FF0000"/>
                      <w:sz w:val="12"/>
                    </w:rPr>
                  </w:pPr>
                  <w:r w:rsidRPr="00851CD8">
                    <w:rPr>
                      <w:color w:val="FF0000"/>
                      <w:sz w:val="12"/>
                    </w:rPr>
                    <w:t>Saldo na dzień 01.01.2018</w:t>
                  </w:r>
                </w:p>
              </w:tc>
              <w:tc>
                <w:tcPr>
                  <w:tcW w:w="1130" w:type="dxa"/>
                </w:tcPr>
                <w:p w:rsidR="008938BB" w:rsidRPr="00851CD8" w:rsidRDefault="008938BB" w:rsidP="008938BB">
                  <w:pPr>
                    <w:jc w:val="center"/>
                    <w:rPr>
                      <w:color w:val="FF0000"/>
                      <w:sz w:val="12"/>
                    </w:rPr>
                  </w:pPr>
                  <w:r>
                    <w:rPr>
                      <w:color w:val="FF0000"/>
                      <w:sz w:val="12"/>
                    </w:rPr>
                    <w:t>Saldo na dzień 31.12.2018</w:t>
                  </w:r>
                </w:p>
              </w:tc>
            </w:tr>
            <w:tr w:rsidR="008938BB" w:rsidRPr="00851CD8" w:rsidTr="008003D4">
              <w:tc>
                <w:tcPr>
                  <w:tcW w:w="1127" w:type="dxa"/>
                </w:tcPr>
                <w:p w:rsidR="008938BB" w:rsidRPr="00851CD8" w:rsidRDefault="008938BB" w:rsidP="008938BB">
                  <w:pPr>
                    <w:rPr>
                      <w:color w:val="FF0000"/>
                    </w:rPr>
                  </w:pPr>
                  <w:r w:rsidRPr="00851CD8">
                    <w:rPr>
                      <w:color w:val="FF0000"/>
                    </w:rPr>
                    <w:t>0</w:t>
                  </w:r>
                  <w:r>
                    <w:rPr>
                      <w:color w:val="FF0000"/>
                    </w:rPr>
                    <w:t>80</w:t>
                  </w:r>
                </w:p>
              </w:tc>
              <w:tc>
                <w:tcPr>
                  <w:tcW w:w="1274" w:type="dxa"/>
                </w:tcPr>
                <w:p w:rsidR="008938BB" w:rsidRPr="00851CD8" w:rsidRDefault="008938BB" w:rsidP="008938BB">
                  <w:pPr>
                    <w:rPr>
                      <w:color w:val="FF0000"/>
                    </w:rPr>
                  </w:pPr>
                </w:p>
              </w:tc>
              <w:tc>
                <w:tcPr>
                  <w:tcW w:w="1130" w:type="dxa"/>
                </w:tcPr>
                <w:p w:rsidR="008938BB" w:rsidRPr="00851CD8" w:rsidRDefault="008938BB" w:rsidP="008938BB">
                  <w:pPr>
                    <w:rPr>
                      <w:color w:val="FF0000"/>
                    </w:rPr>
                  </w:pPr>
                </w:p>
              </w:tc>
            </w:tr>
          </w:tbl>
          <w:p w:rsidR="008938BB" w:rsidRPr="005A6A1E" w:rsidRDefault="008938BB" w:rsidP="005A6A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</w:p>
        </w:tc>
      </w:tr>
      <w:tr w:rsidR="005A6A1E" w:rsidRPr="005A6A1E" w:rsidTr="005A6A1E">
        <w:trPr>
          <w:trHeight w:val="583"/>
        </w:trPr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6A1E" w:rsidRPr="005A6A1E" w:rsidRDefault="005A6A1E" w:rsidP="005A6A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5A6A1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2.3.</w:t>
            </w:r>
          </w:p>
        </w:tc>
        <w:tc>
          <w:tcPr>
            <w:tcW w:w="8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6A1E" w:rsidRPr="005A6A1E" w:rsidRDefault="005A6A1E" w:rsidP="005A6A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5A6A1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kwotę i charakter poszczególnych pozycji przychodów lub kosztów o nadzwyczajnej wartości lub które wystąpiły incydentalnie</w:t>
            </w:r>
          </w:p>
        </w:tc>
      </w:tr>
      <w:tr w:rsidR="005A6A1E" w:rsidRPr="005A6A1E" w:rsidTr="005A6A1E">
        <w:trPr>
          <w:trHeight w:val="292"/>
        </w:trPr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6A1E" w:rsidRPr="005A6A1E" w:rsidRDefault="005A6A1E" w:rsidP="005A6A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5A6A1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 </w:t>
            </w:r>
          </w:p>
        </w:tc>
        <w:tc>
          <w:tcPr>
            <w:tcW w:w="8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6A1E" w:rsidRPr="005A6A1E" w:rsidRDefault="005A6A1E" w:rsidP="005A6A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5A6A1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 </w:t>
            </w:r>
            <w:r w:rsidR="008938BB" w:rsidRPr="008938BB">
              <w:rPr>
                <w:rFonts w:ascii="Calibri" w:eastAsia="Times New Roman" w:hAnsi="Calibri" w:cs="Calibri"/>
                <w:color w:val="FF0000"/>
                <w:sz w:val="28"/>
                <w:szCs w:val="28"/>
                <w:lang w:eastAsia="pl-PL"/>
              </w:rPr>
              <w:t>Konto 760 i 761 (konto może być wykorzystane przy termomodernizacji)</w:t>
            </w:r>
          </w:p>
        </w:tc>
      </w:tr>
      <w:tr w:rsidR="005A6A1E" w:rsidRPr="005A6A1E" w:rsidTr="005A6A1E">
        <w:trPr>
          <w:trHeight w:val="875"/>
        </w:trPr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6A1E" w:rsidRPr="005A6A1E" w:rsidRDefault="005A6A1E" w:rsidP="005A6A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5A6A1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2.4.</w:t>
            </w:r>
          </w:p>
        </w:tc>
        <w:tc>
          <w:tcPr>
            <w:tcW w:w="8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6A1E" w:rsidRPr="005A6A1E" w:rsidRDefault="005A6A1E" w:rsidP="005A6A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5A6A1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informację o kwocie należności z tytułu podatków realizowanych przez organy podatkowe podległe ministrowi właściwemu do spraw finansów publicznych wykazywanych w sprawozdaniu z wykonania planu dochodów budżetowych</w:t>
            </w:r>
          </w:p>
        </w:tc>
      </w:tr>
      <w:tr w:rsidR="005A6A1E" w:rsidRPr="005A6A1E" w:rsidTr="005A6A1E">
        <w:trPr>
          <w:trHeight w:val="292"/>
        </w:trPr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6A1E" w:rsidRPr="005A6A1E" w:rsidRDefault="005A6A1E" w:rsidP="005A6A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5A6A1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 </w:t>
            </w:r>
          </w:p>
        </w:tc>
        <w:tc>
          <w:tcPr>
            <w:tcW w:w="8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6A1E" w:rsidRPr="005A6A1E" w:rsidRDefault="005A6A1E" w:rsidP="005A6A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5A6A1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 </w:t>
            </w:r>
            <w:r w:rsidR="008938BB" w:rsidRPr="008938BB">
              <w:rPr>
                <w:rFonts w:ascii="Calibri" w:eastAsia="Times New Roman" w:hAnsi="Calibri" w:cs="Calibri"/>
                <w:color w:val="FF0000"/>
                <w:sz w:val="28"/>
                <w:szCs w:val="28"/>
                <w:lang w:eastAsia="pl-PL"/>
              </w:rPr>
              <w:t>nie dotyczy</w:t>
            </w:r>
          </w:p>
        </w:tc>
      </w:tr>
      <w:tr w:rsidR="005A6A1E" w:rsidRPr="005A6A1E" w:rsidTr="005A6A1E">
        <w:trPr>
          <w:trHeight w:val="292"/>
        </w:trPr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6A1E" w:rsidRPr="005A6A1E" w:rsidRDefault="005A6A1E" w:rsidP="005A6A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5A6A1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2.5.</w:t>
            </w:r>
          </w:p>
        </w:tc>
        <w:tc>
          <w:tcPr>
            <w:tcW w:w="8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6A1E" w:rsidRPr="005A6A1E" w:rsidRDefault="005A6A1E" w:rsidP="005A6A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5A6A1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inne informacje</w:t>
            </w:r>
          </w:p>
        </w:tc>
      </w:tr>
      <w:tr w:rsidR="005A6A1E" w:rsidRPr="005A6A1E" w:rsidTr="005A6A1E">
        <w:trPr>
          <w:trHeight w:val="292"/>
        </w:trPr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6A1E" w:rsidRPr="005A6A1E" w:rsidRDefault="005A6A1E" w:rsidP="005A6A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5A6A1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 </w:t>
            </w:r>
          </w:p>
        </w:tc>
        <w:tc>
          <w:tcPr>
            <w:tcW w:w="8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6A1E" w:rsidRPr="005A6A1E" w:rsidRDefault="005A6A1E" w:rsidP="005A6A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5A6A1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 </w:t>
            </w:r>
            <w:r w:rsidR="008938BB" w:rsidRPr="008938BB">
              <w:rPr>
                <w:rFonts w:ascii="Calibri" w:eastAsia="Times New Roman" w:hAnsi="Calibri" w:cs="Calibri"/>
                <w:color w:val="FF0000"/>
                <w:sz w:val="28"/>
                <w:szCs w:val="28"/>
                <w:lang w:eastAsia="pl-PL"/>
              </w:rPr>
              <w:t>nie dotyczy</w:t>
            </w:r>
          </w:p>
        </w:tc>
      </w:tr>
      <w:tr w:rsidR="005A6A1E" w:rsidRPr="005A6A1E" w:rsidTr="005A6A1E">
        <w:trPr>
          <w:trHeight w:val="583"/>
        </w:trPr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6A1E" w:rsidRPr="005A6A1E" w:rsidRDefault="005A6A1E" w:rsidP="005A6A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5A6A1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3.</w:t>
            </w:r>
          </w:p>
        </w:tc>
        <w:tc>
          <w:tcPr>
            <w:tcW w:w="8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6A1E" w:rsidRPr="005A6A1E" w:rsidRDefault="005A6A1E" w:rsidP="005A6A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5A6A1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Inne informacje niż wymienione powyżej, jeżeli mogłyby w istotny sposób wpłynąć na ocenę sytuacji majątkowej i finansowej oraz wynik finansowy jednostki</w:t>
            </w:r>
          </w:p>
        </w:tc>
      </w:tr>
      <w:tr w:rsidR="005A6A1E" w:rsidRPr="005A6A1E" w:rsidTr="005A6A1E">
        <w:trPr>
          <w:trHeight w:val="292"/>
        </w:trPr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6A1E" w:rsidRPr="005A6A1E" w:rsidRDefault="005A6A1E" w:rsidP="005A6A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5A6A1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 </w:t>
            </w:r>
          </w:p>
        </w:tc>
        <w:tc>
          <w:tcPr>
            <w:tcW w:w="8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A28" w:rsidRDefault="005A6A1E" w:rsidP="00714A28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8"/>
                <w:szCs w:val="28"/>
                <w:lang w:eastAsia="pl-PL"/>
              </w:rPr>
            </w:pPr>
            <w:r w:rsidRPr="005A6A1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 </w:t>
            </w:r>
            <w:r w:rsidR="00A6659A" w:rsidRPr="008938BB">
              <w:rPr>
                <w:rFonts w:ascii="Calibri" w:eastAsia="Times New Roman" w:hAnsi="Calibri" w:cs="Calibri"/>
                <w:color w:val="FF0000"/>
                <w:sz w:val="28"/>
                <w:szCs w:val="28"/>
                <w:lang w:eastAsia="pl-PL"/>
              </w:rPr>
              <w:t>nie dotyczy</w:t>
            </w:r>
            <w:r w:rsidR="00A6659A">
              <w:rPr>
                <w:rFonts w:ascii="Calibri" w:eastAsia="Times New Roman" w:hAnsi="Calibri" w:cs="Calibri"/>
                <w:color w:val="FF0000"/>
                <w:sz w:val="28"/>
                <w:szCs w:val="28"/>
                <w:lang w:eastAsia="pl-PL"/>
              </w:rPr>
              <w:t xml:space="preserve"> – </w:t>
            </w:r>
          </w:p>
          <w:p w:rsidR="00714A28" w:rsidRDefault="00714A28" w:rsidP="00714A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</w:p>
          <w:p w:rsidR="00714A28" w:rsidRPr="00714A28" w:rsidRDefault="00714A28" w:rsidP="00714A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714A28">
              <w:rPr>
                <w:rFonts w:ascii="Calibri" w:eastAsia="Times New Roman" w:hAnsi="Calibri" w:cs="Calibri"/>
                <w:color w:val="FF0000"/>
                <w:sz w:val="28"/>
                <w:szCs w:val="28"/>
                <w:lang w:eastAsia="pl-PL"/>
              </w:rPr>
              <w:t>dotyczy jeśli wpłaty na radę rodziców wpływają na konto szkoły tzw.: DW</w:t>
            </w:r>
          </w:p>
        </w:tc>
      </w:tr>
    </w:tbl>
    <w:p w:rsidR="0043710D" w:rsidRPr="005A6A1E" w:rsidRDefault="0043710D">
      <w:pPr>
        <w:rPr>
          <w:sz w:val="28"/>
          <w:szCs w:val="28"/>
        </w:rPr>
      </w:pPr>
    </w:p>
    <w:sectPr w:rsidR="0043710D" w:rsidRPr="005A6A1E" w:rsidSect="00A6659A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E947AB"/>
    <w:multiLevelType w:val="hybridMultilevel"/>
    <w:tmpl w:val="EC306E5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FC408E"/>
    <w:multiLevelType w:val="hybridMultilevel"/>
    <w:tmpl w:val="130043A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0D7ACB"/>
    <w:multiLevelType w:val="hybridMultilevel"/>
    <w:tmpl w:val="000412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055BD1"/>
    <w:multiLevelType w:val="multilevel"/>
    <w:tmpl w:val="4124584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color w:val="7E0021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iCs/>
        <w:color w:val="000000"/>
      </w:rPr>
    </w:lvl>
    <w:lvl w:ilvl="2">
      <w:start w:val="1"/>
      <w:numFmt w:val="lowerLetter"/>
      <w:lvlText w:val="%3)"/>
      <w:lvlJc w:val="left"/>
      <w:pPr>
        <w:tabs>
          <w:tab w:val="num" w:pos="1260"/>
        </w:tabs>
        <w:ind w:left="1260" w:hanging="420"/>
      </w:pPr>
      <w:rPr>
        <w:color w:val="000000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decimal"/>
      <w:lvlText w:val="%5.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decimal"/>
      <w:lvlText w:val="%8.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"/>
      <w:lvlText w:val="%9."/>
      <w:lvlJc w:val="left"/>
      <w:pPr>
        <w:tabs>
          <w:tab w:val="num" w:pos="3780"/>
        </w:tabs>
        <w:ind w:left="3780" w:hanging="42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6A1E"/>
    <w:rsid w:val="0043710D"/>
    <w:rsid w:val="005A6A1E"/>
    <w:rsid w:val="00714A28"/>
    <w:rsid w:val="00851CD8"/>
    <w:rsid w:val="008938BB"/>
    <w:rsid w:val="00A6659A"/>
    <w:rsid w:val="00E06742"/>
    <w:rsid w:val="00F92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BB3F00"/>
  <w15:chartTrackingRefBased/>
  <w15:docId w15:val="{6FFD139A-08FB-4ABA-9FDB-D65EE0F0F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A6A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A6A1E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rsid w:val="00F920F0"/>
    <w:pPr>
      <w:tabs>
        <w:tab w:val="right" w:leader="dot" w:pos="9072"/>
      </w:tabs>
      <w:suppressAutoHyphens/>
      <w:autoSpaceDE w:val="0"/>
      <w:spacing w:before="80" w:after="0" w:line="275" w:lineRule="atLeast"/>
      <w:jc w:val="both"/>
    </w:pPr>
    <w:rPr>
      <w:rFonts w:ascii="Times New Roman" w:eastAsia="Times New Roman" w:hAnsi="Times New Roman" w:cs="Times New Roman"/>
      <w:kern w:val="1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F920F0"/>
    <w:rPr>
      <w:rFonts w:ascii="Times New Roman" w:eastAsia="Times New Roman" w:hAnsi="Times New Roman" w:cs="Times New Roman"/>
      <w:kern w:val="1"/>
      <w:lang w:eastAsia="ar-SA"/>
    </w:rPr>
  </w:style>
  <w:style w:type="paragraph" w:customStyle="1" w:styleId="Tretabeli">
    <w:name w:val="Treść tabeli"/>
    <w:basedOn w:val="Normalny"/>
    <w:rsid w:val="00F920F0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table" w:styleId="Tabela-Siatka">
    <w:name w:val="Table Grid"/>
    <w:basedOn w:val="Standardowy"/>
    <w:uiPriority w:val="39"/>
    <w:rsid w:val="00F920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8938BB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A6659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05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1111</Words>
  <Characters>6672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cp:lastPrinted>2019-01-27T09:27:00Z</cp:lastPrinted>
  <dcterms:created xsi:type="dcterms:W3CDTF">2019-01-28T18:41:00Z</dcterms:created>
  <dcterms:modified xsi:type="dcterms:W3CDTF">2019-01-29T07:40:00Z</dcterms:modified>
</cp:coreProperties>
</file>