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BE9D" w14:textId="77777777" w:rsidR="00000000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21 października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6A0443CE" w14:textId="77777777" w:rsidR="00000000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NSP-VIII.7581.1.107.2019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DL</w:t>
      </w:r>
      <w:bookmarkEnd w:id="3"/>
    </w:p>
    <w:p w14:paraId="5BA31DEB" w14:textId="77777777" w:rsidR="00000000" w:rsidRPr="00774D1E" w:rsidRDefault="00000000" w:rsidP="00774D1E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774D1E">
        <w:rPr>
          <w:rFonts w:asciiTheme="minorHAnsi" w:hAnsiTheme="minorHAnsi"/>
          <w:b/>
          <w:sz w:val="24"/>
          <w:szCs w:val="24"/>
        </w:rPr>
        <w:t>OBWIESZCZENIE</w:t>
      </w:r>
    </w:p>
    <w:p w14:paraId="2146B2E3" w14:textId="77777777" w:rsidR="00000000" w:rsidRDefault="00000000" w:rsidP="00774D1E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774D1E">
        <w:rPr>
          <w:rFonts w:asciiTheme="minorHAnsi" w:hAnsiTheme="minorHAnsi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774D1E">
        <w:rPr>
          <w:rFonts w:asciiTheme="minorHAnsi" w:hAnsiTheme="minorHAnsi"/>
          <w:iCs/>
          <w:sz w:val="24"/>
          <w:szCs w:val="24"/>
        </w:rPr>
        <w:t xml:space="preserve">(j. t. Dz. U. z 2024 r., poz. 572 ze zm.) oraz art. 8 </w:t>
      </w:r>
      <w:r w:rsidRPr="00774D1E">
        <w:rPr>
          <w:rFonts w:asciiTheme="minorHAnsi" w:hAnsiTheme="minorHAnsi"/>
          <w:sz w:val="24"/>
          <w:szCs w:val="24"/>
        </w:rPr>
        <w:t xml:space="preserve">ustawy z dnia 21 sierpnia 1997 r. o gospodarce nieruchomościami (j. t. Dz. U. z 2024 r., poz. 1145 ze zm.), podaje do publicznej wiadomości, że w dniu 20 października 2025 r. wydał postanowienie o sprostowaniu </w:t>
      </w:r>
      <w:r w:rsidRPr="00774D1E">
        <w:rPr>
          <w:rFonts w:asciiTheme="minorHAnsi" w:hAnsiTheme="minorHAnsi"/>
          <w:iCs/>
          <w:sz w:val="24"/>
          <w:szCs w:val="24"/>
        </w:rPr>
        <w:t xml:space="preserve">oczywistych omyłek pisarskich w decyzji Wojewody Pomorskiego z dnia 31 lipca 2025 r. nr NSP-VIII.7581.1.107.2019.DL uchylającej w całości decyzję </w:t>
      </w:r>
      <w:r w:rsidRPr="00774D1E">
        <w:rPr>
          <w:rFonts w:asciiTheme="minorHAnsi" w:hAnsiTheme="minorHAnsi"/>
          <w:sz w:val="24"/>
          <w:szCs w:val="24"/>
        </w:rPr>
        <w:t xml:space="preserve">Prezydenta Miasta Gdańska, wykonującego zadanie starosty z zakresu administracji rządowej, z dnia 18 marca 2019 r. nr WS.V.6821.1.5.14-2019.WP.1311583 o zwrocie nieruchomości położonej w Gdyni, oznaczonej jako działka nr 78 o pow. 2,4240 ha, obręb Chylonia (010), (pkt 1 decyzji), o obowiązku zwrotu zwaloryzowanego odszkodowania (pkt 2 decyzji), o zabezpieczeniu wierzytelności Gminy Miasta Gdyni, opisanej w pkt 2, polegającym na ustanowieniu hipoteki na udziałach w prawie własności nieruchomości (pkt 3 decyzji), o obowiązku odtworzeniu Rodzinnego Ogrodu Działkowego przez Gminę Miasta Gdyni (pkt 4 decyzji), o obowiązku wypłacenia odszkodowania przez Gminę Miasta Gdyni na rzecz działkowców (pkt 4 decyzji) i orzekającej </w:t>
      </w:r>
      <w:r w:rsidRPr="00774D1E">
        <w:rPr>
          <w:rFonts w:asciiTheme="minorHAnsi" w:hAnsiTheme="minorHAnsi"/>
          <w:bCs/>
          <w:sz w:val="24"/>
          <w:szCs w:val="24"/>
        </w:rPr>
        <w:t xml:space="preserve">o odmowie zwrotu nieruchomości położonej w Gdyni przy ul. Władysława IV, oznaczonej jako działki nr 78/1 i 78/2 o łącznej powierzchni 2,4240 ha, obr. 30 – Wzgórze Św. Maksymiliana, </w:t>
      </w:r>
    </w:p>
    <w:p w14:paraId="3049622B" w14:textId="77777777" w:rsidR="00000000" w:rsidRPr="00774D1E" w:rsidRDefault="00000000" w:rsidP="00774D1E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774D1E">
        <w:rPr>
          <w:rFonts w:asciiTheme="minorHAnsi" w:hAnsiTheme="minorHAnsi"/>
          <w:bCs/>
          <w:sz w:val="24"/>
          <w:szCs w:val="24"/>
        </w:rPr>
        <w:t xml:space="preserve">w ten sposób, że w sentencji ww. decyzji usunąć zapis „przy ul. Władysława IV” oraz zamiast „obr. 30 – Wzgórze Św. Maksymiliana” winno być „obr. 0010 – Chylonia”. </w:t>
      </w:r>
    </w:p>
    <w:p w14:paraId="7F639DC4" w14:textId="77777777" w:rsidR="00000000" w:rsidRPr="00774D1E" w:rsidRDefault="00000000" w:rsidP="00774D1E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774D1E">
        <w:rPr>
          <w:rFonts w:asciiTheme="minorHAnsi" w:hAnsiTheme="minorHAnsi"/>
          <w:b/>
          <w:bCs/>
          <w:sz w:val="24"/>
          <w:szCs w:val="24"/>
        </w:rPr>
        <w:t>Pouczenie:</w:t>
      </w:r>
    </w:p>
    <w:p w14:paraId="2BA85DEB" w14:textId="77777777" w:rsidR="00000000" w:rsidRPr="00774D1E" w:rsidRDefault="00000000" w:rsidP="00774D1E">
      <w:pPr>
        <w:pStyle w:val="Bezodstpw"/>
        <w:numPr>
          <w:ilvl w:val="0"/>
          <w:numId w:val="1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774D1E">
        <w:rPr>
          <w:rFonts w:asciiTheme="minorHAnsi" w:hAnsiTheme="minorHAnsi"/>
          <w:bCs/>
          <w:sz w:val="24"/>
          <w:szCs w:val="24"/>
        </w:rPr>
        <w:t xml:space="preserve">Doręczenie uważa się za dokonane po upływie 14 dni od dnia publicznego obwieszczenia (art. 127 § 2 i art. 129 § 1 w związku z art. 144 oraz art. 141 § 2 oraz art. 49 ustawy z dnia 14 czerwca 1960 r. Kodeks postępowania administracyjnego </w:t>
      </w:r>
      <w:r w:rsidRPr="00774D1E">
        <w:rPr>
          <w:rFonts w:asciiTheme="minorHAnsi" w:hAnsiTheme="minorHAnsi"/>
          <w:iCs/>
          <w:sz w:val="24"/>
          <w:szCs w:val="24"/>
        </w:rPr>
        <w:t>(j.</w:t>
      </w:r>
      <w:r>
        <w:rPr>
          <w:rFonts w:asciiTheme="minorHAnsi" w:hAnsiTheme="minorHAnsi"/>
          <w:iCs/>
          <w:sz w:val="24"/>
          <w:szCs w:val="24"/>
        </w:rPr>
        <w:t> </w:t>
      </w:r>
      <w:r w:rsidRPr="00774D1E">
        <w:rPr>
          <w:rFonts w:asciiTheme="minorHAnsi" w:hAnsiTheme="minorHAnsi"/>
          <w:iCs/>
          <w:sz w:val="24"/>
          <w:szCs w:val="24"/>
        </w:rPr>
        <w:t xml:space="preserve">t. </w:t>
      </w:r>
      <w:hyperlink r:id="rId7" w:history="1">
        <w:r w:rsidRPr="00774D1E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 xml:space="preserve">Dz. U. z 2024 r. poz. </w:t>
        </w:r>
      </w:hyperlink>
      <w:r w:rsidRPr="00774D1E">
        <w:rPr>
          <w:rFonts w:asciiTheme="minorHAnsi" w:hAnsiTheme="minorHAnsi"/>
          <w:sz w:val="24"/>
          <w:szCs w:val="24"/>
        </w:rPr>
        <w:t>572 ze zm.</w:t>
      </w:r>
      <w:r w:rsidRPr="00774D1E">
        <w:rPr>
          <w:rFonts w:asciiTheme="minorHAnsi" w:hAnsiTheme="minorHAnsi"/>
          <w:iCs/>
          <w:sz w:val="24"/>
          <w:szCs w:val="24"/>
        </w:rPr>
        <w:t>).</w:t>
      </w:r>
    </w:p>
    <w:p w14:paraId="7527C1A1" w14:textId="77777777" w:rsidR="00000000" w:rsidRPr="00774D1E" w:rsidRDefault="00000000" w:rsidP="00774D1E">
      <w:pPr>
        <w:pStyle w:val="Bezodstpw"/>
        <w:numPr>
          <w:ilvl w:val="0"/>
          <w:numId w:val="1"/>
        </w:numPr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774D1E">
        <w:rPr>
          <w:rFonts w:asciiTheme="minorHAnsi" w:hAnsiTheme="minorHAnsi"/>
          <w:sz w:val="24"/>
          <w:szCs w:val="24"/>
        </w:rPr>
        <w:t xml:space="preserve">Zgodnie z art. 141 § 1 i art. 61a § 2 k.p.a. na niniejsze postanowienie służy stronie zażalenie do </w:t>
      </w:r>
      <w:r w:rsidRPr="00774D1E">
        <w:rPr>
          <w:rFonts w:asciiTheme="minorHAnsi" w:hAnsiTheme="minorHAnsi"/>
          <w:bCs/>
          <w:sz w:val="24"/>
          <w:szCs w:val="24"/>
        </w:rPr>
        <w:t xml:space="preserve">Ministra Rozwoju i Technologii, </w:t>
      </w:r>
      <w:r w:rsidRPr="00774D1E">
        <w:rPr>
          <w:rFonts w:asciiTheme="minorHAnsi" w:hAnsiTheme="minorHAnsi"/>
          <w:sz w:val="24"/>
          <w:szCs w:val="24"/>
        </w:rPr>
        <w:t xml:space="preserve">za pośrednictwem Wojewody Pomorskiego, w terminie 7 dni od dnia doręczenia niniejszego postanowienia. </w:t>
      </w:r>
    </w:p>
    <w:p w14:paraId="113C45B6" w14:textId="77777777" w:rsidR="00000000" w:rsidRPr="00774D1E" w:rsidRDefault="00000000" w:rsidP="00774D1E">
      <w:pPr>
        <w:pStyle w:val="Bezodstpw"/>
        <w:numPr>
          <w:ilvl w:val="0"/>
          <w:numId w:val="1"/>
        </w:numPr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774D1E">
        <w:rPr>
          <w:rFonts w:asciiTheme="minorHAnsi" w:hAnsiTheme="minorHAnsi"/>
          <w:sz w:val="24"/>
          <w:szCs w:val="24"/>
        </w:rPr>
        <w:t>W trakcie biegu terminu do wniesienia zażalenia strona może zrzec się prawa do wniesienia zażalenia wobec organu administracji publicznej, który wydał postanowienie.</w:t>
      </w:r>
      <w:bookmarkStart w:id="4" w:name="mip39121619"/>
      <w:bookmarkEnd w:id="4"/>
      <w:r w:rsidRPr="00774D1E">
        <w:rPr>
          <w:rFonts w:asciiTheme="minorHAnsi" w:hAnsiTheme="minorHAnsi"/>
          <w:sz w:val="24"/>
          <w:szCs w:val="24"/>
        </w:rPr>
        <w:t xml:space="preserve"> Z dniem doręczenia organowi administracji publicznej oświadczenia o zrzeczeniu się prawa do wniesienia zażalenia przez ostatnią ze stron postępowania, postanowienie staje się ostateczna i prawomocne (art. 127a k.p.a. w związku z art. 144 k.p.a.).</w:t>
      </w:r>
    </w:p>
    <w:p w14:paraId="504B1349" w14:textId="77777777" w:rsidR="00000000" w:rsidRPr="00774D1E" w:rsidRDefault="00000000" w:rsidP="00774D1E">
      <w:pPr>
        <w:pStyle w:val="Bezodstpw"/>
        <w:numPr>
          <w:ilvl w:val="0"/>
          <w:numId w:val="1"/>
        </w:numPr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774D1E">
        <w:rPr>
          <w:rFonts w:asciiTheme="minorHAnsi" w:hAnsiTheme="minorHAnsi"/>
          <w:sz w:val="24"/>
          <w:szCs w:val="24"/>
        </w:rPr>
        <w:lastRenderedPageBreak/>
        <w:t>Postanowienie podlega wykonaniu przed upływem terminu do wniesienia zażalenia, jeżeli jest zgodne z żądaniem wszystkich stron lub jeżeli wszystkie strony zrzekły się prawa do wniesienia zażalenia (art. 130 § 4 k.p.a. w związku z art. 144 k.p.a.)</w:t>
      </w:r>
    </w:p>
    <w:p w14:paraId="6B2FABE3" w14:textId="731A504C" w:rsidR="00000000" w:rsidRDefault="004D45E8" w:rsidP="004D45E8">
      <w:pPr>
        <w:suppressAutoHyphens/>
        <w:spacing w:before="80" w:after="80"/>
        <w:ind w:left="4248"/>
        <w:jc w:val="center"/>
        <w:rPr>
          <w:rFonts w:asciiTheme="minorHAnsi" w:hAnsiTheme="minorHAnsi"/>
          <w:sz w:val="24"/>
          <w:szCs w:val="24"/>
        </w:rPr>
      </w:pPr>
      <w:r w:rsidRPr="007A2AF9">
        <w:rPr>
          <w:rFonts w:asciiTheme="minorHAnsi" w:hAnsiTheme="minorHAnsi"/>
          <w:sz w:val="24"/>
          <w:szCs w:val="24"/>
        </w:rPr>
        <w:t>z upoważnienia Wojewody Pomorskiego</w:t>
      </w:r>
    </w:p>
    <w:p w14:paraId="53D115F0" w14:textId="77777777" w:rsidR="004D45E8" w:rsidRDefault="004D45E8" w:rsidP="004D45E8">
      <w:pPr>
        <w:pStyle w:val="Bezodstpw"/>
        <w:suppressAutoHyphens/>
        <w:spacing w:line="276" w:lineRule="auto"/>
        <w:ind w:left="4248"/>
        <w:jc w:val="center"/>
        <w:rPr>
          <w:rFonts w:asciiTheme="minorHAnsi" w:hAnsiTheme="minorHAnsi"/>
          <w:sz w:val="24"/>
          <w:szCs w:val="24"/>
        </w:rPr>
      </w:pPr>
      <w:bookmarkStart w:id="5" w:name="ezdPracownikStanowisko"/>
      <w:r>
        <w:rPr>
          <w:rFonts w:asciiTheme="minorHAnsi" w:hAnsiTheme="minorHAnsi"/>
          <w:sz w:val="24"/>
          <w:szCs w:val="24"/>
        </w:rPr>
        <w:t>Zastępca Dyrektora</w:t>
      </w:r>
      <w:bookmarkEnd w:id="5"/>
    </w:p>
    <w:p w14:paraId="174367B0" w14:textId="77777777" w:rsidR="004D45E8" w:rsidRPr="007A2AF9" w:rsidRDefault="004D45E8" w:rsidP="004D45E8">
      <w:pPr>
        <w:pStyle w:val="Bezodstpw"/>
        <w:suppressAutoHyphens/>
        <w:spacing w:line="276" w:lineRule="auto"/>
        <w:ind w:left="4248"/>
        <w:jc w:val="center"/>
        <w:rPr>
          <w:rFonts w:asciiTheme="minorHAnsi" w:hAnsiTheme="minorHAnsi"/>
          <w:sz w:val="24"/>
          <w:szCs w:val="24"/>
        </w:rPr>
      </w:pPr>
      <w:bookmarkStart w:id="6" w:name="ezdPracownikAtrybut1"/>
      <w:r w:rsidRPr="007A2AF9">
        <w:rPr>
          <w:rFonts w:asciiTheme="minorHAnsi" w:hAnsiTheme="minorHAnsi"/>
          <w:sz w:val="24"/>
          <w:szCs w:val="24"/>
        </w:rPr>
        <w:t>Wydziału Nieruchomości i Skarbu Państwa</w:t>
      </w:r>
      <w:bookmarkEnd w:id="6"/>
    </w:p>
    <w:p w14:paraId="6DF00FA6" w14:textId="0FED9A11" w:rsidR="004D45E8" w:rsidRDefault="004D45E8" w:rsidP="004D45E8">
      <w:pPr>
        <w:suppressAutoHyphens/>
        <w:spacing w:before="80" w:after="80"/>
        <w:ind w:left="4248"/>
        <w:jc w:val="center"/>
        <w:rPr>
          <w:rFonts w:asciiTheme="minorHAnsi" w:hAnsiTheme="minorHAnsi"/>
          <w:sz w:val="24"/>
          <w:szCs w:val="24"/>
        </w:rPr>
      </w:pPr>
      <w:bookmarkStart w:id="7" w:name="ezdPracownikNazwa"/>
      <w:r w:rsidRPr="007A2AF9">
        <w:rPr>
          <w:rFonts w:asciiTheme="minorHAnsi" w:hAnsiTheme="minorHAnsi"/>
          <w:sz w:val="24"/>
          <w:szCs w:val="24"/>
        </w:rPr>
        <w:t>Dorota Dambek-Duda</w:t>
      </w:r>
      <w:bookmarkEnd w:id="7"/>
    </w:p>
    <w:p w14:paraId="070CECD2" w14:textId="530682BA" w:rsidR="00000000" w:rsidRPr="007A2AF9" w:rsidRDefault="004D45E8" w:rsidP="004D45E8">
      <w:pPr>
        <w:suppressAutoHyphens/>
        <w:spacing w:before="80" w:after="80"/>
        <w:ind w:left="4248"/>
        <w:jc w:val="center"/>
        <w:rPr>
          <w:rFonts w:asciiTheme="minorHAnsi" w:hAnsiTheme="minorHAnsi"/>
          <w:sz w:val="24"/>
          <w:szCs w:val="24"/>
        </w:rPr>
      </w:pPr>
      <w:r w:rsidRPr="007A2AF9">
        <w:rPr>
          <w:rFonts w:asciiTheme="minorHAnsi" w:hAnsiTheme="minorHAnsi"/>
          <w:sz w:val="20"/>
          <w:szCs w:val="20"/>
        </w:rPr>
        <w:t>/dokument podpisany elektronicznie/</w:t>
      </w:r>
    </w:p>
    <w:p w14:paraId="15E5E1EC" w14:textId="77777777" w:rsidR="00000000" w:rsidRPr="00774D1E" w:rsidRDefault="00000000" w:rsidP="00774D1E">
      <w:pPr>
        <w:suppressAutoHyphens/>
        <w:spacing w:before="80" w:after="80"/>
        <w:rPr>
          <w:rFonts w:asciiTheme="minorHAnsi" w:hAnsiTheme="minorHAnsi"/>
          <w:b/>
          <w:sz w:val="24"/>
          <w:szCs w:val="24"/>
        </w:rPr>
      </w:pPr>
      <w:r w:rsidRPr="00774D1E">
        <w:rPr>
          <w:rFonts w:asciiTheme="minorHAnsi" w:hAnsiTheme="minorHAnsi"/>
          <w:b/>
          <w:sz w:val="24"/>
          <w:szCs w:val="24"/>
        </w:rPr>
        <w:t>Egzemplarze:</w:t>
      </w:r>
    </w:p>
    <w:p w14:paraId="2F18E5F7" w14:textId="77777777" w:rsidR="00000000" w:rsidRPr="00774D1E" w:rsidRDefault="00000000" w:rsidP="00774D1E">
      <w:pPr>
        <w:numPr>
          <w:ilvl w:val="0"/>
          <w:numId w:val="2"/>
        </w:num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774D1E">
        <w:rPr>
          <w:rFonts w:asciiTheme="minorHAnsi" w:hAnsiTheme="minorHAnsi"/>
          <w:bCs/>
          <w:sz w:val="24"/>
          <w:szCs w:val="24"/>
        </w:rPr>
        <w:t>Strona BIP Pomorskiego Urzędu Wojewódzkiego w Gdańsku</w:t>
      </w:r>
      <w:r w:rsidRPr="00774D1E">
        <w:rPr>
          <w:rFonts w:asciiTheme="minorHAnsi" w:hAnsiTheme="minorHAnsi"/>
          <w:sz w:val="24"/>
          <w:szCs w:val="24"/>
        </w:rPr>
        <w:t>,</w:t>
      </w:r>
    </w:p>
    <w:p w14:paraId="693AF64A" w14:textId="77777777" w:rsidR="00000000" w:rsidRPr="00774D1E" w:rsidRDefault="00000000" w:rsidP="00774D1E">
      <w:pPr>
        <w:numPr>
          <w:ilvl w:val="0"/>
          <w:numId w:val="2"/>
        </w:num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774D1E">
        <w:rPr>
          <w:rFonts w:asciiTheme="minorHAnsi" w:hAnsiTheme="minorHAnsi"/>
          <w:sz w:val="24"/>
          <w:szCs w:val="24"/>
        </w:rPr>
        <w:t>aa</w:t>
      </w:r>
    </w:p>
    <w:sectPr w:rsidR="00774D1E" w:rsidRPr="00774D1E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AFC6" w14:textId="77777777" w:rsidR="00E6330A" w:rsidRDefault="00E6330A">
      <w:pPr>
        <w:spacing w:after="0" w:line="240" w:lineRule="auto"/>
      </w:pPr>
      <w:r>
        <w:separator/>
      </w:r>
    </w:p>
  </w:endnote>
  <w:endnote w:type="continuationSeparator" w:id="0">
    <w:p w14:paraId="757B26FA" w14:textId="77777777" w:rsidR="00E6330A" w:rsidRDefault="00E6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3A20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0BC2B32">
        <v:rect id="_x0000_i1025" style="width:0;height:1.5pt" o:hralign="center" o:hrstd="t" o:hr="t" fillcolor="#a0a0a0" stroked="f"/>
      </w:pict>
    </w:r>
  </w:p>
  <w:p w14:paraId="5FD089E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5E47708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5B4F6C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3A6C4DA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67EB778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F544B0E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1BEA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BF2080B">
        <v:rect id="_x0000_i1027" style="width:0;height:1.5pt" o:hralign="center" o:hrstd="t" o:hr="t" fillcolor="#a0a0a0" stroked="f"/>
      </w:pict>
    </w:r>
  </w:p>
  <w:p w14:paraId="37509BA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2A701FA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A79FB5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24AB232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546F4E2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5147" w14:textId="77777777" w:rsidR="00E6330A" w:rsidRDefault="00E6330A">
      <w:pPr>
        <w:spacing w:after="0" w:line="240" w:lineRule="auto"/>
      </w:pPr>
      <w:r>
        <w:separator/>
      </w:r>
    </w:p>
  </w:footnote>
  <w:footnote w:type="continuationSeparator" w:id="0">
    <w:p w14:paraId="7A31124D" w14:textId="77777777" w:rsidR="00E6330A" w:rsidRDefault="00E6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84EE" w14:textId="77777777" w:rsidR="00000000" w:rsidRDefault="00000000">
    <w:pPr>
      <w:pStyle w:val="Nagwek"/>
    </w:pPr>
  </w:p>
  <w:p w14:paraId="31E89107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41EC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FD7C930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DD1FD5F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235A3"/>
    <w:multiLevelType w:val="hybridMultilevel"/>
    <w:tmpl w:val="8BDAA7E2"/>
    <w:lvl w:ilvl="0" w:tplc="BE86CC06">
      <w:start w:val="1"/>
      <w:numFmt w:val="decimal"/>
      <w:lvlText w:val="%1."/>
      <w:lvlJc w:val="left"/>
      <w:pPr>
        <w:ind w:left="720" w:hanging="360"/>
      </w:pPr>
    </w:lvl>
    <w:lvl w:ilvl="1" w:tplc="7B6699B2" w:tentative="1">
      <w:start w:val="1"/>
      <w:numFmt w:val="lowerLetter"/>
      <w:lvlText w:val="%2."/>
      <w:lvlJc w:val="left"/>
      <w:pPr>
        <w:ind w:left="1440" w:hanging="360"/>
      </w:pPr>
    </w:lvl>
    <w:lvl w:ilvl="2" w:tplc="D15C3152" w:tentative="1">
      <w:start w:val="1"/>
      <w:numFmt w:val="lowerRoman"/>
      <w:lvlText w:val="%3."/>
      <w:lvlJc w:val="right"/>
      <w:pPr>
        <w:ind w:left="2160" w:hanging="180"/>
      </w:pPr>
    </w:lvl>
    <w:lvl w:ilvl="3" w:tplc="A1582DBC" w:tentative="1">
      <w:start w:val="1"/>
      <w:numFmt w:val="decimal"/>
      <w:lvlText w:val="%4."/>
      <w:lvlJc w:val="left"/>
      <w:pPr>
        <w:ind w:left="2880" w:hanging="360"/>
      </w:pPr>
    </w:lvl>
    <w:lvl w:ilvl="4" w:tplc="DBE80972" w:tentative="1">
      <w:start w:val="1"/>
      <w:numFmt w:val="lowerLetter"/>
      <w:lvlText w:val="%5."/>
      <w:lvlJc w:val="left"/>
      <w:pPr>
        <w:ind w:left="3600" w:hanging="360"/>
      </w:pPr>
    </w:lvl>
    <w:lvl w:ilvl="5" w:tplc="9960694C" w:tentative="1">
      <w:start w:val="1"/>
      <w:numFmt w:val="lowerRoman"/>
      <w:lvlText w:val="%6."/>
      <w:lvlJc w:val="right"/>
      <w:pPr>
        <w:ind w:left="4320" w:hanging="180"/>
      </w:pPr>
    </w:lvl>
    <w:lvl w:ilvl="6" w:tplc="0B66CD30" w:tentative="1">
      <w:start w:val="1"/>
      <w:numFmt w:val="decimal"/>
      <w:lvlText w:val="%7."/>
      <w:lvlJc w:val="left"/>
      <w:pPr>
        <w:ind w:left="5040" w:hanging="360"/>
      </w:pPr>
    </w:lvl>
    <w:lvl w:ilvl="7" w:tplc="3DBE0F8E" w:tentative="1">
      <w:start w:val="1"/>
      <w:numFmt w:val="lowerLetter"/>
      <w:lvlText w:val="%8."/>
      <w:lvlJc w:val="left"/>
      <w:pPr>
        <w:ind w:left="5760" w:hanging="360"/>
      </w:pPr>
    </w:lvl>
    <w:lvl w:ilvl="8" w:tplc="29980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B0072"/>
    <w:multiLevelType w:val="hybridMultilevel"/>
    <w:tmpl w:val="9918AD5C"/>
    <w:lvl w:ilvl="0" w:tplc="63647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8AB74A" w:tentative="1">
      <w:start w:val="1"/>
      <w:numFmt w:val="lowerLetter"/>
      <w:lvlText w:val="%2."/>
      <w:lvlJc w:val="left"/>
      <w:pPr>
        <w:ind w:left="1440" w:hanging="360"/>
      </w:pPr>
    </w:lvl>
    <w:lvl w:ilvl="2" w:tplc="38706CF4" w:tentative="1">
      <w:start w:val="1"/>
      <w:numFmt w:val="lowerRoman"/>
      <w:lvlText w:val="%3."/>
      <w:lvlJc w:val="right"/>
      <w:pPr>
        <w:ind w:left="2160" w:hanging="180"/>
      </w:pPr>
    </w:lvl>
    <w:lvl w:ilvl="3" w:tplc="46D6F3C4" w:tentative="1">
      <w:start w:val="1"/>
      <w:numFmt w:val="decimal"/>
      <w:lvlText w:val="%4."/>
      <w:lvlJc w:val="left"/>
      <w:pPr>
        <w:ind w:left="2880" w:hanging="360"/>
      </w:pPr>
    </w:lvl>
    <w:lvl w:ilvl="4" w:tplc="717C2FD6" w:tentative="1">
      <w:start w:val="1"/>
      <w:numFmt w:val="lowerLetter"/>
      <w:lvlText w:val="%5."/>
      <w:lvlJc w:val="left"/>
      <w:pPr>
        <w:ind w:left="3600" w:hanging="360"/>
      </w:pPr>
    </w:lvl>
    <w:lvl w:ilvl="5" w:tplc="A852D852" w:tentative="1">
      <w:start w:val="1"/>
      <w:numFmt w:val="lowerRoman"/>
      <w:lvlText w:val="%6."/>
      <w:lvlJc w:val="right"/>
      <w:pPr>
        <w:ind w:left="4320" w:hanging="180"/>
      </w:pPr>
    </w:lvl>
    <w:lvl w:ilvl="6" w:tplc="69A8A942" w:tentative="1">
      <w:start w:val="1"/>
      <w:numFmt w:val="decimal"/>
      <w:lvlText w:val="%7."/>
      <w:lvlJc w:val="left"/>
      <w:pPr>
        <w:ind w:left="5040" w:hanging="360"/>
      </w:pPr>
    </w:lvl>
    <w:lvl w:ilvl="7" w:tplc="CF941036" w:tentative="1">
      <w:start w:val="1"/>
      <w:numFmt w:val="lowerLetter"/>
      <w:lvlText w:val="%8."/>
      <w:lvlJc w:val="left"/>
      <w:pPr>
        <w:ind w:left="5760" w:hanging="360"/>
      </w:pPr>
    </w:lvl>
    <w:lvl w:ilvl="8" w:tplc="5F1C23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436707">
    <w:abstractNumId w:val="1"/>
  </w:num>
  <w:num w:numId="2" w16cid:durableId="47541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2C9"/>
    <w:rsid w:val="001362C9"/>
    <w:rsid w:val="004D45E8"/>
    <w:rsid w:val="006C4C8B"/>
    <w:rsid w:val="00867C1F"/>
    <w:rsid w:val="00E6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977DA"/>
  <w15:docId w15:val="{89FE0E57-0FAB-4E9D-9FF7-4934D5F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4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zwgaz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Dorota Leczkowska</cp:lastModifiedBy>
  <cp:revision>3</cp:revision>
  <cp:lastPrinted>2012-09-10T07:00:00Z</cp:lastPrinted>
  <dcterms:created xsi:type="dcterms:W3CDTF">2025-10-23T07:28:00Z</dcterms:created>
  <dcterms:modified xsi:type="dcterms:W3CDTF">2025-10-23T07:29:00Z</dcterms:modified>
</cp:coreProperties>
</file>