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E53F9D" w:rsidRDefault="003B7466" w:rsidP="001E47E5">
      <w:pPr>
        <w:spacing w:after="0" w:line="240" w:lineRule="auto"/>
        <w:jc w:val="center"/>
        <w:rPr>
          <w:rFonts w:ascii="Calibri" w:hAnsi="Calibri"/>
          <w:b/>
          <w:i/>
        </w:rPr>
      </w:pPr>
      <w:bookmarkStart w:id="0" w:name="_GoBack"/>
      <w:bookmarkEnd w:id="0"/>
      <w:r w:rsidRPr="00E53F9D">
        <w:rPr>
          <w:rFonts w:ascii="Calibri" w:hAnsi="Calibri"/>
          <w:b/>
          <w:i/>
        </w:rPr>
        <w:t xml:space="preserve">Uchwała nr </w:t>
      </w:r>
      <w:r w:rsidR="00E83395" w:rsidRPr="00E53F9D">
        <w:rPr>
          <w:rFonts w:ascii="Calibri" w:hAnsi="Calibri"/>
          <w:b/>
          <w:i/>
        </w:rPr>
        <w:t>97</w:t>
      </w:r>
    </w:p>
    <w:p w:rsidR="003B7466" w:rsidRPr="00E53F9D" w:rsidRDefault="003B7466" w:rsidP="001E47E5">
      <w:pPr>
        <w:spacing w:after="0" w:line="240" w:lineRule="auto"/>
        <w:jc w:val="center"/>
        <w:rPr>
          <w:rFonts w:ascii="Calibri" w:hAnsi="Calibri"/>
          <w:b/>
          <w:i/>
        </w:rPr>
      </w:pPr>
      <w:r w:rsidRPr="00E53F9D">
        <w:rPr>
          <w:rFonts w:ascii="Calibri" w:hAnsi="Calibri"/>
          <w:b/>
          <w:i/>
        </w:rPr>
        <w:t>Rady Działalności Pożytku Publicznego</w:t>
      </w:r>
    </w:p>
    <w:p w:rsidR="003B7466" w:rsidRPr="00E53F9D" w:rsidRDefault="003B7466" w:rsidP="001E47E5">
      <w:pPr>
        <w:spacing w:after="0" w:line="240" w:lineRule="auto"/>
        <w:jc w:val="center"/>
        <w:rPr>
          <w:rFonts w:ascii="Calibri" w:hAnsi="Calibri"/>
          <w:b/>
          <w:i/>
        </w:rPr>
      </w:pPr>
      <w:r w:rsidRPr="00E53F9D">
        <w:rPr>
          <w:rFonts w:ascii="Calibri" w:hAnsi="Calibri"/>
          <w:b/>
          <w:i/>
        </w:rPr>
        <w:t>z dnia</w:t>
      </w:r>
      <w:r w:rsidR="00E83395" w:rsidRPr="00E53F9D">
        <w:rPr>
          <w:rFonts w:ascii="Calibri" w:hAnsi="Calibri"/>
          <w:b/>
          <w:i/>
        </w:rPr>
        <w:t xml:space="preserve"> 9</w:t>
      </w:r>
      <w:r w:rsidRPr="00E53F9D">
        <w:rPr>
          <w:rFonts w:ascii="Calibri" w:hAnsi="Calibri"/>
          <w:b/>
          <w:i/>
        </w:rPr>
        <w:t xml:space="preserve"> </w:t>
      </w:r>
      <w:r w:rsidR="0082167A" w:rsidRPr="00E53F9D">
        <w:rPr>
          <w:rFonts w:ascii="Calibri" w:hAnsi="Calibri"/>
          <w:b/>
          <w:i/>
        </w:rPr>
        <w:t>stycznia</w:t>
      </w:r>
      <w:r w:rsidRPr="00E53F9D">
        <w:rPr>
          <w:rFonts w:ascii="Calibri" w:hAnsi="Calibri"/>
          <w:b/>
          <w:i/>
        </w:rPr>
        <w:t xml:space="preserve"> 201</w:t>
      </w:r>
      <w:r w:rsidR="0082167A" w:rsidRPr="00E53F9D">
        <w:rPr>
          <w:rFonts w:ascii="Calibri" w:hAnsi="Calibri"/>
          <w:b/>
          <w:i/>
        </w:rPr>
        <w:t>5</w:t>
      </w:r>
      <w:r w:rsidRPr="00E53F9D">
        <w:rPr>
          <w:rFonts w:ascii="Calibri" w:hAnsi="Calibri"/>
          <w:b/>
          <w:i/>
        </w:rPr>
        <w:t xml:space="preserve"> r.</w:t>
      </w:r>
    </w:p>
    <w:p w:rsidR="00BD53D5" w:rsidRPr="00E53F9D" w:rsidRDefault="003B7466" w:rsidP="001E47E5">
      <w:pPr>
        <w:pStyle w:val="Nagwek3"/>
        <w:shd w:val="clear" w:color="auto" w:fill="FFFFFF"/>
        <w:spacing w:before="0" w:line="240" w:lineRule="auto"/>
        <w:jc w:val="center"/>
        <w:textAlignment w:val="baseline"/>
        <w:rPr>
          <w:rFonts w:ascii="Calibri" w:eastAsia="Times New Roman" w:hAnsi="Calibri" w:cs="Arial"/>
          <w:bCs w:val="0"/>
          <w:i/>
        </w:rPr>
      </w:pPr>
      <w:r w:rsidRPr="00E53F9D">
        <w:rPr>
          <w:rFonts w:ascii="Calibri" w:hAnsi="Calibri"/>
          <w:i/>
        </w:rPr>
        <w:t xml:space="preserve">w sprawie </w:t>
      </w:r>
      <w:r w:rsidR="00BD53D5" w:rsidRPr="00E53F9D">
        <w:rPr>
          <w:rFonts w:ascii="Calibri" w:hAnsi="Calibri"/>
          <w:i/>
        </w:rPr>
        <w:t>projektu</w:t>
      </w:r>
      <w:r w:rsidRPr="00E53F9D">
        <w:rPr>
          <w:rFonts w:ascii="Calibri" w:hAnsi="Calibri"/>
          <w:i/>
        </w:rPr>
        <w:t xml:space="preserve"> ustawy </w:t>
      </w:r>
      <w:r w:rsidR="00BD53D5" w:rsidRPr="00E53F9D">
        <w:rPr>
          <w:rFonts w:ascii="Calibri" w:eastAsia="Times New Roman" w:hAnsi="Calibri" w:cs="Arial"/>
          <w:i/>
        </w:rPr>
        <w:t>o nieodpłatnej pomocy prawnej i informacji prawnej</w:t>
      </w:r>
    </w:p>
    <w:p w:rsidR="003B7466" w:rsidRPr="00E83395" w:rsidRDefault="003B7466" w:rsidP="00B37172">
      <w:pPr>
        <w:spacing w:after="120" w:line="240" w:lineRule="auto"/>
        <w:jc w:val="center"/>
        <w:rPr>
          <w:rFonts w:ascii="Calibri" w:hAnsi="Calibri"/>
        </w:rPr>
      </w:pPr>
    </w:p>
    <w:p w:rsidR="00BD53D5" w:rsidRPr="00E83395" w:rsidRDefault="00BD53D5" w:rsidP="00B37172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eastAsia="Times New Roman" w:hAnsi="Calibri" w:cs="Arial"/>
          <w:b w:val="0"/>
          <w:bCs w:val="0"/>
        </w:rPr>
      </w:pPr>
      <w:r w:rsidRPr="00E83395">
        <w:rPr>
          <w:rFonts w:ascii="Calibri" w:eastAsia="Times New Roman" w:hAnsi="Calibri" w:cstheme="minorBidi"/>
          <w:b w:val="0"/>
        </w:rPr>
        <w:t xml:space="preserve">Na podstawie § 9 ust. 2 rozporządzenia Ministra Gospodarki, Pracy i Polityki Społecznej </w:t>
      </w:r>
      <w:r w:rsidRPr="00E83395">
        <w:rPr>
          <w:rFonts w:ascii="Calibri" w:eastAsia="Times New Roman" w:hAnsi="Calibri" w:cstheme="minorBidi"/>
          <w:b w:val="0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</w:t>
      </w:r>
      <w:proofErr w:type="spellStart"/>
      <w:r w:rsidRPr="00E83395">
        <w:rPr>
          <w:rFonts w:ascii="Calibri" w:eastAsia="Times New Roman" w:hAnsi="Calibri" w:cstheme="minorBidi"/>
          <w:b w:val="0"/>
        </w:rPr>
        <w:t>późn</w:t>
      </w:r>
      <w:proofErr w:type="spellEnd"/>
      <w:r w:rsidRPr="00E83395">
        <w:rPr>
          <w:rFonts w:ascii="Calibri" w:eastAsia="Times New Roman" w:hAnsi="Calibri" w:cstheme="minorBidi"/>
          <w:b w:val="0"/>
        </w:rPr>
        <w:t xml:space="preserve">. zm.), uchwala się stanowisko Rady Działalności Pożytku Publicznego </w:t>
      </w:r>
      <w:r w:rsidRPr="00E83395">
        <w:rPr>
          <w:rFonts w:ascii="Calibri" w:hAnsi="Calibri"/>
          <w:b w:val="0"/>
        </w:rPr>
        <w:t xml:space="preserve">w sprawie projektu ustawy </w:t>
      </w:r>
      <w:r w:rsidRPr="00E83395">
        <w:rPr>
          <w:rFonts w:ascii="Calibri" w:eastAsia="Times New Roman" w:hAnsi="Calibri" w:cs="Arial"/>
          <w:b w:val="0"/>
        </w:rPr>
        <w:t>o nieodpłatnej pomocy prawnej i informacji prawnej.</w:t>
      </w:r>
    </w:p>
    <w:p w:rsidR="003B7466" w:rsidRPr="00E83395" w:rsidRDefault="003B7466" w:rsidP="00B37172">
      <w:pPr>
        <w:spacing w:after="120" w:line="240" w:lineRule="auto"/>
        <w:jc w:val="both"/>
        <w:rPr>
          <w:rFonts w:ascii="Calibri" w:hAnsi="Calibri"/>
        </w:rPr>
      </w:pPr>
    </w:p>
    <w:p w:rsidR="003B7466" w:rsidRPr="00E83395" w:rsidRDefault="003B7466" w:rsidP="00B37172">
      <w:pPr>
        <w:spacing w:after="120" w:line="240" w:lineRule="auto"/>
        <w:jc w:val="center"/>
        <w:rPr>
          <w:rFonts w:ascii="Calibri" w:hAnsi="Calibri"/>
        </w:rPr>
      </w:pPr>
      <w:r w:rsidRPr="00E83395">
        <w:rPr>
          <w:rFonts w:ascii="Calibri" w:hAnsi="Calibri"/>
        </w:rPr>
        <w:t>§ 1</w:t>
      </w:r>
    </w:p>
    <w:p w:rsidR="00BD53D5" w:rsidRPr="00E83395" w:rsidRDefault="00BD53D5" w:rsidP="0082167A">
      <w:pPr>
        <w:pStyle w:val="Nagwek3"/>
        <w:shd w:val="clear" w:color="auto" w:fill="FFFFFF"/>
        <w:spacing w:before="0" w:after="120" w:line="240" w:lineRule="auto"/>
        <w:jc w:val="both"/>
        <w:textAlignment w:val="baseline"/>
        <w:rPr>
          <w:rFonts w:ascii="Calibri" w:eastAsia="Times New Roman" w:hAnsi="Calibri" w:cs="Arial"/>
          <w:b w:val="0"/>
        </w:rPr>
      </w:pPr>
      <w:r w:rsidRPr="00E83395">
        <w:rPr>
          <w:rFonts w:ascii="Calibri" w:hAnsi="Calibri"/>
          <w:b w:val="0"/>
        </w:rPr>
        <w:t xml:space="preserve">Rada Działalności Pożytku Publicznego po analizie projektu ustawy </w:t>
      </w:r>
      <w:r w:rsidRPr="00E83395">
        <w:rPr>
          <w:rFonts w:ascii="Calibri" w:eastAsia="Times New Roman" w:hAnsi="Calibri" w:cs="Arial"/>
          <w:b w:val="0"/>
        </w:rPr>
        <w:t xml:space="preserve">o nieodpłatnej pomocy prawnej i </w:t>
      </w:r>
      <w:r w:rsidR="00783AD6" w:rsidRPr="00E83395">
        <w:rPr>
          <w:rFonts w:ascii="Calibri" w:eastAsia="Times New Roman" w:hAnsi="Calibri" w:cs="Arial"/>
          <w:b w:val="0"/>
        </w:rPr>
        <w:t>informacji prawnej, z zadowoleniem podjęła inicjatywę uregulowania tej problematyki w formie aktu prawnego, zapowiedzianą w expose Pani Premier Ewy Kopacz.</w:t>
      </w:r>
      <w:r w:rsidR="0082167A" w:rsidRPr="00E83395">
        <w:rPr>
          <w:rFonts w:ascii="Calibri" w:eastAsia="Times New Roman" w:hAnsi="Calibri" w:cs="Arial"/>
          <w:b w:val="0"/>
        </w:rPr>
        <w:t xml:space="preserve"> </w:t>
      </w:r>
    </w:p>
    <w:p w:rsidR="00B20C27" w:rsidRPr="00E83395" w:rsidRDefault="00D71A89" w:rsidP="0082167A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 xml:space="preserve">Zdaniem Rady Działalności Pożytku Publicznego za niezwykle istotną należy uznać decyzję o przeznaczeniu w wymiarze wieloletnim tak istotnych środków budżetowych. To decyzja słuszna i potrzebna. </w:t>
      </w:r>
    </w:p>
    <w:p w:rsidR="0082167A" w:rsidRPr="00E83395" w:rsidRDefault="00D71A89" w:rsidP="0082167A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 xml:space="preserve">Jednak zgłoszony projekt zawiera dwa istotne ograniczenia, które mogą w dużym stopniu doprowadzić do sytuacji działań pozornych i niszczenia dotychczasowego dorobku wielu podmiotów i instytucji.  </w:t>
      </w:r>
      <w:r w:rsidR="00B20C27" w:rsidRPr="00E83395">
        <w:rPr>
          <w:rFonts w:ascii="Calibri" w:hAnsi="Calibri"/>
        </w:rPr>
        <w:t>F</w:t>
      </w:r>
      <w:r w:rsidR="0082167A" w:rsidRPr="00E83395">
        <w:rPr>
          <w:rFonts w:ascii="Calibri" w:hAnsi="Calibri"/>
        </w:rPr>
        <w:t>orma zgłoszonej propozycji jest kompletnie niespójna z doświadczeniami sektora pozarządowego w ostatnich dwudziestu pięciu latach. Społeczny ruch poradnictwa prawnego i obywatelskiego wypracował wiele unikalnych rozwiązań, próbując od lat stworzyć rozwiązania systemowe. Wiele z tych propozycji znalazło się w systemowych projektach finansowanych ze środków Europejskiego Funduszu Społecznego. Przyjęte tam rozwiązania i propozycje wypracowane w partnerstwie administracji rządowej i kluczowych organizacji zajmujących się nieodpłatnym poradnictwem prawnych zostały jednak kompletnie zlekceważone.</w:t>
      </w:r>
    </w:p>
    <w:p w:rsidR="0082167A" w:rsidRPr="00E83395" w:rsidRDefault="0082167A" w:rsidP="0082167A">
      <w:pPr>
        <w:spacing w:after="120" w:line="240" w:lineRule="auto"/>
        <w:jc w:val="both"/>
        <w:rPr>
          <w:rFonts w:ascii="Calibri" w:hAnsi="Calibri"/>
        </w:rPr>
      </w:pPr>
    </w:p>
    <w:p w:rsidR="00E82F52" w:rsidRPr="00E83395" w:rsidRDefault="00E82F52" w:rsidP="00B37172">
      <w:pPr>
        <w:spacing w:after="120" w:line="240" w:lineRule="auto"/>
        <w:jc w:val="center"/>
        <w:rPr>
          <w:rFonts w:ascii="Calibri" w:hAnsi="Calibri"/>
        </w:rPr>
      </w:pPr>
      <w:r w:rsidRPr="00E83395">
        <w:rPr>
          <w:rFonts w:ascii="Calibri" w:hAnsi="Calibri"/>
        </w:rPr>
        <w:t>§ 2</w:t>
      </w:r>
    </w:p>
    <w:p w:rsidR="005F7FD5" w:rsidRPr="00E83395" w:rsidRDefault="0082167A" w:rsidP="005F7FD5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Pierwsze ograniczenie dotyczy kręgu osób uprawnionych. Zdaniem Rady dostęp do nieodpłatnej pomocy prawnej to prawo obywatelskie</w:t>
      </w:r>
      <w:r w:rsidR="005F7FD5" w:rsidRPr="00E83395">
        <w:rPr>
          <w:rFonts w:ascii="Calibri" w:hAnsi="Calibri"/>
        </w:rPr>
        <w:t>, dotyczy bowiem pomocy w informowaniu i objaśnianiu obywatel</w:t>
      </w:r>
      <w:r w:rsidR="002D3D12" w:rsidRPr="00E83395">
        <w:rPr>
          <w:rFonts w:ascii="Calibri" w:hAnsi="Calibri"/>
        </w:rPr>
        <w:t>om treści</w:t>
      </w:r>
      <w:r w:rsidR="005F7FD5" w:rsidRPr="00E83395">
        <w:rPr>
          <w:rFonts w:ascii="Calibri" w:hAnsi="Calibri"/>
        </w:rPr>
        <w:t xml:space="preserve"> aktów prawnych wytworzonych przez państwo. Cała  konstrukcja projektowanych przepisów prowadzi do upokorzenia i zniechęcenia  osób wymagających wsparcia. Warto przypomnieć, ze analogiczny przepis art. 46 ustawy o pomocy społecznej określa możliwość udzielenia informacji o obowiązujących przepisach z zakresu prawa rodzinnego i opiekuńczego, zabezpieczenia społecznego, ochrony praw lokatorów świadczone osobom i rodzinom, </w:t>
      </w:r>
      <w:r w:rsidR="002D3D12" w:rsidRPr="00E83395">
        <w:rPr>
          <w:rFonts w:ascii="Calibri" w:hAnsi="Calibri"/>
        </w:rPr>
        <w:t>„</w:t>
      </w:r>
      <w:r w:rsidR="005F7FD5" w:rsidRPr="00E83395">
        <w:rPr>
          <w:rFonts w:ascii="Calibri" w:hAnsi="Calibri"/>
        </w:rPr>
        <w:t xml:space="preserve">które mają trudności lub wykazują potrzebę wsparcia w rozwiązywaniu swoich problemów życiowych, bez względu na posiadany dochód“. </w:t>
      </w:r>
    </w:p>
    <w:p w:rsidR="005F7FD5" w:rsidRPr="00E83395" w:rsidRDefault="00E82F52" w:rsidP="00B37172">
      <w:pPr>
        <w:spacing w:after="120" w:line="240" w:lineRule="auto"/>
        <w:jc w:val="both"/>
        <w:rPr>
          <w:rStyle w:val="h1"/>
          <w:rFonts w:ascii="Calibri" w:hAnsi="Calibri"/>
        </w:rPr>
      </w:pPr>
      <w:r w:rsidRPr="00E83395">
        <w:rPr>
          <w:rFonts w:ascii="Calibri" w:hAnsi="Calibri"/>
        </w:rPr>
        <w:t xml:space="preserve">Zdaniem Rady, </w:t>
      </w:r>
      <w:r w:rsidR="005F7FD5" w:rsidRPr="00E83395">
        <w:rPr>
          <w:rFonts w:ascii="Calibri" w:hAnsi="Calibri"/>
        </w:rPr>
        <w:t xml:space="preserve">krąg osób uprawnionych w projekcie do </w:t>
      </w:r>
      <w:r w:rsidR="00D8323C" w:rsidRPr="00E83395">
        <w:rPr>
          <w:rFonts w:ascii="Calibri" w:hAnsi="Calibri"/>
        </w:rPr>
        <w:t xml:space="preserve">otrzymania </w:t>
      </w:r>
      <w:r w:rsidR="005F7FD5" w:rsidRPr="00E83395">
        <w:rPr>
          <w:rFonts w:ascii="Calibri" w:hAnsi="Calibri"/>
        </w:rPr>
        <w:t xml:space="preserve">nieodpłatnej pomocy prawnej zaproponowany został w </w:t>
      </w:r>
      <w:r w:rsidR="00276E37" w:rsidRPr="00E83395">
        <w:rPr>
          <w:rFonts w:ascii="Calibri" w:hAnsi="Calibri"/>
        </w:rPr>
        <w:t xml:space="preserve">sposób </w:t>
      </w:r>
      <w:r w:rsidR="0074218E" w:rsidRPr="00E83395">
        <w:rPr>
          <w:rFonts w:ascii="Calibri" w:hAnsi="Calibri"/>
        </w:rPr>
        <w:t>dość nieprecyzyjn</w:t>
      </w:r>
      <w:r w:rsidR="005F7FD5" w:rsidRPr="00E83395">
        <w:rPr>
          <w:rFonts w:ascii="Calibri" w:hAnsi="Calibri"/>
        </w:rPr>
        <w:t>y</w:t>
      </w:r>
      <w:r w:rsidR="0074218E" w:rsidRPr="00E83395">
        <w:rPr>
          <w:rFonts w:ascii="Calibri" w:hAnsi="Calibri"/>
        </w:rPr>
        <w:t xml:space="preserve"> i </w:t>
      </w:r>
      <w:r w:rsidR="00276E37" w:rsidRPr="00E83395">
        <w:rPr>
          <w:rFonts w:ascii="Calibri" w:hAnsi="Calibri"/>
        </w:rPr>
        <w:t>restrykcyjn</w:t>
      </w:r>
      <w:r w:rsidR="005F7FD5" w:rsidRPr="00E83395">
        <w:rPr>
          <w:rFonts w:ascii="Calibri" w:hAnsi="Calibri"/>
        </w:rPr>
        <w:t>y</w:t>
      </w:r>
      <w:r w:rsidR="00276E37" w:rsidRPr="00E83395">
        <w:rPr>
          <w:rFonts w:ascii="Calibri" w:hAnsi="Calibri"/>
        </w:rPr>
        <w:t xml:space="preserve">. Projektowany przepis ogranicza </w:t>
      </w:r>
      <w:r w:rsidR="005F7FD5" w:rsidRPr="00E83395">
        <w:rPr>
          <w:rFonts w:ascii="Calibri" w:hAnsi="Calibri"/>
        </w:rPr>
        <w:t xml:space="preserve"> </w:t>
      </w:r>
      <w:r w:rsidR="00276E37" w:rsidRPr="00E83395">
        <w:rPr>
          <w:rFonts w:ascii="Calibri" w:hAnsi="Calibri"/>
        </w:rPr>
        <w:t>prawo</w:t>
      </w:r>
      <w:r w:rsidR="00B20C27" w:rsidRPr="00E83395">
        <w:rPr>
          <w:rFonts w:ascii="Calibri" w:hAnsi="Calibri"/>
        </w:rPr>
        <w:t xml:space="preserve"> do pomocy,</w:t>
      </w:r>
      <w:r w:rsidR="00276E37" w:rsidRPr="00E83395">
        <w:rPr>
          <w:rFonts w:ascii="Calibri" w:hAnsi="Calibri"/>
        </w:rPr>
        <w:t xml:space="preserve"> </w:t>
      </w:r>
      <w:r w:rsidR="00B20C27" w:rsidRPr="00E83395">
        <w:rPr>
          <w:rFonts w:ascii="Calibri" w:hAnsi="Calibri"/>
        </w:rPr>
        <w:t>dla</w:t>
      </w:r>
      <w:r w:rsidR="00276E37" w:rsidRPr="00E83395">
        <w:rPr>
          <w:rFonts w:ascii="Calibri" w:hAnsi="Calibri"/>
        </w:rPr>
        <w:t xml:space="preserve"> osób, które korzystają ze świadczeń pomocy społecznej </w:t>
      </w:r>
      <w:r w:rsidR="0074218E" w:rsidRPr="00E83395">
        <w:rPr>
          <w:rFonts w:ascii="Calibri" w:hAnsi="Calibri"/>
        </w:rPr>
        <w:t xml:space="preserve">na podstawie </w:t>
      </w:r>
      <w:r w:rsidR="007B3AC9" w:rsidRPr="00E83395">
        <w:rPr>
          <w:rFonts w:ascii="Calibri" w:hAnsi="Calibri"/>
        </w:rPr>
        <w:t xml:space="preserve">oryginału lub decyzji </w:t>
      </w:r>
      <w:r w:rsidR="0074218E" w:rsidRPr="00E83395">
        <w:rPr>
          <w:rFonts w:ascii="Calibri" w:hAnsi="Calibri"/>
        </w:rPr>
        <w:t xml:space="preserve"> administracyjnej</w:t>
      </w:r>
      <w:r w:rsidR="007B3AC9" w:rsidRPr="00E83395">
        <w:rPr>
          <w:rFonts w:ascii="Calibri" w:hAnsi="Calibri"/>
        </w:rPr>
        <w:t>,</w:t>
      </w:r>
      <w:r w:rsidR="0074218E" w:rsidRPr="00E83395">
        <w:rPr>
          <w:rFonts w:ascii="Calibri" w:hAnsi="Calibri"/>
        </w:rPr>
        <w:t xml:space="preserve"> oraz na podstawie </w:t>
      </w:r>
      <w:r w:rsidR="007B3AC9" w:rsidRPr="00E83395">
        <w:rPr>
          <w:rFonts w:ascii="Calibri" w:hAnsi="Calibri"/>
        </w:rPr>
        <w:t>zaświadczenia</w:t>
      </w:r>
      <w:r w:rsidR="0074218E" w:rsidRPr="00E83395">
        <w:rPr>
          <w:rFonts w:ascii="Calibri" w:hAnsi="Calibri"/>
        </w:rPr>
        <w:t xml:space="preserve"> w przypadkach </w:t>
      </w:r>
      <w:r w:rsidR="00253D36" w:rsidRPr="00E83395">
        <w:rPr>
          <w:rFonts w:ascii="Calibri" w:hAnsi="Calibri"/>
        </w:rPr>
        <w:t xml:space="preserve">nie wymagających decyzji administracyjnej. </w:t>
      </w:r>
      <w:r w:rsidR="00A60479" w:rsidRPr="00E83395">
        <w:rPr>
          <w:rFonts w:ascii="Calibri" w:hAnsi="Calibri"/>
        </w:rPr>
        <w:t xml:space="preserve">Powstaje pytanie jak te propozycje mają się do przyjętych </w:t>
      </w:r>
      <w:r w:rsidR="00E35CC7" w:rsidRPr="00E83395">
        <w:rPr>
          <w:rFonts w:ascii="Calibri" w:hAnsi="Calibri"/>
        </w:rPr>
        <w:t xml:space="preserve">rozwiązań w zakresie </w:t>
      </w:r>
      <w:r w:rsidR="00E35CC7" w:rsidRPr="00E83395">
        <w:rPr>
          <w:rFonts w:ascii="Calibri" w:hAnsi="Calibri"/>
        </w:rPr>
        <w:lastRenderedPageBreak/>
        <w:t>podatkowym przyjętych u</w:t>
      </w:r>
      <w:r w:rsidR="00E35CC7" w:rsidRPr="00E83395">
        <w:rPr>
          <w:rStyle w:val="h2"/>
          <w:rFonts w:ascii="Calibri" w:hAnsi="Calibri"/>
        </w:rPr>
        <w:t>staw</w:t>
      </w:r>
      <w:r w:rsidR="005F7FD5" w:rsidRPr="00E83395">
        <w:rPr>
          <w:rStyle w:val="h2"/>
          <w:rFonts w:ascii="Calibri" w:hAnsi="Calibri"/>
        </w:rPr>
        <w:t>ą</w:t>
      </w:r>
      <w:r w:rsidR="00E35CC7" w:rsidRPr="00E83395">
        <w:rPr>
          <w:rStyle w:val="h2"/>
          <w:rFonts w:ascii="Calibri" w:hAnsi="Calibri"/>
        </w:rPr>
        <w:t xml:space="preserve"> z dnia 7 listopada 2014 r. o ułatwieniu wykonywania działalności gospodarczej (</w:t>
      </w:r>
      <w:r w:rsidR="00E35CC7" w:rsidRPr="00E83395">
        <w:rPr>
          <w:rStyle w:val="h1"/>
          <w:rFonts w:ascii="Calibri" w:hAnsi="Calibri"/>
        </w:rPr>
        <w:t xml:space="preserve">Dz. U. 2014 poz. 1662). </w:t>
      </w:r>
    </w:p>
    <w:p w:rsidR="00D8323C" w:rsidRPr="00E83395" w:rsidRDefault="00E35CC7" w:rsidP="00B37172">
      <w:pPr>
        <w:spacing w:after="120" w:line="240" w:lineRule="auto"/>
        <w:jc w:val="both"/>
        <w:rPr>
          <w:rStyle w:val="h1"/>
          <w:rFonts w:ascii="Calibri" w:hAnsi="Calibri"/>
        </w:rPr>
      </w:pPr>
      <w:r w:rsidRPr="00E83395">
        <w:rPr>
          <w:rStyle w:val="h1"/>
          <w:rFonts w:ascii="Calibri" w:hAnsi="Calibri"/>
        </w:rPr>
        <w:t>Wspomniane przepi</w:t>
      </w:r>
      <w:r w:rsidR="005F7FD5" w:rsidRPr="00E83395">
        <w:rPr>
          <w:rStyle w:val="h1"/>
          <w:rFonts w:ascii="Calibri" w:hAnsi="Calibri"/>
        </w:rPr>
        <w:t>s</w:t>
      </w:r>
      <w:r w:rsidRPr="00E83395">
        <w:rPr>
          <w:rStyle w:val="h1"/>
          <w:rFonts w:ascii="Calibri" w:hAnsi="Calibri"/>
        </w:rPr>
        <w:t xml:space="preserve">y </w:t>
      </w:r>
      <w:r w:rsidR="008E7E91" w:rsidRPr="00E83395">
        <w:rPr>
          <w:rStyle w:val="h1"/>
          <w:rFonts w:ascii="Calibri" w:hAnsi="Calibri"/>
        </w:rPr>
        <w:t xml:space="preserve">– zmieniające przepisy o podatku dochodowym od osób fizycznych - </w:t>
      </w:r>
      <w:r w:rsidRPr="00E83395">
        <w:rPr>
          <w:rStyle w:val="h1"/>
          <w:rFonts w:ascii="Calibri" w:hAnsi="Calibri"/>
        </w:rPr>
        <w:t>zwa</w:t>
      </w:r>
      <w:r w:rsidR="00E82F52" w:rsidRPr="00E83395">
        <w:rPr>
          <w:rStyle w:val="h1"/>
          <w:rFonts w:ascii="Calibri" w:hAnsi="Calibri"/>
        </w:rPr>
        <w:t>l</w:t>
      </w:r>
      <w:r w:rsidRPr="00E83395">
        <w:rPr>
          <w:rStyle w:val="h1"/>
          <w:rFonts w:ascii="Calibri" w:hAnsi="Calibri"/>
        </w:rPr>
        <w:t>niają z opodatkowania osoby korzystające z nieodpłatnej pomocy prawnej, o ile otrzymują świadczenie z pomocy społecznej wydane w formie decyzji administracyjnej. Ponad</w:t>
      </w:r>
      <w:r w:rsidR="005F7FD5" w:rsidRPr="00E83395">
        <w:rPr>
          <w:rStyle w:val="h1"/>
          <w:rFonts w:ascii="Calibri" w:hAnsi="Calibri"/>
        </w:rPr>
        <w:t>to</w:t>
      </w:r>
      <w:r w:rsidRPr="00E83395">
        <w:rPr>
          <w:rStyle w:val="h1"/>
          <w:rFonts w:ascii="Calibri" w:hAnsi="Calibri"/>
        </w:rPr>
        <w:t xml:space="preserve"> przepi</w:t>
      </w:r>
      <w:r w:rsidR="00E82F52" w:rsidRPr="00E83395">
        <w:rPr>
          <w:rStyle w:val="h1"/>
          <w:rFonts w:ascii="Calibri" w:hAnsi="Calibri"/>
        </w:rPr>
        <w:t>s</w:t>
      </w:r>
      <w:r w:rsidRPr="00E83395">
        <w:rPr>
          <w:rStyle w:val="h1"/>
          <w:rFonts w:ascii="Calibri" w:hAnsi="Calibri"/>
        </w:rPr>
        <w:t xml:space="preserve">y te zwalniają z opodatkowania osoby korzystające ze świadczeń rodzinnych. </w:t>
      </w:r>
      <w:r w:rsidR="00E82F52" w:rsidRPr="00E83395">
        <w:rPr>
          <w:rStyle w:val="h1"/>
          <w:rFonts w:ascii="Calibri" w:hAnsi="Calibri"/>
        </w:rPr>
        <w:t>Powstają zatem dwie kategorie kom</w:t>
      </w:r>
      <w:r w:rsidR="005F7FD5" w:rsidRPr="00E83395">
        <w:rPr>
          <w:rStyle w:val="h1"/>
          <w:rFonts w:ascii="Calibri" w:hAnsi="Calibri"/>
        </w:rPr>
        <w:t>p</w:t>
      </w:r>
      <w:r w:rsidR="00E82F52" w:rsidRPr="00E83395">
        <w:rPr>
          <w:rStyle w:val="h1"/>
          <w:rFonts w:ascii="Calibri" w:hAnsi="Calibri"/>
        </w:rPr>
        <w:t>letnie do siebie nie przystające.</w:t>
      </w:r>
      <w:r w:rsidRPr="00E83395">
        <w:rPr>
          <w:rStyle w:val="h1"/>
          <w:rFonts w:ascii="Calibri" w:hAnsi="Calibri"/>
        </w:rPr>
        <w:t xml:space="preserve"> </w:t>
      </w:r>
      <w:r w:rsidR="002F5F2E" w:rsidRPr="00E83395">
        <w:rPr>
          <w:rStyle w:val="h1"/>
          <w:rFonts w:ascii="Calibri" w:hAnsi="Calibri"/>
        </w:rPr>
        <w:t xml:space="preserve"> Jednocześnie w projektowanym art. 4 ust. 3 zapowiada się, że u</w:t>
      </w:r>
      <w:r w:rsidR="002F5F2E" w:rsidRPr="00E83395">
        <w:rPr>
          <w:rFonts w:ascii="Calibri" w:hAnsi="Calibri"/>
        </w:rPr>
        <w:t>dzielona pomoc prawna nie stanowi przychodu w rozumieniu przepisów o podatku dochodowym od osób fizycznych. Widać tu wyraźną rozbieżność przepisów, ponieważ nie koryguje się w nowym projek</w:t>
      </w:r>
      <w:r w:rsidR="008E7E91" w:rsidRPr="00E83395">
        <w:rPr>
          <w:rFonts w:ascii="Calibri" w:hAnsi="Calibri"/>
        </w:rPr>
        <w:t>ci</w:t>
      </w:r>
      <w:r w:rsidR="002F5F2E" w:rsidRPr="00E83395">
        <w:rPr>
          <w:rFonts w:ascii="Calibri" w:hAnsi="Calibri"/>
        </w:rPr>
        <w:t>e ustawy o podatku dochodowym od osób fizycznych.</w:t>
      </w:r>
    </w:p>
    <w:p w:rsidR="00276E37" w:rsidRPr="00E83395" w:rsidRDefault="00E82F52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Projektowane p</w:t>
      </w:r>
      <w:r w:rsidR="0074218E" w:rsidRPr="00E83395">
        <w:rPr>
          <w:rFonts w:ascii="Calibri" w:hAnsi="Calibri"/>
        </w:rPr>
        <w:t>rzepisy umo</w:t>
      </w:r>
      <w:r w:rsidR="00253D36" w:rsidRPr="00E83395">
        <w:rPr>
          <w:rFonts w:ascii="Calibri" w:hAnsi="Calibri"/>
        </w:rPr>
        <w:t>ż</w:t>
      </w:r>
      <w:r w:rsidR="0074218E" w:rsidRPr="00E83395">
        <w:rPr>
          <w:rFonts w:ascii="Calibri" w:hAnsi="Calibri"/>
        </w:rPr>
        <w:t>liwiają również prawo do nieodpłatnej pomocy prawnej</w:t>
      </w:r>
      <w:r w:rsidR="00D8323C" w:rsidRPr="00E83395">
        <w:rPr>
          <w:rFonts w:ascii="Calibri" w:hAnsi="Calibri"/>
        </w:rPr>
        <w:t xml:space="preserve"> osobie,</w:t>
      </w:r>
      <w:r w:rsidR="0074218E" w:rsidRPr="00E83395">
        <w:rPr>
          <w:rFonts w:ascii="Calibri" w:hAnsi="Calibri"/>
        </w:rPr>
        <w:t xml:space="preserve"> która spełnia warunki do przyznania świadczenia</w:t>
      </w:r>
      <w:r w:rsidR="00D8323C" w:rsidRPr="00E83395">
        <w:rPr>
          <w:rFonts w:ascii="Calibri" w:hAnsi="Calibri"/>
        </w:rPr>
        <w:t xml:space="preserve"> z</w:t>
      </w:r>
      <w:r w:rsidR="0074218E" w:rsidRPr="00E83395">
        <w:rPr>
          <w:rFonts w:ascii="Calibri" w:hAnsi="Calibri"/>
        </w:rPr>
        <w:t xml:space="preserve"> pomocy społecznej</w:t>
      </w:r>
      <w:r w:rsidR="00D8323C" w:rsidRPr="00E83395">
        <w:rPr>
          <w:rFonts w:ascii="Calibri" w:hAnsi="Calibri"/>
        </w:rPr>
        <w:t>,</w:t>
      </w:r>
      <w:r w:rsidR="0074218E" w:rsidRPr="00E83395">
        <w:rPr>
          <w:rFonts w:ascii="Calibri" w:hAnsi="Calibri"/>
        </w:rPr>
        <w:t xml:space="preserve"> a jednocześnie konieczno</w:t>
      </w:r>
      <w:r w:rsidR="005F7FD5" w:rsidRPr="00E83395">
        <w:rPr>
          <w:rFonts w:ascii="Calibri" w:hAnsi="Calibri"/>
        </w:rPr>
        <w:t>ś</w:t>
      </w:r>
      <w:r w:rsidR="0074218E" w:rsidRPr="00E83395">
        <w:rPr>
          <w:rFonts w:ascii="Calibri" w:hAnsi="Calibri"/>
        </w:rPr>
        <w:t>ć udzielenia pomocy wystąpiła</w:t>
      </w:r>
      <w:r w:rsidR="00253D36" w:rsidRPr="00E83395">
        <w:rPr>
          <w:rFonts w:ascii="Calibri" w:hAnsi="Calibri"/>
        </w:rPr>
        <w:t>:</w:t>
      </w:r>
      <w:r w:rsidR="0074218E" w:rsidRPr="00E83395">
        <w:rPr>
          <w:rFonts w:ascii="Calibri" w:hAnsi="Calibri"/>
        </w:rPr>
        <w:t xml:space="preserve"> </w:t>
      </w:r>
    </w:p>
    <w:p w:rsidR="0074218E" w:rsidRPr="00E83395" w:rsidRDefault="0074218E" w:rsidP="00B20C27">
      <w:pPr>
        <w:pStyle w:val="PKTpunkt"/>
        <w:numPr>
          <w:ilvl w:val="0"/>
          <w:numId w:val="4"/>
        </w:numPr>
        <w:spacing w:after="120" w:line="240" w:lineRule="auto"/>
        <w:rPr>
          <w:rFonts w:ascii="Calibri" w:hAnsi="Calibri"/>
          <w:sz w:val="22"/>
          <w:szCs w:val="22"/>
        </w:rPr>
      </w:pPr>
      <w:r w:rsidRPr="00E83395">
        <w:rPr>
          <w:rFonts w:ascii="Calibri" w:hAnsi="Calibri"/>
          <w:sz w:val="22"/>
          <w:szCs w:val="22"/>
        </w:rPr>
        <w:t>w czasie trwania stanu nadzwyczajnego na obszarze na którym został wprowadzony;</w:t>
      </w:r>
    </w:p>
    <w:p w:rsidR="0074218E" w:rsidRPr="00E83395" w:rsidRDefault="0074218E" w:rsidP="00B20C27">
      <w:pPr>
        <w:pStyle w:val="PKTpunkt"/>
        <w:numPr>
          <w:ilvl w:val="0"/>
          <w:numId w:val="4"/>
        </w:numPr>
        <w:spacing w:after="120" w:line="240" w:lineRule="auto"/>
        <w:rPr>
          <w:rFonts w:ascii="Calibri" w:hAnsi="Calibri"/>
          <w:sz w:val="22"/>
          <w:szCs w:val="22"/>
        </w:rPr>
      </w:pPr>
      <w:r w:rsidRPr="00E83395">
        <w:rPr>
          <w:rFonts w:ascii="Calibri" w:hAnsi="Calibri"/>
          <w:sz w:val="22"/>
          <w:szCs w:val="22"/>
        </w:rPr>
        <w:t>w sytuacji wystąpienia klęski żywiołowej, katastrofy naturalnej lub awarii technicznej,</w:t>
      </w:r>
      <w:r w:rsidR="005F7FD5" w:rsidRPr="00E83395">
        <w:rPr>
          <w:rFonts w:ascii="Calibri" w:hAnsi="Calibri"/>
          <w:sz w:val="22"/>
          <w:szCs w:val="22"/>
        </w:rPr>
        <w:t xml:space="preserve"> </w:t>
      </w:r>
      <w:r w:rsidRPr="00E83395">
        <w:rPr>
          <w:rFonts w:ascii="Calibri" w:hAnsi="Calibri"/>
          <w:sz w:val="22"/>
          <w:szCs w:val="22"/>
        </w:rPr>
        <w:t>zagrażających osobie uprawnionej;</w:t>
      </w:r>
    </w:p>
    <w:p w:rsidR="0074218E" w:rsidRPr="00E83395" w:rsidRDefault="0074218E" w:rsidP="00B20C27">
      <w:pPr>
        <w:pStyle w:val="PKTpunkt"/>
        <w:numPr>
          <w:ilvl w:val="0"/>
          <w:numId w:val="4"/>
        </w:numPr>
        <w:spacing w:after="120" w:line="240" w:lineRule="auto"/>
        <w:rPr>
          <w:rFonts w:ascii="Calibri" w:hAnsi="Calibri"/>
          <w:sz w:val="22"/>
          <w:szCs w:val="22"/>
        </w:rPr>
      </w:pPr>
      <w:r w:rsidRPr="00E83395">
        <w:rPr>
          <w:rFonts w:ascii="Calibri" w:hAnsi="Calibri"/>
          <w:sz w:val="22"/>
          <w:szCs w:val="22"/>
        </w:rPr>
        <w:t>w razie sytuacji kryzysowej, zdarzenia losowego lub innej sytuacji nie cierpiącej zwłoki, wymagających natychmiastowego udzielenia pomocy prawnej.</w:t>
      </w:r>
    </w:p>
    <w:p w:rsidR="00BA6ED4" w:rsidRPr="00E83395" w:rsidRDefault="00253D36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Powstaje pytanie, kto zweryfikuje</w:t>
      </w:r>
      <w:r w:rsidR="00D8323C" w:rsidRPr="00E83395">
        <w:rPr>
          <w:rFonts w:ascii="Calibri" w:hAnsi="Calibri"/>
        </w:rPr>
        <w:t>,</w:t>
      </w:r>
      <w:r w:rsidRPr="00E83395">
        <w:rPr>
          <w:rFonts w:ascii="Calibri" w:hAnsi="Calibri"/>
        </w:rPr>
        <w:t xml:space="preserve"> że </w:t>
      </w:r>
      <w:r w:rsidR="00D8323C" w:rsidRPr="00E83395">
        <w:rPr>
          <w:rFonts w:ascii="Calibri" w:hAnsi="Calibri"/>
        </w:rPr>
        <w:t>wobec osoby ubiegającej się o przyznanie pomocy wy</w:t>
      </w:r>
      <w:r w:rsidRPr="00E83395">
        <w:rPr>
          <w:rFonts w:ascii="Calibri" w:hAnsi="Calibri"/>
        </w:rPr>
        <w:t>stąpił</w:t>
      </w:r>
      <w:r w:rsidR="00D8323C" w:rsidRPr="00E83395">
        <w:rPr>
          <w:rFonts w:ascii="Calibri" w:hAnsi="Calibri"/>
        </w:rPr>
        <w:t>a</w:t>
      </w:r>
      <w:r w:rsidRPr="00E83395">
        <w:rPr>
          <w:rFonts w:ascii="Calibri" w:hAnsi="Calibri"/>
        </w:rPr>
        <w:t xml:space="preserve"> </w:t>
      </w:r>
      <w:r w:rsidR="00D8323C" w:rsidRPr="00E83395">
        <w:rPr>
          <w:rFonts w:ascii="Calibri" w:hAnsi="Calibri"/>
        </w:rPr>
        <w:t xml:space="preserve">któraś z powyższych </w:t>
      </w:r>
      <w:r w:rsidRPr="00E83395">
        <w:rPr>
          <w:rFonts w:ascii="Calibri" w:hAnsi="Calibri"/>
        </w:rPr>
        <w:t>przesłan</w:t>
      </w:r>
      <w:r w:rsidR="00D8323C" w:rsidRPr="00E83395">
        <w:rPr>
          <w:rFonts w:ascii="Calibri" w:hAnsi="Calibri"/>
        </w:rPr>
        <w:t>ek</w:t>
      </w:r>
      <w:r w:rsidRPr="00E83395">
        <w:rPr>
          <w:rFonts w:ascii="Calibri" w:hAnsi="Calibri"/>
        </w:rPr>
        <w:t xml:space="preserve">. Projekt przenosi odpowiedzialność – i to karną </w:t>
      </w:r>
      <w:r w:rsidR="00D8323C" w:rsidRPr="00E83395">
        <w:rPr>
          <w:rFonts w:ascii="Calibri" w:hAnsi="Calibri"/>
        </w:rPr>
        <w:t>–</w:t>
      </w:r>
      <w:r w:rsidRPr="00E83395">
        <w:rPr>
          <w:rFonts w:ascii="Calibri" w:hAnsi="Calibri"/>
        </w:rPr>
        <w:t xml:space="preserve"> na osobę, która chce skorzystać z pomocy prawnej. </w:t>
      </w:r>
      <w:r w:rsidR="00B20C27" w:rsidRPr="00E83395">
        <w:rPr>
          <w:rFonts w:ascii="Calibri" w:hAnsi="Calibri"/>
        </w:rPr>
        <w:t xml:space="preserve"> Należy zadać</w:t>
      </w:r>
      <w:r w:rsidR="00BA6ED4" w:rsidRPr="00E83395">
        <w:rPr>
          <w:rFonts w:ascii="Calibri" w:hAnsi="Calibri"/>
        </w:rPr>
        <w:t xml:space="preserve"> zatem pytanie</w:t>
      </w:r>
      <w:r w:rsidR="00D8323C" w:rsidRPr="00E83395">
        <w:rPr>
          <w:rFonts w:ascii="Calibri" w:hAnsi="Calibri"/>
        </w:rPr>
        <w:t>,</w:t>
      </w:r>
      <w:r w:rsidR="00BA6ED4" w:rsidRPr="00E83395">
        <w:rPr>
          <w:rFonts w:ascii="Calibri" w:hAnsi="Calibri"/>
        </w:rPr>
        <w:t xml:space="preserve"> jakich nadużyć spodziewa się projektodawca, wprowadzając restrykcyjny i nieprzemy</w:t>
      </w:r>
      <w:r w:rsidR="00646145" w:rsidRPr="00E83395">
        <w:rPr>
          <w:rFonts w:ascii="Calibri" w:hAnsi="Calibri"/>
        </w:rPr>
        <w:t>ś</w:t>
      </w:r>
      <w:r w:rsidR="00BA6ED4" w:rsidRPr="00E83395">
        <w:rPr>
          <w:rFonts w:ascii="Calibri" w:hAnsi="Calibri"/>
        </w:rPr>
        <w:t xml:space="preserve">lany krąg osób uprawnionych do </w:t>
      </w:r>
      <w:r w:rsidR="008E7E91" w:rsidRPr="00E83395">
        <w:rPr>
          <w:rFonts w:ascii="Calibri" w:hAnsi="Calibri"/>
        </w:rPr>
        <w:t>nieodpłatnej pomocy prawnej.</w:t>
      </w:r>
    </w:p>
    <w:p w:rsidR="00646145" w:rsidRPr="00E83395" w:rsidRDefault="00646145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 xml:space="preserve">Rada zwraca uwagę, iż projekt ten </w:t>
      </w:r>
      <w:r w:rsidR="00B57DD3" w:rsidRPr="00E83395">
        <w:rPr>
          <w:rFonts w:ascii="Calibri" w:hAnsi="Calibri"/>
        </w:rPr>
        <w:t>in</w:t>
      </w:r>
      <w:r w:rsidR="005F7FD5" w:rsidRPr="00E83395">
        <w:rPr>
          <w:rFonts w:ascii="Calibri" w:hAnsi="Calibri"/>
        </w:rPr>
        <w:t xml:space="preserve"> </w:t>
      </w:r>
      <w:proofErr w:type="spellStart"/>
      <w:r w:rsidRPr="00E83395">
        <w:rPr>
          <w:rFonts w:ascii="Calibri" w:hAnsi="Calibri"/>
        </w:rPr>
        <w:t>gremio</w:t>
      </w:r>
      <w:proofErr w:type="spellEnd"/>
      <w:r w:rsidRPr="00E83395">
        <w:rPr>
          <w:rFonts w:ascii="Calibri" w:hAnsi="Calibri"/>
        </w:rPr>
        <w:t xml:space="preserve"> wyklucza wszystkich emerytów, którzy nie korzystają ze świadczeń pomocy społecznej lub nie spełniają warunków wsparcia z pomocy społecznej. </w:t>
      </w:r>
    </w:p>
    <w:p w:rsidR="0051271C" w:rsidRPr="00E83395" w:rsidRDefault="0051271C" w:rsidP="00B37172">
      <w:pPr>
        <w:spacing w:after="120" w:line="240" w:lineRule="auto"/>
        <w:jc w:val="both"/>
        <w:rPr>
          <w:rFonts w:ascii="Calibri" w:hAnsi="Calibri"/>
        </w:rPr>
      </w:pPr>
    </w:p>
    <w:p w:rsidR="00B37172" w:rsidRPr="00E83395" w:rsidRDefault="0051271C" w:rsidP="00B37172">
      <w:pPr>
        <w:spacing w:after="120" w:line="240" w:lineRule="auto"/>
        <w:jc w:val="center"/>
        <w:rPr>
          <w:rFonts w:ascii="Calibri" w:hAnsi="Calibri"/>
        </w:rPr>
      </w:pPr>
      <w:r w:rsidRPr="00E83395">
        <w:rPr>
          <w:rFonts w:ascii="Calibri" w:hAnsi="Calibri"/>
        </w:rPr>
        <w:t>§ 3</w:t>
      </w:r>
    </w:p>
    <w:p w:rsidR="00B37172" w:rsidRPr="00E83395" w:rsidRDefault="00B57DD3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 xml:space="preserve">Drugie ograniczenie zadaniem Rady dotyczy </w:t>
      </w:r>
      <w:r w:rsidR="00D8323C" w:rsidRPr="00E83395">
        <w:rPr>
          <w:rFonts w:ascii="Calibri" w:hAnsi="Calibri"/>
        </w:rPr>
        <w:t xml:space="preserve">znacznego zawężenia </w:t>
      </w:r>
      <w:r w:rsidRPr="00E83395">
        <w:rPr>
          <w:rFonts w:ascii="Calibri" w:hAnsi="Calibri"/>
        </w:rPr>
        <w:t>kręgu pomiotów uprawnionych do udzielania nieodpłatnego poradnictwa prawnego. Tak sformułowana propozycja może doprowadzić do zniszczenia wszelkiej działalności pro bono</w:t>
      </w:r>
      <w:r w:rsidR="00D8323C" w:rsidRPr="00E83395">
        <w:rPr>
          <w:rFonts w:ascii="Calibri" w:hAnsi="Calibri"/>
        </w:rPr>
        <w:t>,</w:t>
      </w:r>
      <w:r w:rsidRPr="00E83395">
        <w:rPr>
          <w:rFonts w:ascii="Calibri" w:hAnsi="Calibri"/>
        </w:rPr>
        <w:t xml:space="preserve"> na której bazują działania organizacji pozarządowych. </w:t>
      </w:r>
    </w:p>
    <w:p w:rsidR="00B57DD3" w:rsidRPr="00E83395" w:rsidRDefault="00B57DD3" w:rsidP="00B57DD3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Pozytywne rozwiązania w tym zakresie, zapewniające pluralizm i umożliwienie konkurowania rzetelną jakością przewidziano natomiast w projekcie ustawy o zmianie ustawy o udzielaniu cudzoziemcom ochrony na terytorium Rzeczypospolitej Polskiej oraz niektórych innych ustaw z dnia 1 grudnia 2014 r. przygotowanej przez Ministerstwo Spraw Wewnętrznych.</w:t>
      </w:r>
    </w:p>
    <w:p w:rsidR="00B57DD3" w:rsidRPr="00E83395" w:rsidRDefault="00B57DD3" w:rsidP="00B57DD3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Przypominamy, że projekt odnoszący się do nieodpłatnej pomocy prawnej dla cudzoziemców w projektowanym art. 347h wskazuje na możliwość wyłonienia realizatorów pomocy prawnej w trybie konkursowym</w:t>
      </w:r>
      <w:r w:rsidR="00D8323C" w:rsidRPr="00E83395">
        <w:rPr>
          <w:rFonts w:ascii="Calibri" w:hAnsi="Calibri"/>
        </w:rPr>
        <w:t>,</w:t>
      </w:r>
      <w:r w:rsidRPr="00E83395">
        <w:rPr>
          <w:rFonts w:ascii="Calibri" w:hAnsi="Calibri"/>
        </w:rPr>
        <w:t xml:space="preserve"> biorąc pod uwagę</w:t>
      </w:r>
      <w:r w:rsidR="00D8323C" w:rsidRPr="00E83395">
        <w:rPr>
          <w:rFonts w:ascii="Calibri" w:hAnsi="Calibri"/>
        </w:rPr>
        <w:t>:</w:t>
      </w:r>
      <w:r w:rsidRPr="00E83395">
        <w:rPr>
          <w:rFonts w:ascii="Calibri" w:hAnsi="Calibri"/>
        </w:rPr>
        <w:t xml:space="preserve"> doświadczenie i wiarygodność oferenta oraz rękojmię rzetelnego wykonywania przez niego umowy; oferowany sposób udzielania pomocy prawnej, jej dostępność a także terytorialne rozmieszczenie punktów pomocy prawnej; zaoferowaną cenę ryczałtową za udzielanie pomocy prawnej</w:t>
      </w:r>
      <w:r w:rsidR="001B34CA" w:rsidRPr="00E83395">
        <w:rPr>
          <w:rFonts w:ascii="Calibri" w:hAnsi="Calibri"/>
        </w:rPr>
        <w:t>. Ponadto wskazano</w:t>
      </w:r>
      <w:r w:rsidR="00D8323C" w:rsidRPr="00E83395">
        <w:rPr>
          <w:rFonts w:ascii="Calibri" w:hAnsi="Calibri"/>
        </w:rPr>
        <w:t>,</w:t>
      </w:r>
      <w:r w:rsidR="001B34CA" w:rsidRPr="00E83395">
        <w:rPr>
          <w:rFonts w:ascii="Calibri" w:hAnsi="Calibri"/>
        </w:rPr>
        <w:t xml:space="preserve"> iż u</w:t>
      </w:r>
      <w:r w:rsidRPr="00E83395">
        <w:rPr>
          <w:rFonts w:ascii="Calibri" w:hAnsi="Calibri"/>
        </w:rPr>
        <w:t>czestnikiem konkursu może być:</w:t>
      </w:r>
    </w:p>
    <w:p w:rsidR="00B57DD3" w:rsidRPr="00E83395" w:rsidRDefault="00B57DD3" w:rsidP="001B34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lastRenderedPageBreak/>
        <w:t>adwokat, radca prawny, prawnik zagraniczny wpisany na listę prawników</w:t>
      </w:r>
      <w:r w:rsidR="001B34CA" w:rsidRPr="00E83395">
        <w:rPr>
          <w:rFonts w:ascii="Calibri" w:hAnsi="Calibri"/>
        </w:rPr>
        <w:t xml:space="preserve"> </w:t>
      </w:r>
      <w:r w:rsidRPr="00E83395">
        <w:rPr>
          <w:rFonts w:ascii="Calibri" w:hAnsi="Calibri"/>
        </w:rPr>
        <w:t>zagranicznych lub spółka z udziałem adwokatów, radców prawnych i prawników</w:t>
      </w:r>
      <w:r w:rsidR="001B34CA" w:rsidRPr="00E83395">
        <w:rPr>
          <w:rFonts w:ascii="Calibri" w:hAnsi="Calibri"/>
        </w:rPr>
        <w:t xml:space="preserve"> </w:t>
      </w:r>
      <w:r w:rsidRPr="00E83395">
        <w:rPr>
          <w:rFonts w:ascii="Calibri" w:hAnsi="Calibri"/>
        </w:rPr>
        <w:t>zagranicznych wpisanych na listę prawników zagranicznych, a także zespół</w:t>
      </w:r>
      <w:r w:rsidR="001B34CA" w:rsidRPr="00E83395">
        <w:rPr>
          <w:rFonts w:ascii="Calibri" w:hAnsi="Calibri"/>
        </w:rPr>
        <w:t xml:space="preserve"> </w:t>
      </w:r>
      <w:r w:rsidRPr="00E83395">
        <w:rPr>
          <w:rFonts w:ascii="Calibri" w:hAnsi="Calibri"/>
        </w:rPr>
        <w:t>adwokacki;</w:t>
      </w:r>
    </w:p>
    <w:p w:rsidR="00B57DD3" w:rsidRPr="00E83395" w:rsidRDefault="00B57DD3" w:rsidP="001B34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osoba z wyższym wykształceniem prawniczym, która uzyskała tytuł magistra</w:t>
      </w:r>
      <w:r w:rsidR="001B34CA" w:rsidRPr="00E83395">
        <w:rPr>
          <w:rFonts w:ascii="Calibri" w:hAnsi="Calibri"/>
        </w:rPr>
        <w:t xml:space="preserve"> </w:t>
      </w:r>
      <w:r w:rsidRPr="00E83395">
        <w:rPr>
          <w:rFonts w:ascii="Calibri" w:hAnsi="Calibri"/>
        </w:rPr>
        <w:t>prawa lub spółka powołana przez takie osoby;</w:t>
      </w:r>
    </w:p>
    <w:p w:rsidR="00B57DD3" w:rsidRPr="00E83395" w:rsidRDefault="00B57DD3" w:rsidP="001B34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uniwersytet lub szkoła wyższa, która świadczy nieodpłatną pomoc prawną</w:t>
      </w:r>
      <w:r w:rsidR="001B34CA" w:rsidRPr="00E83395">
        <w:rPr>
          <w:rFonts w:ascii="Calibri" w:hAnsi="Calibri"/>
        </w:rPr>
        <w:t xml:space="preserve"> </w:t>
      </w:r>
      <w:r w:rsidRPr="00E83395">
        <w:rPr>
          <w:rFonts w:ascii="Calibri" w:hAnsi="Calibri"/>
        </w:rPr>
        <w:t>w ramach akademickiej poradni prawnej;</w:t>
      </w:r>
    </w:p>
    <w:p w:rsidR="00B57DD3" w:rsidRPr="00E83395" w:rsidRDefault="00B57DD3" w:rsidP="001B34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organizacja pozarządowa, która świadczy nieodpłatną pomoc prawną</w:t>
      </w:r>
      <w:r w:rsidR="001B34CA" w:rsidRPr="00E83395">
        <w:rPr>
          <w:rFonts w:ascii="Calibri" w:hAnsi="Calibri"/>
        </w:rPr>
        <w:t>.</w:t>
      </w:r>
    </w:p>
    <w:p w:rsidR="001B34CA" w:rsidRPr="00E83395" w:rsidRDefault="001B34CA" w:rsidP="001B34CA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Zdaniem Rady rozwiązania w takim kształcie w znacznie lepszy sposób zapewnią jakość usług i dostępność obywateli niż ograniczenie ich wyłącznie do adwokatów i radców prawnych.</w:t>
      </w:r>
    </w:p>
    <w:p w:rsidR="001B34CA" w:rsidRPr="00E83395" w:rsidRDefault="001B34CA" w:rsidP="001B34CA">
      <w:pPr>
        <w:spacing w:after="120" w:line="240" w:lineRule="auto"/>
        <w:jc w:val="both"/>
        <w:rPr>
          <w:rFonts w:ascii="Calibri" w:hAnsi="Calibri"/>
        </w:rPr>
      </w:pPr>
    </w:p>
    <w:p w:rsidR="00B57DD3" w:rsidRPr="00E83395" w:rsidRDefault="00B57DD3" w:rsidP="00B57DD3">
      <w:pPr>
        <w:spacing w:after="120" w:line="240" w:lineRule="auto"/>
        <w:jc w:val="center"/>
        <w:rPr>
          <w:rFonts w:ascii="Calibri" w:hAnsi="Calibri"/>
        </w:rPr>
      </w:pPr>
      <w:r w:rsidRPr="00E83395">
        <w:rPr>
          <w:rFonts w:ascii="Calibri" w:hAnsi="Calibri"/>
        </w:rPr>
        <w:t>§ 4</w:t>
      </w:r>
    </w:p>
    <w:p w:rsidR="0028626E" w:rsidRPr="00E83395" w:rsidRDefault="00B57DD3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Rada Działalności Pożytku Publicznego uznając wagę tego projektu powołała specjalny zespół doraźny</w:t>
      </w:r>
      <w:r w:rsidR="001B34CA" w:rsidRPr="00E83395">
        <w:rPr>
          <w:rFonts w:ascii="Calibri" w:hAnsi="Calibri"/>
        </w:rPr>
        <w:t xml:space="preserve">, który jest gotów wesprzeć prace nad systemowym uregulowaniem nieodpłatnego poradnictwa prawnego starając się znaleźć kompromis, który jak widać z projektów różnych resortów jest możliwy. Oferujemy swoją pracę i udział w </w:t>
      </w:r>
      <w:r w:rsidR="000E7B76" w:rsidRPr="00E83395">
        <w:rPr>
          <w:rFonts w:ascii="Calibri" w:hAnsi="Calibri"/>
        </w:rPr>
        <w:t>debacie</w:t>
      </w:r>
      <w:r w:rsidR="001B34CA" w:rsidRPr="00E83395">
        <w:rPr>
          <w:rFonts w:ascii="Calibri" w:hAnsi="Calibri"/>
        </w:rPr>
        <w:t xml:space="preserve"> licząc na spokojny przebieg dalszych prac, które z uwagi na ich wagę i wieloletni wymiar wymagają rozwagi i </w:t>
      </w:r>
      <w:r w:rsidR="000E7B76" w:rsidRPr="00E83395">
        <w:rPr>
          <w:rFonts w:ascii="Calibri" w:hAnsi="Calibri"/>
        </w:rPr>
        <w:t>spokojnej dyskusji.</w:t>
      </w:r>
      <w:r w:rsidR="001B34CA" w:rsidRPr="00E83395">
        <w:rPr>
          <w:rFonts w:ascii="Calibri" w:hAnsi="Calibri"/>
        </w:rPr>
        <w:t xml:space="preserve">  </w:t>
      </w:r>
      <w:r w:rsidRPr="00E83395">
        <w:rPr>
          <w:rFonts w:ascii="Calibri" w:hAnsi="Calibri"/>
        </w:rPr>
        <w:t xml:space="preserve"> </w:t>
      </w:r>
    </w:p>
    <w:p w:rsidR="00B57DD3" w:rsidRPr="00E83395" w:rsidRDefault="00B57DD3" w:rsidP="00B37172">
      <w:pPr>
        <w:spacing w:after="120" w:line="240" w:lineRule="auto"/>
        <w:jc w:val="both"/>
        <w:rPr>
          <w:rFonts w:ascii="Calibri" w:hAnsi="Calibri"/>
        </w:rPr>
      </w:pPr>
    </w:p>
    <w:p w:rsidR="0028626E" w:rsidRPr="00E83395" w:rsidRDefault="0028626E" w:rsidP="00B37172">
      <w:pPr>
        <w:spacing w:after="120" w:line="240" w:lineRule="auto"/>
        <w:jc w:val="center"/>
        <w:rPr>
          <w:rFonts w:ascii="Calibri" w:hAnsi="Calibri"/>
        </w:rPr>
      </w:pPr>
      <w:r w:rsidRPr="00E83395">
        <w:rPr>
          <w:rFonts w:ascii="Calibri" w:hAnsi="Calibri"/>
        </w:rPr>
        <w:t xml:space="preserve">§ </w:t>
      </w:r>
      <w:r w:rsidR="00B57DD3" w:rsidRPr="00E83395">
        <w:rPr>
          <w:rFonts w:ascii="Calibri" w:hAnsi="Calibri"/>
        </w:rPr>
        <w:t>5</w:t>
      </w:r>
    </w:p>
    <w:p w:rsidR="008E1D41" w:rsidRPr="00E83395" w:rsidRDefault="0028626E" w:rsidP="00B37172">
      <w:pPr>
        <w:spacing w:after="120" w:line="240" w:lineRule="auto"/>
        <w:jc w:val="both"/>
        <w:rPr>
          <w:rFonts w:ascii="Calibri" w:hAnsi="Calibri"/>
        </w:rPr>
      </w:pPr>
      <w:r w:rsidRPr="00E83395">
        <w:rPr>
          <w:rFonts w:ascii="Calibri" w:hAnsi="Calibri"/>
        </w:rPr>
        <w:t>Uchwała wchodzi w życie z dniem podjęcia.</w:t>
      </w:r>
    </w:p>
    <w:p w:rsidR="0051271C" w:rsidRPr="00E83395" w:rsidRDefault="0051271C" w:rsidP="00B37172">
      <w:pPr>
        <w:spacing w:after="120" w:line="240" w:lineRule="auto"/>
        <w:jc w:val="both"/>
        <w:rPr>
          <w:rFonts w:ascii="Calibri" w:hAnsi="Calibri"/>
        </w:rPr>
      </w:pPr>
    </w:p>
    <w:p w:rsidR="00BA6ED4" w:rsidRPr="00E83395" w:rsidRDefault="00BA6ED4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E83395" w:rsidRDefault="009F3729" w:rsidP="00B37172">
      <w:pPr>
        <w:spacing w:after="120" w:line="240" w:lineRule="auto"/>
        <w:jc w:val="both"/>
        <w:rPr>
          <w:rFonts w:ascii="Calibri" w:hAnsi="Calibri"/>
        </w:rPr>
      </w:pPr>
    </w:p>
    <w:p w:rsidR="009F3729" w:rsidRPr="00E83395" w:rsidRDefault="009F3729" w:rsidP="00B37172">
      <w:pPr>
        <w:spacing w:after="120" w:line="240" w:lineRule="auto"/>
        <w:rPr>
          <w:rFonts w:ascii="Calibri" w:hAnsi="Calibri"/>
        </w:rPr>
      </w:pPr>
    </w:p>
    <w:sectPr w:rsidR="009F3729" w:rsidRPr="00E83395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60FB"/>
    <w:multiLevelType w:val="hybridMultilevel"/>
    <w:tmpl w:val="CF102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460B7"/>
    <w:multiLevelType w:val="hybridMultilevel"/>
    <w:tmpl w:val="2FC4D54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41319"/>
    <w:rsid w:val="000D4EA5"/>
    <w:rsid w:val="000E7B76"/>
    <w:rsid w:val="001051C7"/>
    <w:rsid w:val="001B34CA"/>
    <w:rsid w:val="001B64CC"/>
    <w:rsid w:val="001E47E5"/>
    <w:rsid w:val="00253D36"/>
    <w:rsid w:val="00276E37"/>
    <w:rsid w:val="0028495A"/>
    <w:rsid w:val="0028626E"/>
    <w:rsid w:val="002A341B"/>
    <w:rsid w:val="002B4210"/>
    <w:rsid w:val="002D3D12"/>
    <w:rsid w:val="002F5F2E"/>
    <w:rsid w:val="003473A3"/>
    <w:rsid w:val="003473DC"/>
    <w:rsid w:val="003B7466"/>
    <w:rsid w:val="003F0A57"/>
    <w:rsid w:val="00450F0C"/>
    <w:rsid w:val="004B78E6"/>
    <w:rsid w:val="004D44D4"/>
    <w:rsid w:val="0051271C"/>
    <w:rsid w:val="005575DA"/>
    <w:rsid w:val="00557AEA"/>
    <w:rsid w:val="005B1EFB"/>
    <w:rsid w:val="005E4C4B"/>
    <w:rsid w:val="005F7FD5"/>
    <w:rsid w:val="006062A6"/>
    <w:rsid w:val="006247B1"/>
    <w:rsid w:val="00646145"/>
    <w:rsid w:val="0065278E"/>
    <w:rsid w:val="00685715"/>
    <w:rsid w:val="006D48C4"/>
    <w:rsid w:val="006F205D"/>
    <w:rsid w:val="0074218E"/>
    <w:rsid w:val="0075204B"/>
    <w:rsid w:val="00772EE1"/>
    <w:rsid w:val="007825EB"/>
    <w:rsid w:val="00783AD6"/>
    <w:rsid w:val="0079671F"/>
    <w:rsid w:val="007B3AC9"/>
    <w:rsid w:val="007E23D3"/>
    <w:rsid w:val="008059EC"/>
    <w:rsid w:val="0082167A"/>
    <w:rsid w:val="00826E3F"/>
    <w:rsid w:val="008B7410"/>
    <w:rsid w:val="008E1D41"/>
    <w:rsid w:val="008E7E91"/>
    <w:rsid w:val="00910C8E"/>
    <w:rsid w:val="00924843"/>
    <w:rsid w:val="00927398"/>
    <w:rsid w:val="009C4A27"/>
    <w:rsid w:val="009F3729"/>
    <w:rsid w:val="00A0687B"/>
    <w:rsid w:val="00A53F53"/>
    <w:rsid w:val="00A60479"/>
    <w:rsid w:val="00A8390D"/>
    <w:rsid w:val="00AE7F65"/>
    <w:rsid w:val="00B20C27"/>
    <w:rsid w:val="00B37172"/>
    <w:rsid w:val="00B57DD3"/>
    <w:rsid w:val="00B926B5"/>
    <w:rsid w:val="00BA67E5"/>
    <w:rsid w:val="00BA6ED4"/>
    <w:rsid w:val="00BD53D5"/>
    <w:rsid w:val="00C058D5"/>
    <w:rsid w:val="00C20EDA"/>
    <w:rsid w:val="00C27481"/>
    <w:rsid w:val="00C617F2"/>
    <w:rsid w:val="00CC66C7"/>
    <w:rsid w:val="00D71A89"/>
    <w:rsid w:val="00D8323C"/>
    <w:rsid w:val="00D93559"/>
    <w:rsid w:val="00DB216E"/>
    <w:rsid w:val="00DE6A7F"/>
    <w:rsid w:val="00E026A6"/>
    <w:rsid w:val="00E35CC7"/>
    <w:rsid w:val="00E53F9D"/>
    <w:rsid w:val="00E54904"/>
    <w:rsid w:val="00E82F52"/>
    <w:rsid w:val="00E83395"/>
    <w:rsid w:val="00E9660B"/>
    <w:rsid w:val="00EA15AB"/>
    <w:rsid w:val="00F441D0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97681-B8D6-47A8-91D9-CD906FB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7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7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7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7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7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7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7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7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7172"/>
    <w:rPr>
      <w:rFonts w:asciiTheme="majorHAnsi" w:eastAsiaTheme="majorEastAsia" w:hAnsiTheme="majorHAnsi" w:cstheme="majorBidi"/>
      <w:b/>
      <w:bCs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7172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  <w:style w:type="character" w:styleId="Odwoaniedokomentarza">
    <w:name w:val="annotation reference"/>
    <w:basedOn w:val="Domylnaczcionkaakapitu"/>
    <w:uiPriority w:val="99"/>
    <w:semiHidden/>
    <w:unhideWhenUsed/>
    <w:rsid w:val="00F4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1D0"/>
    <w:rPr>
      <w:rFonts w:ascii="Calibri" w:eastAsia="MS Mincho" w:hAnsi="Calibri" w:cs="Times New Roman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D0"/>
    <w:rPr>
      <w:rFonts w:ascii="Calibri" w:eastAsia="MS Mincho" w:hAnsi="Calibri" w:cs="Times New Roman"/>
      <w:b/>
      <w:bCs/>
      <w:sz w:val="20"/>
      <w:szCs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D0"/>
    <w:rPr>
      <w:rFonts w:ascii="Tahoma" w:eastAsia="MS Mincho" w:hAnsi="Tahoma" w:cs="Tahoma"/>
      <w:sz w:val="16"/>
      <w:szCs w:val="16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FA554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71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7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7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717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1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1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37172"/>
    <w:rPr>
      <w:b/>
      <w:bCs/>
    </w:rPr>
  </w:style>
  <w:style w:type="character" w:styleId="Uwydatnienie">
    <w:name w:val="Emphasis"/>
    <w:uiPriority w:val="20"/>
    <w:qFormat/>
    <w:rsid w:val="00B371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B371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37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3717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72"/>
    <w:rPr>
      <w:b/>
      <w:bCs/>
      <w:i/>
      <w:iCs/>
    </w:rPr>
  </w:style>
  <w:style w:type="character" w:styleId="Wyrnieniedelikatne">
    <w:name w:val="Subtle Emphasis"/>
    <w:uiPriority w:val="19"/>
    <w:qFormat/>
    <w:rsid w:val="00B37172"/>
    <w:rPr>
      <w:i/>
      <w:iCs/>
    </w:rPr>
  </w:style>
  <w:style w:type="character" w:styleId="Wyrnienieintensywne">
    <w:name w:val="Intense Emphasis"/>
    <w:uiPriority w:val="21"/>
    <w:qFormat/>
    <w:rsid w:val="00B37172"/>
    <w:rPr>
      <w:b/>
      <w:bCs/>
    </w:rPr>
  </w:style>
  <w:style w:type="character" w:styleId="Odwoaniedelikatne">
    <w:name w:val="Subtle Reference"/>
    <w:uiPriority w:val="31"/>
    <w:qFormat/>
    <w:rsid w:val="00B37172"/>
    <w:rPr>
      <w:smallCaps/>
    </w:rPr>
  </w:style>
  <w:style w:type="character" w:styleId="Odwoanieintensywne">
    <w:name w:val="Intense Reference"/>
    <w:uiPriority w:val="32"/>
    <w:qFormat/>
    <w:rsid w:val="00B37172"/>
    <w:rPr>
      <w:smallCaps/>
      <w:spacing w:val="5"/>
      <w:u w:val="single"/>
    </w:rPr>
  </w:style>
  <w:style w:type="character" w:styleId="Tytuksiki">
    <w:name w:val="Book Title"/>
    <w:uiPriority w:val="33"/>
    <w:qFormat/>
    <w:rsid w:val="00B3717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1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7181B-2F8E-4935-89E3-97C17148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6442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Prześlakiewicz Katarzyna</cp:lastModifiedBy>
  <cp:revision>2</cp:revision>
  <cp:lastPrinted>2015-01-09T10:03:00Z</cp:lastPrinted>
  <dcterms:created xsi:type="dcterms:W3CDTF">2020-05-06T13:38:00Z</dcterms:created>
  <dcterms:modified xsi:type="dcterms:W3CDTF">2020-05-06T13:38:00Z</dcterms:modified>
</cp:coreProperties>
</file>