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2FF11" w14:textId="77777777" w:rsidR="00BA3501" w:rsidRDefault="00BA3501" w:rsidP="00BA3501">
      <w:pPr>
        <w:rPr>
          <w:rFonts w:ascii="OpenSans,Bold" w:hAnsi="OpenSans,Bold" w:cs="OpenSans,Bold"/>
          <w:b/>
          <w:bCs/>
          <w:color w:val="000000"/>
          <w:sz w:val="20"/>
          <w:szCs w:val="20"/>
        </w:rPr>
      </w:pPr>
      <w:r>
        <w:rPr>
          <w:rFonts w:ascii="OpenSans,Bold" w:hAnsi="OpenSans,Bold" w:cs="OpenSans,Bold"/>
          <w:b/>
          <w:bCs/>
          <w:color w:val="000000"/>
          <w:sz w:val="20"/>
          <w:szCs w:val="20"/>
        </w:rPr>
        <w:t>Załącznik nr 1 do Umowy nr …………………………… – Opis przedmiotu zamówienia</w:t>
      </w:r>
    </w:p>
    <w:p w14:paraId="2AF0215E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I. Przedmiotem zamówienia jest:</w:t>
      </w:r>
    </w:p>
    <w:p w14:paraId="593CE618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1.Świadczenie usług telefonii stacjonarnej dla Ministerstwa Sprawiedliwości zgodnie z opisem przedmiotu zamówienia w oparciu o Wykaz zasobów telekomunikacyjnych Zamawiającego (załącznik nr 2 do umowy).</w:t>
      </w:r>
    </w:p>
    <w:p w14:paraId="1054037C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2. Zapewnienie łączności głosowej, faksowej oraz wszystkich przyłączy telekomunikacyjnych, niezbędnych do realizacji całości usług określonych w Wykazie zasobów telekomunikacyjnych Zamawiającego (załącznik nr 2 </w:t>
      </w:r>
      <w:r>
        <w:rPr>
          <w:rFonts w:ascii="OpenSans" w:hAnsi="OpenSans" w:cs="OpenSans"/>
          <w:color w:val="000000"/>
          <w:sz w:val="20"/>
          <w:szCs w:val="20"/>
        </w:rPr>
        <w:br/>
        <w:t>do umowy).</w:t>
      </w:r>
    </w:p>
    <w:p w14:paraId="02165A95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3. Podłączanie nowych lub likwidacja istniejących łączy POTS i traktów ISDN we wskazywanych na bieżąco przez Zamawiającego lokalizacjach, zgodnie z Wykazem zasobów telekomunikacyjnych Zamawiającego (załącznik nr 2 do umowy).</w:t>
      </w:r>
    </w:p>
    <w:p w14:paraId="2E9DB1E3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4. Comiesięczne sporządzanie pełnych bilingów (lista wszystkich połączeń wychodzących)</w:t>
      </w:r>
    </w:p>
    <w:p w14:paraId="72BE2E4D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w rozbiciu na poszczególne numery DDI i MSN traktów ISDN oraz numery końcowe POTS/PSTN, w pliku </w:t>
      </w:r>
      <w:r>
        <w:rPr>
          <w:rFonts w:ascii="OpenSans" w:hAnsi="OpenSans" w:cs="OpenSans"/>
          <w:color w:val="000000"/>
          <w:sz w:val="20"/>
          <w:szCs w:val="20"/>
        </w:rPr>
        <w:br/>
        <w:t xml:space="preserve">w formacie zgodnym z programem Microsoft Excel oraz dostarczanie go przez Wykonawcę w terminie 3 dni od dnia wystawienia faktury za miesięczne usługi telekomunikacyjne na adres poczty elektronicznej osoby pełniącej nadzór nad realizacją umowy ze strony Zamawiającego. Zestawienie bilingowe powinno zawierać następujące informacje: </w:t>
      </w:r>
    </w:p>
    <w:p w14:paraId="050332D7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1) liczba kolejna (numer rekordu),</w:t>
      </w:r>
    </w:p>
    <w:p w14:paraId="66C2271D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2) data rozpoczęcia rozmowy w formacie: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rrrr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>-mm-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dd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>,</w:t>
      </w:r>
    </w:p>
    <w:p w14:paraId="4163688A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3) czas rozpoczęcia rozmowy w formacie: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gg:mm:ss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>,</w:t>
      </w:r>
    </w:p>
    <w:p w14:paraId="1DAE4A48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4) czas trwania połączenia w formacie: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gg:mm:ss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>,</w:t>
      </w:r>
    </w:p>
    <w:p w14:paraId="42645EF5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5) numer DDI, MSN lub POTS abonenta inicjującego połączenie,</w:t>
      </w:r>
    </w:p>
    <w:p w14:paraId="1F9BBCB1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6) wybrany numer,</w:t>
      </w:r>
    </w:p>
    <w:p w14:paraId="34A2840E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7) nazwa wybranego kierunku,</w:t>
      </w:r>
    </w:p>
    <w:p w14:paraId="59B0D7F0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8) koszt połączenia,</w:t>
      </w:r>
    </w:p>
    <w:p w14:paraId="7058FDA2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9) koszt wykonanych połączeń dla danej lokalizacji w okresie rozliczeniowym,</w:t>
      </w:r>
    </w:p>
    <w:p w14:paraId="21071BD3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10) inne informacje, związane z połączeniem.</w:t>
      </w:r>
    </w:p>
    <w:p w14:paraId="28C33DC1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5. Zapewnienie raportów na życzenie Zamawiającego, które zostaną dostarczone w terminie 14 dni od dnia otrzymania zamówienia, zawierających statystykę ruchu przychodzącego, obejmujących:</w:t>
      </w:r>
    </w:p>
    <w:p w14:paraId="6524CF41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1) Ilość połączeń z poszczególnych kierunków</w:t>
      </w:r>
    </w:p>
    <w:p w14:paraId="502FEF04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2) Czas połączeń z poszczególnych kierunków.</w:t>
      </w:r>
    </w:p>
    <w:p w14:paraId="59F156B3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Statystyki będą wykonywane za dowolnie wybrany przez Zamawiającego okres trwania umowy, </w:t>
      </w:r>
      <w:r>
        <w:rPr>
          <w:rFonts w:ascii="OpenSans" w:hAnsi="OpenSans" w:cs="OpenSans"/>
          <w:color w:val="000000"/>
          <w:sz w:val="20"/>
          <w:szCs w:val="20"/>
        </w:rPr>
        <w:br/>
        <w:t>z zastrzeżeniem, że nie muszą one dotyczyć niezakończonego okresu rozliczeniowego oraz okresów już przekazanych Zamawiającemu wcześniej. Dostarczane będą na wskazany adres e-mail w pliku w formacie zgodnym z programem Microsoft Excel.</w:t>
      </w:r>
    </w:p>
    <w:p w14:paraId="1A980099" w14:textId="40C1FDDA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6. Zapewnienie systemu zapowiedzi informacyjnej o zmianie dotychczasowego numeru końcowego lub grupy numerów zgodnie z aktualnymi potrzebami Zamawiającego - w razie likwidacji lub zmiany numerów, przez okres co najmniej 2 miesięcy od dnia likwidacji lub zmiany numeru, jednak nie dłużej niż do końca trwania umowy. Zamawiający oczekuje standardowej zapowiedzi słownej, w treści której będzie informacja o zmianie numeru z podaniem nowego numeru Zamawiającego (jeśli taka zmiana nastąpiła) lub informacja o likwidacji numeru </w:t>
      </w:r>
      <w:r>
        <w:rPr>
          <w:rFonts w:ascii="OpenSans" w:hAnsi="OpenSans" w:cs="OpenSans"/>
          <w:color w:val="000000"/>
          <w:sz w:val="20"/>
          <w:szCs w:val="20"/>
        </w:rPr>
        <w:br/>
        <w:t>(w przypadku likwidacji Zamawiającego lub jego części lub rezygnacji z numeru przez Zamawiającego bez uruchomienia innego numeru).</w:t>
      </w:r>
    </w:p>
    <w:p w14:paraId="545BB2D1" w14:textId="31CD4A9B" w:rsidR="00BA3501" w:rsidRPr="001D53C9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sz w:val="20"/>
          <w:szCs w:val="20"/>
        </w:rPr>
      </w:pPr>
      <w:r w:rsidRPr="001D53C9">
        <w:rPr>
          <w:rFonts w:ascii="OpenSans" w:hAnsi="OpenSans" w:cs="OpenSans"/>
          <w:sz w:val="20"/>
          <w:szCs w:val="20"/>
        </w:rPr>
        <w:t xml:space="preserve">II. Usługi telekomunikacyjne będące przedmiotem niniejszego zamówienia będą świadczone zgodnie z ustawą </w:t>
      </w:r>
      <w:r w:rsidRPr="001D53C9">
        <w:rPr>
          <w:rFonts w:ascii="OpenSans" w:hAnsi="OpenSans" w:cs="OpenSans"/>
          <w:sz w:val="20"/>
          <w:szCs w:val="20"/>
        </w:rPr>
        <w:br/>
        <w:t xml:space="preserve">z dnia 16 lipca 2004 r. Prawo </w:t>
      </w:r>
      <w:r w:rsidRPr="00B14179">
        <w:rPr>
          <w:rFonts w:ascii="OpenSans" w:hAnsi="OpenSans" w:cs="OpenSans"/>
          <w:sz w:val="20"/>
          <w:szCs w:val="20"/>
        </w:rPr>
        <w:t xml:space="preserve">telekomunikacyjne oraz </w:t>
      </w:r>
      <w:r w:rsidRPr="001D53C9">
        <w:rPr>
          <w:rFonts w:ascii="OpenSans" w:hAnsi="OpenSans" w:cs="OpenSans"/>
          <w:sz w:val="20"/>
          <w:szCs w:val="20"/>
        </w:rPr>
        <w:t>innymi obowiązującymi w tym zakresie przepisami prawa.</w:t>
      </w:r>
    </w:p>
    <w:p w14:paraId="5CE7CF78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III. Przedmiot niniejszego zamówienia nie obejmuje usług dotyczących:</w:t>
      </w:r>
    </w:p>
    <w:p w14:paraId="440F1CBD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1. łączy alarmowych (na których funkcjonuje numeracja alarmowa typu 112, 987, 999 etc.),</w:t>
      </w:r>
    </w:p>
    <w:p w14:paraId="12CE58F4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2. dzierżawy lub zakupu abonenckich centrali telefonicznych (PABX), modułów wyniesionych, kart wyposażenia centrali itp.,</w:t>
      </w:r>
    </w:p>
    <w:p w14:paraId="11373766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3. dzierżawy lub zakupu modemów, bramek, urządzeń końcowych itp.,</w:t>
      </w:r>
    </w:p>
    <w:p w14:paraId="0E5504B9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4. łączy dzierżawionych pomiędzy obiektami Zamawiającego (dla łączności resortowej),</w:t>
      </w:r>
    </w:p>
    <w:p w14:paraId="6EA2D750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5. dostępu do Internetu,</w:t>
      </w:r>
    </w:p>
    <w:p w14:paraId="782B1B69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6. łączy na których świadczone są inne usługi tj. dostęp do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internetu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>/DSL, usługi pakietowe.</w:t>
      </w:r>
    </w:p>
    <w:p w14:paraId="28C77505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Powyższe usługi zostaną zrealizowane samodzielnie przez Zamawiającego zgodnie z jej potrzebami oraz w celu zapewnienia wdrożenia usługi będącej przedmiotem niniejszego zamówienia.</w:t>
      </w:r>
    </w:p>
    <w:p w14:paraId="06E10D9F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IV. Szczegółowe wymagania dotyczące wykonania przedmiotu zamówienia:</w:t>
      </w:r>
    </w:p>
    <w:p w14:paraId="02D44736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1. Zamawiający zachowa dotychczasową numerację telefoniczną:</w:t>
      </w:r>
    </w:p>
    <w:p w14:paraId="24BC89CF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lastRenderedPageBreak/>
        <w:t>– Wykonawca przeniesie wszystkie istniejące numery telefoniczne (POTS, MSN i DDI) na swoje zasoby.</w:t>
      </w:r>
    </w:p>
    <w:p w14:paraId="6FFF7D9A" w14:textId="6D345EAC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2. Wykonawca, w porozumieniu z Zamawiającym, zamieści informację o numeracji telefonicznej Zamawiającego w ogólnopolskiej bazie numerów.</w:t>
      </w:r>
    </w:p>
    <w:p w14:paraId="37825EA7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3. Wykonawca zapewni dla określonych numerów Zamawiającego możliwość dyskryminacji kierunków telefonicznych komercyjnych (takich jak 0300, 0700 itd.) na poziomie centrali miejskiej (OCB).</w:t>
      </w:r>
    </w:p>
    <w:p w14:paraId="1F76011D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4. Wykonawca uruchomi i udostępni w zależności od potrzeb Zamawiającego usługi:</w:t>
      </w:r>
    </w:p>
    <w:p w14:paraId="0D158437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1) CLIP –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Calling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Line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Identification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Presentation (prezentacja numeru dzwoniącego, z wyłączeniem numerów zastrzeżonych zgodnie z art. 171 ustawy Prawo telekomunikacyjne)</w:t>
      </w:r>
    </w:p>
    <w:p w14:paraId="0D7DDAD2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2) CLIR –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Calling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Line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Identification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Restriction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(blokada prezentacji numeru dzwoniącego)</w:t>
      </w:r>
    </w:p>
    <w:p w14:paraId="30405D8B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3) COLP –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Connected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Line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identification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Presentation (prezentacja numeru z którym nawiązane jest połączenie) wymagane jedynie w obrębie sieci telekomunikacyjnej Wykonawcy</w:t>
      </w:r>
    </w:p>
    <w:p w14:paraId="30515A44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4) COLR -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Connected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Line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identification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Restriction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(blokada prezentacji numeru z którym nawiązane jest połączenie)</w:t>
      </w:r>
    </w:p>
    <w:p w14:paraId="3C00A218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5. Wykonawca zapewni, aby przesyłanie informacji o numerze abonenta wywołującego w połączeniach przychodzących do Zamawiającego na łączach analogowych było realizowane za pomącą sygnalizacji DTMF (Dual Tone Multi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Frequency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>) i FSK (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Frequency-Shift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Keying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>).</w:t>
      </w:r>
    </w:p>
    <w:p w14:paraId="7F573FD1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6. Wykonawca zapewni możliwość przekierowywania na dowolne numery telekomunikacyjnej sieci publicznej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wywołań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kierowanych na wszystkie numery analogowe Zamawiającego w trybie:</w:t>
      </w:r>
    </w:p>
    <w:p w14:paraId="5138319B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1) bezzwłocznym (CFU),</w:t>
      </w:r>
    </w:p>
    <w:p w14:paraId="73D3EABC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2) w przypadku zajętości (CFB),</w:t>
      </w:r>
    </w:p>
    <w:p w14:paraId="23E12FED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3) przy braku odpowiedzi (CFNR).</w:t>
      </w:r>
    </w:p>
    <w:p w14:paraId="10F853DE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7. Wykonawca zapewni dla wszystkich numerów możliwość identyfikacji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wywołań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złośliwych (MCID) oraz blokadę połączeń anonimowych (ACR).</w:t>
      </w:r>
    </w:p>
    <w:p w14:paraId="21B62B0A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8. Zamawiający wymaga, aby podczas prowadzonych rozmów na wszystkich łączach telefonicznych była zachowana możliwość wysyłania i odbierania sygnałów DTMF (Dual Tone Multi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Frequency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>) pomiędzy urządzeniami końcowymi.</w:t>
      </w:r>
    </w:p>
    <w:p w14:paraId="649DEBBB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9. Wykonawca zapewni, w ramach abonamentu, bezpłatne połączenia telefoniczne na krajowe numery komórkowe i stacjonarne z wyjątkiem połączeń na numery specjalne.</w:t>
      </w:r>
    </w:p>
    <w:p w14:paraId="1969619E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10. Wykonawca zapewni, w ramach abonamentu, bezpłatne połączenia telefoniczne na numery międzynarodowe stacjonarne i komórkowe do krajów UE.</w:t>
      </w:r>
    </w:p>
    <w:p w14:paraId="7AD2A776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11. Taryfikowanie czasu rozmów będzie realizowane z dokładnością do jednej sekundy.</w:t>
      </w:r>
    </w:p>
    <w:p w14:paraId="7E6F5B7D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12. W celu doprowadzenia usługi do urządzeń telekomunikacyjnych Zamawiającego, wymagane jest, aby zostały wykorzystane instalacje telekomunikacyjne istniejące na terenie obiektów określonych w Wykazie zasobów telekomunikacyjnych Zamawiającego (załącznik nr 2 do umowy). Zamawiający wymaga również, aby Wykonawca doprowadził do budynku usługi w technologii wyszczególnionej w przedmiotowym wykazie.</w:t>
      </w:r>
    </w:p>
    <w:p w14:paraId="1115D3E8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13. W przypadku braku możliwości wykorzystania istniejących zasobów fizycznych instalacji telekomunikacyjnych w poszczególnych obiektach lub braku możliwości zastosowania technologii zgodnej z Wykazem zasobów telekomunikacyjnych Zamawiającego (załącznik nr 2 do umowy), Zamawiający dopuszcza inną, uzgodnioną bezpośrednio z Zamawiającym, technikę transmisyjną wykonywania usług telekomunikacyjnych będących przedmiotem niniejszego zamówienia tj. kabel światłowodowy, radiolinia lub kabel miedziany.</w:t>
      </w:r>
    </w:p>
    <w:p w14:paraId="0D6F2AC0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14. Poniżej przedstawiono sposób współpracy dostarczonych przez Wykonawcę łączy telekomunikacyjnych </w:t>
      </w:r>
      <w:r>
        <w:rPr>
          <w:rFonts w:ascii="OpenSans" w:hAnsi="OpenSans" w:cs="OpenSans"/>
          <w:color w:val="000000"/>
          <w:sz w:val="20"/>
          <w:szCs w:val="20"/>
        </w:rPr>
        <w:br/>
        <w:t>z urządzeniami telekomunikacyjnymi Zamawiającego:</w:t>
      </w:r>
    </w:p>
    <w:p w14:paraId="7CC7B574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1) ISDN PRA:</w:t>
      </w:r>
    </w:p>
    <w:p w14:paraId="14891BB4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a) Wykonawca udostępni Zamawiającemu łącza ISDN z dostępem PRA w konfiguracji kanałów 30B+D, </w:t>
      </w:r>
      <w:r>
        <w:rPr>
          <w:rFonts w:ascii="OpenSans" w:hAnsi="OpenSans" w:cs="OpenSans"/>
          <w:color w:val="000000"/>
          <w:sz w:val="20"/>
          <w:szCs w:val="20"/>
        </w:rPr>
        <w:br/>
        <w:t>z interfejsem G.703 oraz sygnalizacją DSS1;</w:t>
      </w:r>
    </w:p>
    <w:p w14:paraId="6AF885E8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b) Łącze będzie zestawione w relacji operator – centrala telefoniczna PABX Zamawiającego:</w:t>
      </w:r>
    </w:p>
    <w:p w14:paraId="5B35F3FD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c) W przypadku użycia do budowy łącza innych technologii niż TDM, operator zapewni jakość głosu nie gorszą niż w łączach TDM, a także prawidłową obsługę wszystkich usług i sygnalizacji ISDN tak jak w sieciach TDM. Ponadto dołoży wszelkich starań, aby we własnej sieci wyeliminować niekorzystne efekty jak:</w:t>
      </w:r>
    </w:p>
    <w:p w14:paraId="3FDE2187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 xml:space="preserve">pogłos, trzaski i inne sygnały zakłócające podczas prowadzonej rozmowy telefonicznej, </w:t>
      </w:r>
    </w:p>
    <w:p w14:paraId="47B9121B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>brak słyszalności rozmówcy,</w:t>
      </w:r>
    </w:p>
    <w:p w14:paraId="21F87C63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>zrywanie trwających połączeń,</w:t>
      </w:r>
    </w:p>
    <w:p w14:paraId="54C8AEFD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>brak lub niewłaściwe sygnały informacyjne podczas realizacji połączeń (np. brak zwrotnego sygnału wywołania),</w:t>
      </w:r>
    </w:p>
    <w:p w14:paraId="31EE15A0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>utrudnienia w realizacji połączeń w ruchu wychodzącym i przychodzącym.</w:t>
      </w:r>
    </w:p>
    <w:p w14:paraId="15C05C51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d) Wykonawca zapewni numerację DDI wskazaną przez Zamawiającego;</w:t>
      </w:r>
    </w:p>
    <w:p w14:paraId="0FA243F4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lastRenderedPageBreak/>
        <w:t xml:space="preserve">e) Wykonawca zapewni prawidłową transmisję głosu, sygnalizacji DSS1, telefaksów w standardzie co najmniej G3, transmisję danych za pomocą modemów i terminali płatniczych dostosowanych do linii analogowych i ISDN oraz połączeń wideo za pomocą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wideoterminali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ISDN;</w:t>
      </w:r>
    </w:p>
    <w:p w14:paraId="5F15A7C7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f) W razie konieczności na życzenie Zamawiającego Wykonawca w miejsce sygnalizacji DSS1 uruchomi sygnalizację R2.</w:t>
      </w:r>
    </w:p>
    <w:p w14:paraId="5CD269B6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2) ISDN BRA:</w:t>
      </w:r>
    </w:p>
    <w:p w14:paraId="0F2E64F4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a) Wykonawca udostępni jednostce łącza ISDN z dostępem BRA w konfiguracji kanałów 2B+D, z sygnalizacją DSS1 zakończone urządzeniem NT.</w:t>
      </w:r>
    </w:p>
    <w:p w14:paraId="01E3A575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b) Łącze będzie zestawione w relacji operator - centrala telefoniczna PABX Zamawiającego.</w:t>
      </w:r>
    </w:p>
    <w:p w14:paraId="154F318E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c) W przypadku użycia do budowy łącza innych technologii niż TDM, operator zapewni jakość głosu nie gorszą niż w łączach TDM, a także prawidłową obsługę wszystkich usług i sygnalizacji ISDN tak jak w sieciach TDM. Ponadto dołoży wszelkich starań, aby we własnej sieci wyeliminować niekorzystne efekty jak:</w:t>
      </w:r>
    </w:p>
    <w:p w14:paraId="1A2CC2F9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>pogłos, trzaski i inne sygnały zakłócające podczas prowadzonej rozmowy telefonicznej,</w:t>
      </w:r>
    </w:p>
    <w:p w14:paraId="42407F48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>brak słyszalności rozmówcy,</w:t>
      </w:r>
    </w:p>
    <w:p w14:paraId="3F5FC92B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>zrywanie trwających połączeń,</w:t>
      </w:r>
    </w:p>
    <w:p w14:paraId="58B5528F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>brak lub niewłaściwe sygnały informacyjne podczas realizacji połączeń (np. brak zwrotnego sygnału wywołania),</w:t>
      </w:r>
    </w:p>
    <w:p w14:paraId="3F2D0CEB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Symbol" w:hAnsi="Symbol" w:cs="Symbol"/>
          <w:color w:val="000000"/>
          <w:sz w:val="20"/>
          <w:szCs w:val="20"/>
        </w:rPr>
        <w:t></w:t>
      </w:r>
      <w:r>
        <w:rPr>
          <w:rFonts w:ascii="Symbol" w:hAnsi="Symbol" w:cs="Symbol"/>
          <w:color w:val="000000"/>
          <w:sz w:val="20"/>
          <w:szCs w:val="20"/>
        </w:rPr>
        <w:t></w:t>
      </w:r>
      <w:r>
        <w:rPr>
          <w:rFonts w:ascii="OpenSans" w:hAnsi="OpenSans" w:cs="OpenSans"/>
          <w:color w:val="000000"/>
          <w:sz w:val="20"/>
          <w:szCs w:val="20"/>
        </w:rPr>
        <w:t>utrudnienia w realizacji połączeń w ruchu wychodzącym i przychodzącym.</w:t>
      </w:r>
    </w:p>
    <w:p w14:paraId="3E556C76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d) Wykonawca zakończy łącze zakończeniem NT lub w zależności od potrzeb Zamawiającego wyprowadzi odpowiedni styk S, T, R do podłączenia urządzeń końcowych w tym minimum dwóch linii analogowych;</w:t>
      </w:r>
    </w:p>
    <w:p w14:paraId="6E2EC394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e) Wykonawca zapewni numerację DDI lub MSN przekazaną przez Zamawiającego;</w:t>
      </w:r>
    </w:p>
    <w:p w14:paraId="1312075E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f) Wykonawca zapewni prawidłową transmisję głosu, sygnalizacji DSS1, telefaksów w standardzie co najmniej G3 i G4, transmisję danych za pomocą modemów i terminali płatniczych dostosowanych do linii analogowych i ISDN oraz połączeń wideo za pomocą </w:t>
      </w:r>
      <w:proofErr w:type="spellStart"/>
      <w:r>
        <w:rPr>
          <w:rFonts w:ascii="OpenSans" w:hAnsi="OpenSans" w:cs="OpenSans"/>
          <w:color w:val="000000"/>
          <w:sz w:val="20"/>
          <w:szCs w:val="20"/>
        </w:rPr>
        <w:t>wideoterminali</w:t>
      </w:r>
      <w:proofErr w:type="spellEnd"/>
      <w:r>
        <w:rPr>
          <w:rFonts w:ascii="OpenSans" w:hAnsi="OpenSans" w:cs="OpenSans"/>
          <w:color w:val="000000"/>
          <w:sz w:val="20"/>
          <w:szCs w:val="20"/>
        </w:rPr>
        <w:t xml:space="preserve"> ISDN.</w:t>
      </w:r>
    </w:p>
    <w:p w14:paraId="35B16BB4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3) Linie analogowe POTS:</w:t>
      </w:r>
    </w:p>
    <w:p w14:paraId="727DA7F6" w14:textId="03C6C78D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 xml:space="preserve">a) Wykonawca udostępni Zamawiającemu linię analogową POTS zakończoną we wskazanym miejscu </w:t>
      </w:r>
      <w:r w:rsidR="007819E0">
        <w:rPr>
          <w:rFonts w:ascii="OpenSans" w:hAnsi="OpenSans" w:cs="OpenSans"/>
          <w:color w:val="000000"/>
          <w:sz w:val="20"/>
          <w:szCs w:val="20"/>
        </w:rPr>
        <w:br/>
      </w:r>
      <w:r>
        <w:rPr>
          <w:rFonts w:ascii="OpenSans" w:hAnsi="OpenSans" w:cs="OpenSans"/>
          <w:color w:val="000000"/>
          <w:sz w:val="20"/>
          <w:szCs w:val="20"/>
        </w:rPr>
        <w:t>w budynku lub na przełącznicy głównej Zamawiającego.</w:t>
      </w:r>
    </w:p>
    <w:p w14:paraId="59A184D2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b) Łącze będzie zestawione w relacji operator - Zamawiający w technologii zapewniającą jakość połączenia takiego jak dla standardowej analogowej linii telefonicznej po kablu miedzianym. Nie dopuszcza się stosowania technologii bezprzewodowych GSM, UMTS lub LTE.</w:t>
      </w:r>
    </w:p>
    <w:p w14:paraId="24716141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c) Wykonawca zapewni numerację dla linii analogowych przekazaną przez Zamawiającego;</w:t>
      </w:r>
    </w:p>
    <w:p w14:paraId="2CACC2D8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d) Wykonawca zapewni na życzenie Zamawiającego wiązki PBX dla wskazanej grupy linii analogowych;</w:t>
      </w:r>
    </w:p>
    <w:p w14:paraId="7ABBB633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e) Wykonawca zapewni prawidłową transmisję głosu, telefaksów w standardzie co najmniej G3, transmisję danych za pomocą modemów i terminali płatniczych dostosowanych do linii analogowych.</w:t>
      </w:r>
    </w:p>
    <w:p w14:paraId="0E49CBA6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15. Wykonawca zapewni możliwość takiego skonfigurowania łączy ISDN PRA, aby była możliwość przekierowania ruchu na inne wskazane łącza ISDN PRA (np. w innej lokalizacji), w zależności od potrzeb Zamawiającego.</w:t>
      </w:r>
    </w:p>
    <w:p w14:paraId="4016625E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16. Wykonawca zapewni nieprzerwane świadczenie usług telekomunikacyjnych będących przedmiotem niniejszego zamówienia we wszystkich obiektach Zamawiającego (wyszczególnionych w Wykazie zasobów telekomunikacyjnych Zamawiającego – załącznik nr 2 do umowy), w momencie zmiany usługodawcy. Zakończenie dotychczasowej umowy nastąpi w dniu poprzedzającym rozpoczęcie świadczenia usług będących przedmiotem niniejszego zamówienia, o uzgodnionej z przedstawicielem Zamawiającego godzinie. Rozpoczęcie świadczenia usługi będącej przedmiotem niniejszego zamówienia nastąpi nie później niż o godz. 6:00 rano dnia następnego po terminie określonym w Wykazie zasobów telekomunikacyjnych Zamawiającego (załącznik nr 2 do umowy), tj. po wygaśnięciu aktualnie zaciągniętych zobowiązań przez Zamawiającego, jako dzień rozpoczęcia świadczenia usługi będącej przedmiotem niniejszego zamówienia. W warunku tym zawierają się wszelkie prace niezbędne do podjęcia przed, w trakcie i po wyznaczonym terminie przełączenia, jak również współdziałania z dotychczasowym Wykonawcą oraz innymi osobami, wdrażającymi usługi powiązane (np. wymiana systemu PABX w danym obiekcie).</w:t>
      </w:r>
    </w:p>
    <w:p w14:paraId="35C8796E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17. Po zakończeniu usługi będącej przedmiotem niniejszego zamówienia Wykonawca przekaże wszystkie numery POTS, MSN i DDI na rzecz nowego Wykonawcy, z możliwością ich skutecznego uruchomienia przez nowego Wykonawcę od godz. 6:00 rano dnia następnego po dniu zakończeniu świadczenia usługi będącej przedmiotem niniejszego zamówienia.</w:t>
      </w:r>
    </w:p>
    <w:p w14:paraId="66E73D29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18. Po zakończeniu usługi będącej przedmiotem niniejszego zamówienia, Wykonawca zdemontuje wszystkie urządzenia, których jest właścicielem a które dostarczył w celu realizacji przedmiotu umowy, w terminie uzgodnionym z jednostką.</w:t>
      </w:r>
    </w:p>
    <w:p w14:paraId="502243AE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lastRenderedPageBreak/>
        <w:t>19. Wykonawca w okresie świadczenia usługi, będącej przedmiotem niniejszego zamówienia, zapewni usługi głosowe (w tym na potrzeby telefaksów i terminali płatniczych) w ruchu dwukierunkowym do wszystkich kierunków dostępnych w publicznej sieci telekomunikacyjnej z zachowaniem wysokiej jakości parametrów transmisyjnych.</w:t>
      </w:r>
    </w:p>
    <w:p w14:paraId="4D8B58BB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20. Wykonawca zapewni infolinię dedykowaną do przyjmowania od przedstawicieli Zamawiającego wszelkich zgłoszeń w formie telefonicznej i e-mailowej w systemie 24 godziny na dobę/ 7 dni w tygodniu przez cały okres trwania umowy.</w:t>
      </w:r>
    </w:p>
    <w:p w14:paraId="75D7D4B3" w14:textId="77777777" w:rsidR="00BA3501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21. Czas podłączania nowych łączy lub traktów lub numerów telefonicznych, rozumiany jako czas od momentu przyjęcia zgłoszenia do uruchomienia pełnej funkcjonalności, wynosi nie dłużej niż 4 miesiące.</w:t>
      </w:r>
    </w:p>
    <w:p w14:paraId="680D2FE4" w14:textId="1F8AC4D1" w:rsidR="00B321B4" w:rsidRPr="005E7472" w:rsidRDefault="00BA3501" w:rsidP="00BA3501">
      <w:pPr>
        <w:autoSpaceDE w:val="0"/>
        <w:autoSpaceDN w:val="0"/>
        <w:adjustRightInd w:val="0"/>
        <w:spacing w:after="0" w:line="240" w:lineRule="auto"/>
        <w:jc w:val="both"/>
        <w:rPr>
          <w:rFonts w:ascii="OpenSans" w:hAnsi="OpenSans" w:cs="OpenSans"/>
          <w:color w:val="000000"/>
          <w:sz w:val="20"/>
          <w:szCs w:val="20"/>
        </w:rPr>
      </w:pPr>
      <w:r>
        <w:rPr>
          <w:rFonts w:ascii="OpenSans" w:hAnsi="OpenSans" w:cs="OpenSans"/>
          <w:color w:val="000000"/>
          <w:sz w:val="20"/>
          <w:szCs w:val="20"/>
        </w:rPr>
        <w:t>22. Czas odłączenia istniejących łączy lubi traktów lub numerów telefonicznych, rozumiany jako czas od momentu przyjęcia zgłoszenia do wykonania odłączenia, będzie każdorazowo uzgadniany z przedstawicielem Zamawiającego, ale nie będzie dłuższy niż 30 dni kalendarzow</w:t>
      </w:r>
      <w:r w:rsidR="0009152D">
        <w:rPr>
          <w:rFonts w:ascii="OpenSans" w:hAnsi="OpenSans" w:cs="OpenSans"/>
          <w:color w:val="000000"/>
          <w:sz w:val="20"/>
          <w:szCs w:val="20"/>
        </w:rPr>
        <w:t>ych</w:t>
      </w:r>
      <w:r>
        <w:rPr>
          <w:rFonts w:ascii="OpenSans" w:hAnsi="OpenSans" w:cs="OpenSans"/>
          <w:color w:val="000000"/>
          <w:sz w:val="20"/>
          <w:szCs w:val="20"/>
        </w:rPr>
        <w:t>.</w:t>
      </w:r>
    </w:p>
    <w:sectPr w:rsidR="00B321B4" w:rsidRPr="005E7472" w:rsidSect="006E1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ans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Open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3501"/>
    <w:rsid w:val="0000467D"/>
    <w:rsid w:val="0009152D"/>
    <w:rsid w:val="0028477E"/>
    <w:rsid w:val="003532D4"/>
    <w:rsid w:val="003579E0"/>
    <w:rsid w:val="003F0336"/>
    <w:rsid w:val="005B6A67"/>
    <w:rsid w:val="005E7472"/>
    <w:rsid w:val="005E74B0"/>
    <w:rsid w:val="00631994"/>
    <w:rsid w:val="00692500"/>
    <w:rsid w:val="006E1E88"/>
    <w:rsid w:val="007819E0"/>
    <w:rsid w:val="00785F54"/>
    <w:rsid w:val="008610AB"/>
    <w:rsid w:val="009951A5"/>
    <w:rsid w:val="009C1B4F"/>
    <w:rsid w:val="00B321B4"/>
    <w:rsid w:val="00B87CA6"/>
    <w:rsid w:val="00BA3501"/>
    <w:rsid w:val="00CD7E92"/>
    <w:rsid w:val="00DB3C34"/>
    <w:rsid w:val="00E83738"/>
    <w:rsid w:val="00E87B78"/>
    <w:rsid w:val="00EB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4D08E"/>
  <w15:docId w15:val="{FD1CEEAC-73D9-4A27-84C5-AC0B133FA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5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B3C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B3C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B3C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3C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3C3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32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32D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81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1981</Words>
  <Characters>11887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Bekasiak Mikołaj  (BA)</dc:creator>
  <cp:lastModifiedBy>Bekasiak Mikołaj  (BA)</cp:lastModifiedBy>
  <cp:revision>11</cp:revision>
  <dcterms:created xsi:type="dcterms:W3CDTF">2023-09-28T11:11:00Z</dcterms:created>
  <dcterms:modified xsi:type="dcterms:W3CDTF">2024-09-20T10:54:00Z</dcterms:modified>
</cp:coreProperties>
</file>