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D6635" w14:textId="77777777" w:rsidR="006941BE" w:rsidRDefault="00D51B6B">
      <w:pPr>
        <w:ind w:left="8523" w:right="-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7E0EFF7" wp14:editId="4B629A17">
            <wp:extent cx="1415408" cy="372999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408" cy="372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6B295" w14:textId="77777777" w:rsidR="006941BE" w:rsidRDefault="006941BE">
      <w:pPr>
        <w:pStyle w:val="Tekstpodstawowy"/>
        <w:jc w:val="left"/>
        <w:rPr>
          <w:rFonts w:ascii="Times New Roman"/>
          <w:sz w:val="18"/>
        </w:rPr>
      </w:pPr>
    </w:p>
    <w:p w14:paraId="4ECDC1DD" w14:textId="77777777" w:rsidR="006941BE" w:rsidRDefault="006941BE">
      <w:pPr>
        <w:pStyle w:val="Tekstpodstawowy"/>
        <w:jc w:val="left"/>
        <w:rPr>
          <w:rFonts w:ascii="Times New Roman"/>
          <w:sz w:val="18"/>
        </w:rPr>
      </w:pPr>
    </w:p>
    <w:p w14:paraId="46931CEB" w14:textId="77777777" w:rsidR="006941BE" w:rsidRDefault="006941BE">
      <w:pPr>
        <w:pStyle w:val="Tekstpodstawowy"/>
        <w:spacing w:before="128"/>
        <w:jc w:val="left"/>
        <w:rPr>
          <w:rFonts w:ascii="Times New Roman"/>
          <w:sz w:val="18"/>
        </w:rPr>
      </w:pPr>
    </w:p>
    <w:p w14:paraId="14C930DA" w14:textId="77777777" w:rsidR="006941BE" w:rsidRPr="00F107CB" w:rsidRDefault="00D51B6B">
      <w:pPr>
        <w:ind w:right="27"/>
        <w:jc w:val="right"/>
        <w:rPr>
          <w:sz w:val="18"/>
          <w:lang w:val="pl-PL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0BE4983" wp14:editId="3F16E24F">
                <wp:simplePos x="0" y="0"/>
                <wp:positionH relativeFrom="page">
                  <wp:posOffset>429768</wp:posOffset>
                </wp:positionH>
                <wp:positionV relativeFrom="paragraph">
                  <wp:posOffset>151797</wp:posOffset>
                </wp:positionV>
                <wp:extent cx="6764020" cy="1270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40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4020" h="12700">
                              <a:moveTo>
                                <a:pt x="6763499" y="0"/>
                              </a:moveTo>
                              <a:lnTo>
                                <a:pt x="6763499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763499" y="12192"/>
                              </a:lnTo>
                              <a:lnTo>
                                <a:pt x="67634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3F2E9" id="Graphic 2" o:spid="_x0000_s1026" style="position:absolute;margin-left:33.85pt;margin-top:11.95pt;width:532.6pt;height: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40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" path="m6763499,r,l,,,12192r6763499,l6763499,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w:drawing>
          <wp:anchor distT="0" distB="0" distL="0" distR="0" simplePos="0" relativeHeight="251660288" behindDoc="0" locked="0" layoutInCell="1" allowOverlap="1" wp14:anchorId="6BF4C19F" wp14:editId="27B4D132">
            <wp:simplePos x="0" y="0"/>
            <wp:positionH relativeFrom="page">
              <wp:posOffset>442595</wp:posOffset>
            </wp:positionH>
            <wp:positionV relativeFrom="paragraph">
              <wp:posOffset>-792226</wp:posOffset>
            </wp:positionV>
            <wp:extent cx="2390774" cy="885820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774" cy="88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07CB">
        <w:rPr>
          <w:w w:val="120"/>
          <w:sz w:val="18"/>
          <w:lang w:val="pl-PL"/>
        </w:rPr>
        <w:t xml:space="preserve">Arkusz informacyjny – Prawo do </w:t>
      </w:r>
      <w:r w:rsidRPr="00F107CB">
        <w:rPr>
          <w:spacing w:val="-4"/>
          <w:w w:val="120"/>
          <w:sz w:val="18"/>
          <w:lang w:val="pl-PL"/>
        </w:rPr>
        <w:t>głosowania</w:t>
      </w:r>
    </w:p>
    <w:p w14:paraId="0563C7A2" w14:textId="77777777" w:rsidR="006941BE" w:rsidRPr="00F107CB" w:rsidRDefault="006941BE">
      <w:pPr>
        <w:pStyle w:val="Tekstpodstawowy"/>
        <w:spacing w:before="120"/>
        <w:jc w:val="left"/>
        <w:rPr>
          <w:sz w:val="18"/>
          <w:lang w:val="pl-PL"/>
        </w:rPr>
      </w:pPr>
    </w:p>
    <w:p w14:paraId="5FEE3A50" w14:textId="77777777" w:rsidR="006941BE" w:rsidRPr="00F107CB" w:rsidRDefault="00D51B6B">
      <w:pPr>
        <w:ind w:left="4387" w:right="865" w:firstLine="4000"/>
        <w:rPr>
          <w:sz w:val="18"/>
          <w:lang w:val="pl-PL"/>
        </w:rPr>
      </w:pPr>
      <w:r w:rsidRPr="00F107CB">
        <w:rPr>
          <w:color w:val="EB7E12"/>
          <w:w w:val="125"/>
          <w:sz w:val="18"/>
          <w:lang w:val="pl-PL"/>
        </w:rPr>
        <w:t xml:space="preserve">Wrzesień 2023 Niniejsza nota informacyjna nie jest wiążąca dla Trybunału i nie ma </w:t>
      </w:r>
      <w:r w:rsidRPr="00F107CB">
        <w:rPr>
          <w:color w:val="EB7E12"/>
          <w:spacing w:val="-2"/>
          <w:w w:val="125"/>
          <w:sz w:val="18"/>
          <w:lang w:val="pl-PL"/>
        </w:rPr>
        <w:t>charakteru wyczerpującego.</w:t>
      </w:r>
    </w:p>
    <w:p w14:paraId="513FEC33" w14:textId="77777777" w:rsidR="006941BE" w:rsidRPr="00F107CB" w:rsidRDefault="006941BE">
      <w:pPr>
        <w:pStyle w:val="Tekstpodstawowy"/>
        <w:spacing w:before="36"/>
        <w:jc w:val="left"/>
        <w:rPr>
          <w:sz w:val="18"/>
          <w:lang w:val="pl-PL"/>
        </w:rPr>
      </w:pPr>
    </w:p>
    <w:p w14:paraId="1C5531E7" w14:textId="77777777" w:rsidR="006941BE" w:rsidRDefault="00D51B6B">
      <w:pPr>
        <w:pStyle w:val="Tytu"/>
        <w:tabs>
          <w:tab w:val="left" w:pos="9929"/>
        </w:tabs>
        <w:rPr>
          <w:u w:val="none"/>
        </w:rPr>
      </w:pPr>
      <w:proofErr w:type="spellStart"/>
      <w:r>
        <w:rPr>
          <w:color w:val="0071BB"/>
          <w:w w:val="120"/>
          <w:sz w:val="50"/>
          <w:u w:val="thick" w:color="EAEAEA"/>
        </w:rPr>
        <w:t>Prawo</w:t>
      </w:r>
      <w:proofErr w:type="spellEnd"/>
      <w:r>
        <w:rPr>
          <w:color w:val="0071BB"/>
          <w:w w:val="120"/>
          <w:sz w:val="50"/>
          <w:u w:val="thick" w:color="EAEAEA"/>
        </w:rPr>
        <w:t xml:space="preserve"> do </w:t>
      </w:r>
      <w:proofErr w:type="spellStart"/>
      <w:r>
        <w:rPr>
          <w:color w:val="0071BB"/>
          <w:spacing w:val="-4"/>
          <w:w w:val="120"/>
          <w:sz w:val="50"/>
          <w:u w:val="thick" w:color="EAEAEA"/>
        </w:rPr>
        <w:t>głosowania</w:t>
      </w:r>
      <w:proofErr w:type="spellEnd"/>
      <w:r>
        <w:rPr>
          <w:color w:val="0071BB"/>
          <w:sz w:val="50"/>
          <w:u w:val="thick" w:color="EAEAEA"/>
        </w:rPr>
        <w:tab/>
      </w:r>
    </w:p>
    <w:p w14:paraId="0B682870" w14:textId="77777777" w:rsidR="006941BE" w:rsidRDefault="00D51B6B">
      <w:pPr>
        <w:pStyle w:val="Tekstpodstawowy"/>
        <w:spacing w:before="5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ECA3C4F" wp14:editId="0F78980A">
                <wp:simplePos x="0" y="0"/>
                <wp:positionH relativeFrom="page">
                  <wp:posOffset>842772</wp:posOffset>
                </wp:positionH>
                <wp:positionV relativeFrom="paragraph">
                  <wp:posOffset>177216</wp:posOffset>
                </wp:positionV>
                <wp:extent cx="5875020" cy="3112135"/>
                <wp:effectExtent l="0" t="0" r="0" b="0"/>
                <wp:wrapTopAndBottom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5020" cy="311213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6096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txbx>
                        <w:txbxContent>
                          <w:p w14:paraId="32593B91" w14:textId="7D3EA1E7" w:rsidR="006941BE" w:rsidRPr="00F107CB" w:rsidRDefault="00D51B6B" w:rsidP="00815034">
                            <w:pPr>
                              <w:spacing w:before="30"/>
                              <w:ind w:left="107" w:right="106"/>
                              <w:jc w:val="both"/>
                              <w:rPr>
                                <w:rFonts w:ascii="Arial"/>
                                <w:b/>
                                <w:color w:val="404040"/>
                                <w:w w:val="12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04040"/>
                                <w:w w:val="120"/>
                                <w:sz w:val="20"/>
                              </w:rPr>
                              <w:t>Artyku</w:t>
                            </w:r>
                            <w:r>
                              <w:rPr>
                                <w:rFonts w:ascii="Arial"/>
                                <w:b/>
                                <w:color w:val="404040"/>
                                <w:w w:val="120"/>
                                <w:sz w:val="20"/>
                              </w:rPr>
                              <w:t>ł</w:t>
                            </w:r>
                            <w:r>
                              <w:rPr>
                                <w:rFonts w:ascii="Arial"/>
                                <w:b/>
                                <w:color w:val="404040"/>
                                <w:w w:val="120"/>
                                <w:sz w:val="20"/>
                              </w:rPr>
                              <w:t xml:space="preserve"> 3 </w:t>
                            </w:r>
                            <w:r>
                              <w:rPr>
                                <w:color w:val="404040"/>
                                <w:w w:val="120"/>
                                <w:sz w:val="20"/>
                              </w:rPr>
                              <w:t xml:space="preserve">(prawo do wolnych wyborów) </w:t>
                            </w:r>
                            <w:r w:rsidR="0093541E">
                              <w:rPr>
                                <w:rFonts w:ascii="Arial"/>
                                <w:b/>
                                <w:color w:val="404040"/>
                                <w:w w:val="120"/>
                                <w:sz w:val="20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b/>
                                <w:color w:val="404040"/>
                                <w:w w:val="120"/>
                                <w:sz w:val="20"/>
                              </w:rPr>
                              <w:t>rotoko</w:t>
                            </w:r>
                            <w:r>
                              <w:rPr>
                                <w:rFonts w:ascii="Arial"/>
                                <w:b/>
                                <w:color w:val="404040"/>
                                <w:w w:val="120"/>
                                <w:sz w:val="20"/>
                              </w:rPr>
                              <w:t>ł</w:t>
                            </w:r>
                            <w:r>
                              <w:rPr>
                                <w:rFonts w:ascii="Arial"/>
                                <w:b/>
                                <w:color w:val="404040"/>
                                <w:w w:val="120"/>
                                <w:sz w:val="20"/>
                              </w:rPr>
                              <w:t xml:space="preserve">u nr 1 </w:t>
                            </w:r>
                            <w:r>
                              <w:rPr>
                                <w:color w:val="404040"/>
                                <w:w w:val="120"/>
                                <w:sz w:val="20"/>
                              </w:rPr>
                              <w:t xml:space="preserve">do </w:t>
                            </w:r>
                            <w:hyperlink r:id="rId8">
                              <w:r w:rsidR="000D313C">
                                <w:t>E</w:t>
                              </w:r>
                              <w:r>
                                <w:rPr>
                                  <w:color w:val="0071BB"/>
                                  <w:w w:val="120"/>
                                  <w:sz w:val="20"/>
                                  <w:u w:val="single" w:color="0071BB"/>
                                </w:rPr>
                                <w:t xml:space="preserve">uropejskiej </w:t>
                              </w:r>
                              <w:r w:rsidR="000D313C">
                                <w:rPr>
                                  <w:color w:val="0071BB"/>
                                  <w:w w:val="120"/>
                                  <w:sz w:val="20"/>
                                  <w:u w:val="single" w:color="0071BB"/>
                                </w:rPr>
                                <w:t>K</w:t>
                              </w:r>
                              <w:r>
                                <w:rPr>
                                  <w:color w:val="0071BB"/>
                                  <w:w w:val="120"/>
                                  <w:sz w:val="20"/>
                                  <w:u w:val="single" w:color="0071BB"/>
                                </w:rPr>
                                <w:t xml:space="preserve">onwencji </w:t>
                              </w:r>
                            </w:hyperlink>
                            <w:hyperlink r:id="rId9">
                              <w:r w:rsidR="000D313C">
                                <w:rPr>
                                  <w:color w:val="0071BB"/>
                                  <w:w w:val="120"/>
                                  <w:sz w:val="20"/>
                                  <w:u w:val="dotted" w:color="0071BB"/>
                                </w:rPr>
                                <w:t>P</w:t>
                              </w:r>
                              <w:r>
                                <w:rPr>
                                  <w:color w:val="0071BB"/>
                                  <w:w w:val="120"/>
                                  <w:sz w:val="20"/>
                                  <w:u w:val="dotted" w:color="0071BB"/>
                                </w:rPr>
                                <w:t xml:space="preserve">raw </w:t>
                              </w:r>
                              <w:r w:rsidR="000D313C">
                                <w:rPr>
                                  <w:color w:val="0071BB"/>
                                  <w:w w:val="120"/>
                                  <w:sz w:val="20"/>
                                  <w:u w:val="dotted" w:color="0071BB"/>
                                </w:rPr>
                                <w:t>C</w:t>
                              </w:r>
                              <w:r>
                                <w:rPr>
                                  <w:color w:val="0071BB"/>
                                  <w:w w:val="120"/>
                                  <w:sz w:val="20"/>
                                  <w:u w:val="dotted" w:color="0071BB"/>
                                </w:rPr>
                                <w:t>złowieka</w:t>
                              </w:r>
                              <w:r>
                                <w:rPr>
                                  <w:color w:val="404040"/>
                                  <w:w w:val="120"/>
                                  <w:sz w:val="20"/>
                                </w:rPr>
                                <w:t>:</w:t>
                              </w:r>
                            </w:hyperlink>
                          </w:p>
                          <w:p w14:paraId="244EF116" w14:textId="7FFA347E" w:rsidR="006941BE" w:rsidRDefault="00D51B6B">
                            <w:pPr>
                              <w:spacing w:before="59"/>
                              <w:ind w:left="107" w:right="105"/>
                              <w:jc w:val="both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404040"/>
                                <w:w w:val="120"/>
                                <w:sz w:val="20"/>
                              </w:rPr>
                              <w:t xml:space="preserve">„Wysokie </w:t>
                            </w:r>
                            <w:r w:rsidR="00815034">
                              <w:rPr>
                                <w:i/>
                                <w:color w:val="404040"/>
                                <w:w w:val="120"/>
                                <w:sz w:val="20"/>
                              </w:rPr>
                              <w:t xml:space="preserve">Układające </w:t>
                            </w:r>
                            <w:r>
                              <w:rPr>
                                <w:i/>
                                <w:color w:val="404040"/>
                                <w:w w:val="120"/>
                                <w:sz w:val="20"/>
                              </w:rPr>
                              <w:t>się Strony zobowiązują się do przeprowadzania w rozsądnych odstępach czasu wolnych wyboró</w:t>
                            </w:r>
                            <w:r w:rsidR="00CF5696">
                              <w:rPr>
                                <w:i/>
                                <w:color w:val="404040"/>
                                <w:w w:val="120"/>
                                <w:sz w:val="20"/>
                              </w:rPr>
                              <w:t>, oparte na tajnym głosowaniu</w:t>
                            </w:r>
                            <w:r>
                              <w:rPr>
                                <w:i/>
                                <w:color w:val="404040"/>
                                <w:w w:val="120"/>
                                <w:sz w:val="20"/>
                              </w:rPr>
                              <w:t>, w warunkach zapewniających swobodne wyrażanie opinii lud</w:t>
                            </w:r>
                            <w:r w:rsidR="00CF5696">
                              <w:rPr>
                                <w:i/>
                                <w:color w:val="404040"/>
                                <w:w w:val="120"/>
                                <w:sz w:val="20"/>
                              </w:rPr>
                              <w:t>ności</w:t>
                            </w:r>
                            <w:r>
                              <w:rPr>
                                <w:i/>
                                <w:color w:val="404040"/>
                                <w:w w:val="120"/>
                                <w:sz w:val="20"/>
                              </w:rPr>
                              <w:t xml:space="preserve"> w wyborze władzy ustawodawczej”.</w:t>
                            </w:r>
                          </w:p>
                          <w:p w14:paraId="03839071" w14:textId="46414F09" w:rsidR="006941BE" w:rsidRDefault="00D51B6B">
                            <w:pPr>
                              <w:pStyle w:val="Tekstpodstawowy"/>
                              <w:spacing w:before="175"/>
                              <w:ind w:left="107" w:right="10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404040"/>
                                <w:w w:val="120"/>
                              </w:rPr>
                              <w:t xml:space="preserve">Zgodnie z art. 3 </w:t>
                            </w:r>
                            <w:r w:rsidR="000D313C">
                              <w:rPr>
                                <w:color w:val="404040"/>
                                <w:w w:val="120"/>
                              </w:rPr>
                              <w:t>P</w:t>
                            </w:r>
                            <w:r>
                              <w:rPr>
                                <w:color w:val="404040"/>
                                <w:w w:val="120"/>
                              </w:rPr>
                              <w:t xml:space="preserve">rotokołu nr 1 do </w:t>
                            </w:r>
                            <w:r w:rsidR="000D313C">
                              <w:rPr>
                                <w:color w:val="404040"/>
                                <w:w w:val="120"/>
                              </w:rPr>
                              <w:t>K</w:t>
                            </w:r>
                            <w:r>
                              <w:rPr>
                                <w:color w:val="404040"/>
                                <w:w w:val="120"/>
                              </w:rPr>
                              <w:t>onwencji obywatelom Europy gwarantuje się wolne i demokratyczne wybory.</w:t>
                            </w:r>
                          </w:p>
                          <w:p w14:paraId="69490269" w14:textId="5281EA27" w:rsidR="006941BE" w:rsidRDefault="00D51B6B">
                            <w:pPr>
                              <w:pStyle w:val="Tekstpodstawowy"/>
                              <w:spacing w:before="119"/>
                              <w:ind w:left="107" w:right="10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404040"/>
                                <w:w w:val="120"/>
                              </w:rPr>
                              <w:t xml:space="preserve">Mimo że ochrona prawa do wolnych wyborów w Europie ma ograniczony zakres i nie zapewnia nieograniczonego prawa, ma ona ogromne znaczenie. „Zgodnie z preambułą do Konwencji podstawowe prawa i wolności człowieka najlepiej chroni »skuteczna demokracja polityczna«. Ponieważ artykuł 3 </w:t>
                            </w:r>
                            <w:r w:rsidR="000D313C">
                              <w:rPr>
                                <w:color w:val="404040"/>
                                <w:w w:val="120"/>
                              </w:rPr>
                              <w:t>P</w:t>
                            </w:r>
                            <w:r>
                              <w:rPr>
                                <w:color w:val="404040"/>
                                <w:w w:val="120"/>
                              </w:rPr>
                              <w:t xml:space="preserve">rotokołu nr 1 zawiera charakterystyczną zasadę demokracji, ma on odpowiednio zasadnicze znaczenie w systemie Konwencji. » </w:t>
                            </w:r>
                            <w:r>
                              <w:rPr>
                                <w:color w:val="404040"/>
                                <w:spacing w:val="40"/>
                                <w:w w:val="120"/>
                              </w:rPr>
                              <w:t>(</w:t>
                            </w:r>
                            <w:hyperlink r:id="rId10">
                              <w:r>
                                <w:rPr>
                                  <w:i/>
                                  <w:color w:val="0071BB"/>
                                  <w:w w:val="120"/>
                                  <w:u w:val="dotted" w:color="0071BB"/>
                                </w:rPr>
                                <w:t xml:space="preserve">Mathieu-Mohin i </w:t>
                              </w:r>
                            </w:hyperlink>
                            <w:hyperlink r:id="rId11">
                              <w:r>
                                <w:rPr>
                                  <w:i/>
                                  <w:color w:val="0071BB"/>
                                  <w:w w:val="120"/>
                                  <w:u w:val="dotted" w:color="0071BB"/>
                                </w:rPr>
                                <w:t>Clerfayt przeciwko Belgii,</w:t>
                              </w:r>
                            </w:hyperlink>
                            <w:r>
                              <w:rPr>
                                <w:color w:val="404040"/>
                                <w:w w:val="120"/>
                              </w:rPr>
                              <w:t xml:space="preserve"> wyrok z dnia</w:t>
                            </w:r>
                            <w:r>
                              <w:rPr>
                                <w:color w:val="404040"/>
                                <w:spacing w:val="40"/>
                                <w:w w:val="120"/>
                              </w:rPr>
                              <w:t xml:space="preserve"> 2 </w:t>
                            </w:r>
                            <w:r>
                              <w:rPr>
                                <w:color w:val="404040"/>
                                <w:w w:val="120"/>
                              </w:rPr>
                              <w:t>marca 1987 r., § 47).</w:t>
                            </w:r>
                          </w:p>
                          <w:p w14:paraId="30EE5B4D" w14:textId="74C7E466" w:rsidR="006941BE" w:rsidRDefault="00D51B6B">
                            <w:pPr>
                              <w:pStyle w:val="Tekstpodstawowy"/>
                              <w:spacing w:before="112"/>
                              <w:ind w:left="107" w:right="10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404040"/>
                                <w:w w:val="120"/>
                              </w:rPr>
                              <w:t>Trybunał rozróżnia między „</w:t>
                            </w:r>
                            <w:r w:rsidR="0088381D">
                              <w:rPr>
                                <w:color w:val="404040"/>
                                <w:w w:val="120"/>
                              </w:rPr>
                              <w:t>czynnymi</w:t>
                            </w:r>
                            <w:r>
                              <w:rPr>
                                <w:color w:val="404040"/>
                                <w:w w:val="120"/>
                              </w:rPr>
                              <w:t>” a „</w:t>
                            </w:r>
                            <w:r w:rsidR="0088381D">
                              <w:rPr>
                                <w:color w:val="404040"/>
                                <w:w w:val="120"/>
                              </w:rPr>
                              <w:t>biernymi</w:t>
                            </w:r>
                            <w:r>
                              <w:rPr>
                                <w:color w:val="404040"/>
                                <w:w w:val="120"/>
                              </w:rPr>
                              <w:t>” prawami wyborczymi, a mianowicie między prawem do udziału w wyborach jako wyborca a prawem do kandydowania w wyborach. Takie „</w:t>
                            </w:r>
                            <w:r w:rsidR="0088381D">
                              <w:rPr>
                                <w:color w:val="404040"/>
                                <w:w w:val="120"/>
                              </w:rPr>
                              <w:t>bierne</w:t>
                            </w:r>
                            <w:r>
                              <w:rPr>
                                <w:color w:val="404040"/>
                                <w:w w:val="120"/>
                              </w:rPr>
                              <w:t>” prawa wyborcze cieszą się mniejszym stopniem ochrony niż prawa „</w:t>
                            </w:r>
                            <w:r w:rsidR="0088381D">
                              <w:rPr>
                                <w:color w:val="404040"/>
                                <w:w w:val="120"/>
                              </w:rPr>
                              <w:t>czynne</w:t>
                            </w:r>
                            <w:r>
                              <w:rPr>
                                <w:color w:val="404040"/>
                                <w:w w:val="120"/>
                              </w:rPr>
                              <w:t>”.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w14:anchorId="5ECA3C4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66.35pt;margin-top:13.95pt;width:462.6pt;height:245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" fillcolor="#f3f3f3" strokeweight=".48pt">
                <v:stroke dashstyle="dot"/>
                <v:textbox inset="0,0,0,0">
                  <w:txbxContent>
                    <w:p w14:paraId="32593B91" w14:textId="7D3EA1E7" w:rsidR="006941BE" w:rsidRPr="00F107CB" w:rsidRDefault="00D51B6B" w:rsidP="00815034">
                      <w:pPr>
                        <w:spacing w:before="30"/>
                        <w:ind w:left="107" w:right="106"/>
                        <w:jc w:val="both"/>
                        <w:rPr>
                          <w:rFonts w:ascii="Arial"/>
                          <w:b/>
                          <w:color w:val="404040"/>
                          <w:w w:val="12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404040"/>
                          <w:w w:val="120"/>
                          <w:sz w:val="20"/>
                        </w:rPr>
                        <w:t>Artyku</w:t>
                      </w:r>
                      <w:r>
                        <w:rPr>
                          <w:rFonts w:ascii="Arial"/>
                          <w:b/>
                          <w:color w:val="404040"/>
                          <w:w w:val="120"/>
                          <w:sz w:val="20"/>
                        </w:rPr>
                        <w:t>ł</w:t>
                      </w:r>
                      <w:r>
                        <w:rPr>
                          <w:rFonts w:ascii="Arial"/>
                          <w:b/>
                          <w:color w:val="404040"/>
                          <w:w w:val="120"/>
                          <w:sz w:val="20"/>
                        </w:rPr>
                        <w:t xml:space="preserve"> 3 </w:t>
                      </w:r>
                      <w:r>
                        <w:rPr>
                          <w:color w:val="404040"/>
                          <w:w w:val="120"/>
                          <w:sz w:val="20"/>
                        </w:rPr>
                        <w:t xml:space="preserve">(prawo do wolnych wyborów) </w:t>
                      </w:r>
                      <w:r w:rsidR="0093541E">
                        <w:rPr>
                          <w:rFonts w:ascii="Arial"/>
                          <w:b/>
                          <w:color w:val="404040"/>
                          <w:w w:val="120"/>
                          <w:sz w:val="20"/>
                        </w:rPr>
                        <w:t>P</w:t>
                      </w:r>
                      <w:r>
                        <w:rPr>
                          <w:rFonts w:ascii="Arial"/>
                          <w:b/>
                          <w:color w:val="404040"/>
                          <w:w w:val="120"/>
                          <w:sz w:val="20"/>
                        </w:rPr>
                        <w:t>rotoko</w:t>
                      </w:r>
                      <w:r>
                        <w:rPr>
                          <w:rFonts w:ascii="Arial"/>
                          <w:b/>
                          <w:color w:val="404040"/>
                          <w:w w:val="120"/>
                          <w:sz w:val="20"/>
                        </w:rPr>
                        <w:t>ł</w:t>
                      </w:r>
                      <w:r>
                        <w:rPr>
                          <w:rFonts w:ascii="Arial"/>
                          <w:b/>
                          <w:color w:val="404040"/>
                          <w:w w:val="120"/>
                          <w:sz w:val="20"/>
                        </w:rPr>
                        <w:t xml:space="preserve">u nr 1 </w:t>
                      </w:r>
                      <w:r>
                        <w:rPr>
                          <w:color w:val="404040"/>
                          <w:w w:val="120"/>
                          <w:sz w:val="20"/>
                        </w:rPr>
                        <w:t xml:space="preserve">do </w:t>
                      </w:r>
                      <w:hyperlink r:id="rId12">
                        <w:r w:rsidR="000D313C">
                          <w:t>E</w:t>
                        </w:r>
                        <w:r>
                          <w:rPr>
                            <w:color w:val="0071BB"/>
                            <w:w w:val="120"/>
                            <w:sz w:val="20"/>
                            <w:u w:val="single" w:color="0071BB"/>
                          </w:rPr>
                          <w:t xml:space="preserve">uropejskiej </w:t>
                        </w:r>
                        <w:r w:rsidR="000D313C">
                          <w:rPr>
                            <w:color w:val="0071BB"/>
                            <w:w w:val="120"/>
                            <w:sz w:val="20"/>
                            <w:u w:val="single" w:color="0071BB"/>
                          </w:rPr>
                          <w:t>K</w:t>
                        </w:r>
                        <w:r>
                          <w:rPr>
                            <w:color w:val="0071BB"/>
                            <w:w w:val="120"/>
                            <w:sz w:val="20"/>
                            <w:u w:val="single" w:color="0071BB"/>
                          </w:rPr>
                          <w:t xml:space="preserve">onwencji </w:t>
                        </w:r>
                      </w:hyperlink>
                      <w:hyperlink r:id="rId13">
                        <w:r w:rsidR="000D313C">
                          <w:rPr>
                            <w:color w:val="0071BB"/>
                            <w:w w:val="120"/>
                            <w:sz w:val="20"/>
                            <w:u w:val="dotted" w:color="0071BB"/>
                          </w:rPr>
                          <w:t>P</w:t>
                        </w:r>
                        <w:r>
                          <w:rPr>
                            <w:color w:val="0071BB"/>
                            <w:w w:val="120"/>
                            <w:sz w:val="20"/>
                            <w:u w:val="dotted" w:color="0071BB"/>
                          </w:rPr>
                          <w:t xml:space="preserve">raw </w:t>
                        </w:r>
                        <w:r w:rsidR="000D313C">
                          <w:rPr>
                            <w:color w:val="0071BB"/>
                            <w:w w:val="120"/>
                            <w:sz w:val="20"/>
                            <w:u w:val="dotted" w:color="0071BB"/>
                          </w:rPr>
                          <w:t>C</w:t>
                        </w:r>
                        <w:r>
                          <w:rPr>
                            <w:color w:val="0071BB"/>
                            <w:w w:val="120"/>
                            <w:sz w:val="20"/>
                            <w:u w:val="dotted" w:color="0071BB"/>
                          </w:rPr>
                          <w:t>złowieka</w:t>
                        </w:r>
                        <w:r>
                          <w:rPr>
                            <w:color w:val="404040"/>
                            <w:w w:val="120"/>
                            <w:sz w:val="20"/>
                          </w:rPr>
                          <w:t>:</w:t>
                        </w:r>
                      </w:hyperlink>
                    </w:p>
                    <w:p w14:paraId="244EF116" w14:textId="7FFA347E" w:rsidR="006941BE" w:rsidRDefault="00D51B6B">
                      <w:pPr>
                        <w:spacing w:before="59"/>
                        <w:ind w:left="107" w:right="105"/>
                        <w:jc w:val="both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404040"/>
                          <w:w w:val="120"/>
                          <w:sz w:val="20"/>
                        </w:rPr>
                        <w:t xml:space="preserve">„Wysokie </w:t>
                      </w:r>
                      <w:r w:rsidR="00815034">
                        <w:rPr>
                          <w:i/>
                          <w:color w:val="404040"/>
                          <w:w w:val="120"/>
                          <w:sz w:val="20"/>
                        </w:rPr>
                        <w:t xml:space="preserve">Układające </w:t>
                      </w:r>
                      <w:r>
                        <w:rPr>
                          <w:i/>
                          <w:color w:val="404040"/>
                          <w:w w:val="120"/>
                          <w:sz w:val="20"/>
                        </w:rPr>
                        <w:t>się Strony zobowiązują się do przeprowadzania w rozsądnych odstępach czasu wolnych wyboró</w:t>
                      </w:r>
                      <w:r w:rsidR="00CF5696">
                        <w:rPr>
                          <w:i/>
                          <w:color w:val="404040"/>
                          <w:w w:val="120"/>
                          <w:sz w:val="20"/>
                        </w:rPr>
                        <w:t>, oparte na tajnym głosowaniu</w:t>
                      </w:r>
                      <w:r>
                        <w:rPr>
                          <w:i/>
                          <w:color w:val="404040"/>
                          <w:w w:val="120"/>
                          <w:sz w:val="20"/>
                        </w:rPr>
                        <w:t>, w warunkach zapewniających swobodne wyrażanie opinii lud</w:t>
                      </w:r>
                      <w:r w:rsidR="00CF5696">
                        <w:rPr>
                          <w:i/>
                          <w:color w:val="404040"/>
                          <w:w w:val="120"/>
                          <w:sz w:val="20"/>
                        </w:rPr>
                        <w:t>ności</w:t>
                      </w:r>
                      <w:r>
                        <w:rPr>
                          <w:i/>
                          <w:color w:val="404040"/>
                          <w:w w:val="120"/>
                          <w:sz w:val="20"/>
                        </w:rPr>
                        <w:t xml:space="preserve"> w wyborze władzy ustawodawczej”.</w:t>
                      </w:r>
                    </w:p>
                    <w:p w14:paraId="03839071" w14:textId="46414F09" w:rsidR="006941BE" w:rsidRDefault="00D51B6B">
                      <w:pPr>
                        <w:pStyle w:val="Tekstpodstawowy"/>
                        <w:spacing w:before="175"/>
                        <w:ind w:left="107" w:right="107"/>
                        <w:rPr>
                          <w:color w:val="000000"/>
                        </w:rPr>
                      </w:pPr>
                      <w:r>
                        <w:rPr>
                          <w:color w:val="404040"/>
                          <w:w w:val="120"/>
                        </w:rPr>
                        <w:t xml:space="preserve">Zgodnie z art. 3 </w:t>
                      </w:r>
                      <w:r w:rsidR="000D313C">
                        <w:rPr>
                          <w:color w:val="404040"/>
                          <w:w w:val="120"/>
                        </w:rPr>
                        <w:t>P</w:t>
                      </w:r>
                      <w:r>
                        <w:rPr>
                          <w:color w:val="404040"/>
                          <w:w w:val="120"/>
                        </w:rPr>
                        <w:t xml:space="preserve">rotokołu nr 1 do </w:t>
                      </w:r>
                      <w:r w:rsidR="000D313C">
                        <w:rPr>
                          <w:color w:val="404040"/>
                          <w:w w:val="120"/>
                        </w:rPr>
                        <w:t>K</w:t>
                      </w:r>
                      <w:r>
                        <w:rPr>
                          <w:color w:val="404040"/>
                          <w:w w:val="120"/>
                        </w:rPr>
                        <w:t>onwencji obywatelom Europy gwarantuje się wolne i demokratyczne wybory.</w:t>
                      </w:r>
                    </w:p>
                    <w:p w14:paraId="69490269" w14:textId="5281EA27" w:rsidR="006941BE" w:rsidRDefault="00D51B6B">
                      <w:pPr>
                        <w:pStyle w:val="Tekstpodstawowy"/>
                        <w:spacing w:before="119"/>
                        <w:ind w:left="107" w:right="104"/>
                        <w:rPr>
                          <w:color w:val="000000"/>
                        </w:rPr>
                      </w:pPr>
                      <w:r>
                        <w:rPr>
                          <w:color w:val="404040"/>
                          <w:w w:val="120"/>
                        </w:rPr>
                        <w:t xml:space="preserve">Mimo że ochrona prawa do wolnych wyborów w Europie ma ograniczony zakres i nie zapewnia nieograniczonego prawa, ma ona ogromne znaczenie. „Zgodnie z preambułą do Konwencji podstawowe prawa i wolności człowieka najlepiej chroni »skuteczna demokracja polityczna«. Ponieważ artykuł 3 </w:t>
                      </w:r>
                      <w:r w:rsidR="000D313C">
                        <w:rPr>
                          <w:color w:val="404040"/>
                          <w:w w:val="120"/>
                        </w:rPr>
                        <w:t>P</w:t>
                      </w:r>
                      <w:r>
                        <w:rPr>
                          <w:color w:val="404040"/>
                          <w:w w:val="120"/>
                        </w:rPr>
                        <w:t xml:space="preserve">rotokołu nr 1 zawiera charakterystyczną zasadę demokracji, ma on odpowiednio zasadnicze znaczenie w systemie Konwencji. » </w:t>
                      </w:r>
                      <w:r>
                        <w:rPr>
                          <w:color w:val="404040"/>
                          <w:spacing w:val="40"/>
                          <w:w w:val="120"/>
                        </w:rPr>
                        <w:t>(</w:t>
                      </w:r>
                      <w:hyperlink r:id="rId14">
                        <w:r>
                          <w:rPr>
                            <w:i/>
                            <w:color w:val="0071BB"/>
                            <w:w w:val="120"/>
                            <w:u w:val="dotted" w:color="0071BB"/>
                          </w:rPr>
                          <w:t xml:space="preserve">Mathieu-Mohin i </w:t>
                        </w:r>
                      </w:hyperlink>
                      <w:hyperlink r:id="rId15">
                        <w:r>
                          <w:rPr>
                            <w:i/>
                            <w:color w:val="0071BB"/>
                            <w:w w:val="120"/>
                            <w:u w:val="dotted" w:color="0071BB"/>
                          </w:rPr>
                          <w:t>Clerfayt przeciwko Belgii,</w:t>
                        </w:r>
                      </w:hyperlink>
                      <w:r>
                        <w:rPr>
                          <w:color w:val="404040"/>
                          <w:w w:val="120"/>
                        </w:rPr>
                        <w:t xml:space="preserve"> wyrok z dnia</w:t>
                      </w:r>
                      <w:r>
                        <w:rPr>
                          <w:color w:val="404040"/>
                          <w:spacing w:val="40"/>
                          <w:w w:val="120"/>
                        </w:rPr>
                        <w:t xml:space="preserve"> 2 </w:t>
                      </w:r>
                      <w:r>
                        <w:rPr>
                          <w:color w:val="404040"/>
                          <w:w w:val="120"/>
                        </w:rPr>
                        <w:t>marca 1987 r., § 47).</w:t>
                      </w:r>
                    </w:p>
                    <w:p w14:paraId="30EE5B4D" w14:textId="74C7E466" w:rsidR="006941BE" w:rsidRDefault="00D51B6B">
                      <w:pPr>
                        <w:pStyle w:val="Tekstpodstawowy"/>
                        <w:spacing w:before="112"/>
                        <w:ind w:left="107" w:right="107"/>
                        <w:rPr>
                          <w:color w:val="000000"/>
                        </w:rPr>
                      </w:pPr>
                      <w:r>
                        <w:rPr>
                          <w:color w:val="404040"/>
                          <w:w w:val="120"/>
                        </w:rPr>
                        <w:t>Trybunał rozróżnia między „</w:t>
                      </w:r>
                      <w:r w:rsidR="0088381D">
                        <w:rPr>
                          <w:color w:val="404040"/>
                          <w:w w:val="120"/>
                        </w:rPr>
                        <w:t>czynnymi</w:t>
                      </w:r>
                      <w:r>
                        <w:rPr>
                          <w:color w:val="404040"/>
                          <w:w w:val="120"/>
                        </w:rPr>
                        <w:t>” a „</w:t>
                      </w:r>
                      <w:r w:rsidR="0088381D">
                        <w:rPr>
                          <w:color w:val="404040"/>
                          <w:w w:val="120"/>
                        </w:rPr>
                        <w:t>biernymi</w:t>
                      </w:r>
                      <w:r>
                        <w:rPr>
                          <w:color w:val="404040"/>
                          <w:w w:val="120"/>
                        </w:rPr>
                        <w:t>” prawami wyborczymi, a mianowicie między prawem do udziału w wyborach jako wyborca a prawem do kandydowania w wyborach. Takie „</w:t>
                      </w:r>
                      <w:r w:rsidR="0088381D">
                        <w:rPr>
                          <w:color w:val="404040"/>
                          <w:w w:val="120"/>
                        </w:rPr>
                        <w:t>bierne</w:t>
                      </w:r>
                      <w:r>
                        <w:rPr>
                          <w:color w:val="404040"/>
                          <w:w w:val="120"/>
                        </w:rPr>
                        <w:t>” prawa wyborcze cieszą się mniejszym stopniem ochrony niż prawa „</w:t>
                      </w:r>
                      <w:r w:rsidR="0088381D">
                        <w:rPr>
                          <w:color w:val="404040"/>
                          <w:w w:val="120"/>
                        </w:rPr>
                        <w:t>czynne</w:t>
                      </w:r>
                      <w:r>
                        <w:rPr>
                          <w:color w:val="404040"/>
                          <w:w w:val="120"/>
                        </w:rPr>
                        <w:t>”.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E40909" w14:textId="77777777" w:rsidR="006941BE" w:rsidRDefault="00D51B6B">
      <w:pPr>
        <w:pStyle w:val="Nagwek1"/>
        <w:spacing w:before="263" w:after="62"/>
      </w:pPr>
      <w:proofErr w:type="spellStart"/>
      <w:r>
        <w:rPr>
          <w:color w:val="0071BB"/>
          <w:w w:val="120"/>
          <w:sz w:val="29"/>
        </w:rPr>
        <w:t>Pozbawienie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praw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wyborczych</w:t>
      </w:r>
      <w:proofErr w:type="spellEnd"/>
      <w:r>
        <w:rPr>
          <w:color w:val="0071BB"/>
          <w:w w:val="120"/>
          <w:sz w:val="29"/>
        </w:rPr>
        <w:t xml:space="preserve"> w </w:t>
      </w:r>
      <w:proofErr w:type="spellStart"/>
      <w:r>
        <w:rPr>
          <w:color w:val="0071BB"/>
          <w:w w:val="120"/>
          <w:sz w:val="29"/>
        </w:rPr>
        <w:t>ramach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spacing w:val="-2"/>
          <w:w w:val="120"/>
          <w:sz w:val="29"/>
        </w:rPr>
        <w:t>postępowania</w:t>
      </w:r>
      <w:proofErr w:type="spellEnd"/>
      <w:r>
        <w:rPr>
          <w:color w:val="0071BB"/>
          <w:spacing w:val="-2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karnego</w:t>
      </w:r>
      <w:proofErr w:type="spellEnd"/>
    </w:p>
    <w:p w14:paraId="083B6887" w14:textId="77777777" w:rsidR="006941BE" w:rsidRDefault="00D51B6B">
      <w:pPr>
        <w:spacing w:line="28" w:lineRule="exact"/>
        <w:ind w:left="8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6D7C58" wp14:editId="2348051A">
                <wp:extent cx="5768340" cy="18415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8340" cy="18415"/>
                          <a:chOff x="0" y="0"/>
                          <a:chExt cx="5768340" cy="184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7683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8415">
                                <a:moveTo>
                                  <a:pt x="5768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5768340" y="18287"/>
                                </a:lnTo>
                                <a:lnTo>
                                  <a:pt x="5768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9298D9" id="Group 5" o:spid="_x0000_s1026" style="width:454.2pt;height:1.45pt;mso-position-horizontal-relative:char;mso-position-vertical-relative:line" coordsize="5768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">
                <v:shape id="Graphic 6" o:spid="_x0000_s1027" style="position:absolute;width:57683;height:184;visibility:visible;mso-wrap-style:square;v-text-anchor:top" coordsize="57683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" path="m5768340,l,,,18287r5768340,l5768340,xe" fillcolor="#999" stroked="f">
                  <v:path arrowok="t"/>
                </v:shape>
                <w10:anchorlock/>
              </v:group>
            </w:pict>
          </mc:Fallback>
        </mc:AlternateContent>
      </w:r>
    </w:p>
    <w:p w14:paraId="6A25B6BE" w14:textId="77777777" w:rsidR="006941BE" w:rsidRDefault="00D51B6B">
      <w:pPr>
        <w:pStyle w:val="Nagwek2"/>
        <w:spacing w:before="137"/>
        <w:jc w:val="both"/>
        <w:rPr>
          <w:u w:val="none"/>
        </w:rPr>
      </w:pPr>
      <w:hyperlink r:id="rId16">
        <w:r>
          <w:rPr>
            <w:color w:val="0071BB"/>
            <w:w w:val="120"/>
            <w:u w:val="dotted" w:color="0071BB"/>
          </w:rPr>
          <w:t xml:space="preserve">Labita </w:t>
        </w:r>
        <w:proofErr w:type="spellStart"/>
        <w:r>
          <w:rPr>
            <w:color w:val="0071BB"/>
            <w:w w:val="120"/>
            <w:u w:val="dotted" w:color="0071BB"/>
          </w:rPr>
          <w:t>przeciwko</w:t>
        </w:r>
        <w:proofErr w:type="spellEnd"/>
        <w:r>
          <w:rPr>
            <w:color w:val="0071BB"/>
            <w:w w:val="120"/>
            <w:u w:val="dotted" w:color="0071BB"/>
          </w:rPr>
          <w:t xml:space="preserve"> </w:t>
        </w:r>
        <w:proofErr w:type="spellStart"/>
        <w:r>
          <w:rPr>
            <w:color w:val="0071BB"/>
            <w:spacing w:val="-4"/>
            <w:w w:val="120"/>
            <w:u w:val="dotted" w:color="0071BB"/>
          </w:rPr>
          <w:t>Włochom</w:t>
        </w:r>
        <w:proofErr w:type="spellEnd"/>
      </w:hyperlink>
    </w:p>
    <w:p w14:paraId="43E07D9A" w14:textId="77777777" w:rsidR="006941BE" w:rsidRDefault="00D51B6B">
      <w:pPr>
        <w:spacing w:before="67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 xml:space="preserve">6 </w:t>
      </w:r>
      <w:proofErr w:type="spellStart"/>
      <w:r>
        <w:rPr>
          <w:color w:val="808080"/>
          <w:w w:val="125"/>
          <w:sz w:val="18"/>
        </w:rPr>
        <w:t>kwietnia</w:t>
      </w:r>
      <w:proofErr w:type="spellEnd"/>
      <w:r>
        <w:rPr>
          <w:color w:val="808080"/>
          <w:w w:val="125"/>
          <w:sz w:val="18"/>
        </w:rPr>
        <w:t xml:space="preserve"> 2000 r. (</w:t>
      </w:r>
      <w:proofErr w:type="spellStart"/>
      <w:r>
        <w:rPr>
          <w:color w:val="808080"/>
          <w:w w:val="125"/>
          <w:sz w:val="18"/>
        </w:rPr>
        <w:t>Wielka</w:t>
      </w:r>
      <w:proofErr w:type="spellEnd"/>
      <w:r>
        <w:rPr>
          <w:color w:val="808080"/>
          <w:w w:val="125"/>
          <w:sz w:val="18"/>
        </w:rPr>
        <w:t xml:space="preserve"> </w:t>
      </w:r>
      <w:r>
        <w:rPr>
          <w:color w:val="808080"/>
          <w:spacing w:val="-2"/>
          <w:w w:val="125"/>
          <w:sz w:val="18"/>
        </w:rPr>
        <w:t>Izba)</w:t>
      </w:r>
    </w:p>
    <w:p w14:paraId="163F49F9" w14:textId="77777777" w:rsidR="006941BE" w:rsidRDefault="00D51B6B">
      <w:pPr>
        <w:pStyle w:val="Tekstpodstawowy"/>
        <w:spacing w:before="4"/>
        <w:ind w:left="874" w:right="872"/>
      </w:pPr>
      <w:r>
        <w:rPr>
          <w:w w:val="120"/>
        </w:rPr>
        <w:t xml:space="preserve">W </w:t>
      </w:r>
      <w:proofErr w:type="spellStart"/>
      <w:r>
        <w:rPr>
          <w:w w:val="120"/>
        </w:rPr>
        <w:t>kwietniu</w:t>
      </w:r>
      <w:proofErr w:type="spellEnd"/>
      <w:r>
        <w:rPr>
          <w:w w:val="120"/>
        </w:rPr>
        <w:t xml:space="preserve"> 1992 r. </w:t>
      </w:r>
      <w:proofErr w:type="spellStart"/>
      <w:r>
        <w:rPr>
          <w:w w:val="120"/>
        </w:rPr>
        <w:t>skarżący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został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aresztowany</w:t>
      </w:r>
      <w:proofErr w:type="spellEnd"/>
      <w:r>
        <w:rPr>
          <w:w w:val="120"/>
        </w:rPr>
        <w:t xml:space="preserve"> pod </w:t>
      </w:r>
      <w:proofErr w:type="spellStart"/>
      <w:r>
        <w:rPr>
          <w:w w:val="120"/>
        </w:rPr>
        <w:t>zarzutem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przynależności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mafii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podstawie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niepotwierdzonych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zarzutów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byłego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członka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mafii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który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zdecydował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współpracować</w:t>
      </w:r>
      <w:proofErr w:type="spellEnd"/>
      <w:r>
        <w:rPr>
          <w:w w:val="120"/>
        </w:rPr>
        <w:t xml:space="preserve"> z </w:t>
      </w:r>
      <w:proofErr w:type="spellStart"/>
      <w:r>
        <w:rPr>
          <w:w w:val="120"/>
        </w:rPr>
        <w:t>organami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ścigania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Był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przetrzymywany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areszcie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oczekiwaniu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proces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przez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około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lata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siedem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miesięcy</w:t>
      </w:r>
      <w:proofErr w:type="spellEnd"/>
      <w:r>
        <w:rPr>
          <w:w w:val="120"/>
        </w:rPr>
        <w:t xml:space="preserve">. Po </w:t>
      </w:r>
      <w:proofErr w:type="spellStart"/>
      <w:r>
        <w:rPr>
          <w:w w:val="120"/>
        </w:rPr>
        <w:t>uniewinnieniu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nałożono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środki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zapobiegawcze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pozbawiono</w:t>
      </w:r>
      <w:proofErr w:type="spellEnd"/>
      <w:r>
        <w:rPr>
          <w:w w:val="120"/>
        </w:rPr>
        <w:t xml:space="preserve"> go </w:t>
      </w:r>
      <w:proofErr w:type="spellStart"/>
      <w:r>
        <w:rPr>
          <w:w w:val="120"/>
        </w:rPr>
        <w:t>praw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wyborczych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Skarżył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między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innymi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utratę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wyborczych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wyniku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nałożenia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środków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zapobiegawczych</w:t>
      </w:r>
      <w:proofErr w:type="spellEnd"/>
      <w:r>
        <w:rPr>
          <w:w w:val="120"/>
        </w:rPr>
        <w:t>.</w:t>
      </w:r>
    </w:p>
    <w:p w14:paraId="1505A4CF" w14:textId="1E9D91F6" w:rsidR="006941BE" w:rsidRDefault="00D51B6B">
      <w:pPr>
        <w:pStyle w:val="Tekstpodstawowy"/>
        <w:ind w:left="874" w:right="869"/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1CF874B7" wp14:editId="02A241CA">
            <wp:simplePos x="0" y="0"/>
            <wp:positionH relativeFrom="page">
              <wp:posOffset>3399154</wp:posOffset>
            </wp:positionH>
            <wp:positionV relativeFrom="paragraph">
              <wp:posOffset>2196614</wp:posOffset>
            </wp:positionV>
            <wp:extent cx="738934" cy="590550"/>
            <wp:effectExtent l="0" t="0" r="0" b="0"/>
            <wp:wrapTopAndBottom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934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rFonts w:ascii="Arial" w:hAnsi="Arial"/>
          <w:b/>
          <w:color w:val="0071BB"/>
          <w:w w:val="120"/>
        </w:rPr>
        <w:t xml:space="preserve">do </w:t>
      </w:r>
      <w:proofErr w:type="spellStart"/>
      <w:r>
        <w:rPr>
          <w:rFonts w:ascii="Arial" w:hAnsi="Arial"/>
          <w:b/>
          <w:color w:val="0071BB"/>
          <w:w w:val="120"/>
        </w:rPr>
        <w:t>naruszenia</w:t>
      </w:r>
      <w:proofErr w:type="spellEnd"/>
      <w:r>
        <w:rPr>
          <w:rFonts w:ascii="Arial" w:hAnsi="Arial"/>
          <w:b/>
          <w:color w:val="0071BB"/>
          <w:w w:val="120"/>
        </w:rPr>
        <w:t xml:space="preserve"> art. 3 </w:t>
      </w:r>
      <w:proofErr w:type="spellStart"/>
      <w:r w:rsidR="000D313C">
        <w:rPr>
          <w:rFonts w:ascii="Arial" w:hAnsi="Arial"/>
          <w:b/>
          <w:color w:val="0071BB"/>
          <w:w w:val="120"/>
        </w:rPr>
        <w:t>P</w:t>
      </w:r>
      <w:r>
        <w:rPr>
          <w:rFonts w:ascii="Arial" w:hAnsi="Arial"/>
          <w:b/>
          <w:color w:val="0071BB"/>
          <w:w w:val="120"/>
        </w:rPr>
        <w:t>rotokołu</w:t>
      </w:r>
      <w:proofErr w:type="spellEnd"/>
      <w:r>
        <w:rPr>
          <w:rFonts w:ascii="Arial" w:hAnsi="Arial"/>
          <w:b/>
          <w:color w:val="0071BB"/>
          <w:w w:val="120"/>
        </w:rPr>
        <w:t xml:space="preserve"> nr 1 </w:t>
      </w:r>
      <w:r>
        <w:rPr>
          <w:color w:val="0071BB"/>
          <w:w w:val="120"/>
        </w:rPr>
        <w:t xml:space="preserve">do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Zwrócił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szczególną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uwagę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fakt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jako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osoba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objęta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specjalnym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nadzorem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policyjnym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powodu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podejrzenia</w:t>
      </w:r>
      <w:proofErr w:type="spellEnd"/>
      <w:r>
        <w:rPr>
          <w:color w:val="0071BB"/>
          <w:w w:val="120"/>
        </w:rPr>
        <w:t xml:space="preserve"> o </w:t>
      </w:r>
      <w:proofErr w:type="spellStart"/>
      <w:r>
        <w:rPr>
          <w:color w:val="0071BB"/>
          <w:w w:val="120"/>
        </w:rPr>
        <w:t>przynależność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mafii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skarżący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automatycznie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utracił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swoje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obywatelskie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został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wykreślony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rejestru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wyborców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wątpliwości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tymczasowe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zawieszenie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wyborczych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osób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wobec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których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istniały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dowody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przynależności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mafii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służyło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uzasadnionemu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celowi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Zauważył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jednak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chociaż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niniejszej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sprawie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specjalny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środek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nadzoru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policyjnego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wobec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został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nałożony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trakcie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postępowania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sądowego</w:t>
      </w:r>
      <w:proofErr w:type="spellEnd"/>
      <w:r>
        <w:rPr>
          <w:color w:val="0071BB"/>
          <w:w w:val="120"/>
        </w:rPr>
        <w:t xml:space="preserve">, to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został</w:t>
      </w:r>
      <w:proofErr w:type="spellEnd"/>
      <w:r>
        <w:rPr>
          <w:color w:val="0071BB"/>
          <w:w w:val="120"/>
        </w:rPr>
        <w:t xml:space="preserve"> on </w:t>
      </w:r>
      <w:proofErr w:type="spellStart"/>
      <w:r>
        <w:rPr>
          <w:color w:val="0071BB"/>
          <w:w w:val="120"/>
        </w:rPr>
        <w:t>zastosowany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czasu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zakończenia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postępowania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uniewinnienia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powodu</w:t>
      </w:r>
      <w:proofErr w:type="spellEnd"/>
      <w:r>
        <w:rPr>
          <w:color w:val="0071BB"/>
          <w:w w:val="120"/>
        </w:rPr>
        <w:t xml:space="preserve"> „</w:t>
      </w:r>
      <w:proofErr w:type="spellStart"/>
      <w:r>
        <w:rPr>
          <w:color w:val="0071BB"/>
          <w:w w:val="120"/>
        </w:rPr>
        <w:t>braku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popełnienia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przestępstwa</w:t>
      </w:r>
      <w:proofErr w:type="spellEnd"/>
      <w:r>
        <w:rPr>
          <w:color w:val="0071BB"/>
          <w:w w:val="120"/>
        </w:rPr>
        <w:t xml:space="preserve">”, ponieważ </w:t>
      </w:r>
      <w:proofErr w:type="spellStart"/>
      <w:r>
        <w:rPr>
          <w:color w:val="0071BB"/>
          <w:w w:val="120"/>
        </w:rPr>
        <w:t>poważne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dowody</w:t>
      </w:r>
      <w:proofErr w:type="spellEnd"/>
      <w:r>
        <w:rPr>
          <w:color w:val="0071BB"/>
          <w:w w:val="120"/>
        </w:rPr>
        <w:t xml:space="preserve"> winy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zostały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podważone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trakcie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postępowania</w:t>
      </w:r>
      <w:proofErr w:type="spellEnd"/>
      <w:r>
        <w:rPr>
          <w:color w:val="0071BB"/>
          <w:w w:val="120"/>
        </w:rPr>
        <w:t xml:space="preserve">. W </w:t>
      </w:r>
      <w:proofErr w:type="spellStart"/>
      <w:r>
        <w:rPr>
          <w:color w:val="0071BB"/>
          <w:w w:val="120"/>
        </w:rPr>
        <w:t>związku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tym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gdy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nazwisko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zostało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usunięte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rejestru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wyborców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istniały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żadne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konkretne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dowody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podstawie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których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można</w:t>
      </w:r>
      <w:proofErr w:type="spellEnd"/>
      <w:r>
        <w:rPr>
          <w:color w:val="0071BB"/>
          <w:w w:val="120"/>
        </w:rPr>
        <w:t xml:space="preserve"> by </w:t>
      </w:r>
      <w:proofErr w:type="spellStart"/>
      <w:r>
        <w:rPr>
          <w:color w:val="0071BB"/>
          <w:w w:val="120"/>
        </w:rPr>
        <w:t>było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podejrzewać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należał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mafii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mógł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środka</w:t>
      </w:r>
      <w:proofErr w:type="spellEnd"/>
      <w:r>
        <w:rPr>
          <w:color w:val="0071BB"/>
          <w:w w:val="120"/>
        </w:rPr>
        <w:t xml:space="preserve"> za </w:t>
      </w:r>
      <w:proofErr w:type="spellStart"/>
      <w:r>
        <w:rPr>
          <w:color w:val="0071BB"/>
          <w:w w:val="120"/>
        </w:rPr>
        <w:t>proporcjonalny</w:t>
      </w:r>
      <w:proofErr w:type="spellEnd"/>
      <w:r>
        <w:rPr>
          <w:color w:val="0071BB"/>
          <w:w w:val="120"/>
        </w:rPr>
        <w:t>.</w:t>
      </w:r>
    </w:p>
    <w:p w14:paraId="14905A64" w14:textId="77777777" w:rsidR="006941BE" w:rsidRDefault="006941BE">
      <w:pPr>
        <w:pStyle w:val="Tekstpodstawowy"/>
        <w:sectPr w:rsidR="006941BE">
          <w:type w:val="continuous"/>
          <w:pgSz w:w="11910" w:h="16840"/>
          <w:pgMar w:top="720" w:right="566" w:bottom="280" w:left="566" w:header="708" w:footer="708" w:gutter="0"/>
          <w:cols w:space="708"/>
        </w:sectPr>
      </w:pPr>
    </w:p>
    <w:p w14:paraId="00E862DB" w14:textId="77777777" w:rsidR="006941BE" w:rsidRDefault="006941BE">
      <w:pPr>
        <w:pStyle w:val="Tekstpodstawowy"/>
        <w:spacing w:before="62"/>
        <w:jc w:val="left"/>
      </w:pPr>
    </w:p>
    <w:p w14:paraId="6E252BB2" w14:textId="77777777" w:rsidR="006941BE" w:rsidRDefault="00D51B6B">
      <w:pPr>
        <w:pStyle w:val="Nagwek2"/>
        <w:spacing w:before="0"/>
        <w:rPr>
          <w:u w:val="none"/>
        </w:rPr>
      </w:pPr>
      <w:hyperlink r:id="rId18">
        <w:r>
          <w:rPr>
            <w:color w:val="0071BB"/>
            <w:w w:val="120"/>
            <w:u w:color="0071BB"/>
          </w:rPr>
          <w:t xml:space="preserve">Vito Sante Santoro </w:t>
        </w:r>
        <w:proofErr w:type="spellStart"/>
        <w:r>
          <w:rPr>
            <w:color w:val="0071BB"/>
            <w:w w:val="120"/>
            <w:u w:color="0071BB"/>
          </w:rPr>
          <w:t>przeciwko</w:t>
        </w:r>
        <w:proofErr w:type="spellEnd"/>
        <w:r>
          <w:rPr>
            <w:color w:val="0071BB"/>
            <w:w w:val="120"/>
            <w:u w:color="0071BB"/>
          </w:rPr>
          <w:t xml:space="preserve"> </w:t>
        </w:r>
        <w:proofErr w:type="spellStart"/>
        <w:r>
          <w:rPr>
            <w:color w:val="0071BB"/>
            <w:spacing w:val="-4"/>
            <w:w w:val="120"/>
            <w:u w:color="0071BB"/>
          </w:rPr>
          <w:t>Włochom</w:t>
        </w:r>
        <w:proofErr w:type="spellEnd"/>
      </w:hyperlink>
    </w:p>
    <w:p w14:paraId="230A3817" w14:textId="77777777" w:rsidR="006941BE" w:rsidRDefault="00D51B6B">
      <w:pPr>
        <w:spacing w:before="67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 xml:space="preserve">1 </w:t>
      </w:r>
      <w:proofErr w:type="spellStart"/>
      <w:r>
        <w:rPr>
          <w:color w:val="808080"/>
          <w:w w:val="125"/>
          <w:sz w:val="18"/>
        </w:rPr>
        <w:t>lipca</w:t>
      </w:r>
      <w:proofErr w:type="spellEnd"/>
      <w:r>
        <w:rPr>
          <w:color w:val="808080"/>
          <w:spacing w:val="-4"/>
          <w:w w:val="125"/>
          <w:sz w:val="18"/>
        </w:rPr>
        <w:t xml:space="preserve"> 2004 r.</w:t>
      </w:r>
    </w:p>
    <w:p w14:paraId="5A168313" w14:textId="7F36AD03" w:rsidR="006941BE" w:rsidRDefault="00D51B6B">
      <w:pPr>
        <w:pStyle w:val="Tekstpodstawowy"/>
        <w:spacing w:before="2"/>
        <w:ind w:left="873" w:right="872"/>
      </w:pPr>
      <w:r>
        <w:rPr>
          <w:w w:val="120"/>
        </w:rPr>
        <w:t xml:space="preserve">W 1994 r. </w:t>
      </w:r>
      <w:proofErr w:type="spellStart"/>
      <w:r w:rsidR="0088381D">
        <w:rPr>
          <w:w w:val="120"/>
        </w:rPr>
        <w:t>S</w:t>
      </w:r>
      <w:r>
        <w:rPr>
          <w:w w:val="120"/>
        </w:rPr>
        <w:t>ąd</w:t>
      </w:r>
      <w:proofErr w:type="spellEnd"/>
      <w:r>
        <w:rPr>
          <w:w w:val="120"/>
        </w:rPr>
        <w:t xml:space="preserve"> </w:t>
      </w:r>
      <w:proofErr w:type="spellStart"/>
      <w:r w:rsidR="0088381D">
        <w:rPr>
          <w:w w:val="120"/>
        </w:rPr>
        <w:t>R</w:t>
      </w:r>
      <w:r>
        <w:rPr>
          <w:w w:val="120"/>
        </w:rPr>
        <w:t>ejonowy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nakazał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objęcie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skarżącego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nadzorem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policyjnym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poddanie</w:t>
      </w:r>
      <w:proofErr w:type="spellEnd"/>
      <w:r>
        <w:rPr>
          <w:w w:val="120"/>
        </w:rPr>
        <w:t xml:space="preserve"> go </w:t>
      </w:r>
      <w:proofErr w:type="spellStart"/>
      <w:r>
        <w:rPr>
          <w:w w:val="120"/>
        </w:rPr>
        <w:t>środkom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zapobiegawczym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okres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jednego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roku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Sąd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stwierdził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przeciwko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skarżącemu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wniesiono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liczne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skargi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karne</w:t>
      </w:r>
      <w:proofErr w:type="spellEnd"/>
      <w:r>
        <w:rPr>
          <w:w w:val="120"/>
        </w:rPr>
        <w:t xml:space="preserve">. W </w:t>
      </w:r>
      <w:proofErr w:type="spellStart"/>
      <w:r>
        <w:rPr>
          <w:w w:val="120"/>
        </w:rPr>
        <w:t>okresie</w:t>
      </w:r>
      <w:proofErr w:type="spellEnd"/>
      <w:r>
        <w:rPr>
          <w:w w:val="120"/>
        </w:rPr>
        <w:t xml:space="preserve"> od 10 </w:t>
      </w:r>
      <w:proofErr w:type="spellStart"/>
      <w:r>
        <w:rPr>
          <w:w w:val="120"/>
        </w:rPr>
        <w:t>stycznia</w:t>
      </w:r>
      <w:proofErr w:type="spellEnd"/>
      <w:r>
        <w:rPr>
          <w:w w:val="120"/>
        </w:rPr>
        <w:t xml:space="preserve"> 1995 r. do 28 </w:t>
      </w:r>
      <w:proofErr w:type="spellStart"/>
      <w:r>
        <w:rPr>
          <w:w w:val="120"/>
        </w:rPr>
        <w:t>lipca</w:t>
      </w:r>
      <w:proofErr w:type="spellEnd"/>
      <w:r>
        <w:rPr>
          <w:w w:val="120"/>
        </w:rPr>
        <w:t xml:space="preserve"> 1995 r. </w:t>
      </w:r>
      <w:proofErr w:type="spellStart"/>
      <w:r>
        <w:rPr>
          <w:w w:val="120"/>
        </w:rPr>
        <w:t>skarżący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został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wykreślony</w:t>
      </w:r>
      <w:proofErr w:type="spellEnd"/>
      <w:r>
        <w:rPr>
          <w:w w:val="120"/>
        </w:rPr>
        <w:t xml:space="preserve"> z </w:t>
      </w:r>
      <w:proofErr w:type="spellStart"/>
      <w:r>
        <w:rPr>
          <w:w w:val="120"/>
        </w:rPr>
        <w:t>rejestru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wyborców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wyniku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zastosowania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środków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specjalnych</w:t>
      </w:r>
      <w:proofErr w:type="spellEnd"/>
      <w:r>
        <w:rPr>
          <w:w w:val="120"/>
        </w:rPr>
        <w:t xml:space="preserve">, a w </w:t>
      </w:r>
      <w:proofErr w:type="spellStart"/>
      <w:r>
        <w:rPr>
          <w:w w:val="120"/>
        </w:rPr>
        <w:t>grudniu</w:t>
      </w:r>
      <w:proofErr w:type="spellEnd"/>
      <w:r>
        <w:rPr>
          <w:w w:val="120"/>
        </w:rPr>
        <w:t xml:space="preserve"> 1995 r. </w:t>
      </w:r>
      <w:proofErr w:type="spellStart"/>
      <w:r>
        <w:rPr>
          <w:w w:val="120"/>
        </w:rPr>
        <w:t>został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wykreślony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kolejny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rok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związku</w:t>
      </w:r>
      <w:proofErr w:type="spellEnd"/>
      <w:r>
        <w:rPr>
          <w:w w:val="120"/>
        </w:rPr>
        <w:t xml:space="preserve"> z </w:t>
      </w:r>
      <w:proofErr w:type="spellStart"/>
      <w:r>
        <w:rPr>
          <w:w w:val="120"/>
        </w:rPr>
        <w:t>decyzją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policji</w:t>
      </w:r>
      <w:proofErr w:type="spellEnd"/>
      <w:r>
        <w:rPr>
          <w:w w:val="120"/>
        </w:rPr>
        <w:t xml:space="preserve"> o </w:t>
      </w:r>
      <w:proofErr w:type="spellStart"/>
      <w:r>
        <w:rPr>
          <w:w w:val="120"/>
        </w:rPr>
        <w:t>przedłużeniu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specjalnego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nadzoru</w:t>
      </w:r>
      <w:proofErr w:type="spellEnd"/>
      <w:r>
        <w:rPr>
          <w:w w:val="120"/>
        </w:rPr>
        <w:t xml:space="preserve">. W </w:t>
      </w:r>
      <w:proofErr w:type="spellStart"/>
      <w:r>
        <w:rPr>
          <w:w w:val="120"/>
        </w:rPr>
        <w:t>grudniu</w:t>
      </w:r>
      <w:proofErr w:type="spellEnd"/>
      <w:r>
        <w:rPr>
          <w:w w:val="120"/>
        </w:rPr>
        <w:t xml:space="preserve"> 1996 r. </w:t>
      </w:r>
      <w:proofErr w:type="spellStart"/>
      <w:r>
        <w:rPr>
          <w:w w:val="120"/>
        </w:rPr>
        <w:t>Sąd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Kasacyjny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orzekł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nakaz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specjalnego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nadzoru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nad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skarżącym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przestał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obowiązywać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maju</w:t>
      </w:r>
      <w:proofErr w:type="spellEnd"/>
      <w:r>
        <w:rPr>
          <w:w w:val="120"/>
        </w:rPr>
        <w:t xml:space="preserve"> 1995 r., </w:t>
      </w:r>
      <w:proofErr w:type="spellStart"/>
      <w:r>
        <w:rPr>
          <w:w w:val="120"/>
        </w:rPr>
        <w:t>rok</w:t>
      </w:r>
      <w:proofErr w:type="spellEnd"/>
      <w:r>
        <w:rPr>
          <w:w w:val="120"/>
        </w:rPr>
        <w:t xml:space="preserve"> po </w:t>
      </w:r>
      <w:proofErr w:type="spellStart"/>
      <w:r>
        <w:rPr>
          <w:w w:val="120"/>
        </w:rPr>
        <w:t>doręczeniu</w:t>
      </w:r>
      <w:proofErr w:type="spellEnd"/>
      <w:r>
        <w:rPr>
          <w:w w:val="120"/>
        </w:rPr>
        <w:t xml:space="preserve"> mu </w:t>
      </w:r>
      <w:proofErr w:type="spellStart"/>
      <w:r>
        <w:rPr>
          <w:w w:val="120"/>
        </w:rPr>
        <w:t>nakazu</w:t>
      </w:r>
      <w:proofErr w:type="spellEnd"/>
      <w:r>
        <w:rPr>
          <w:w w:val="120"/>
        </w:rPr>
        <w:t xml:space="preserve">. W </w:t>
      </w:r>
      <w:proofErr w:type="spellStart"/>
      <w:r>
        <w:rPr>
          <w:w w:val="120"/>
        </w:rPr>
        <w:t>wyniku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zastosowania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środków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specjalnych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skarżący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mógł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głosować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wyborach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rady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regionalnej</w:t>
      </w:r>
      <w:proofErr w:type="spellEnd"/>
      <w:r>
        <w:rPr>
          <w:w w:val="120"/>
        </w:rPr>
        <w:t xml:space="preserve"> (</w:t>
      </w:r>
      <w:r>
        <w:rPr>
          <w:i/>
          <w:w w:val="120"/>
        </w:rPr>
        <w:t xml:space="preserve">Consiglio Regionale) </w:t>
      </w:r>
      <w:r>
        <w:rPr>
          <w:w w:val="120"/>
        </w:rPr>
        <w:t xml:space="preserve">w </w:t>
      </w:r>
      <w:proofErr w:type="spellStart"/>
      <w:r>
        <w:rPr>
          <w:w w:val="120"/>
        </w:rPr>
        <w:t>kwietniu</w:t>
      </w:r>
      <w:proofErr w:type="spellEnd"/>
      <w:r>
        <w:rPr>
          <w:w w:val="120"/>
        </w:rPr>
        <w:t xml:space="preserve"> 1995 r. ani w </w:t>
      </w:r>
      <w:proofErr w:type="spellStart"/>
      <w:r>
        <w:rPr>
          <w:w w:val="120"/>
        </w:rPr>
        <w:t>wyborach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parlamentu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krajowego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kwietniu</w:t>
      </w:r>
      <w:proofErr w:type="spellEnd"/>
      <w:r>
        <w:rPr>
          <w:w w:val="120"/>
        </w:rPr>
        <w:t xml:space="preserve"> 1996 r.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rFonts w:ascii="Arial" w:hAnsi="Arial"/>
          <w:b/>
          <w:color w:val="0071BB"/>
          <w:w w:val="120"/>
        </w:rPr>
        <w:t xml:space="preserve">do </w:t>
      </w:r>
      <w:proofErr w:type="spellStart"/>
      <w:r>
        <w:rPr>
          <w:rFonts w:ascii="Arial" w:hAnsi="Arial"/>
          <w:b/>
          <w:color w:val="0071BB"/>
          <w:w w:val="120"/>
        </w:rPr>
        <w:t>naruszenia</w:t>
      </w:r>
      <w:proofErr w:type="spellEnd"/>
      <w:r>
        <w:rPr>
          <w:rFonts w:ascii="Arial" w:hAnsi="Arial"/>
          <w:b/>
          <w:color w:val="0071BB"/>
          <w:w w:val="120"/>
        </w:rPr>
        <w:t xml:space="preserve"> art. 3 </w:t>
      </w:r>
      <w:proofErr w:type="spellStart"/>
      <w:r w:rsidR="000D313C">
        <w:rPr>
          <w:rFonts w:ascii="Arial" w:hAnsi="Arial"/>
          <w:b/>
          <w:color w:val="0071BB"/>
          <w:w w:val="120"/>
        </w:rPr>
        <w:t>P</w:t>
      </w:r>
      <w:r>
        <w:rPr>
          <w:rFonts w:ascii="Arial" w:hAnsi="Arial"/>
          <w:b/>
          <w:color w:val="0071BB"/>
          <w:w w:val="120"/>
        </w:rPr>
        <w:t>rotokołu</w:t>
      </w:r>
      <w:proofErr w:type="spellEnd"/>
      <w:r>
        <w:rPr>
          <w:rFonts w:ascii="Arial" w:hAnsi="Arial"/>
          <w:b/>
          <w:color w:val="0071BB"/>
          <w:w w:val="120"/>
        </w:rPr>
        <w:t xml:space="preserve"> nr 1 </w:t>
      </w:r>
      <w:r>
        <w:rPr>
          <w:color w:val="0071BB"/>
          <w:w w:val="120"/>
        </w:rPr>
        <w:t xml:space="preserve">do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Zwrócił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szczególną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uwagę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fakt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między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datą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przekazania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prefektowi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nakazu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nałożenia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środków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zapobiegawczych</w:t>
      </w:r>
      <w:proofErr w:type="spellEnd"/>
      <w:r>
        <w:rPr>
          <w:color w:val="0071BB"/>
          <w:w w:val="120"/>
        </w:rPr>
        <w:t xml:space="preserve"> a </w:t>
      </w:r>
      <w:proofErr w:type="spellStart"/>
      <w:r>
        <w:rPr>
          <w:color w:val="0071BB"/>
          <w:w w:val="120"/>
        </w:rPr>
        <w:t>datą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pozbawienia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wyborczych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upłynęło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ponad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dziewięć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miesięcy</w:t>
      </w:r>
      <w:proofErr w:type="spellEnd"/>
      <w:r>
        <w:rPr>
          <w:color w:val="0071BB"/>
          <w:w w:val="120"/>
        </w:rPr>
        <w:t xml:space="preserve">. W </w:t>
      </w:r>
      <w:proofErr w:type="spellStart"/>
      <w:r>
        <w:rPr>
          <w:color w:val="0071BB"/>
          <w:w w:val="120"/>
        </w:rPr>
        <w:t>opinii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Trybunału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opóźnienie</w:t>
      </w:r>
      <w:proofErr w:type="spellEnd"/>
      <w:r>
        <w:rPr>
          <w:color w:val="0071BB"/>
          <w:spacing w:val="36"/>
          <w:w w:val="120"/>
        </w:rPr>
        <w:t xml:space="preserve"> to </w:t>
      </w:r>
      <w:proofErr w:type="spellStart"/>
      <w:r>
        <w:rPr>
          <w:color w:val="0071BB"/>
          <w:w w:val="120"/>
        </w:rPr>
        <w:t>było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nadmierne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Gdyby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pozbawienie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wyborczych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zostało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zastosowane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odpowiednim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terminie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ustawowy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okres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jednego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roku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środek</w:t>
      </w:r>
      <w:proofErr w:type="spellEnd"/>
      <w:r>
        <w:rPr>
          <w:color w:val="0071BB"/>
          <w:w w:val="120"/>
        </w:rPr>
        <w:t xml:space="preserve"> ten </w:t>
      </w:r>
      <w:proofErr w:type="spellStart"/>
      <w:r>
        <w:rPr>
          <w:color w:val="0071BB"/>
          <w:w w:val="120"/>
        </w:rPr>
        <w:t>wygasłby</w:t>
      </w:r>
      <w:proofErr w:type="spellEnd"/>
      <w:r>
        <w:rPr>
          <w:color w:val="0071BB"/>
          <w:w w:val="120"/>
        </w:rPr>
        <w:t xml:space="preserve"> przed </w:t>
      </w:r>
      <w:proofErr w:type="spellStart"/>
      <w:r>
        <w:rPr>
          <w:color w:val="0071BB"/>
          <w:w w:val="120"/>
        </w:rPr>
        <w:t>wyborami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regionalnymi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 w:rsidR="00C36F92">
        <w:rPr>
          <w:color w:val="0071BB"/>
          <w:w w:val="120"/>
        </w:rPr>
        <w:t>długo</w:t>
      </w:r>
      <w:proofErr w:type="spellEnd"/>
      <w:r>
        <w:rPr>
          <w:color w:val="0071BB"/>
          <w:w w:val="120"/>
        </w:rPr>
        <w:t xml:space="preserve"> przed </w:t>
      </w:r>
      <w:proofErr w:type="spellStart"/>
      <w:r>
        <w:rPr>
          <w:color w:val="0071BB"/>
          <w:w w:val="120"/>
        </w:rPr>
        <w:t>wyborami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parlamentarnymi</w:t>
      </w:r>
      <w:proofErr w:type="spellEnd"/>
      <w:r>
        <w:rPr>
          <w:color w:val="0071BB"/>
          <w:w w:val="120"/>
        </w:rPr>
        <w:t>.</w:t>
      </w:r>
    </w:p>
    <w:p w14:paraId="2CAF5D00" w14:textId="77777777" w:rsidR="006941BE" w:rsidRDefault="00D51B6B">
      <w:pPr>
        <w:pStyle w:val="Nagwek1"/>
        <w:spacing w:before="227"/>
        <w:ind w:right="872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5C2836E" wp14:editId="3238CA69">
                <wp:simplePos x="0" y="0"/>
                <wp:positionH relativeFrom="page">
                  <wp:posOffset>896111</wp:posOffset>
                </wp:positionH>
                <wp:positionV relativeFrom="paragraph">
                  <wp:posOffset>615671</wp:posOffset>
                </wp:positionV>
                <wp:extent cx="5768340" cy="18415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18415">
                              <a:moveTo>
                                <a:pt x="576834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68340" y="18287"/>
                              </a:lnTo>
                              <a:lnTo>
                                <a:pt x="5768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2CDE7" id="Graphic 12" o:spid="_x0000_s1026" style="position:absolute;margin-left:70.55pt;margin-top:48.5pt;width:454.2pt;height:1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" path="m5768340,l,,,18287r5768340,l5768340,xe" fillcolor="#999" stroked="f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color w:val="0071BB"/>
          <w:w w:val="120"/>
          <w:sz w:val="29"/>
        </w:rPr>
        <w:t>Niemożność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głosowania</w:t>
      </w:r>
      <w:proofErr w:type="spellEnd"/>
      <w:r>
        <w:rPr>
          <w:color w:val="0071BB"/>
          <w:w w:val="120"/>
          <w:sz w:val="29"/>
        </w:rPr>
        <w:t xml:space="preserve"> w </w:t>
      </w:r>
      <w:proofErr w:type="spellStart"/>
      <w:r>
        <w:rPr>
          <w:color w:val="0071BB"/>
          <w:w w:val="120"/>
          <w:sz w:val="29"/>
        </w:rPr>
        <w:t>wyborach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parlamentarnych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przez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niektóre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grupy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lub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osoby</w:t>
      </w:r>
      <w:proofErr w:type="spellEnd"/>
    </w:p>
    <w:p w14:paraId="5E8F8E75" w14:textId="77777777" w:rsidR="006941BE" w:rsidRDefault="00D51B6B">
      <w:pPr>
        <w:pStyle w:val="Nagwek2"/>
        <w:rPr>
          <w:u w:val="none"/>
        </w:rPr>
      </w:pPr>
      <w:hyperlink r:id="rId19">
        <w:r>
          <w:rPr>
            <w:color w:val="0071BB"/>
            <w:w w:val="115"/>
            <w:u w:color="0071BB"/>
          </w:rPr>
          <w:t xml:space="preserve">Aziz </w:t>
        </w:r>
        <w:proofErr w:type="spellStart"/>
        <w:r>
          <w:rPr>
            <w:color w:val="0071BB"/>
            <w:w w:val="115"/>
            <w:u w:color="0071BB"/>
          </w:rPr>
          <w:t>przeciwko</w:t>
        </w:r>
        <w:proofErr w:type="spellEnd"/>
        <w:r>
          <w:rPr>
            <w:color w:val="0071BB"/>
            <w:w w:val="115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15"/>
            <w:u w:color="0071BB"/>
          </w:rPr>
          <w:t>Cyprowi</w:t>
        </w:r>
        <w:proofErr w:type="spellEnd"/>
      </w:hyperlink>
    </w:p>
    <w:p w14:paraId="445906F4" w14:textId="77777777" w:rsidR="006941BE" w:rsidRDefault="00D51B6B">
      <w:pPr>
        <w:spacing w:before="70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 xml:space="preserve">22 </w:t>
      </w:r>
      <w:proofErr w:type="spellStart"/>
      <w:r>
        <w:rPr>
          <w:color w:val="808080"/>
          <w:w w:val="125"/>
          <w:sz w:val="18"/>
        </w:rPr>
        <w:t>czerwca</w:t>
      </w:r>
      <w:proofErr w:type="spellEnd"/>
      <w:r>
        <w:rPr>
          <w:color w:val="808080"/>
          <w:spacing w:val="-4"/>
          <w:w w:val="125"/>
          <w:sz w:val="18"/>
        </w:rPr>
        <w:t xml:space="preserve"> 2004 r.</w:t>
      </w:r>
    </w:p>
    <w:p w14:paraId="266CA06D" w14:textId="6F98397C" w:rsidR="006941BE" w:rsidRDefault="00D51B6B">
      <w:pPr>
        <w:pStyle w:val="Tekstpodstawowy"/>
        <w:spacing w:before="1"/>
        <w:ind w:left="873" w:right="871"/>
      </w:pPr>
      <w:proofErr w:type="spellStart"/>
      <w:r>
        <w:rPr>
          <w:w w:val="120"/>
        </w:rPr>
        <w:t>Skarżący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zarzucał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odmówiono</w:t>
      </w:r>
      <w:proofErr w:type="spellEnd"/>
      <w:r>
        <w:rPr>
          <w:w w:val="120"/>
        </w:rPr>
        <w:t xml:space="preserve"> mu </w:t>
      </w:r>
      <w:proofErr w:type="spellStart"/>
      <w:r>
        <w:rPr>
          <w:w w:val="120"/>
        </w:rPr>
        <w:t>wpisania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listę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wyborców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celu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głosowania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wyborach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parlamentarnych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dniu</w:t>
      </w:r>
      <w:proofErr w:type="spellEnd"/>
      <w:r>
        <w:rPr>
          <w:w w:val="120"/>
        </w:rPr>
        <w:t xml:space="preserve"> 27 maja 2001 r., ponieważ </w:t>
      </w:r>
      <w:proofErr w:type="spellStart"/>
      <w:r>
        <w:rPr>
          <w:w w:val="120"/>
        </w:rPr>
        <w:t>był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członkiem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społeczności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turecko-cypryjskiej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Jego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wniosek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został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odrzucony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podstawie</w:t>
      </w:r>
      <w:proofErr w:type="spellEnd"/>
      <w:r>
        <w:rPr>
          <w:w w:val="120"/>
        </w:rPr>
        <w:t xml:space="preserve"> art. 63 </w:t>
      </w:r>
      <w:proofErr w:type="spellStart"/>
      <w:r w:rsidR="00482AA0">
        <w:rPr>
          <w:w w:val="120"/>
        </w:rPr>
        <w:t>k</w:t>
      </w:r>
      <w:r>
        <w:rPr>
          <w:w w:val="120"/>
        </w:rPr>
        <w:t>onstytucji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zgodnie</w:t>
      </w:r>
      <w:proofErr w:type="spellEnd"/>
      <w:r>
        <w:rPr>
          <w:w w:val="120"/>
        </w:rPr>
        <w:t xml:space="preserve"> z </w:t>
      </w:r>
      <w:proofErr w:type="spellStart"/>
      <w:r>
        <w:rPr>
          <w:w w:val="120"/>
        </w:rPr>
        <w:t>którym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członkowie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społeczności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turecko-cypryjskiej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mogą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być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wpisywani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grecko-cypryjską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listę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wyborców</w:t>
      </w:r>
      <w:proofErr w:type="spellEnd"/>
      <w:r>
        <w:rPr>
          <w:w w:val="120"/>
        </w:rPr>
        <w:t>.</w:t>
      </w:r>
    </w:p>
    <w:p w14:paraId="30532AA6" w14:textId="69A064BA" w:rsidR="006941BE" w:rsidRDefault="00D51B6B">
      <w:pPr>
        <w:pStyle w:val="Tekstpodstawowy"/>
        <w:ind w:left="873" w:right="870"/>
      </w:pPr>
      <w:proofErr w:type="spellStart"/>
      <w:r>
        <w:rPr>
          <w:color w:val="0071BB"/>
          <w:w w:val="125"/>
        </w:rPr>
        <w:t>Trybunał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uznał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że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doszło</w:t>
      </w:r>
      <w:proofErr w:type="spellEnd"/>
      <w:r>
        <w:rPr>
          <w:color w:val="0071BB"/>
          <w:w w:val="125"/>
        </w:rPr>
        <w:t xml:space="preserve"> </w:t>
      </w:r>
      <w:r>
        <w:rPr>
          <w:rFonts w:ascii="Arial" w:hAnsi="Arial"/>
          <w:b/>
          <w:color w:val="0071BB"/>
          <w:w w:val="125"/>
        </w:rPr>
        <w:t xml:space="preserve">do </w:t>
      </w:r>
      <w:proofErr w:type="spellStart"/>
      <w:r>
        <w:rPr>
          <w:rFonts w:ascii="Arial" w:hAnsi="Arial"/>
          <w:b/>
          <w:color w:val="0071BB"/>
          <w:w w:val="125"/>
        </w:rPr>
        <w:t>naruszenia</w:t>
      </w:r>
      <w:proofErr w:type="spellEnd"/>
      <w:r>
        <w:rPr>
          <w:rFonts w:ascii="Arial" w:hAnsi="Arial"/>
          <w:b/>
          <w:color w:val="0071BB"/>
          <w:w w:val="125"/>
        </w:rPr>
        <w:t xml:space="preserve"> art. 3 </w:t>
      </w:r>
      <w:proofErr w:type="spellStart"/>
      <w:r w:rsidR="000D313C">
        <w:rPr>
          <w:rFonts w:ascii="Arial" w:hAnsi="Arial"/>
          <w:b/>
          <w:color w:val="0071BB"/>
          <w:w w:val="125"/>
        </w:rPr>
        <w:t>P</w:t>
      </w:r>
      <w:r>
        <w:rPr>
          <w:rFonts w:ascii="Arial" w:hAnsi="Arial"/>
          <w:b/>
          <w:color w:val="0071BB"/>
          <w:w w:val="125"/>
        </w:rPr>
        <w:t>rotokołu</w:t>
      </w:r>
      <w:proofErr w:type="spellEnd"/>
      <w:r>
        <w:rPr>
          <w:rFonts w:ascii="Arial" w:hAnsi="Arial"/>
          <w:b/>
          <w:color w:val="0071BB"/>
          <w:w w:val="125"/>
        </w:rPr>
        <w:t xml:space="preserve"> nr 1 </w:t>
      </w:r>
      <w:r>
        <w:rPr>
          <w:color w:val="0071BB"/>
          <w:w w:val="125"/>
        </w:rPr>
        <w:t xml:space="preserve">do </w:t>
      </w:r>
      <w:proofErr w:type="spellStart"/>
      <w:r>
        <w:rPr>
          <w:color w:val="0071BB"/>
          <w:w w:val="125"/>
        </w:rPr>
        <w:t>Konwencji</w:t>
      </w:r>
      <w:proofErr w:type="spellEnd"/>
      <w:r>
        <w:rPr>
          <w:color w:val="0071BB"/>
          <w:w w:val="125"/>
        </w:rPr>
        <w:t xml:space="preserve">. </w:t>
      </w:r>
      <w:proofErr w:type="spellStart"/>
      <w:r>
        <w:rPr>
          <w:color w:val="0071BB"/>
          <w:w w:val="125"/>
        </w:rPr>
        <w:t>Uznał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że</w:t>
      </w:r>
      <w:proofErr w:type="spellEnd"/>
      <w:r>
        <w:rPr>
          <w:color w:val="0071BB"/>
          <w:w w:val="125"/>
        </w:rPr>
        <w:t xml:space="preserve"> ze </w:t>
      </w:r>
      <w:proofErr w:type="spellStart"/>
      <w:r>
        <w:rPr>
          <w:color w:val="0071BB"/>
          <w:w w:val="125"/>
        </w:rPr>
        <w:t>względu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na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nadzwyczajną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sytuację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panującą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na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Cyprze</w:t>
      </w:r>
      <w:proofErr w:type="spellEnd"/>
      <w:r>
        <w:rPr>
          <w:color w:val="0071BB"/>
          <w:w w:val="125"/>
        </w:rPr>
        <w:t xml:space="preserve"> od 1963 r. </w:t>
      </w:r>
      <w:proofErr w:type="spellStart"/>
      <w:r>
        <w:rPr>
          <w:color w:val="0071BB"/>
          <w:w w:val="125"/>
        </w:rPr>
        <w:t>oraz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lukę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prawną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skarżący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jako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członek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społeczności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turecko-cypryjskiej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mieszkający</w:t>
      </w:r>
      <w:proofErr w:type="spellEnd"/>
      <w:r>
        <w:rPr>
          <w:color w:val="0071BB"/>
          <w:w w:val="125"/>
        </w:rPr>
        <w:t xml:space="preserve"> w </w:t>
      </w:r>
      <w:proofErr w:type="spellStart"/>
      <w:r>
        <w:rPr>
          <w:color w:val="0071BB"/>
          <w:w w:val="125"/>
        </w:rPr>
        <w:t>Republice</w:t>
      </w:r>
      <w:proofErr w:type="spellEnd"/>
      <w:r>
        <w:rPr>
          <w:color w:val="0071BB"/>
          <w:w w:val="125"/>
        </w:rPr>
        <w:t xml:space="preserve"> Cypryjskiej, </w:t>
      </w:r>
      <w:proofErr w:type="spellStart"/>
      <w:r>
        <w:rPr>
          <w:color w:val="0071BB"/>
          <w:w w:val="125"/>
        </w:rPr>
        <w:t>został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całkowicie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pozbawiony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możliwości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wyrażenia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swojej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opinii</w:t>
      </w:r>
      <w:proofErr w:type="spellEnd"/>
      <w:r>
        <w:rPr>
          <w:color w:val="0071BB"/>
          <w:w w:val="125"/>
        </w:rPr>
        <w:t xml:space="preserve"> w </w:t>
      </w:r>
      <w:proofErr w:type="spellStart"/>
      <w:r>
        <w:rPr>
          <w:color w:val="0071BB"/>
          <w:w w:val="125"/>
        </w:rPr>
        <w:t>sprawie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wyboru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członków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Izby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Reprezentantów</w:t>
      </w:r>
      <w:proofErr w:type="spellEnd"/>
      <w:r>
        <w:rPr>
          <w:color w:val="0071BB"/>
          <w:w w:val="125"/>
        </w:rPr>
        <w:t xml:space="preserve">. W ten </w:t>
      </w:r>
      <w:proofErr w:type="spellStart"/>
      <w:r>
        <w:rPr>
          <w:color w:val="0071BB"/>
          <w:w w:val="125"/>
        </w:rPr>
        <w:t>sposób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naruszono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samą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istotę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prawa</w:t>
      </w:r>
      <w:proofErr w:type="spellEnd"/>
      <w:r>
        <w:rPr>
          <w:color w:val="0071BB"/>
          <w:w w:val="125"/>
        </w:rPr>
        <w:t xml:space="preserve"> </w:t>
      </w:r>
      <w:proofErr w:type="spellStart"/>
      <w:r w:rsidR="006746AB">
        <w:rPr>
          <w:color w:val="0071BB"/>
          <w:w w:val="125"/>
        </w:rPr>
        <w:t>skarżącego</w:t>
      </w:r>
      <w:proofErr w:type="spellEnd"/>
      <w:r w:rsidR="006746AB">
        <w:rPr>
          <w:color w:val="0071BB"/>
          <w:w w:val="125"/>
        </w:rPr>
        <w:t xml:space="preserve"> </w:t>
      </w:r>
      <w:r>
        <w:rPr>
          <w:color w:val="0071BB"/>
          <w:w w:val="125"/>
        </w:rPr>
        <w:t xml:space="preserve">do </w:t>
      </w:r>
      <w:proofErr w:type="spellStart"/>
      <w:r>
        <w:rPr>
          <w:color w:val="0071BB"/>
          <w:w w:val="125"/>
        </w:rPr>
        <w:t>głosowania</w:t>
      </w:r>
      <w:proofErr w:type="spellEnd"/>
      <w:r>
        <w:rPr>
          <w:color w:val="0071BB"/>
          <w:w w:val="125"/>
        </w:rPr>
        <w:t xml:space="preserve">. </w:t>
      </w:r>
      <w:proofErr w:type="spellStart"/>
      <w:r>
        <w:rPr>
          <w:color w:val="0071BB"/>
          <w:w w:val="125"/>
        </w:rPr>
        <w:t>Trybunał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uznał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również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że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doszło</w:t>
      </w:r>
      <w:proofErr w:type="spellEnd"/>
      <w:r>
        <w:rPr>
          <w:color w:val="0071BB"/>
          <w:w w:val="125"/>
        </w:rPr>
        <w:t xml:space="preserve"> </w:t>
      </w:r>
      <w:r>
        <w:rPr>
          <w:rFonts w:ascii="Arial" w:hAnsi="Arial"/>
          <w:b/>
          <w:color w:val="0071BB"/>
          <w:w w:val="125"/>
        </w:rPr>
        <w:t xml:space="preserve">do </w:t>
      </w:r>
      <w:proofErr w:type="spellStart"/>
      <w:r>
        <w:rPr>
          <w:rFonts w:ascii="Arial" w:hAnsi="Arial"/>
          <w:b/>
          <w:color w:val="0071BB"/>
          <w:w w:val="125"/>
        </w:rPr>
        <w:t>naruszenia</w:t>
      </w:r>
      <w:proofErr w:type="spellEnd"/>
      <w:r>
        <w:rPr>
          <w:rFonts w:ascii="Arial" w:hAnsi="Arial"/>
          <w:b/>
          <w:color w:val="0071BB"/>
          <w:w w:val="125"/>
        </w:rPr>
        <w:t xml:space="preserve"> art. 14 </w:t>
      </w:r>
      <w:r w:rsidRPr="00F107CB">
        <w:rPr>
          <w:rFonts w:ascii="Arial" w:hAnsi="Arial"/>
          <w:bCs/>
          <w:color w:val="0071BB"/>
          <w:w w:val="125"/>
        </w:rPr>
        <w:t>(</w:t>
      </w:r>
      <w:proofErr w:type="spellStart"/>
      <w:r>
        <w:rPr>
          <w:color w:val="0071BB"/>
          <w:w w:val="125"/>
        </w:rPr>
        <w:t>zakaz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dyskryminacji</w:t>
      </w:r>
      <w:proofErr w:type="spellEnd"/>
      <w:r>
        <w:rPr>
          <w:color w:val="0071BB"/>
          <w:w w:val="125"/>
        </w:rPr>
        <w:t xml:space="preserve">) </w:t>
      </w:r>
      <w:proofErr w:type="spellStart"/>
      <w:r>
        <w:rPr>
          <w:color w:val="0071BB"/>
          <w:w w:val="125"/>
        </w:rPr>
        <w:t>Konwencji</w:t>
      </w:r>
      <w:proofErr w:type="spellEnd"/>
      <w:r>
        <w:rPr>
          <w:color w:val="0071BB"/>
          <w:w w:val="125"/>
        </w:rPr>
        <w:t xml:space="preserve"> </w:t>
      </w:r>
      <w:r>
        <w:rPr>
          <w:rFonts w:ascii="Arial" w:hAnsi="Arial"/>
          <w:b/>
          <w:color w:val="0071BB"/>
          <w:w w:val="125"/>
        </w:rPr>
        <w:t xml:space="preserve">w </w:t>
      </w:r>
      <w:proofErr w:type="spellStart"/>
      <w:r>
        <w:rPr>
          <w:rFonts w:ascii="Arial" w:hAnsi="Arial"/>
          <w:b/>
          <w:color w:val="0071BB"/>
          <w:w w:val="125"/>
        </w:rPr>
        <w:t>związku</w:t>
      </w:r>
      <w:proofErr w:type="spellEnd"/>
      <w:r>
        <w:rPr>
          <w:rFonts w:ascii="Arial" w:hAnsi="Arial"/>
          <w:b/>
          <w:color w:val="0071BB"/>
          <w:w w:val="125"/>
        </w:rPr>
        <w:t xml:space="preserve"> z art</w:t>
      </w:r>
      <w:r>
        <w:rPr>
          <w:rFonts w:ascii="Arial" w:hAnsi="Arial"/>
          <w:b/>
          <w:color w:val="0071BB"/>
          <w:spacing w:val="-2"/>
          <w:w w:val="125"/>
        </w:rPr>
        <w:t xml:space="preserve">. 3 </w:t>
      </w:r>
      <w:proofErr w:type="spellStart"/>
      <w:r w:rsidR="000D313C">
        <w:rPr>
          <w:rFonts w:ascii="Arial" w:hAnsi="Arial"/>
          <w:b/>
          <w:color w:val="0071BB"/>
          <w:w w:val="125"/>
        </w:rPr>
        <w:t>P</w:t>
      </w:r>
      <w:r>
        <w:rPr>
          <w:rFonts w:ascii="Arial" w:hAnsi="Arial"/>
          <w:b/>
          <w:color w:val="0071BB"/>
          <w:w w:val="125"/>
        </w:rPr>
        <w:t>rotokołu</w:t>
      </w:r>
      <w:proofErr w:type="spellEnd"/>
      <w:r>
        <w:rPr>
          <w:rFonts w:ascii="Arial" w:hAnsi="Arial"/>
          <w:b/>
          <w:color w:val="0071BB"/>
          <w:w w:val="125"/>
        </w:rPr>
        <w:t xml:space="preserve"> nr</w:t>
      </w:r>
      <w:r>
        <w:rPr>
          <w:rFonts w:ascii="Arial" w:hAnsi="Arial"/>
          <w:b/>
          <w:color w:val="0071BB"/>
          <w:spacing w:val="-2"/>
          <w:w w:val="125"/>
        </w:rPr>
        <w:t xml:space="preserve"> 1</w:t>
      </w:r>
      <w:r>
        <w:rPr>
          <w:rFonts w:ascii="Arial" w:hAnsi="Arial"/>
          <w:b/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stwierdzając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wyraźną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nierówność</w:t>
      </w:r>
      <w:proofErr w:type="spellEnd"/>
      <w:r>
        <w:rPr>
          <w:color w:val="0071BB"/>
          <w:w w:val="125"/>
        </w:rPr>
        <w:t xml:space="preserve"> w </w:t>
      </w:r>
      <w:proofErr w:type="spellStart"/>
      <w:r>
        <w:rPr>
          <w:color w:val="0071BB"/>
          <w:w w:val="125"/>
        </w:rPr>
        <w:t>traktowaniu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członków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społeczności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turecko-cypryjskiej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i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grecko-cypryjskiej</w:t>
      </w:r>
      <w:proofErr w:type="spellEnd"/>
      <w:r>
        <w:rPr>
          <w:color w:val="0071BB"/>
          <w:w w:val="125"/>
        </w:rPr>
        <w:t xml:space="preserve"> w </w:t>
      </w:r>
      <w:proofErr w:type="spellStart"/>
      <w:r>
        <w:rPr>
          <w:color w:val="0071BB"/>
          <w:w w:val="125"/>
        </w:rPr>
        <w:t>zakresie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korzystania</w:t>
      </w:r>
      <w:proofErr w:type="spellEnd"/>
      <w:r>
        <w:rPr>
          <w:color w:val="0071BB"/>
          <w:w w:val="125"/>
        </w:rPr>
        <w:t xml:space="preserve"> z </w:t>
      </w:r>
      <w:proofErr w:type="spellStart"/>
      <w:r>
        <w:rPr>
          <w:color w:val="0071BB"/>
          <w:w w:val="125"/>
        </w:rPr>
        <w:t>przedmiotowego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prawa</w:t>
      </w:r>
      <w:proofErr w:type="spellEnd"/>
      <w:r>
        <w:rPr>
          <w:color w:val="0071BB"/>
          <w:w w:val="125"/>
        </w:rPr>
        <w:t xml:space="preserve">. </w:t>
      </w:r>
      <w:proofErr w:type="spellStart"/>
      <w:r>
        <w:rPr>
          <w:color w:val="0071BB"/>
          <w:w w:val="125"/>
        </w:rPr>
        <w:t>Trybunał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powtórzył</w:t>
      </w:r>
      <w:proofErr w:type="spellEnd"/>
      <w:r>
        <w:rPr>
          <w:color w:val="0071BB"/>
          <w:w w:val="125"/>
        </w:rPr>
        <w:t xml:space="preserve"> w </w:t>
      </w:r>
      <w:proofErr w:type="spellStart"/>
      <w:r>
        <w:rPr>
          <w:color w:val="0071BB"/>
          <w:w w:val="125"/>
        </w:rPr>
        <w:t>tym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względzie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że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państwa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mają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znaczną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swobodę</w:t>
      </w:r>
      <w:proofErr w:type="spellEnd"/>
      <w:r>
        <w:rPr>
          <w:color w:val="0071BB"/>
          <w:w w:val="125"/>
        </w:rPr>
        <w:t xml:space="preserve"> w </w:t>
      </w:r>
      <w:proofErr w:type="spellStart"/>
      <w:r>
        <w:rPr>
          <w:color w:val="0071BB"/>
          <w:w w:val="125"/>
        </w:rPr>
        <w:t>ustalaniu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zasad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wyborów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parlamentarnych</w:t>
      </w:r>
      <w:proofErr w:type="spellEnd"/>
      <w:r>
        <w:rPr>
          <w:color w:val="0071BB"/>
          <w:w w:val="125"/>
        </w:rPr>
        <w:t xml:space="preserve">, ale </w:t>
      </w:r>
      <w:proofErr w:type="spellStart"/>
      <w:r>
        <w:rPr>
          <w:color w:val="0071BB"/>
          <w:w w:val="125"/>
        </w:rPr>
        <w:t>zasady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te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muszą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być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uzasadnione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rozsądnymi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i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obiektywnymi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względami</w:t>
      </w:r>
      <w:proofErr w:type="spellEnd"/>
      <w:r>
        <w:rPr>
          <w:color w:val="0071BB"/>
          <w:w w:val="125"/>
        </w:rPr>
        <w:t xml:space="preserve">. </w:t>
      </w:r>
      <w:proofErr w:type="spellStart"/>
      <w:r>
        <w:rPr>
          <w:color w:val="0071BB"/>
          <w:w w:val="125"/>
        </w:rPr>
        <w:t>Różnica</w:t>
      </w:r>
      <w:proofErr w:type="spellEnd"/>
      <w:r>
        <w:rPr>
          <w:color w:val="0071BB"/>
          <w:w w:val="125"/>
        </w:rPr>
        <w:t xml:space="preserve"> w </w:t>
      </w:r>
      <w:proofErr w:type="spellStart"/>
      <w:r>
        <w:rPr>
          <w:color w:val="0071BB"/>
          <w:w w:val="125"/>
        </w:rPr>
        <w:t>traktowaniu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na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którą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skarżył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się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skarżący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wynikająca</w:t>
      </w:r>
      <w:proofErr w:type="spellEnd"/>
      <w:r>
        <w:rPr>
          <w:color w:val="0071BB"/>
          <w:w w:val="125"/>
        </w:rPr>
        <w:t xml:space="preserve"> z </w:t>
      </w:r>
      <w:proofErr w:type="spellStart"/>
      <w:r>
        <w:rPr>
          <w:color w:val="0071BB"/>
          <w:w w:val="125"/>
        </w:rPr>
        <w:t>faktu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że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był</w:t>
      </w:r>
      <w:proofErr w:type="spellEnd"/>
      <w:r>
        <w:rPr>
          <w:color w:val="0071BB"/>
          <w:w w:val="125"/>
        </w:rPr>
        <w:t xml:space="preserve"> on </w:t>
      </w:r>
      <w:proofErr w:type="spellStart"/>
      <w:r>
        <w:rPr>
          <w:color w:val="0071BB"/>
          <w:w w:val="125"/>
        </w:rPr>
        <w:t>Turkiem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cypryjskim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nie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mogła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być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uzasadniona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rozsądnymi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i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obiektywnymi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względami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zwłaszcza</w:t>
      </w:r>
      <w:proofErr w:type="spellEnd"/>
      <w:r>
        <w:rPr>
          <w:color w:val="0071BB"/>
          <w:w w:val="125"/>
        </w:rPr>
        <w:t xml:space="preserve"> w </w:t>
      </w:r>
      <w:proofErr w:type="spellStart"/>
      <w:r>
        <w:rPr>
          <w:color w:val="0071BB"/>
          <w:w w:val="125"/>
        </w:rPr>
        <w:t>świetle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faktu</w:t>
      </w:r>
      <w:proofErr w:type="spellEnd"/>
      <w:r>
        <w:rPr>
          <w:color w:val="0071BB"/>
          <w:w w:val="125"/>
        </w:rPr>
        <w:t xml:space="preserve">, </w:t>
      </w:r>
      <w:proofErr w:type="spellStart"/>
      <w:r>
        <w:rPr>
          <w:color w:val="0071BB"/>
          <w:w w:val="125"/>
        </w:rPr>
        <w:t>że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Turkom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cypryjskim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znajdującym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się</w:t>
      </w:r>
      <w:proofErr w:type="spellEnd"/>
      <w:r>
        <w:rPr>
          <w:color w:val="0071BB"/>
          <w:w w:val="125"/>
        </w:rPr>
        <w:t xml:space="preserve"> w </w:t>
      </w:r>
      <w:proofErr w:type="spellStart"/>
      <w:r>
        <w:rPr>
          <w:color w:val="0071BB"/>
          <w:w w:val="125"/>
        </w:rPr>
        <w:t>sytuacji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skarżącego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uniemożliwiono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głosowanie</w:t>
      </w:r>
      <w:proofErr w:type="spellEnd"/>
      <w:r>
        <w:rPr>
          <w:color w:val="0071BB"/>
          <w:w w:val="125"/>
        </w:rPr>
        <w:t xml:space="preserve"> w </w:t>
      </w:r>
      <w:proofErr w:type="spellStart"/>
      <w:r>
        <w:rPr>
          <w:color w:val="0071BB"/>
          <w:w w:val="125"/>
        </w:rPr>
        <w:t>jakichkolwiek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wyborach</w:t>
      </w:r>
      <w:proofErr w:type="spellEnd"/>
      <w:r>
        <w:rPr>
          <w:color w:val="0071BB"/>
          <w:w w:val="125"/>
        </w:rPr>
        <w:t xml:space="preserve"> </w:t>
      </w:r>
      <w:proofErr w:type="spellStart"/>
      <w:r>
        <w:rPr>
          <w:color w:val="0071BB"/>
          <w:w w:val="125"/>
        </w:rPr>
        <w:t>parlamentarnych</w:t>
      </w:r>
      <w:proofErr w:type="spellEnd"/>
      <w:r>
        <w:rPr>
          <w:color w:val="0071BB"/>
          <w:w w:val="125"/>
        </w:rPr>
        <w:t>.</w:t>
      </w:r>
    </w:p>
    <w:p w14:paraId="0197ECDD" w14:textId="77777777" w:rsidR="006941BE" w:rsidRDefault="00D51B6B">
      <w:pPr>
        <w:pStyle w:val="Nagwek2"/>
        <w:spacing w:before="99"/>
        <w:rPr>
          <w:u w:val="none"/>
        </w:rPr>
      </w:pPr>
      <w:hyperlink r:id="rId20">
        <w:proofErr w:type="spellStart"/>
        <w:r>
          <w:rPr>
            <w:color w:val="0071BB"/>
            <w:w w:val="115"/>
            <w:u w:color="0071BB"/>
          </w:rPr>
          <w:t>Bakirdzi</w:t>
        </w:r>
        <w:proofErr w:type="spellEnd"/>
        <w:r>
          <w:rPr>
            <w:color w:val="0071BB"/>
            <w:w w:val="115"/>
            <w:u w:color="0071BB"/>
          </w:rPr>
          <w:t xml:space="preserve"> </w:t>
        </w:r>
        <w:proofErr w:type="spellStart"/>
        <w:r>
          <w:rPr>
            <w:color w:val="0071BB"/>
            <w:w w:val="115"/>
            <w:u w:color="0071BB"/>
          </w:rPr>
          <w:t>i</w:t>
        </w:r>
        <w:proofErr w:type="spellEnd"/>
        <w:r>
          <w:rPr>
            <w:color w:val="0071BB"/>
            <w:w w:val="115"/>
            <w:u w:color="0071BB"/>
          </w:rPr>
          <w:t xml:space="preserve"> E.C. </w:t>
        </w:r>
        <w:proofErr w:type="spellStart"/>
        <w:r>
          <w:rPr>
            <w:color w:val="0071BB"/>
            <w:w w:val="115"/>
            <w:u w:color="0071BB"/>
          </w:rPr>
          <w:t>przeciwko</w:t>
        </w:r>
        <w:proofErr w:type="spellEnd"/>
        <w:r>
          <w:rPr>
            <w:color w:val="0071BB"/>
            <w:w w:val="115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15"/>
            <w:u w:color="0071BB"/>
          </w:rPr>
          <w:t>Węgrom</w:t>
        </w:r>
        <w:proofErr w:type="spellEnd"/>
      </w:hyperlink>
    </w:p>
    <w:p w14:paraId="3C66837F" w14:textId="77777777" w:rsidR="006941BE" w:rsidRDefault="00D51B6B">
      <w:pPr>
        <w:spacing w:before="67"/>
        <w:ind w:left="874"/>
        <w:jc w:val="both"/>
        <w:rPr>
          <w:sz w:val="18"/>
        </w:rPr>
      </w:pPr>
      <w:r>
        <w:rPr>
          <w:color w:val="808080"/>
          <w:spacing w:val="-2"/>
          <w:w w:val="125"/>
          <w:sz w:val="18"/>
        </w:rPr>
        <w:t xml:space="preserve">10 </w:t>
      </w:r>
      <w:proofErr w:type="spellStart"/>
      <w:r>
        <w:rPr>
          <w:color w:val="808080"/>
          <w:spacing w:val="-2"/>
          <w:w w:val="125"/>
          <w:sz w:val="18"/>
        </w:rPr>
        <w:t>listopada</w:t>
      </w:r>
      <w:proofErr w:type="spellEnd"/>
      <w:r>
        <w:rPr>
          <w:color w:val="808080"/>
          <w:spacing w:val="-4"/>
          <w:w w:val="125"/>
          <w:sz w:val="18"/>
        </w:rPr>
        <w:t xml:space="preserve"> 2022 r.</w:t>
      </w:r>
    </w:p>
    <w:p w14:paraId="43CF753B" w14:textId="3DE22B61" w:rsidR="006941BE" w:rsidRDefault="00D51B6B">
      <w:pPr>
        <w:pStyle w:val="Tekstpodstawowy"/>
        <w:spacing w:before="1"/>
        <w:ind w:left="874" w:right="870" w:hanging="1"/>
      </w:pPr>
      <w:proofErr w:type="spellStart"/>
      <w:r>
        <w:rPr>
          <w:w w:val="120"/>
        </w:rPr>
        <w:t>Sprawa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dotyczyła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wyborczych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skarżących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zarejestrowanych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jako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wyborcy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należący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mniejszości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narodowej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wyborach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parlamentarnych</w:t>
      </w:r>
      <w:proofErr w:type="spellEnd"/>
      <w:r>
        <w:rPr>
          <w:w w:val="120"/>
        </w:rPr>
        <w:t xml:space="preserve"> w 2014 r.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Węgrzech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Skarżący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zarzucali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system </w:t>
      </w:r>
      <w:proofErr w:type="spellStart"/>
      <w:r>
        <w:rPr>
          <w:w w:val="120"/>
        </w:rPr>
        <w:t>głosowania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mniejszości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narodowych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stanowił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dyskryminację</w:t>
      </w:r>
      <w:proofErr w:type="spellEnd"/>
      <w:r>
        <w:rPr>
          <w:w w:val="120"/>
        </w:rPr>
        <w:t xml:space="preserve"> ich </w:t>
      </w:r>
      <w:proofErr w:type="spellStart"/>
      <w:r>
        <w:rPr>
          <w:w w:val="120"/>
        </w:rPr>
        <w:t>praw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wyborczych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Twierdzili</w:t>
      </w:r>
      <w:proofErr w:type="spellEnd"/>
      <w:r>
        <w:rPr>
          <w:w w:val="120"/>
        </w:rPr>
        <w:t xml:space="preserve"> oni,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chociaż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intencją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władz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węgierskich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było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promowanie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udziału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mniejszości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narodowych</w:t>
      </w:r>
      <w:proofErr w:type="spellEnd"/>
      <w:r>
        <w:rPr>
          <w:w w:val="120"/>
        </w:rPr>
        <w:t xml:space="preserve"> w</w:t>
      </w:r>
      <w:r w:rsidR="00957998">
        <w:rPr>
          <w:w w:val="120"/>
        </w:rPr>
        <w:t>e</w:t>
      </w:r>
      <w:r>
        <w:rPr>
          <w:w w:val="120"/>
        </w:rPr>
        <w:t xml:space="preserve"> </w:t>
      </w:r>
      <w:proofErr w:type="spellStart"/>
      <w:r>
        <w:rPr>
          <w:w w:val="120"/>
        </w:rPr>
        <w:t>władzy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ustawodawczej</w:t>
      </w:r>
      <w:proofErr w:type="spellEnd"/>
      <w:r>
        <w:rPr>
          <w:w w:val="120"/>
        </w:rPr>
        <w:t xml:space="preserve">, system ten </w:t>
      </w:r>
      <w:proofErr w:type="spellStart"/>
      <w:r>
        <w:rPr>
          <w:w w:val="120"/>
        </w:rPr>
        <w:t>miał</w:t>
      </w:r>
      <w:proofErr w:type="spellEnd"/>
    </w:p>
    <w:p w14:paraId="08D1326D" w14:textId="77777777" w:rsidR="006941BE" w:rsidRDefault="006941BE">
      <w:pPr>
        <w:pStyle w:val="Tekstpodstawowy"/>
        <w:sectPr w:rsidR="006941BE">
          <w:headerReference w:type="default" r:id="rId21"/>
          <w:footerReference w:type="default" r:id="rId22"/>
          <w:pgSz w:w="11910" w:h="16840"/>
          <w:pgMar w:top="1400" w:right="566" w:bottom="680" w:left="566" w:header="720" w:footer="497" w:gutter="0"/>
          <w:pgNumType w:start="2"/>
          <w:cols w:space="708"/>
        </w:sectPr>
      </w:pPr>
    </w:p>
    <w:p w14:paraId="5C8838D7" w14:textId="77777777" w:rsidR="006941BE" w:rsidRDefault="006941BE">
      <w:pPr>
        <w:pStyle w:val="Tekstpodstawowy"/>
        <w:spacing w:before="59"/>
        <w:jc w:val="left"/>
      </w:pPr>
    </w:p>
    <w:p w14:paraId="70F9879D" w14:textId="49451281" w:rsidR="006941BE" w:rsidRDefault="00D51B6B">
      <w:pPr>
        <w:pStyle w:val="Tekstpodstawowy"/>
        <w:spacing w:before="1"/>
        <w:ind w:left="874" w:right="867"/>
      </w:pPr>
      <w:proofErr w:type="spellStart"/>
      <w:r>
        <w:rPr>
          <w:w w:val="120"/>
        </w:rPr>
        <w:t>efekt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odwrotny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prowadz</w:t>
      </w:r>
      <w:r w:rsidR="00C83821">
        <w:rPr>
          <w:w w:val="120"/>
        </w:rPr>
        <w:t>ił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pozbawienia</w:t>
      </w:r>
      <w:proofErr w:type="spellEnd"/>
      <w:r>
        <w:rPr>
          <w:w w:val="120"/>
        </w:rPr>
        <w:t xml:space="preserve"> ich </w:t>
      </w:r>
      <w:proofErr w:type="spellStart"/>
      <w:r>
        <w:rPr>
          <w:w w:val="120"/>
        </w:rPr>
        <w:t>praw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wyborczych</w:t>
      </w:r>
      <w:proofErr w:type="spellEnd"/>
      <w:r>
        <w:rPr>
          <w:w w:val="120"/>
        </w:rPr>
        <w:t xml:space="preserve">, ponieważ ich </w:t>
      </w:r>
      <w:proofErr w:type="spellStart"/>
      <w:r>
        <w:rPr>
          <w:w w:val="120"/>
        </w:rPr>
        <w:t>listy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miały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szans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osiągnięcie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wymaganego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progu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Ponadto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twierdzili</w:t>
      </w:r>
      <w:proofErr w:type="spellEnd"/>
      <w:r>
        <w:rPr>
          <w:w w:val="120"/>
        </w:rPr>
        <w:t xml:space="preserve"> oni,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mogli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głosować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wyłącznie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listy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mniejszości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narodowych</w:t>
      </w:r>
      <w:proofErr w:type="spellEnd"/>
      <w:r>
        <w:rPr>
          <w:w w:val="120"/>
        </w:rPr>
        <w:t xml:space="preserve">, z </w:t>
      </w:r>
      <w:proofErr w:type="spellStart"/>
      <w:r>
        <w:rPr>
          <w:w w:val="120"/>
        </w:rPr>
        <w:t>których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pochodzili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mieli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możliwości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wyboru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między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kandydatami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zgłoszonymi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listach</w:t>
      </w:r>
      <w:proofErr w:type="spellEnd"/>
      <w:r>
        <w:rPr>
          <w:w w:val="120"/>
        </w:rPr>
        <w:t>.</w:t>
      </w:r>
    </w:p>
    <w:p w14:paraId="2FD48760" w14:textId="79E3BE05" w:rsidR="006941BE" w:rsidRDefault="00D51B6B">
      <w:pPr>
        <w:pStyle w:val="Tekstpodstawowy"/>
        <w:ind w:left="873" w:right="869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zwrócił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szczególną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uwagę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fakt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system </w:t>
      </w:r>
      <w:proofErr w:type="spellStart"/>
      <w:r>
        <w:rPr>
          <w:color w:val="0071BB"/>
          <w:w w:val="120"/>
        </w:rPr>
        <w:t>wprowadzony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celu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zapewnienia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reprezentacji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politycznej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mniejszości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narodowych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Węgrzech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ograniczył</w:t>
      </w:r>
      <w:proofErr w:type="spellEnd"/>
      <w:r>
        <w:rPr>
          <w:color w:val="0071BB"/>
          <w:w w:val="120"/>
        </w:rPr>
        <w:t xml:space="preserve"> ich </w:t>
      </w:r>
      <w:proofErr w:type="spellStart"/>
      <w:r>
        <w:rPr>
          <w:color w:val="0071BB"/>
          <w:w w:val="120"/>
        </w:rPr>
        <w:t>skuteczność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polityczną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groził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zmniejszeniem</w:t>
      </w:r>
      <w:proofErr w:type="spellEnd"/>
      <w:r>
        <w:rPr>
          <w:color w:val="0071BB"/>
          <w:w w:val="120"/>
        </w:rPr>
        <w:t xml:space="preserve">, a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zwiększeniem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różnorodności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udziału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mniejszości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podejmowaniu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decyzji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politycznych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Wyraził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również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wątpliwości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czy</w:t>
      </w:r>
      <w:proofErr w:type="spellEnd"/>
      <w:r>
        <w:rPr>
          <w:color w:val="0071BB"/>
          <w:w w:val="120"/>
        </w:rPr>
        <w:t xml:space="preserve"> system, w </w:t>
      </w:r>
      <w:proofErr w:type="spellStart"/>
      <w:r>
        <w:rPr>
          <w:color w:val="0071BB"/>
          <w:w w:val="120"/>
        </w:rPr>
        <w:t>którym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głos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można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oddać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tylko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konkretną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zamkniętą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listę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kandydatów</w:t>
      </w:r>
      <w:proofErr w:type="spellEnd"/>
      <w:r>
        <w:rPr>
          <w:color w:val="0071BB"/>
          <w:w w:val="120"/>
        </w:rPr>
        <w:t xml:space="preserve"> </w:t>
      </w:r>
      <w:r>
        <w:rPr>
          <w:color w:val="0071BB"/>
          <w:spacing w:val="40"/>
          <w:w w:val="120"/>
        </w:rPr>
        <w:t>(</w:t>
      </w:r>
      <w:proofErr w:type="spellStart"/>
      <w:r>
        <w:rPr>
          <w:color w:val="0071BB"/>
          <w:w w:val="120"/>
        </w:rPr>
        <w:t>tj</w:t>
      </w:r>
      <w:proofErr w:type="spellEnd"/>
      <w:r>
        <w:rPr>
          <w:color w:val="0071BB"/>
          <w:w w:val="120"/>
        </w:rPr>
        <w:t xml:space="preserve">. bez </w:t>
      </w:r>
      <w:proofErr w:type="spellStart"/>
      <w:r>
        <w:rPr>
          <w:color w:val="0071BB"/>
          <w:w w:val="120"/>
        </w:rPr>
        <w:t>możliwości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wyrażenia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preferencji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dla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konkretnego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kandydata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lub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kandydatów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który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wymaga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od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wyborców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rezygnacji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przynależności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partyjnej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celu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zapewnienia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sobie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reprezentacji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jako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członek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mniejszości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gwarantuje</w:t>
      </w:r>
      <w:proofErr w:type="spellEnd"/>
      <w:r>
        <w:rPr>
          <w:color w:val="0071BB"/>
          <w:w w:val="120"/>
        </w:rPr>
        <w:t xml:space="preserve"> „</w:t>
      </w:r>
      <w:proofErr w:type="spellStart"/>
      <w:r>
        <w:rPr>
          <w:color w:val="0071BB"/>
          <w:w w:val="120"/>
        </w:rPr>
        <w:t>swobodne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wyrażanie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opinii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społeczeństwa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wyborze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władzy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ustawodawczej</w:t>
      </w:r>
      <w:proofErr w:type="spellEnd"/>
      <w:r>
        <w:rPr>
          <w:color w:val="0071BB"/>
          <w:w w:val="120"/>
        </w:rPr>
        <w:t xml:space="preserve">”. W </w:t>
      </w:r>
      <w:proofErr w:type="spellStart"/>
      <w:r>
        <w:rPr>
          <w:color w:val="0071BB"/>
          <w:w w:val="120"/>
        </w:rPr>
        <w:t>niniejszej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sprawie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łączny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skutek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spacing w:val="40"/>
          <w:w w:val="120"/>
        </w:rPr>
        <w:t>ogranic</w:t>
      </w:r>
      <w:r>
        <w:rPr>
          <w:color w:val="0071BB"/>
          <w:w w:val="120"/>
        </w:rPr>
        <w:t>zeń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wyborczych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stanowił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rFonts w:ascii="Arial" w:hAnsi="Arial"/>
          <w:b/>
          <w:color w:val="0071BB"/>
          <w:w w:val="120"/>
        </w:rPr>
        <w:t>naruszenie</w:t>
      </w:r>
      <w:proofErr w:type="spellEnd"/>
      <w:r>
        <w:rPr>
          <w:rFonts w:ascii="Arial" w:hAnsi="Arial"/>
          <w:b/>
          <w:color w:val="0071BB"/>
          <w:w w:val="120"/>
        </w:rPr>
        <w:t xml:space="preserve"> art. 3 </w:t>
      </w:r>
      <w:proofErr w:type="spellStart"/>
      <w:r w:rsidR="000D313C">
        <w:rPr>
          <w:rFonts w:ascii="Arial" w:hAnsi="Arial"/>
          <w:b/>
          <w:color w:val="0071BB"/>
          <w:w w:val="120"/>
        </w:rPr>
        <w:t>P</w:t>
      </w:r>
      <w:r>
        <w:rPr>
          <w:rFonts w:ascii="Arial" w:hAnsi="Arial"/>
          <w:b/>
          <w:color w:val="0071BB"/>
          <w:w w:val="120"/>
        </w:rPr>
        <w:t>rotokołu</w:t>
      </w:r>
      <w:proofErr w:type="spellEnd"/>
      <w:r>
        <w:rPr>
          <w:rFonts w:ascii="Arial" w:hAnsi="Arial"/>
          <w:b/>
          <w:color w:val="0071BB"/>
          <w:w w:val="120"/>
        </w:rPr>
        <w:t xml:space="preserve"> nr 1 w </w:t>
      </w:r>
      <w:proofErr w:type="spellStart"/>
      <w:r>
        <w:rPr>
          <w:rFonts w:ascii="Arial" w:hAnsi="Arial"/>
          <w:b/>
          <w:color w:val="0071BB"/>
          <w:w w:val="120"/>
        </w:rPr>
        <w:t>związku</w:t>
      </w:r>
      <w:proofErr w:type="spellEnd"/>
      <w:r>
        <w:rPr>
          <w:rFonts w:ascii="Arial" w:hAnsi="Arial"/>
          <w:b/>
          <w:color w:val="0071BB"/>
          <w:w w:val="120"/>
        </w:rPr>
        <w:t xml:space="preserve"> z art. 14 </w:t>
      </w:r>
      <w:r w:rsidRPr="00F107CB">
        <w:rPr>
          <w:rFonts w:ascii="Arial" w:hAnsi="Arial"/>
          <w:bCs/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zakaz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dyskryminacji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>.</w:t>
      </w:r>
    </w:p>
    <w:p w14:paraId="075A32BD" w14:textId="77777777" w:rsidR="006941BE" w:rsidRDefault="00D51B6B">
      <w:pPr>
        <w:pStyle w:val="Nagwek2"/>
        <w:spacing w:before="104"/>
        <w:ind w:left="873"/>
        <w:jc w:val="both"/>
        <w:rPr>
          <w:u w:val="none"/>
        </w:rPr>
      </w:pPr>
      <w:hyperlink r:id="rId23">
        <w:r>
          <w:rPr>
            <w:color w:val="0071BB"/>
            <w:w w:val="115"/>
            <w:u w:val="thick" w:color="0071BB"/>
          </w:rPr>
          <w:t xml:space="preserve">Kovačević </w:t>
        </w:r>
        <w:proofErr w:type="spellStart"/>
        <w:r>
          <w:rPr>
            <w:color w:val="0071BB"/>
            <w:w w:val="115"/>
            <w:u w:val="thick" w:color="0071BB"/>
          </w:rPr>
          <w:t>przeciwko</w:t>
        </w:r>
        <w:proofErr w:type="spellEnd"/>
        <w:r>
          <w:rPr>
            <w:color w:val="0071BB"/>
            <w:w w:val="115"/>
            <w:u w:val="thick" w:color="0071BB"/>
          </w:rPr>
          <w:t xml:space="preserve"> </w:t>
        </w:r>
        <w:proofErr w:type="spellStart"/>
        <w:r>
          <w:rPr>
            <w:color w:val="0071BB"/>
            <w:w w:val="115"/>
            <w:u w:val="thick" w:color="0071BB"/>
          </w:rPr>
          <w:t>Bośni</w:t>
        </w:r>
        <w:proofErr w:type="spellEnd"/>
        <w:r>
          <w:rPr>
            <w:color w:val="0071BB"/>
            <w:w w:val="115"/>
            <w:u w:val="thick" w:color="0071BB"/>
          </w:rPr>
          <w:t xml:space="preserve"> </w:t>
        </w:r>
        <w:proofErr w:type="spellStart"/>
        <w:r>
          <w:rPr>
            <w:color w:val="0071BB"/>
            <w:w w:val="115"/>
            <w:u w:val="thick" w:color="0071BB"/>
          </w:rPr>
          <w:t>i</w:t>
        </w:r>
        <w:proofErr w:type="spellEnd"/>
        <w:r>
          <w:rPr>
            <w:color w:val="0071BB"/>
            <w:w w:val="115"/>
            <w:u w:val="thick" w:color="0071BB"/>
          </w:rPr>
          <w:t xml:space="preserve"> </w:t>
        </w:r>
        <w:proofErr w:type="spellStart"/>
        <w:r>
          <w:rPr>
            <w:color w:val="0071BB"/>
            <w:spacing w:val="-2"/>
            <w:w w:val="115"/>
            <w:u w:val="thick" w:color="0071BB"/>
          </w:rPr>
          <w:t>Hercegowinie</w:t>
        </w:r>
        <w:proofErr w:type="spellEnd"/>
      </w:hyperlink>
    </w:p>
    <w:p w14:paraId="2A592D5D" w14:textId="77777777" w:rsidR="006941BE" w:rsidRDefault="00D51B6B">
      <w:pPr>
        <w:spacing w:before="67"/>
        <w:ind w:left="874"/>
        <w:jc w:val="both"/>
        <w:rPr>
          <w:position w:val="6"/>
          <w:sz w:val="12"/>
        </w:rPr>
      </w:pPr>
      <w:r>
        <w:rPr>
          <w:color w:val="808080"/>
          <w:w w:val="125"/>
          <w:sz w:val="18"/>
        </w:rPr>
        <w:t xml:space="preserve">29 </w:t>
      </w:r>
      <w:proofErr w:type="spellStart"/>
      <w:r>
        <w:rPr>
          <w:color w:val="808080"/>
          <w:w w:val="125"/>
          <w:sz w:val="18"/>
        </w:rPr>
        <w:t>sierpnia</w:t>
      </w:r>
      <w:proofErr w:type="spellEnd"/>
      <w:r>
        <w:rPr>
          <w:color w:val="808080"/>
          <w:spacing w:val="-2"/>
          <w:w w:val="125"/>
          <w:sz w:val="18"/>
        </w:rPr>
        <w:t xml:space="preserve"> 2023</w:t>
      </w:r>
      <w:r>
        <w:rPr>
          <w:color w:val="808080"/>
          <w:spacing w:val="6"/>
          <w:w w:val="125"/>
          <w:sz w:val="18"/>
        </w:rPr>
        <w:t xml:space="preserve"> r</w:t>
      </w:r>
      <w:hyperlink w:anchor="_bookmark0" w:history="1">
        <w:r>
          <w:rPr>
            <w:color w:val="808080"/>
            <w:spacing w:val="-2"/>
            <w:w w:val="125"/>
            <w:position w:val="6"/>
            <w:sz w:val="12"/>
          </w:rPr>
          <w:t>.(1)</w:t>
        </w:r>
      </w:hyperlink>
    </w:p>
    <w:p w14:paraId="3A2E252C" w14:textId="49A8232D" w:rsidR="006941BE" w:rsidRDefault="00D51B6B">
      <w:pPr>
        <w:pStyle w:val="Tekstpodstawowy"/>
        <w:spacing w:before="1"/>
        <w:ind w:left="873" w:right="872"/>
      </w:pPr>
      <w:proofErr w:type="spellStart"/>
      <w:r>
        <w:rPr>
          <w:w w:val="120"/>
        </w:rPr>
        <w:t>Sprawa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dotyczyła</w:t>
      </w:r>
      <w:proofErr w:type="spellEnd"/>
      <w:r>
        <w:rPr>
          <w:w w:val="120"/>
        </w:rPr>
        <w:t xml:space="preserve"> </w:t>
      </w:r>
      <w:proofErr w:type="spellStart"/>
      <w:r w:rsidR="00F107CB">
        <w:rPr>
          <w:w w:val="120"/>
        </w:rPr>
        <w:t>braku</w:t>
      </w:r>
      <w:proofErr w:type="spellEnd"/>
      <w:r w:rsidR="00F107CB">
        <w:rPr>
          <w:w w:val="120"/>
        </w:rPr>
        <w:t xml:space="preserve"> </w:t>
      </w:r>
      <w:proofErr w:type="spellStart"/>
      <w:r w:rsidR="00F107CB">
        <w:rPr>
          <w:w w:val="120"/>
        </w:rPr>
        <w:t>możliwości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głosowania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przez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skarżącego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obywatela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Bośni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Hercegowiny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wybranych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przez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siebie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kandydatów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wyborach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parlamentarnych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prezydenckich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szczeblu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państwowym</w:t>
      </w:r>
      <w:proofErr w:type="spellEnd"/>
      <w:r>
        <w:rPr>
          <w:w w:val="120"/>
        </w:rPr>
        <w:t xml:space="preserve">, co </w:t>
      </w:r>
      <w:proofErr w:type="spellStart"/>
      <w:r>
        <w:rPr>
          <w:w w:val="120"/>
        </w:rPr>
        <w:t>wynikało</w:t>
      </w:r>
      <w:proofErr w:type="spellEnd"/>
      <w:r>
        <w:rPr>
          <w:w w:val="120"/>
        </w:rPr>
        <w:t xml:space="preserve"> z </w:t>
      </w:r>
      <w:proofErr w:type="spellStart"/>
      <w:r>
        <w:rPr>
          <w:w w:val="120"/>
        </w:rPr>
        <w:t>połączenia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wymogów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terytorialnych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etnicznych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Skarżący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twierdził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z </w:t>
      </w:r>
      <w:proofErr w:type="spellStart"/>
      <w:r>
        <w:rPr>
          <w:w w:val="120"/>
        </w:rPr>
        <w:t>powodu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połączenia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wymogów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terytorialnych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etnicznych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mających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zastosowanie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Izby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Ludowej</w:t>
      </w:r>
      <w:proofErr w:type="spellEnd"/>
      <w:r>
        <w:rPr>
          <w:w w:val="120"/>
        </w:rPr>
        <w:t xml:space="preserve"> Zgromadzenia </w:t>
      </w:r>
      <w:proofErr w:type="spellStart"/>
      <w:r>
        <w:rPr>
          <w:w w:val="120"/>
        </w:rPr>
        <w:t>Parlamentarnego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Bośni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Hercegowiny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mógł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głosować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wybranych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przez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siebie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kandydatów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ostatnich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wyborach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parlamentarnych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które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odbyły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 w 2022 r. </w:t>
      </w:r>
      <w:proofErr w:type="spellStart"/>
      <w:r>
        <w:rPr>
          <w:w w:val="120"/>
        </w:rPr>
        <w:t>Podobnie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mógł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głosować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wybranych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przez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siebie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kandydatów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ostatnich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wyborach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prezydenckich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szczeblu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państwowym</w:t>
      </w:r>
      <w:proofErr w:type="spellEnd"/>
      <w:r>
        <w:rPr>
          <w:w w:val="120"/>
        </w:rPr>
        <w:t xml:space="preserve"> w 2022 r.</w:t>
      </w:r>
    </w:p>
    <w:p w14:paraId="1754E167" w14:textId="28A70048" w:rsidR="006941BE" w:rsidRDefault="00D51B6B">
      <w:pPr>
        <w:pStyle w:val="Tekstpodstawowy"/>
        <w:ind w:left="873" w:right="870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rFonts w:ascii="Arial" w:hAnsi="Arial"/>
          <w:b/>
          <w:color w:val="0071BB"/>
          <w:w w:val="120"/>
        </w:rPr>
        <w:t xml:space="preserve">do </w:t>
      </w:r>
      <w:proofErr w:type="spellStart"/>
      <w:r>
        <w:rPr>
          <w:rFonts w:ascii="Arial" w:hAnsi="Arial"/>
          <w:b/>
          <w:color w:val="0071BB"/>
          <w:w w:val="120"/>
        </w:rPr>
        <w:t>naruszenia</w:t>
      </w:r>
      <w:proofErr w:type="spellEnd"/>
      <w:r>
        <w:rPr>
          <w:rFonts w:ascii="Arial" w:hAnsi="Arial"/>
          <w:b/>
          <w:color w:val="0071BB"/>
          <w:w w:val="120"/>
        </w:rPr>
        <w:t xml:space="preserve"> art. 1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ogólny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zakaz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dyskryminacji</w:t>
      </w:r>
      <w:proofErr w:type="spellEnd"/>
      <w:r>
        <w:rPr>
          <w:color w:val="0071BB"/>
          <w:w w:val="120"/>
        </w:rPr>
        <w:t xml:space="preserve">) </w:t>
      </w:r>
      <w:proofErr w:type="spellStart"/>
      <w:r w:rsidR="000D313C">
        <w:rPr>
          <w:rFonts w:ascii="Arial" w:hAnsi="Arial"/>
          <w:b/>
          <w:color w:val="0071BB"/>
          <w:w w:val="120"/>
        </w:rPr>
        <w:t>P</w:t>
      </w:r>
      <w:r>
        <w:rPr>
          <w:rFonts w:ascii="Arial" w:hAnsi="Arial"/>
          <w:b/>
          <w:color w:val="0071BB"/>
          <w:w w:val="120"/>
        </w:rPr>
        <w:t>rotokołu</w:t>
      </w:r>
      <w:proofErr w:type="spellEnd"/>
      <w:r>
        <w:rPr>
          <w:rFonts w:ascii="Arial" w:hAnsi="Arial"/>
          <w:b/>
          <w:color w:val="0071BB"/>
          <w:w w:val="120"/>
        </w:rPr>
        <w:t xml:space="preserve"> nr 12 </w:t>
      </w:r>
      <w:r>
        <w:rPr>
          <w:color w:val="0071BB"/>
          <w:w w:val="120"/>
        </w:rPr>
        <w:t xml:space="preserve">do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związku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brakiem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rzeczywistej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reprezentacji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Izbie</w:t>
      </w:r>
      <w:proofErr w:type="spellEnd"/>
      <w:r>
        <w:rPr>
          <w:color w:val="0071BB"/>
          <w:w w:val="120"/>
        </w:rPr>
        <w:t xml:space="preserve"> Ludowej Zgromadzenia </w:t>
      </w:r>
      <w:proofErr w:type="spellStart"/>
      <w:r>
        <w:rPr>
          <w:color w:val="0071BB"/>
          <w:w w:val="120"/>
        </w:rPr>
        <w:t>Parlamentarnego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Bośni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Hercegowiny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oraz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Prezydium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Bośni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Hercegowiny</w:t>
      </w:r>
      <w:proofErr w:type="spellEnd"/>
      <w:r>
        <w:rPr>
          <w:color w:val="0071BB"/>
          <w:w w:val="120"/>
        </w:rPr>
        <w:t xml:space="preserve">. W </w:t>
      </w:r>
      <w:proofErr w:type="spellStart"/>
      <w:r>
        <w:rPr>
          <w:color w:val="0071BB"/>
          <w:w w:val="120"/>
        </w:rPr>
        <w:t>szczególności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stwierdził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obecny</w:t>
      </w:r>
      <w:proofErr w:type="spellEnd"/>
      <w:r>
        <w:rPr>
          <w:color w:val="0071BB"/>
          <w:w w:val="120"/>
        </w:rPr>
        <w:t xml:space="preserve"> system </w:t>
      </w:r>
      <w:proofErr w:type="spellStart"/>
      <w:r>
        <w:rPr>
          <w:color w:val="0071BB"/>
          <w:w w:val="120"/>
        </w:rPr>
        <w:t>polityczny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sprawia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iż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reprezentacja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etniczna</w:t>
      </w:r>
      <w:proofErr w:type="spellEnd"/>
      <w:r>
        <w:rPr>
          <w:color w:val="0071BB"/>
          <w:w w:val="120"/>
        </w:rPr>
        <w:t xml:space="preserve"> ma </w:t>
      </w:r>
      <w:proofErr w:type="spellStart"/>
      <w:r>
        <w:rPr>
          <w:color w:val="0071BB"/>
          <w:w w:val="120"/>
        </w:rPr>
        <w:t>większe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znaczenie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niż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względy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polityczne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gospodarcze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społeczne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filozoficzne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inne</w:t>
      </w:r>
      <w:proofErr w:type="spellEnd"/>
      <w:r>
        <w:rPr>
          <w:color w:val="0071BB"/>
          <w:w w:val="120"/>
        </w:rPr>
        <w:t xml:space="preserve">, co </w:t>
      </w:r>
      <w:proofErr w:type="spellStart"/>
      <w:r>
        <w:rPr>
          <w:color w:val="0071BB"/>
          <w:w w:val="120"/>
        </w:rPr>
        <w:t>pogłębia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podziały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etniczne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kraju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podważa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demokratyczny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charakter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wyborów</w:t>
      </w:r>
      <w:proofErr w:type="spellEnd"/>
      <w:r>
        <w:rPr>
          <w:color w:val="0071BB"/>
          <w:w w:val="120"/>
        </w:rPr>
        <w:t>. „</w:t>
      </w:r>
      <w:proofErr w:type="spellStart"/>
      <w:r>
        <w:rPr>
          <w:color w:val="0071BB"/>
          <w:w w:val="120"/>
        </w:rPr>
        <w:t>Narod</w:t>
      </w:r>
      <w:r w:rsidR="00294100">
        <w:rPr>
          <w:color w:val="0071BB"/>
          <w:w w:val="120"/>
        </w:rPr>
        <w:t>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składowe</w:t>
      </w:r>
      <w:proofErr w:type="spellEnd"/>
      <w:r>
        <w:rPr>
          <w:color w:val="0071BB"/>
          <w:w w:val="120"/>
        </w:rPr>
        <w:t>” (</w:t>
      </w:r>
      <w:proofErr w:type="spellStart"/>
      <w:r>
        <w:rPr>
          <w:color w:val="0071BB"/>
          <w:w w:val="120"/>
        </w:rPr>
        <w:t>Bośniacy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Chorwaci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Serbowie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wyraźnie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cieszyły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uprzywilejowaną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pozycją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obecnym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systemie</w:t>
      </w:r>
      <w:proofErr w:type="spellEnd"/>
      <w:r>
        <w:rPr>
          <w:color w:val="0071BB"/>
          <w:w w:val="120"/>
        </w:rPr>
        <w:t>.</w:t>
      </w:r>
    </w:p>
    <w:p w14:paraId="2E57ECC8" w14:textId="77777777" w:rsidR="006941BE" w:rsidRDefault="00D51B6B">
      <w:pPr>
        <w:pStyle w:val="Nagwek1"/>
        <w:spacing w:before="226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7B9F882" wp14:editId="447F6F50">
                <wp:simplePos x="0" y="0"/>
                <wp:positionH relativeFrom="page">
                  <wp:posOffset>896111</wp:posOffset>
                </wp:positionH>
                <wp:positionV relativeFrom="paragraph">
                  <wp:posOffset>398335</wp:posOffset>
                </wp:positionV>
                <wp:extent cx="5768340" cy="18415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18415">
                              <a:moveTo>
                                <a:pt x="576834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68340" y="18287"/>
                              </a:lnTo>
                              <a:lnTo>
                                <a:pt x="5768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AF504" id="Graphic 13" o:spid="_x0000_s1026" style="position:absolute;margin-left:70.55pt;margin-top:31.35pt;width:454.2pt;height:1.4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" path="m5768340,l,,,18287r5768340,l5768340,xe" fillcolor="#999" stroked="f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color w:val="0071BB"/>
          <w:w w:val="120"/>
          <w:sz w:val="29"/>
        </w:rPr>
        <w:t>Odmowa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prawa</w:t>
      </w:r>
      <w:proofErr w:type="spellEnd"/>
      <w:r>
        <w:rPr>
          <w:color w:val="0071BB"/>
          <w:w w:val="120"/>
          <w:sz w:val="29"/>
        </w:rPr>
        <w:t xml:space="preserve"> do </w:t>
      </w:r>
      <w:proofErr w:type="spellStart"/>
      <w:r>
        <w:rPr>
          <w:color w:val="0071BB"/>
          <w:spacing w:val="-4"/>
          <w:w w:val="120"/>
          <w:sz w:val="29"/>
        </w:rPr>
        <w:t>głosowania</w:t>
      </w:r>
      <w:proofErr w:type="spellEnd"/>
      <w:r>
        <w:rPr>
          <w:color w:val="0071BB"/>
          <w:spacing w:val="-4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osobom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wewnętrznie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przesiedlonym</w:t>
      </w:r>
      <w:proofErr w:type="spellEnd"/>
    </w:p>
    <w:p w14:paraId="7E238F9E" w14:textId="77777777" w:rsidR="006941BE" w:rsidRDefault="00D51B6B">
      <w:pPr>
        <w:pStyle w:val="Nagwek2"/>
        <w:jc w:val="both"/>
        <w:rPr>
          <w:u w:val="none"/>
        </w:rPr>
      </w:pPr>
      <w:hyperlink r:id="rId24">
        <w:proofErr w:type="spellStart"/>
        <w:r>
          <w:rPr>
            <w:color w:val="0071BB"/>
            <w:w w:val="115"/>
            <w:u w:color="0071BB"/>
          </w:rPr>
          <w:t>Selygenenko</w:t>
        </w:r>
        <w:proofErr w:type="spellEnd"/>
        <w:r>
          <w:rPr>
            <w:color w:val="0071BB"/>
            <w:w w:val="115"/>
            <w:u w:color="0071BB"/>
          </w:rPr>
          <w:t xml:space="preserve"> </w:t>
        </w:r>
        <w:proofErr w:type="spellStart"/>
        <w:r>
          <w:rPr>
            <w:color w:val="0071BB"/>
            <w:w w:val="115"/>
            <w:u w:color="0071BB"/>
          </w:rPr>
          <w:t>i</w:t>
        </w:r>
        <w:proofErr w:type="spellEnd"/>
        <w:r>
          <w:rPr>
            <w:color w:val="0071BB"/>
            <w:w w:val="115"/>
            <w:u w:color="0071BB"/>
          </w:rPr>
          <w:t xml:space="preserve"> </w:t>
        </w:r>
        <w:proofErr w:type="spellStart"/>
        <w:r>
          <w:rPr>
            <w:color w:val="0071BB"/>
            <w:w w:val="115"/>
            <w:u w:color="0071BB"/>
          </w:rPr>
          <w:t>inni</w:t>
        </w:r>
        <w:proofErr w:type="spellEnd"/>
        <w:r>
          <w:rPr>
            <w:color w:val="0071BB"/>
            <w:w w:val="115"/>
            <w:u w:color="0071BB"/>
          </w:rPr>
          <w:t xml:space="preserve"> </w:t>
        </w:r>
        <w:proofErr w:type="spellStart"/>
        <w:r>
          <w:rPr>
            <w:color w:val="0071BB"/>
            <w:w w:val="115"/>
            <w:u w:color="0071BB"/>
          </w:rPr>
          <w:t>przeciwko</w:t>
        </w:r>
        <w:proofErr w:type="spellEnd"/>
        <w:r>
          <w:rPr>
            <w:color w:val="0071BB"/>
            <w:w w:val="115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15"/>
            <w:u w:color="0071BB"/>
          </w:rPr>
          <w:t>Ukrainie</w:t>
        </w:r>
        <w:proofErr w:type="spellEnd"/>
      </w:hyperlink>
    </w:p>
    <w:p w14:paraId="35498DDF" w14:textId="77777777" w:rsidR="006941BE" w:rsidRDefault="00D51B6B">
      <w:pPr>
        <w:spacing w:before="70"/>
        <w:ind w:left="874"/>
        <w:jc w:val="both"/>
        <w:rPr>
          <w:sz w:val="18"/>
        </w:rPr>
      </w:pPr>
      <w:r>
        <w:rPr>
          <w:color w:val="808080"/>
          <w:w w:val="120"/>
          <w:sz w:val="18"/>
        </w:rPr>
        <w:t xml:space="preserve">21 </w:t>
      </w:r>
      <w:proofErr w:type="spellStart"/>
      <w:r>
        <w:rPr>
          <w:color w:val="808080"/>
          <w:w w:val="120"/>
          <w:sz w:val="18"/>
        </w:rPr>
        <w:t>października</w:t>
      </w:r>
      <w:proofErr w:type="spellEnd"/>
      <w:r>
        <w:rPr>
          <w:color w:val="808080"/>
          <w:spacing w:val="-4"/>
          <w:w w:val="120"/>
          <w:sz w:val="18"/>
        </w:rPr>
        <w:t xml:space="preserve"> 2021 r.</w:t>
      </w:r>
    </w:p>
    <w:p w14:paraId="61D46606" w14:textId="57F0AABD" w:rsidR="006941BE" w:rsidRDefault="00D51B6B">
      <w:pPr>
        <w:pStyle w:val="Tekstpodstawowy"/>
        <w:spacing w:before="1"/>
        <w:ind w:left="874" w:right="871"/>
      </w:pPr>
      <w:proofErr w:type="spellStart"/>
      <w:r>
        <w:rPr>
          <w:w w:val="120"/>
        </w:rPr>
        <w:t>Sprawa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dotyczyła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domniemane</w:t>
      </w:r>
      <w:r w:rsidR="008D7A88">
        <w:rPr>
          <w:w w:val="120"/>
        </w:rPr>
        <w:t>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dyskryminacyjne</w:t>
      </w:r>
      <w:r w:rsidR="008D7A88">
        <w:rPr>
          <w:w w:val="120"/>
        </w:rPr>
        <w:t>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odmowy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prawa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głosowania</w:t>
      </w:r>
      <w:proofErr w:type="spellEnd"/>
      <w:r>
        <w:rPr>
          <w:w w:val="120"/>
        </w:rPr>
        <w:t xml:space="preserve"> </w:t>
      </w:r>
      <w:proofErr w:type="spellStart"/>
      <w:r w:rsidR="008D7A88">
        <w:rPr>
          <w:w w:val="120"/>
        </w:rPr>
        <w:t>skarżącym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osobom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wewnętrznie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przesiedlonym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które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uciekły</w:t>
      </w:r>
      <w:proofErr w:type="spellEnd"/>
      <w:r>
        <w:rPr>
          <w:w w:val="120"/>
        </w:rPr>
        <w:t xml:space="preserve"> przed </w:t>
      </w:r>
      <w:proofErr w:type="spellStart"/>
      <w:r>
        <w:rPr>
          <w:w w:val="120"/>
        </w:rPr>
        <w:t>konfliktem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Doniecku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Krymie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przybyły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Kijowa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latach</w:t>
      </w:r>
      <w:proofErr w:type="spellEnd"/>
      <w:r>
        <w:rPr>
          <w:w w:val="120"/>
        </w:rPr>
        <w:t xml:space="preserve"> 2014–2015, w </w:t>
      </w:r>
      <w:proofErr w:type="spellStart"/>
      <w:r>
        <w:rPr>
          <w:w w:val="120"/>
        </w:rPr>
        <w:t>wyborach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lokalnych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Kijowie</w:t>
      </w:r>
      <w:proofErr w:type="spellEnd"/>
      <w:r>
        <w:rPr>
          <w:w w:val="120"/>
        </w:rPr>
        <w:t xml:space="preserve"> w 2015 r.</w:t>
      </w:r>
    </w:p>
    <w:p w14:paraId="2C5ACEFF" w14:textId="77777777" w:rsidR="006941BE" w:rsidRDefault="00D51B6B">
      <w:pPr>
        <w:pStyle w:val="Tekstpodstawowy"/>
        <w:ind w:left="873" w:right="872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rFonts w:ascii="Arial"/>
          <w:b/>
          <w:color w:val="0071BB"/>
          <w:w w:val="120"/>
        </w:rPr>
        <w:t xml:space="preserve">do </w:t>
      </w:r>
      <w:proofErr w:type="spellStart"/>
      <w:r>
        <w:rPr>
          <w:rFonts w:ascii="Arial"/>
          <w:b/>
          <w:color w:val="0071BB"/>
          <w:w w:val="120"/>
        </w:rPr>
        <w:t>naruszenia</w:t>
      </w:r>
      <w:proofErr w:type="spellEnd"/>
      <w:r>
        <w:rPr>
          <w:rFonts w:ascii="Arial"/>
          <w:b/>
          <w:color w:val="0071BB"/>
          <w:w w:val="120"/>
        </w:rPr>
        <w:t xml:space="preserve"> art. 1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ogólny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zakaz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dyskryminacji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stwierdzając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władze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Ukrainy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uwzględniły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szczególnej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sytuacji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jako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osób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wewnętrznie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przesiedlonych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dyskryminowały</w:t>
      </w:r>
      <w:proofErr w:type="spellEnd"/>
      <w:r>
        <w:rPr>
          <w:color w:val="0071BB"/>
          <w:w w:val="120"/>
        </w:rPr>
        <w:t xml:space="preserve"> ich w </w:t>
      </w:r>
      <w:proofErr w:type="spellStart"/>
      <w:r>
        <w:rPr>
          <w:color w:val="0071BB"/>
          <w:w w:val="120"/>
        </w:rPr>
        <w:t>zakresie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korzystania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prawa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głosowania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wyborach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lokalnych</w:t>
      </w:r>
      <w:proofErr w:type="spellEnd"/>
      <w:r>
        <w:rPr>
          <w:color w:val="0071BB"/>
          <w:w w:val="120"/>
        </w:rPr>
        <w:t>.</w:t>
      </w:r>
    </w:p>
    <w:p w14:paraId="32C3C5CF" w14:textId="77777777" w:rsidR="006941BE" w:rsidRDefault="006941BE">
      <w:pPr>
        <w:pStyle w:val="Tekstpodstawowy"/>
        <w:jc w:val="left"/>
      </w:pPr>
    </w:p>
    <w:p w14:paraId="1B886061" w14:textId="77777777" w:rsidR="006941BE" w:rsidRDefault="006941BE">
      <w:pPr>
        <w:pStyle w:val="Tekstpodstawowy"/>
        <w:jc w:val="left"/>
      </w:pPr>
    </w:p>
    <w:p w14:paraId="59E63C55" w14:textId="77777777" w:rsidR="006941BE" w:rsidRDefault="00D51B6B">
      <w:pPr>
        <w:pStyle w:val="Tekstpodstawowy"/>
        <w:spacing w:before="233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7DE32F7" wp14:editId="525624F1">
                <wp:simplePos x="0" y="0"/>
                <wp:positionH relativeFrom="page">
                  <wp:posOffset>914400</wp:posOffset>
                </wp:positionH>
                <wp:positionV relativeFrom="paragraph">
                  <wp:posOffset>318698</wp:posOffset>
                </wp:positionV>
                <wp:extent cx="1828800" cy="762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E3EF6" id="Graphic 14" o:spid="_x0000_s1026" style="position:absolute;margin-left:1in;margin-top:25.1pt;width:2in;height:.6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A57393" w14:textId="05A74ED7" w:rsidR="006941BE" w:rsidRDefault="00D51B6B">
      <w:pPr>
        <w:spacing w:before="104"/>
        <w:ind w:left="873" w:right="865"/>
        <w:rPr>
          <w:sz w:val="16"/>
        </w:rPr>
      </w:pPr>
      <w:bookmarkStart w:id="0" w:name="_bookmark0"/>
      <w:bookmarkEnd w:id="0"/>
      <w:r>
        <w:rPr>
          <w:w w:val="125"/>
          <w:sz w:val="16"/>
        </w:rPr>
        <w:t>(</w:t>
      </w:r>
      <w:r>
        <w:rPr>
          <w:w w:val="125"/>
          <w:sz w:val="16"/>
          <w:vertAlign w:val="superscript"/>
        </w:rPr>
        <w:t>1)</w:t>
      </w:r>
      <w:r>
        <w:rPr>
          <w:w w:val="125"/>
          <w:sz w:val="16"/>
        </w:rPr>
        <w:t xml:space="preserve"> . Wyrok ten </w:t>
      </w:r>
      <w:proofErr w:type="spellStart"/>
      <w:r>
        <w:rPr>
          <w:w w:val="125"/>
          <w:sz w:val="16"/>
        </w:rPr>
        <w:t>stanie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się</w:t>
      </w:r>
      <w:proofErr w:type="spellEnd"/>
      <w:r>
        <w:rPr>
          <w:w w:val="125"/>
          <w:sz w:val="16"/>
        </w:rPr>
        <w:t xml:space="preserve"> </w:t>
      </w:r>
      <w:proofErr w:type="spellStart"/>
      <w:r w:rsidR="00F107CB">
        <w:rPr>
          <w:w w:val="125"/>
          <w:sz w:val="16"/>
        </w:rPr>
        <w:t>ostateczny</w:t>
      </w:r>
      <w:proofErr w:type="spellEnd"/>
      <w:r>
        <w:rPr>
          <w:w w:val="125"/>
          <w:sz w:val="16"/>
        </w:rPr>
        <w:t xml:space="preserve"> </w:t>
      </w:r>
      <w:proofErr w:type="spellStart"/>
      <w:r w:rsidR="00222F67">
        <w:rPr>
          <w:w w:val="125"/>
          <w:sz w:val="16"/>
        </w:rPr>
        <w:t>na</w:t>
      </w:r>
      <w:proofErr w:type="spellEnd"/>
      <w:r w:rsidR="00222F67">
        <w:rPr>
          <w:w w:val="125"/>
          <w:sz w:val="16"/>
        </w:rPr>
        <w:t xml:space="preserve"> </w:t>
      </w:r>
      <w:proofErr w:type="spellStart"/>
      <w:r w:rsidR="00222F67">
        <w:rPr>
          <w:w w:val="125"/>
          <w:sz w:val="16"/>
        </w:rPr>
        <w:t>warunkach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określonych</w:t>
      </w:r>
      <w:proofErr w:type="spellEnd"/>
      <w:r>
        <w:rPr>
          <w:w w:val="125"/>
          <w:sz w:val="16"/>
        </w:rPr>
        <w:t xml:space="preserve"> </w:t>
      </w:r>
      <w:proofErr w:type="spellStart"/>
      <w:r>
        <w:rPr>
          <w:w w:val="125"/>
          <w:sz w:val="16"/>
        </w:rPr>
        <w:t>w art</w:t>
      </w:r>
      <w:proofErr w:type="spellEnd"/>
      <w:r>
        <w:rPr>
          <w:w w:val="125"/>
          <w:sz w:val="16"/>
        </w:rPr>
        <w:t>. 44 § 2 (</w:t>
      </w:r>
      <w:proofErr w:type="spellStart"/>
      <w:r>
        <w:rPr>
          <w:w w:val="125"/>
          <w:sz w:val="16"/>
        </w:rPr>
        <w:t>wyroki</w:t>
      </w:r>
      <w:proofErr w:type="spellEnd"/>
      <w:r>
        <w:rPr>
          <w:w w:val="125"/>
          <w:sz w:val="16"/>
        </w:rPr>
        <w:t xml:space="preserve"> </w:t>
      </w:r>
      <w:proofErr w:type="spellStart"/>
      <w:r w:rsidR="00F107CB">
        <w:rPr>
          <w:w w:val="125"/>
          <w:sz w:val="16"/>
        </w:rPr>
        <w:t>ostateczne</w:t>
      </w:r>
      <w:proofErr w:type="spellEnd"/>
      <w:r>
        <w:rPr>
          <w:w w:val="125"/>
          <w:sz w:val="16"/>
        </w:rPr>
        <w:t xml:space="preserve">) </w:t>
      </w:r>
      <w:hyperlink r:id="rId25">
        <w:proofErr w:type="spellStart"/>
        <w:r>
          <w:rPr>
            <w:color w:val="0071BB"/>
            <w:w w:val="125"/>
            <w:sz w:val="16"/>
            <w:u w:val="single" w:color="0071BB"/>
          </w:rPr>
          <w:t>Europejskiej</w:t>
        </w:r>
        <w:proofErr w:type="spellEnd"/>
        <w:r>
          <w:rPr>
            <w:color w:val="0071BB"/>
            <w:w w:val="125"/>
            <w:sz w:val="16"/>
            <w:u w:val="single" w:color="0071BB"/>
          </w:rPr>
          <w:t xml:space="preserve"> </w:t>
        </w:r>
        <w:proofErr w:type="spellStart"/>
        <w:r w:rsidR="00222F67">
          <w:rPr>
            <w:color w:val="0071BB"/>
            <w:w w:val="125"/>
            <w:sz w:val="16"/>
            <w:u w:val="single" w:color="0071BB"/>
          </w:rPr>
          <w:t>K</w:t>
        </w:r>
        <w:r>
          <w:rPr>
            <w:color w:val="0071BB"/>
            <w:w w:val="125"/>
            <w:sz w:val="16"/>
            <w:u w:val="single" w:color="0071BB"/>
          </w:rPr>
          <w:t>onwencji</w:t>
        </w:r>
        <w:proofErr w:type="spellEnd"/>
        <w:r>
          <w:rPr>
            <w:color w:val="0071BB"/>
            <w:w w:val="125"/>
            <w:sz w:val="16"/>
            <w:u w:val="single" w:color="0071BB"/>
          </w:rPr>
          <w:t xml:space="preserve"> </w:t>
        </w:r>
        <w:proofErr w:type="spellStart"/>
        <w:r w:rsidR="00222F67">
          <w:rPr>
            <w:color w:val="0071BB"/>
            <w:w w:val="125"/>
            <w:sz w:val="16"/>
            <w:u w:val="single" w:color="0071BB"/>
          </w:rPr>
          <w:t>P</w:t>
        </w:r>
        <w:r>
          <w:rPr>
            <w:color w:val="0071BB"/>
            <w:w w:val="125"/>
            <w:sz w:val="16"/>
            <w:u w:val="single" w:color="0071BB"/>
          </w:rPr>
          <w:t>raw</w:t>
        </w:r>
        <w:proofErr w:type="spellEnd"/>
        <w:r>
          <w:rPr>
            <w:color w:val="0071BB"/>
            <w:w w:val="125"/>
            <w:sz w:val="16"/>
            <w:u w:val="single" w:color="0071BB"/>
          </w:rPr>
          <w:t xml:space="preserve"> </w:t>
        </w:r>
        <w:r w:rsidR="00222F67">
          <w:rPr>
            <w:color w:val="0071BB"/>
            <w:w w:val="125"/>
            <w:sz w:val="16"/>
            <w:u w:val="single" w:color="0071BB"/>
          </w:rPr>
          <w:t>C</w:t>
        </w:r>
        <w:r>
          <w:rPr>
            <w:color w:val="0071BB"/>
            <w:w w:val="125"/>
            <w:sz w:val="16"/>
            <w:u w:val="single" w:color="0071BB"/>
          </w:rPr>
          <w:t>złowieka</w:t>
        </w:r>
        <w:r>
          <w:rPr>
            <w:w w:val="125"/>
            <w:sz w:val="16"/>
          </w:rPr>
          <w:t>.</w:t>
        </w:r>
      </w:hyperlink>
    </w:p>
    <w:p w14:paraId="164FC16C" w14:textId="77777777" w:rsidR="006941BE" w:rsidRDefault="006941BE">
      <w:pPr>
        <w:rPr>
          <w:sz w:val="16"/>
        </w:rPr>
        <w:sectPr w:rsidR="006941BE">
          <w:pgSz w:w="11910" w:h="16840"/>
          <w:pgMar w:top="1400" w:right="566" w:bottom="680" w:left="566" w:header="720" w:footer="497" w:gutter="0"/>
          <w:cols w:space="708"/>
        </w:sectPr>
      </w:pPr>
    </w:p>
    <w:p w14:paraId="0CBBF8D2" w14:textId="77777777" w:rsidR="006941BE" w:rsidRDefault="00D51B6B">
      <w:pPr>
        <w:pStyle w:val="Nagwek1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0528" behindDoc="1" locked="0" layoutInCell="1" allowOverlap="1" wp14:anchorId="4DD40B04" wp14:editId="5AB76DA5">
                <wp:simplePos x="0" y="0"/>
                <wp:positionH relativeFrom="page">
                  <wp:posOffset>896111</wp:posOffset>
                </wp:positionH>
                <wp:positionV relativeFrom="paragraph">
                  <wp:posOffset>451104</wp:posOffset>
                </wp:positionV>
                <wp:extent cx="5768340" cy="18415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18415">
                              <a:moveTo>
                                <a:pt x="576834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68340" y="18288"/>
                              </a:lnTo>
                              <a:lnTo>
                                <a:pt x="5768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1090D" id="Graphic 15" o:spid="_x0000_s1026" style="position:absolute;margin-left:70.55pt;margin-top:35.5pt;width:454.2pt;height:1.4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" path="m5768340,l,,,18288r5768340,l5768340,xe" fillcolor="#999" stroked="f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color w:val="0071BB"/>
          <w:w w:val="120"/>
          <w:sz w:val="29"/>
        </w:rPr>
        <w:t>Pozbawienie</w:t>
      </w:r>
      <w:proofErr w:type="spellEnd"/>
      <w:r>
        <w:rPr>
          <w:color w:val="0071BB"/>
          <w:w w:val="120"/>
          <w:sz w:val="29"/>
        </w:rPr>
        <w:t xml:space="preserve"> / </w:t>
      </w:r>
      <w:proofErr w:type="spellStart"/>
      <w:r>
        <w:rPr>
          <w:color w:val="0071BB"/>
          <w:w w:val="120"/>
          <w:sz w:val="29"/>
        </w:rPr>
        <w:t>ograniczenie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zdolności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prawnej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i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prawa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spacing w:val="-4"/>
          <w:w w:val="120"/>
          <w:sz w:val="29"/>
        </w:rPr>
        <w:t>wyborczego</w:t>
      </w:r>
      <w:proofErr w:type="spellEnd"/>
    </w:p>
    <w:p w14:paraId="224546B0" w14:textId="77777777" w:rsidR="006941BE" w:rsidRDefault="00D51B6B">
      <w:pPr>
        <w:pStyle w:val="Nagwek2"/>
        <w:rPr>
          <w:u w:val="none"/>
        </w:rPr>
      </w:pPr>
      <w:hyperlink r:id="rId26">
        <w:r>
          <w:rPr>
            <w:color w:val="0071BB"/>
            <w:w w:val="115"/>
            <w:u w:color="0071BB"/>
          </w:rPr>
          <w:t xml:space="preserve">Alajos Kiss </w:t>
        </w:r>
        <w:proofErr w:type="spellStart"/>
        <w:r>
          <w:rPr>
            <w:color w:val="0071BB"/>
            <w:w w:val="115"/>
            <w:u w:color="0071BB"/>
          </w:rPr>
          <w:t>przeciwko</w:t>
        </w:r>
        <w:proofErr w:type="spellEnd"/>
        <w:r>
          <w:rPr>
            <w:color w:val="0071BB"/>
            <w:w w:val="115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15"/>
            <w:u w:color="0071BB"/>
          </w:rPr>
          <w:t>Węgrom</w:t>
        </w:r>
        <w:proofErr w:type="spellEnd"/>
      </w:hyperlink>
    </w:p>
    <w:p w14:paraId="56B5A2D5" w14:textId="77777777" w:rsidR="006941BE" w:rsidRDefault="00D51B6B">
      <w:pPr>
        <w:spacing w:before="70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>20 maja</w:t>
      </w:r>
      <w:r>
        <w:rPr>
          <w:color w:val="808080"/>
          <w:spacing w:val="-4"/>
          <w:w w:val="125"/>
          <w:sz w:val="18"/>
        </w:rPr>
        <w:t xml:space="preserve"> 2010 r.</w:t>
      </w:r>
    </w:p>
    <w:p w14:paraId="11349781" w14:textId="29C28E0B" w:rsidR="006941BE" w:rsidRDefault="006746AB">
      <w:pPr>
        <w:pStyle w:val="Tekstpodstawowy"/>
        <w:spacing w:before="1"/>
        <w:ind w:left="874" w:right="874"/>
      </w:pPr>
      <w:proofErr w:type="spellStart"/>
      <w:r>
        <w:rPr>
          <w:w w:val="120"/>
        </w:rPr>
        <w:t>Skarżący</w:t>
      </w:r>
      <w:proofErr w:type="spellEnd"/>
      <w:r>
        <w:rPr>
          <w:w w:val="120"/>
        </w:rPr>
        <w:t xml:space="preserve"> </w:t>
      </w:r>
      <w:proofErr w:type="spellStart"/>
      <w:r w:rsidR="00D51B6B">
        <w:rPr>
          <w:w w:val="120"/>
        </w:rPr>
        <w:t>utracił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prawo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wyborcze</w:t>
      </w:r>
      <w:proofErr w:type="spellEnd"/>
      <w:r w:rsidR="00D51B6B">
        <w:rPr>
          <w:w w:val="120"/>
        </w:rPr>
        <w:t xml:space="preserve">, ponieważ </w:t>
      </w:r>
      <w:proofErr w:type="spellStart"/>
      <w:r w:rsidR="00D51B6B">
        <w:rPr>
          <w:w w:val="120"/>
        </w:rPr>
        <w:t>został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objęty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opieką</w:t>
      </w:r>
      <w:proofErr w:type="spellEnd"/>
      <w:r w:rsidR="00D51B6B">
        <w:rPr>
          <w:w w:val="120"/>
        </w:rPr>
        <w:t xml:space="preserve"> z </w:t>
      </w:r>
      <w:proofErr w:type="spellStart"/>
      <w:r w:rsidR="00D51B6B">
        <w:rPr>
          <w:w w:val="120"/>
        </w:rPr>
        <w:t>powodów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psychiatrycznych</w:t>
      </w:r>
      <w:proofErr w:type="spellEnd"/>
      <w:r w:rsidR="00D51B6B">
        <w:rPr>
          <w:w w:val="120"/>
        </w:rPr>
        <w:t xml:space="preserve">. </w:t>
      </w:r>
      <w:proofErr w:type="spellStart"/>
      <w:r w:rsidR="00D51B6B">
        <w:rPr>
          <w:w w:val="120"/>
        </w:rPr>
        <w:t>Węgierska</w:t>
      </w:r>
      <w:proofErr w:type="spellEnd"/>
      <w:r w:rsidR="00D51B6B">
        <w:rPr>
          <w:w w:val="120"/>
        </w:rPr>
        <w:t xml:space="preserve"> </w:t>
      </w:r>
      <w:proofErr w:type="spellStart"/>
      <w:r w:rsidR="00B56096">
        <w:rPr>
          <w:w w:val="120"/>
        </w:rPr>
        <w:t>k</w:t>
      </w:r>
      <w:r w:rsidR="00D51B6B">
        <w:rPr>
          <w:w w:val="120"/>
        </w:rPr>
        <w:t>onstytucja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przewidywała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automatyczne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i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ogólne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ograniczenie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prawa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wyborczego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osób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objętych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opieką</w:t>
      </w:r>
      <w:proofErr w:type="spellEnd"/>
      <w:r w:rsidR="00D51B6B">
        <w:rPr>
          <w:w w:val="120"/>
        </w:rPr>
        <w:t>.</w:t>
      </w:r>
    </w:p>
    <w:p w14:paraId="29A4E656" w14:textId="51D77E0C" w:rsidR="006941BE" w:rsidRDefault="00D51B6B">
      <w:pPr>
        <w:pStyle w:val="Tekstpodstawowy"/>
        <w:spacing w:line="237" w:lineRule="auto"/>
        <w:ind w:left="874" w:right="870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rFonts w:ascii="Arial"/>
          <w:b/>
          <w:color w:val="0071BB"/>
          <w:w w:val="120"/>
        </w:rPr>
        <w:t xml:space="preserve">do </w:t>
      </w:r>
      <w:proofErr w:type="spellStart"/>
      <w:r>
        <w:rPr>
          <w:rFonts w:ascii="Arial"/>
          <w:b/>
          <w:color w:val="0071BB"/>
          <w:w w:val="120"/>
        </w:rPr>
        <w:t>naruszenia</w:t>
      </w:r>
      <w:proofErr w:type="spellEnd"/>
      <w:r>
        <w:rPr>
          <w:rFonts w:ascii="Arial"/>
          <w:b/>
          <w:color w:val="0071BB"/>
          <w:w w:val="120"/>
        </w:rPr>
        <w:t xml:space="preserve"> art. 3 </w:t>
      </w:r>
      <w:proofErr w:type="spellStart"/>
      <w:r w:rsidR="000D313C">
        <w:rPr>
          <w:rFonts w:ascii="Arial"/>
          <w:b/>
          <w:color w:val="0071BB"/>
          <w:w w:val="120"/>
        </w:rPr>
        <w:t>P</w:t>
      </w:r>
      <w:r>
        <w:rPr>
          <w:rFonts w:ascii="Arial"/>
          <w:b/>
          <w:color w:val="0071BB"/>
          <w:w w:val="120"/>
        </w:rPr>
        <w:t>rotoko</w:t>
      </w:r>
      <w:r>
        <w:rPr>
          <w:rFonts w:ascii="Arial"/>
          <w:b/>
          <w:color w:val="0071BB"/>
          <w:w w:val="120"/>
        </w:rPr>
        <w:t>ł</w:t>
      </w:r>
      <w:r>
        <w:rPr>
          <w:rFonts w:ascii="Arial"/>
          <w:b/>
          <w:color w:val="0071BB"/>
          <w:w w:val="120"/>
        </w:rPr>
        <w:t>u</w:t>
      </w:r>
      <w:proofErr w:type="spellEnd"/>
      <w:r>
        <w:rPr>
          <w:rFonts w:ascii="Arial"/>
          <w:b/>
          <w:color w:val="0071BB"/>
          <w:w w:val="120"/>
        </w:rPr>
        <w:t xml:space="preserve"> nr 1 </w:t>
      </w:r>
      <w:r>
        <w:rPr>
          <w:color w:val="0071BB"/>
          <w:w w:val="120"/>
        </w:rPr>
        <w:t xml:space="preserve">do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. Po </w:t>
      </w:r>
      <w:proofErr w:type="spellStart"/>
      <w:r>
        <w:rPr>
          <w:color w:val="0071BB"/>
          <w:w w:val="120"/>
        </w:rPr>
        <w:t>uznaniu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pozbawienie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wyborczego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miało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uzasadniony</w:t>
      </w:r>
      <w:proofErr w:type="spellEnd"/>
      <w:r>
        <w:rPr>
          <w:color w:val="0071BB"/>
          <w:w w:val="120"/>
        </w:rPr>
        <w:t xml:space="preserve"> cel, a </w:t>
      </w:r>
      <w:proofErr w:type="spellStart"/>
      <w:r>
        <w:rPr>
          <w:color w:val="0071BB"/>
          <w:w w:val="120"/>
        </w:rPr>
        <w:t>mianowicie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zapewnienie</w:t>
      </w:r>
      <w:proofErr w:type="spellEnd"/>
      <w:r>
        <w:rPr>
          <w:color w:val="0071BB"/>
          <w:w w:val="120"/>
        </w:rPr>
        <w:t xml:space="preserve">, aby w </w:t>
      </w:r>
      <w:proofErr w:type="spellStart"/>
      <w:r>
        <w:rPr>
          <w:color w:val="0071BB"/>
          <w:w w:val="120"/>
        </w:rPr>
        <w:t>sprawach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publicznych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mogli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uczestniczyć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wyłącznie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obywatele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zdolni</w:t>
      </w:r>
      <w:proofErr w:type="spellEnd"/>
      <w:r>
        <w:rPr>
          <w:color w:val="0071BB"/>
          <w:w w:val="120"/>
        </w:rPr>
        <w:t xml:space="preserve"> do oceny </w:t>
      </w:r>
      <w:proofErr w:type="spellStart"/>
      <w:r>
        <w:rPr>
          <w:color w:val="0071BB"/>
          <w:w w:val="120"/>
        </w:rPr>
        <w:t>konsekwencji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swoich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decyzji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podkreślił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zaakceptować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całkowitego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pozbawienia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wyborczego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wszystkich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osób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objętych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opieką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niezależnie</w:t>
      </w:r>
      <w:proofErr w:type="spellEnd"/>
      <w:r>
        <w:rPr>
          <w:color w:val="0071BB"/>
          <w:w w:val="120"/>
        </w:rPr>
        <w:t xml:space="preserve"> od ich </w:t>
      </w:r>
      <w:proofErr w:type="spellStart"/>
      <w:r>
        <w:rPr>
          <w:color w:val="0071BB"/>
          <w:w w:val="120"/>
        </w:rPr>
        <w:t>faktycznych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zdolności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umysłowych</w:t>
      </w:r>
      <w:proofErr w:type="spellEnd"/>
      <w:r>
        <w:rPr>
          <w:color w:val="0071BB"/>
          <w:w w:val="120"/>
        </w:rPr>
        <w:t>.</w:t>
      </w:r>
    </w:p>
    <w:p w14:paraId="36254D1B" w14:textId="77777777" w:rsidR="006941BE" w:rsidRDefault="00D51B6B">
      <w:pPr>
        <w:spacing w:before="64"/>
        <w:ind w:left="874" w:right="873"/>
        <w:jc w:val="both"/>
        <w:rPr>
          <w:sz w:val="20"/>
        </w:rPr>
      </w:pPr>
      <w:r>
        <w:rPr>
          <w:i/>
          <w:color w:val="404040"/>
          <w:w w:val="120"/>
          <w:sz w:val="20"/>
        </w:rPr>
        <w:t xml:space="preserve">Zob. </w:t>
      </w:r>
      <w:proofErr w:type="spellStart"/>
      <w:r>
        <w:rPr>
          <w:i/>
          <w:color w:val="404040"/>
          <w:w w:val="120"/>
          <w:sz w:val="20"/>
        </w:rPr>
        <w:t>również</w:t>
      </w:r>
      <w:proofErr w:type="spellEnd"/>
      <w:r>
        <w:rPr>
          <w:color w:val="404040"/>
          <w:w w:val="120"/>
          <w:sz w:val="20"/>
        </w:rPr>
        <w:t xml:space="preserve">: </w:t>
      </w:r>
      <w:hyperlink r:id="rId27">
        <w:proofErr w:type="spellStart"/>
        <w:r>
          <w:rPr>
            <w:rFonts w:ascii="Arial"/>
            <w:b/>
            <w:color w:val="0071BB"/>
            <w:w w:val="120"/>
            <w:sz w:val="20"/>
            <w:u w:val="single" w:color="0071BB"/>
          </w:rPr>
          <w:t>Gajcsi</w:t>
        </w:r>
        <w:proofErr w:type="spellEnd"/>
        <w:r>
          <w:rPr>
            <w:rFonts w:ascii="Arial"/>
            <w:b/>
            <w:color w:val="0071BB"/>
            <w:w w:val="120"/>
            <w:sz w:val="20"/>
            <w:u w:val="single" w:color="0071BB"/>
          </w:rPr>
          <w:t xml:space="preserve"> </w:t>
        </w:r>
        <w:proofErr w:type="spellStart"/>
        <w:r>
          <w:rPr>
            <w:rFonts w:ascii="Arial"/>
            <w:b/>
            <w:color w:val="0071BB"/>
            <w:w w:val="120"/>
            <w:sz w:val="20"/>
            <w:u w:val="single" w:color="0071BB"/>
          </w:rPr>
          <w:t>przeciwko</w:t>
        </w:r>
        <w:proofErr w:type="spellEnd"/>
        <w:r>
          <w:rPr>
            <w:rFonts w:ascii="Arial"/>
            <w:b/>
            <w:color w:val="0071BB"/>
            <w:w w:val="120"/>
            <w:sz w:val="20"/>
            <w:u w:val="single" w:color="0071BB"/>
          </w:rPr>
          <w:t xml:space="preserve"> </w:t>
        </w:r>
        <w:proofErr w:type="spellStart"/>
        <w:r>
          <w:rPr>
            <w:rFonts w:ascii="Arial"/>
            <w:b/>
            <w:color w:val="0071BB"/>
            <w:w w:val="120"/>
            <w:sz w:val="20"/>
            <w:u w:val="single" w:color="0071BB"/>
          </w:rPr>
          <w:t>W</w:t>
        </w:r>
        <w:r>
          <w:rPr>
            <w:rFonts w:ascii="Arial"/>
            <w:b/>
            <w:color w:val="0071BB"/>
            <w:w w:val="120"/>
            <w:sz w:val="20"/>
            <w:u w:val="single" w:color="0071BB"/>
          </w:rPr>
          <w:t>ę</w:t>
        </w:r>
        <w:r>
          <w:rPr>
            <w:rFonts w:ascii="Arial"/>
            <w:b/>
            <w:color w:val="0071BB"/>
            <w:w w:val="120"/>
            <w:sz w:val="20"/>
            <w:u w:val="single" w:color="0071BB"/>
          </w:rPr>
          <w:t>grom</w:t>
        </w:r>
        <w:proofErr w:type="spellEnd"/>
        <w:r>
          <w:rPr>
            <w:color w:val="404040"/>
            <w:w w:val="120"/>
            <w:sz w:val="20"/>
          </w:rPr>
          <w:t>,</w:t>
        </w:r>
      </w:hyperlink>
      <w:r>
        <w:rPr>
          <w:color w:val="404040"/>
          <w:w w:val="120"/>
          <w:sz w:val="20"/>
        </w:rPr>
        <w:t xml:space="preserve"> </w:t>
      </w:r>
      <w:proofErr w:type="spellStart"/>
      <w:r>
        <w:rPr>
          <w:color w:val="404040"/>
          <w:w w:val="120"/>
          <w:sz w:val="20"/>
        </w:rPr>
        <w:t>wyrok</w:t>
      </w:r>
      <w:proofErr w:type="spellEnd"/>
      <w:r>
        <w:rPr>
          <w:color w:val="404040"/>
          <w:w w:val="120"/>
          <w:sz w:val="20"/>
        </w:rPr>
        <w:t xml:space="preserve"> z dnia 23 </w:t>
      </w:r>
      <w:proofErr w:type="spellStart"/>
      <w:r>
        <w:rPr>
          <w:color w:val="404040"/>
          <w:w w:val="120"/>
          <w:sz w:val="20"/>
        </w:rPr>
        <w:t>września</w:t>
      </w:r>
      <w:proofErr w:type="spellEnd"/>
      <w:r>
        <w:rPr>
          <w:color w:val="404040"/>
          <w:w w:val="120"/>
          <w:sz w:val="20"/>
        </w:rPr>
        <w:t xml:space="preserve"> 2014 r.; </w:t>
      </w:r>
      <w:hyperlink r:id="rId28">
        <w:r>
          <w:rPr>
            <w:rFonts w:ascii="Arial"/>
            <w:b/>
            <w:color w:val="0071BB"/>
            <w:w w:val="120"/>
            <w:sz w:val="20"/>
            <w:u w:val="single" w:color="0071BB"/>
          </w:rPr>
          <w:t xml:space="preserve">Harmati </w:t>
        </w:r>
        <w:proofErr w:type="spellStart"/>
        <w:r>
          <w:rPr>
            <w:rFonts w:ascii="Arial"/>
            <w:b/>
            <w:color w:val="0071BB"/>
            <w:w w:val="120"/>
            <w:sz w:val="20"/>
            <w:u w:val="single" w:color="0071BB"/>
          </w:rPr>
          <w:t>przeciwko</w:t>
        </w:r>
        <w:proofErr w:type="spellEnd"/>
        <w:r>
          <w:rPr>
            <w:rFonts w:ascii="Arial"/>
            <w:b/>
            <w:color w:val="0071BB"/>
            <w:w w:val="120"/>
            <w:sz w:val="20"/>
            <w:u w:val="single" w:color="0071BB"/>
          </w:rPr>
          <w:t xml:space="preserve"> </w:t>
        </w:r>
        <w:proofErr w:type="spellStart"/>
        <w:r>
          <w:rPr>
            <w:rFonts w:ascii="Arial"/>
            <w:b/>
            <w:color w:val="0071BB"/>
            <w:w w:val="120"/>
            <w:sz w:val="20"/>
            <w:u w:val="single" w:color="0071BB"/>
          </w:rPr>
          <w:t>W</w:t>
        </w:r>
        <w:r>
          <w:rPr>
            <w:rFonts w:ascii="Arial"/>
            <w:b/>
            <w:color w:val="0071BB"/>
            <w:w w:val="120"/>
            <w:sz w:val="20"/>
            <w:u w:val="single" w:color="0071BB"/>
          </w:rPr>
          <w:t>ę</w:t>
        </w:r>
        <w:r>
          <w:rPr>
            <w:rFonts w:ascii="Arial"/>
            <w:b/>
            <w:color w:val="0071BB"/>
            <w:w w:val="120"/>
            <w:sz w:val="20"/>
            <w:u w:val="single" w:color="0071BB"/>
          </w:rPr>
          <w:t>grom</w:t>
        </w:r>
        <w:proofErr w:type="spellEnd"/>
        <w:r>
          <w:rPr>
            <w:color w:val="404040"/>
            <w:w w:val="120"/>
            <w:sz w:val="20"/>
          </w:rPr>
          <w:t>,</w:t>
        </w:r>
      </w:hyperlink>
      <w:r>
        <w:rPr>
          <w:color w:val="404040"/>
          <w:w w:val="120"/>
          <w:sz w:val="20"/>
        </w:rPr>
        <w:t xml:space="preserve"> </w:t>
      </w:r>
      <w:proofErr w:type="spellStart"/>
      <w:r>
        <w:rPr>
          <w:color w:val="404040"/>
          <w:w w:val="120"/>
          <w:sz w:val="20"/>
        </w:rPr>
        <w:t>wyrok</w:t>
      </w:r>
      <w:proofErr w:type="spellEnd"/>
      <w:r>
        <w:rPr>
          <w:color w:val="404040"/>
          <w:w w:val="120"/>
          <w:sz w:val="20"/>
        </w:rPr>
        <w:t xml:space="preserve"> z dnia 21 </w:t>
      </w:r>
      <w:proofErr w:type="spellStart"/>
      <w:r>
        <w:rPr>
          <w:color w:val="404040"/>
          <w:w w:val="120"/>
          <w:sz w:val="20"/>
        </w:rPr>
        <w:t>października</w:t>
      </w:r>
      <w:proofErr w:type="spellEnd"/>
      <w:r>
        <w:rPr>
          <w:color w:val="404040"/>
          <w:w w:val="120"/>
          <w:sz w:val="20"/>
        </w:rPr>
        <w:t xml:space="preserve"> 2004 r.</w:t>
      </w:r>
    </w:p>
    <w:p w14:paraId="500BD2CF" w14:textId="77777777" w:rsidR="006941BE" w:rsidRDefault="00D51B6B">
      <w:pPr>
        <w:pStyle w:val="Nagwek2"/>
        <w:spacing w:before="121"/>
        <w:ind w:left="873"/>
        <w:rPr>
          <w:u w:val="none"/>
        </w:rPr>
      </w:pPr>
      <w:hyperlink r:id="rId29">
        <w:r>
          <w:rPr>
            <w:color w:val="0071BB"/>
            <w:w w:val="115"/>
            <w:u w:color="0071BB"/>
          </w:rPr>
          <w:t xml:space="preserve">Strøbye </w:t>
        </w:r>
        <w:proofErr w:type="spellStart"/>
        <w:r>
          <w:rPr>
            <w:color w:val="0071BB"/>
            <w:w w:val="115"/>
            <w:u w:color="0071BB"/>
          </w:rPr>
          <w:t>i</w:t>
        </w:r>
        <w:proofErr w:type="spellEnd"/>
        <w:r>
          <w:rPr>
            <w:color w:val="0071BB"/>
            <w:w w:val="115"/>
            <w:u w:color="0071BB"/>
          </w:rPr>
          <w:t xml:space="preserve"> Rosenlind </w:t>
        </w:r>
        <w:proofErr w:type="spellStart"/>
        <w:r>
          <w:rPr>
            <w:color w:val="0071BB"/>
            <w:w w:val="115"/>
            <w:u w:color="0071BB"/>
          </w:rPr>
          <w:t>przeciwko</w:t>
        </w:r>
        <w:proofErr w:type="spellEnd"/>
        <w:r>
          <w:rPr>
            <w:color w:val="0071BB"/>
            <w:w w:val="115"/>
            <w:u w:color="0071BB"/>
          </w:rPr>
          <w:t xml:space="preserve"> </w:t>
        </w:r>
        <w:r>
          <w:rPr>
            <w:color w:val="0071BB"/>
            <w:spacing w:val="-2"/>
            <w:w w:val="115"/>
            <w:u w:color="0071BB"/>
          </w:rPr>
          <w:t>Danii</w:t>
        </w:r>
      </w:hyperlink>
    </w:p>
    <w:p w14:paraId="70A32C68" w14:textId="77777777" w:rsidR="006941BE" w:rsidRDefault="00D51B6B">
      <w:pPr>
        <w:spacing w:before="67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 xml:space="preserve">2 </w:t>
      </w:r>
      <w:proofErr w:type="spellStart"/>
      <w:r>
        <w:rPr>
          <w:color w:val="808080"/>
          <w:w w:val="125"/>
          <w:sz w:val="18"/>
        </w:rPr>
        <w:t>lutego</w:t>
      </w:r>
      <w:proofErr w:type="spellEnd"/>
      <w:r>
        <w:rPr>
          <w:color w:val="808080"/>
          <w:spacing w:val="-4"/>
          <w:w w:val="125"/>
          <w:sz w:val="18"/>
        </w:rPr>
        <w:t xml:space="preserve"> 2021 r.</w:t>
      </w:r>
    </w:p>
    <w:p w14:paraId="3EEB907C" w14:textId="77777777" w:rsidR="006941BE" w:rsidRDefault="00D51B6B">
      <w:pPr>
        <w:pStyle w:val="Tekstpodstawowy"/>
        <w:spacing w:before="2"/>
        <w:ind w:left="874" w:right="871"/>
      </w:pPr>
      <w:proofErr w:type="spellStart"/>
      <w:r>
        <w:rPr>
          <w:w w:val="120"/>
        </w:rPr>
        <w:t>Sprawa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dotyczyła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pozbawienia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wyborczych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skarżących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odpowiednio</w:t>
      </w:r>
      <w:proofErr w:type="spellEnd"/>
      <w:r>
        <w:rPr>
          <w:w w:val="120"/>
        </w:rPr>
        <w:t xml:space="preserve"> w 1984 r.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2009 r., w </w:t>
      </w:r>
      <w:proofErr w:type="spellStart"/>
      <w:r>
        <w:rPr>
          <w:w w:val="120"/>
        </w:rPr>
        <w:t>wyniku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odebrania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zdolności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prawnej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Skarżący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którzy</w:t>
      </w:r>
      <w:proofErr w:type="spellEnd"/>
      <w:r>
        <w:rPr>
          <w:w w:val="120"/>
        </w:rPr>
        <w:t xml:space="preserve"> w 2019 r. </w:t>
      </w:r>
      <w:proofErr w:type="spellStart"/>
      <w:r>
        <w:rPr>
          <w:w w:val="120"/>
        </w:rPr>
        <w:t>odzyskali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prawo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głosowania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wyborach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powszechnych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zarzucali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zostali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pozbawieni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wyborczych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niezgodnie</w:t>
      </w:r>
      <w:proofErr w:type="spellEnd"/>
      <w:r>
        <w:rPr>
          <w:w w:val="120"/>
        </w:rPr>
        <w:t xml:space="preserve"> z </w:t>
      </w:r>
      <w:proofErr w:type="spellStart"/>
      <w:r>
        <w:rPr>
          <w:w w:val="120"/>
        </w:rPr>
        <w:t>prawem</w:t>
      </w:r>
      <w:proofErr w:type="spellEnd"/>
      <w:r>
        <w:rPr>
          <w:w w:val="120"/>
        </w:rPr>
        <w:t>.</w:t>
      </w:r>
    </w:p>
    <w:p w14:paraId="6E12C4E1" w14:textId="141793C5" w:rsidR="006941BE" w:rsidRDefault="00D51B6B">
      <w:pPr>
        <w:pStyle w:val="Tekstpodstawowy"/>
        <w:ind w:left="874" w:right="870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rFonts w:ascii="Arial" w:hAnsi="Arial"/>
          <w:b/>
          <w:color w:val="0071BB"/>
          <w:w w:val="120"/>
        </w:rPr>
        <w:t>nie</w:t>
      </w:r>
      <w:proofErr w:type="spellEnd"/>
      <w:r>
        <w:rPr>
          <w:rFonts w:ascii="Arial" w:hAnsi="Arial"/>
          <w:b/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rFonts w:ascii="Arial" w:hAnsi="Arial"/>
          <w:b/>
          <w:color w:val="0071BB"/>
          <w:w w:val="120"/>
        </w:rPr>
        <w:t xml:space="preserve">do </w:t>
      </w:r>
      <w:proofErr w:type="spellStart"/>
      <w:r>
        <w:rPr>
          <w:rFonts w:ascii="Arial" w:hAnsi="Arial"/>
          <w:b/>
          <w:color w:val="0071BB"/>
          <w:w w:val="120"/>
        </w:rPr>
        <w:t>naruszenia</w:t>
      </w:r>
      <w:proofErr w:type="spellEnd"/>
      <w:r>
        <w:rPr>
          <w:rFonts w:ascii="Arial" w:hAnsi="Arial"/>
          <w:b/>
          <w:color w:val="0071BB"/>
          <w:w w:val="120"/>
        </w:rPr>
        <w:t xml:space="preserve"> art. 3 </w:t>
      </w:r>
      <w:proofErr w:type="spellStart"/>
      <w:r w:rsidR="000D313C">
        <w:rPr>
          <w:rFonts w:ascii="Arial" w:hAnsi="Arial"/>
          <w:b/>
          <w:color w:val="0071BB"/>
          <w:w w:val="120"/>
        </w:rPr>
        <w:t>P</w:t>
      </w:r>
      <w:r>
        <w:rPr>
          <w:rFonts w:ascii="Arial" w:hAnsi="Arial"/>
          <w:b/>
          <w:color w:val="0071BB"/>
          <w:w w:val="120"/>
        </w:rPr>
        <w:t>rotokołu</w:t>
      </w:r>
      <w:proofErr w:type="spellEnd"/>
      <w:r>
        <w:rPr>
          <w:rFonts w:ascii="Arial" w:hAnsi="Arial"/>
          <w:b/>
          <w:color w:val="0071BB"/>
          <w:w w:val="120"/>
        </w:rPr>
        <w:t xml:space="preserve"> nr 1 </w:t>
      </w:r>
      <w:r>
        <w:rPr>
          <w:color w:val="0071BB"/>
          <w:w w:val="120"/>
        </w:rPr>
        <w:t xml:space="preserve">do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stwierdzając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ograniczenie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wyborczych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zgodne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prawem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miało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celu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zapewnienie</w:t>
      </w:r>
      <w:proofErr w:type="spellEnd"/>
      <w:r>
        <w:rPr>
          <w:color w:val="0071BB"/>
          <w:w w:val="120"/>
        </w:rPr>
        <w:t xml:space="preserve">, aby </w:t>
      </w:r>
      <w:proofErr w:type="spellStart"/>
      <w:r>
        <w:rPr>
          <w:color w:val="0071BB"/>
          <w:w w:val="120"/>
        </w:rPr>
        <w:t>wyborcy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wyborach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powszechnych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posiadali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wymagany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poziom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zdolności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umysłowych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oraz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proporcjonalne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zamierzonego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celu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Zwrócił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szczególną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uwagę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fakt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władze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duńskie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podjęły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godne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pochwały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wysiłki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celu</w:t>
      </w:r>
      <w:proofErr w:type="spellEnd"/>
      <w:r>
        <w:rPr>
          <w:color w:val="0071BB"/>
          <w:w w:val="120"/>
        </w:rPr>
        <w:t xml:space="preserve"> oceny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opracowania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odpowiedniej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reakcji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prawnej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sytuacje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takie</w:t>
      </w:r>
      <w:proofErr w:type="spellEnd"/>
      <w:r>
        <w:rPr>
          <w:color w:val="0071BB"/>
          <w:w w:val="120"/>
        </w:rPr>
        <w:t xml:space="preserve"> jak </w:t>
      </w:r>
      <w:proofErr w:type="spellStart"/>
      <w:r>
        <w:rPr>
          <w:color w:val="0071BB"/>
          <w:w w:val="120"/>
        </w:rPr>
        <w:t>sytuacja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skarżących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Ponadto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państwo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działało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ramach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swobody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przysługującej</w:t>
      </w:r>
      <w:proofErr w:type="spellEnd"/>
      <w:r>
        <w:rPr>
          <w:color w:val="0071BB"/>
          <w:w w:val="120"/>
        </w:rPr>
        <w:t xml:space="preserve"> mu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mocy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, w </w:t>
      </w:r>
      <w:proofErr w:type="spellStart"/>
      <w:r>
        <w:rPr>
          <w:color w:val="0071BB"/>
          <w:w w:val="120"/>
        </w:rPr>
        <w:t>szczególności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biorąc</w:t>
      </w:r>
      <w:proofErr w:type="spellEnd"/>
      <w:r>
        <w:rPr>
          <w:color w:val="0071BB"/>
          <w:w w:val="120"/>
        </w:rPr>
        <w:t xml:space="preserve"> pod </w:t>
      </w:r>
      <w:proofErr w:type="spellStart"/>
      <w:r>
        <w:rPr>
          <w:color w:val="0071BB"/>
          <w:w w:val="120"/>
        </w:rPr>
        <w:t>uwagę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jakość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krajowej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kontroli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sądowej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tych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sprawach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również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rFonts w:ascii="Arial" w:hAnsi="Arial"/>
          <w:b/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rFonts w:ascii="Arial" w:hAnsi="Arial"/>
          <w:b/>
          <w:color w:val="0071BB"/>
          <w:w w:val="120"/>
        </w:rPr>
        <w:t xml:space="preserve">do </w:t>
      </w:r>
      <w:proofErr w:type="spellStart"/>
      <w:r>
        <w:rPr>
          <w:rFonts w:ascii="Arial" w:hAnsi="Arial"/>
          <w:b/>
          <w:color w:val="0071BB"/>
          <w:w w:val="120"/>
        </w:rPr>
        <w:t>naruszenia</w:t>
      </w:r>
      <w:proofErr w:type="spellEnd"/>
      <w:r>
        <w:rPr>
          <w:rFonts w:ascii="Arial" w:hAnsi="Arial"/>
          <w:b/>
          <w:color w:val="0071BB"/>
          <w:w w:val="120"/>
        </w:rPr>
        <w:t xml:space="preserve"> art. 14 </w:t>
      </w:r>
      <w:r w:rsidRPr="00F107CB">
        <w:rPr>
          <w:rFonts w:ascii="Arial" w:hAnsi="Arial"/>
          <w:bCs/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zakaz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dyskryminacji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 </w:t>
      </w:r>
      <w:r>
        <w:rPr>
          <w:rFonts w:ascii="Arial" w:hAnsi="Arial"/>
          <w:b/>
          <w:color w:val="0071BB"/>
          <w:w w:val="120"/>
        </w:rPr>
        <w:t xml:space="preserve">w </w:t>
      </w:r>
      <w:proofErr w:type="spellStart"/>
      <w:r>
        <w:rPr>
          <w:rFonts w:ascii="Arial" w:hAnsi="Arial"/>
          <w:b/>
          <w:color w:val="0071BB"/>
          <w:w w:val="120"/>
        </w:rPr>
        <w:t>związku</w:t>
      </w:r>
      <w:proofErr w:type="spellEnd"/>
      <w:r>
        <w:rPr>
          <w:rFonts w:ascii="Arial" w:hAnsi="Arial"/>
          <w:b/>
          <w:color w:val="0071BB"/>
          <w:w w:val="120"/>
        </w:rPr>
        <w:t xml:space="preserve"> z art. 3 </w:t>
      </w:r>
      <w:proofErr w:type="spellStart"/>
      <w:r w:rsidR="000D313C">
        <w:rPr>
          <w:rFonts w:ascii="Arial" w:hAnsi="Arial"/>
          <w:b/>
          <w:color w:val="0071BB"/>
          <w:w w:val="120"/>
        </w:rPr>
        <w:t>P</w:t>
      </w:r>
      <w:r>
        <w:rPr>
          <w:rFonts w:ascii="Arial" w:hAnsi="Arial"/>
          <w:b/>
          <w:color w:val="0071BB"/>
          <w:w w:val="120"/>
        </w:rPr>
        <w:t>rotokołu</w:t>
      </w:r>
      <w:proofErr w:type="spellEnd"/>
      <w:r>
        <w:rPr>
          <w:rFonts w:ascii="Arial" w:hAnsi="Arial"/>
          <w:b/>
          <w:color w:val="0071BB"/>
          <w:w w:val="120"/>
        </w:rPr>
        <w:t xml:space="preserve"> nr 1, </w:t>
      </w:r>
      <w:r>
        <w:rPr>
          <w:color w:val="0071BB"/>
          <w:w w:val="120"/>
        </w:rPr>
        <w:t xml:space="preserve">ponieważ </w:t>
      </w:r>
      <w:proofErr w:type="spellStart"/>
      <w:r>
        <w:rPr>
          <w:color w:val="0071BB"/>
          <w:w w:val="120"/>
        </w:rPr>
        <w:t>był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przekonany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różnica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traktowaniu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miała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uzasadniony</w:t>
      </w:r>
      <w:proofErr w:type="spellEnd"/>
      <w:r>
        <w:rPr>
          <w:color w:val="0071BB"/>
          <w:w w:val="120"/>
        </w:rPr>
        <w:t xml:space="preserve"> cel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istniał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rozsądn</w:t>
      </w:r>
      <w:r w:rsidR="003B7F9E">
        <w:rPr>
          <w:color w:val="0071BB"/>
          <w:w w:val="120"/>
        </w:rPr>
        <w:t>y</w:t>
      </w:r>
      <w:proofErr w:type="spellEnd"/>
      <w:r>
        <w:rPr>
          <w:color w:val="0071BB"/>
          <w:w w:val="120"/>
        </w:rPr>
        <w:t xml:space="preserve"> </w:t>
      </w:r>
      <w:proofErr w:type="spellStart"/>
      <w:r w:rsidR="003B7F9E">
        <w:rPr>
          <w:color w:val="0071BB"/>
          <w:w w:val="120"/>
        </w:rPr>
        <w:t>stosunek</w:t>
      </w:r>
      <w:proofErr w:type="spellEnd"/>
      <w:r w:rsidR="003B7F9E"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proporcjonalnoś</w:t>
      </w:r>
      <w:r w:rsidR="003B7F9E">
        <w:rPr>
          <w:color w:val="0071BB"/>
          <w:w w:val="120"/>
        </w:rPr>
        <w:t>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między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zastosowanymi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środkami</w:t>
      </w:r>
      <w:proofErr w:type="spellEnd"/>
      <w:r>
        <w:rPr>
          <w:color w:val="0071BB"/>
          <w:w w:val="120"/>
        </w:rPr>
        <w:t xml:space="preserve"> a </w:t>
      </w:r>
      <w:proofErr w:type="spellStart"/>
      <w:r>
        <w:rPr>
          <w:color w:val="0071BB"/>
          <w:w w:val="120"/>
        </w:rPr>
        <w:t>celem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który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zostać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osiągnięty</w:t>
      </w:r>
      <w:proofErr w:type="spellEnd"/>
      <w:r>
        <w:rPr>
          <w:color w:val="0071BB"/>
          <w:w w:val="120"/>
        </w:rPr>
        <w:t>.</w:t>
      </w:r>
    </w:p>
    <w:p w14:paraId="6117D1CA" w14:textId="77777777" w:rsidR="006941BE" w:rsidRDefault="00D51B6B">
      <w:pPr>
        <w:pStyle w:val="Nagwek2"/>
        <w:spacing w:before="105"/>
        <w:rPr>
          <w:u w:val="none"/>
        </w:rPr>
      </w:pPr>
      <w:hyperlink r:id="rId30">
        <w:r>
          <w:rPr>
            <w:color w:val="0071BB"/>
            <w:w w:val="115"/>
            <w:u w:color="0071BB"/>
          </w:rPr>
          <w:t xml:space="preserve">Caamaño Valle </w:t>
        </w:r>
        <w:proofErr w:type="spellStart"/>
        <w:r>
          <w:rPr>
            <w:color w:val="0071BB"/>
            <w:w w:val="115"/>
            <w:u w:color="0071BB"/>
          </w:rPr>
          <w:t>przeciwko</w:t>
        </w:r>
        <w:proofErr w:type="spellEnd"/>
        <w:r>
          <w:rPr>
            <w:color w:val="0071BB"/>
            <w:w w:val="115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15"/>
            <w:u w:color="0071BB"/>
          </w:rPr>
          <w:t>Hiszpanii</w:t>
        </w:r>
        <w:proofErr w:type="spellEnd"/>
      </w:hyperlink>
    </w:p>
    <w:p w14:paraId="69D81B81" w14:textId="77777777" w:rsidR="006941BE" w:rsidRDefault="00D51B6B">
      <w:pPr>
        <w:spacing w:before="67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>11 maja</w:t>
      </w:r>
      <w:r>
        <w:rPr>
          <w:color w:val="808080"/>
          <w:spacing w:val="-4"/>
          <w:w w:val="125"/>
          <w:sz w:val="18"/>
        </w:rPr>
        <w:t xml:space="preserve"> 2021 r.</w:t>
      </w:r>
    </w:p>
    <w:p w14:paraId="22A41E00" w14:textId="77777777" w:rsidR="006941BE" w:rsidRDefault="00D51B6B">
      <w:pPr>
        <w:pStyle w:val="Tekstpodstawowy"/>
        <w:spacing w:before="1"/>
        <w:ind w:left="873" w:right="871"/>
      </w:pPr>
      <w:proofErr w:type="spellStart"/>
      <w:r>
        <w:rPr>
          <w:w w:val="120"/>
        </w:rPr>
        <w:t>Sprawa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dotyczyła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pozbawienia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wyborczych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córki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skarżącej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która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była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niepełnosprawna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umysłowo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Skarżąca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twierdziła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ograniczenia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wyborczego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córki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naruszały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miały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charakter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dyskryminacyjny</w:t>
      </w:r>
      <w:proofErr w:type="spellEnd"/>
      <w:r>
        <w:rPr>
          <w:w w:val="120"/>
        </w:rPr>
        <w:t>.</w:t>
      </w:r>
    </w:p>
    <w:p w14:paraId="0D1F9C54" w14:textId="4DF33649" w:rsidR="006941BE" w:rsidRDefault="00D51B6B">
      <w:pPr>
        <w:pStyle w:val="Tekstpodstawowy"/>
        <w:ind w:left="874" w:right="871" w:hanging="1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rFonts w:ascii="Arial" w:hAnsi="Arial"/>
          <w:b/>
          <w:color w:val="0071BB"/>
          <w:w w:val="120"/>
        </w:rPr>
        <w:t>nie</w:t>
      </w:r>
      <w:proofErr w:type="spellEnd"/>
      <w:r>
        <w:rPr>
          <w:rFonts w:ascii="Arial" w:hAnsi="Arial"/>
          <w:b/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rFonts w:ascii="Arial" w:hAnsi="Arial"/>
          <w:b/>
          <w:color w:val="0071BB"/>
          <w:w w:val="120"/>
        </w:rPr>
        <w:t xml:space="preserve">do </w:t>
      </w:r>
      <w:proofErr w:type="spellStart"/>
      <w:r>
        <w:rPr>
          <w:rFonts w:ascii="Arial" w:hAnsi="Arial"/>
          <w:b/>
          <w:color w:val="0071BB"/>
          <w:w w:val="120"/>
        </w:rPr>
        <w:t>naruszenia</w:t>
      </w:r>
      <w:proofErr w:type="spellEnd"/>
      <w:r>
        <w:rPr>
          <w:rFonts w:ascii="Arial" w:hAnsi="Arial"/>
          <w:b/>
          <w:color w:val="0071BB"/>
          <w:w w:val="120"/>
        </w:rPr>
        <w:t xml:space="preserve"> art. 3 </w:t>
      </w:r>
      <w:proofErr w:type="spellStart"/>
      <w:r w:rsidR="000D313C">
        <w:rPr>
          <w:rFonts w:ascii="Arial" w:hAnsi="Arial"/>
          <w:b/>
          <w:color w:val="0071BB"/>
          <w:w w:val="120"/>
        </w:rPr>
        <w:t>P</w:t>
      </w:r>
      <w:r>
        <w:rPr>
          <w:rFonts w:ascii="Arial" w:hAnsi="Arial"/>
          <w:b/>
          <w:color w:val="0071BB"/>
          <w:w w:val="120"/>
        </w:rPr>
        <w:t>rotokołu</w:t>
      </w:r>
      <w:proofErr w:type="spellEnd"/>
      <w:r>
        <w:rPr>
          <w:rFonts w:ascii="Arial" w:hAnsi="Arial"/>
          <w:b/>
          <w:color w:val="0071BB"/>
          <w:w w:val="120"/>
        </w:rPr>
        <w:t xml:space="preserve"> nr 1 </w:t>
      </w:r>
      <w:r>
        <w:rPr>
          <w:color w:val="0071BB"/>
          <w:w w:val="120"/>
        </w:rPr>
        <w:t xml:space="preserve">do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również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rFonts w:ascii="Arial" w:hAnsi="Arial"/>
          <w:b/>
          <w:color w:val="0071BB"/>
          <w:w w:val="120"/>
        </w:rPr>
        <w:t>nie</w:t>
      </w:r>
      <w:proofErr w:type="spellEnd"/>
      <w:r>
        <w:rPr>
          <w:rFonts w:ascii="Arial" w:hAnsi="Arial"/>
          <w:b/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rFonts w:ascii="Arial" w:hAnsi="Arial"/>
          <w:b/>
          <w:color w:val="0071BB"/>
          <w:w w:val="120"/>
        </w:rPr>
        <w:t xml:space="preserve">do </w:t>
      </w:r>
      <w:proofErr w:type="spellStart"/>
      <w:r>
        <w:rPr>
          <w:rFonts w:ascii="Arial" w:hAnsi="Arial"/>
          <w:b/>
          <w:color w:val="0071BB"/>
          <w:w w:val="120"/>
        </w:rPr>
        <w:t>naruszenia</w:t>
      </w:r>
      <w:proofErr w:type="spellEnd"/>
      <w:r>
        <w:rPr>
          <w:rFonts w:ascii="Arial" w:hAnsi="Arial"/>
          <w:b/>
          <w:color w:val="0071BB"/>
          <w:w w:val="120"/>
        </w:rPr>
        <w:t xml:space="preserve"> art. 14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zakaz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dyskryminacji</w:t>
      </w:r>
      <w:proofErr w:type="spellEnd"/>
      <w:r>
        <w:rPr>
          <w:color w:val="0071BB"/>
          <w:w w:val="120"/>
        </w:rPr>
        <w:t xml:space="preserve">) </w:t>
      </w:r>
      <w:r>
        <w:rPr>
          <w:rFonts w:ascii="Arial" w:hAnsi="Arial"/>
          <w:b/>
          <w:color w:val="0071BB"/>
          <w:w w:val="120"/>
        </w:rPr>
        <w:t xml:space="preserve">w </w:t>
      </w:r>
      <w:proofErr w:type="spellStart"/>
      <w:r>
        <w:rPr>
          <w:rFonts w:ascii="Arial" w:hAnsi="Arial"/>
          <w:b/>
          <w:color w:val="0071BB"/>
          <w:w w:val="120"/>
        </w:rPr>
        <w:t>związku</w:t>
      </w:r>
      <w:proofErr w:type="spellEnd"/>
      <w:r>
        <w:rPr>
          <w:rFonts w:ascii="Arial" w:hAnsi="Arial"/>
          <w:b/>
          <w:color w:val="0071BB"/>
          <w:w w:val="120"/>
        </w:rPr>
        <w:t xml:space="preserve"> z art. 3 </w:t>
      </w:r>
      <w:proofErr w:type="spellStart"/>
      <w:r w:rsidR="000D313C">
        <w:rPr>
          <w:rFonts w:ascii="Arial" w:hAnsi="Arial"/>
          <w:b/>
          <w:color w:val="0071BB"/>
          <w:w w:val="120"/>
        </w:rPr>
        <w:t>P</w:t>
      </w:r>
      <w:r>
        <w:rPr>
          <w:rFonts w:ascii="Arial" w:hAnsi="Arial"/>
          <w:b/>
          <w:color w:val="0071BB"/>
          <w:w w:val="120"/>
        </w:rPr>
        <w:t>rotokołu</w:t>
      </w:r>
      <w:proofErr w:type="spellEnd"/>
      <w:r>
        <w:rPr>
          <w:rFonts w:ascii="Arial" w:hAnsi="Arial"/>
          <w:b/>
          <w:color w:val="0071BB"/>
          <w:w w:val="120"/>
        </w:rPr>
        <w:t xml:space="preserve"> nr 1 ani do </w:t>
      </w:r>
      <w:proofErr w:type="spellStart"/>
      <w:r>
        <w:rPr>
          <w:rFonts w:ascii="Arial" w:hAnsi="Arial"/>
          <w:b/>
          <w:color w:val="0071BB"/>
          <w:w w:val="120"/>
        </w:rPr>
        <w:t>naruszenia</w:t>
      </w:r>
      <w:proofErr w:type="spellEnd"/>
      <w:r>
        <w:rPr>
          <w:rFonts w:ascii="Arial" w:hAnsi="Arial"/>
          <w:b/>
          <w:color w:val="0071BB"/>
          <w:w w:val="120"/>
        </w:rPr>
        <w:t xml:space="preserve"> art. 1 </w:t>
      </w:r>
      <w:r>
        <w:rPr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ogólny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zakaz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dyskryminacji</w:t>
      </w:r>
      <w:proofErr w:type="spellEnd"/>
      <w:r>
        <w:rPr>
          <w:color w:val="0071BB"/>
          <w:w w:val="120"/>
        </w:rPr>
        <w:t xml:space="preserve">) </w:t>
      </w:r>
      <w:proofErr w:type="spellStart"/>
      <w:r w:rsidR="000D313C">
        <w:rPr>
          <w:rFonts w:ascii="Arial" w:hAnsi="Arial"/>
          <w:b/>
          <w:color w:val="0071BB"/>
          <w:w w:val="120"/>
        </w:rPr>
        <w:t>P</w:t>
      </w:r>
      <w:r>
        <w:rPr>
          <w:rFonts w:ascii="Arial" w:hAnsi="Arial"/>
          <w:b/>
          <w:color w:val="0071BB"/>
          <w:w w:val="120"/>
        </w:rPr>
        <w:t>rotokołu</w:t>
      </w:r>
      <w:proofErr w:type="spellEnd"/>
      <w:r>
        <w:rPr>
          <w:rFonts w:ascii="Arial" w:hAnsi="Arial"/>
          <w:b/>
          <w:color w:val="0071BB"/>
          <w:w w:val="120"/>
        </w:rPr>
        <w:t xml:space="preserve"> nr 12 </w:t>
      </w:r>
      <w:r>
        <w:rPr>
          <w:color w:val="0071BB"/>
          <w:w w:val="120"/>
        </w:rPr>
        <w:t xml:space="preserve">do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szczególności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„</w:t>
      </w:r>
      <w:proofErr w:type="spellStart"/>
      <w:r>
        <w:rPr>
          <w:color w:val="0071BB"/>
          <w:w w:val="120"/>
        </w:rPr>
        <w:t>zapewnienie</w:t>
      </w:r>
      <w:proofErr w:type="spellEnd"/>
      <w:r>
        <w:rPr>
          <w:color w:val="0071BB"/>
          <w:w w:val="120"/>
        </w:rPr>
        <w:t xml:space="preserve">, aby w </w:t>
      </w:r>
      <w:proofErr w:type="spellStart"/>
      <w:r>
        <w:rPr>
          <w:color w:val="0071BB"/>
          <w:w w:val="120"/>
        </w:rPr>
        <w:t>sprawach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publicznych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uczestniczyli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wyłącznie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obywatele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zdolni</w:t>
      </w:r>
      <w:proofErr w:type="spellEnd"/>
      <w:r>
        <w:rPr>
          <w:color w:val="0071BB"/>
          <w:w w:val="120"/>
        </w:rPr>
        <w:t xml:space="preserve"> do oceny </w:t>
      </w:r>
      <w:proofErr w:type="spellStart"/>
      <w:r>
        <w:rPr>
          <w:color w:val="0071BB"/>
          <w:w w:val="120"/>
        </w:rPr>
        <w:t>konsekwencji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swoich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decyzji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oraz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podejmowania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świadomych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rozsądnych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decyzji</w:t>
      </w:r>
      <w:proofErr w:type="spellEnd"/>
      <w:r>
        <w:rPr>
          <w:color w:val="0071BB"/>
          <w:w w:val="120"/>
        </w:rPr>
        <w:t xml:space="preserve">” </w:t>
      </w:r>
      <w:proofErr w:type="spellStart"/>
      <w:r>
        <w:rPr>
          <w:color w:val="0071BB"/>
          <w:w w:val="120"/>
        </w:rPr>
        <w:t>było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uzasadnionym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celem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który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leżał</w:t>
      </w:r>
      <w:proofErr w:type="spellEnd"/>
      <w:r>
        <w:rPr>
          <w:color w:val="0071BB"/>
          <w:w w:val="120"/>
        </w:rPr>
        <w:t xml:space="preserve"> u </w:t>
      </w:r>
      <w:proofErr w:type="spellStart"/>
      <w:r>
        <w:rPr>
          <w:color w:val="0071BB"/>
          <w:w w:val="120"/>
        </w:rPr>
        <w:t>podstaw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orzeczeń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sądów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krajowych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sprawie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córki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skarżącej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Ponadto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decyzja</w:t>
      </w:r>
      <w:proofErr w:type="spellEnd"/>
      <w:r>
        <w:rPr>
          <w:color w:val="0071BB"/>
          <w:w w:val="120"/>
        </w:rPr>
        <w:t xml:space="preserve"> o </w:t>
      </w:r>
      <w:proofErr w:type="spellStart"/>
      <w:r>
        <w:rPr>
          <w:color w:val="0071BB"/>
          <w:w w:val="120"/>
        </w:rPr>
        <w:t>pozbawieniu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wyborczych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miała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charakter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indywidualny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proporcjonalna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tego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celu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Wreszcie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pozbawienie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wyborczych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utrudniało</w:t>
      </w:r>
      <w:proofErr w:type="spellEnd"/>
      <w:r>
        <w:rPr>
          <w:color w:val="0071BB"/>
          <w:w w:val="120"/>
        </w:rPr>
        <w:t xml:space="preserve"> „</w:t>
      </w:r>
      <w:proofErr w:type="spellStart"/>
      <w:r>
        <w:rPr>
          <w:color w:val="0071BB"/>
          <w:w w:val="120"/>
        </w:rPr>
        <w:t>swobodnego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wyrażania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opinii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społeczeństwo</w:t>
      </w:r>
      <w:proofErr w:type="spellEnd"/>
      <w:r>
        <w:rPr>
          <w:color w:val="0071BB"/>
          <w:w w:val="120"/>
        </w:rPr>
        <w:t xml:space="preserve">”.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również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władze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krajowe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wzięły</w:t>
      </w:r>
      <w:proofErr w:type="spellEnd"/>
      <w:r>
        <w:rPr>
          <w:color w:val="0071BB"/>
          <w:w w:val="120"/>
        </w:rPr>
        <w:t xml:space="preserve"> pod </w:t>
      </w:r>
      <w:proofErr w:type="spellStart"/>
      <w:r>
        <w:rPr>
          <w:color w:val="0071BB"/>
          <w:w w:val="120"/>
        </w:rPr>
        <w:t>uwagę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szczególny</w:t>
      </w:r>
      <w:proofErr w:type="spellEnd"/>
      <w:r>
        <w:rPr>
          <w:color w:val="0071BB"/>
          <w:w w:val="120"/>
        </w:rPr>
        <w:t xml:space="preserve"> status </w:t>
      </w:r>
      <w:proofErr w:type="spellStart"/>
      <w:r>
        <w:rPr>
          <w:color w:val="0071BB"/>
          <w:w w:val="120"/>
        </w:rPr>
        <w:t>córki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dyskryminowały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jej</w:t>
      </w:r>
      <w:proofErr w:type="spellEnd"/>
      <w:r>
        <w:rPr>
          <w:color w:val="0071BB"/>
          <w:w w:val="120"/>
        </w:rPr>
        <w:t>.</w:t>
      </w:r>
    </w:p>
    <w:p w14:paraId="10BCEA15" w14:textId="77777777" w:rsidR="006941BE" w:rsidRDefault="006941BE">
      <w:pPr>
        <w:pStyle w:val="Tekstpodstawowy"/>
        <w:sectPr w:rsidR="006941BE">
          <w:pgSz w:w="11910" w:h="16840"/>
          <w:pgMar w:top="1400" w:right="566" w:bottom="680" w:left="566" w:header="720" w:footer="497" w:gutter="0"/>
          <w:cols w:space="708"/>
        </w:sectPr>
      </w:pPr>
    </w:p>
    <w:p w14:paraId="3A6CD782" w14:textId="77777777" w:rsidR="006941BE" w:rsidRDefault="006941BE">
      <w:pPr>
        <w:pStyle w:val="Tekstpodstawowy"/>
        <w:spacing w:before="62"/>
        <w:jc w:val="left"/>
      </w:pPr>
    </w:p>
    <w:p w14:paraId="7C9472AF" w14:textId="77777777" w:rsidR="006941BE" w:rsidRDefault="00D51B6B">
      <w:pPr>
        <w:pStyle w:val="Nagwek2"/>
        <w:spacing w:before="0"/>
        <w:rPr>
          <w:u w:val="none"/>
        </w:rPr>
      </w:pPr>
      <w:hyperlink r:id="rId31">
        <w:r>
          <w:rPr>
            <w:color w:val="0071BB"/>
            <w:w w:val="120"/>
            <w:u w:color="0071BB"/>
          </w:rPr>
          <w:t xml:space="preserve">Toplak </w:t>
        </w:r>
        <w:proofErr w:type="spellStart"/>
        <w:r>
          <w:rPr>
            <w:color w:val="0071BB"/>
            <w:w w:val="120"/>
            <w:u w:color="0071BB"/>
          </w:rPr>
          <w:t>i</w:t>
        </w:r>
        <w:proofErr w:type="spellEnd"/>
        <w:r>
          <w:rPr>
            <w:color w:val="0071BB"/>
            <w:w w:val="120"/>
            <w:u w:color="0071BB"/>
          </w:rPr>
          <w:t xml:space="preserve"> Mrak </w:t>
        </w:r>
        <w:proofErr w:type="spellStart"/>
        <w:r>
          <w:rPr>
            <w:color w:val="0071BB"/>
            <w:w w:val="120"/>
            <w:u w:color="0071BB"/>
          </w:rPr>
          <w:t>przeciwko</w:t>
        </w:r>
        <w:proofErr w:type="spellEnd"/>
        <w:r>
          <w:rPr>
            <w:color w:val="0071BB"/>
            <w:w w:val="120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20"/>
            <w:u w:color="0071BB"/>
          </w:rPr>
          <w:t>Słowenii</w:t>
        </w:r>
        <w:proofErr w:type="spellEnd"/>
      </w:hyperlink>
    </w:p>
    <w:p w14:paraId="6600A952" w14:textId="77777777" w:rsidR="006941BE" w:rsidRDefault="00D51B6B">
      <w:pPr>
        <w:spacing w:before="67"/>
        <w:ind w:left="874"/>
        <w:jc w:val="both"/>
        <w:rPr>
          <w:sz w:val="18"/>
        </w:rPr>
      </w:pPr>
      <w:r>
        <w:rPr>
          <w:color w:val="808080"/>
          <w:w w:val="120"/>
          <w:sz w:val="18"/>
        </w:rPr>
        <w:t xml:space="preserve">26 </w:t>
      </w:r>
      <w:proofErr w:type="spellStart"/>
      <w:r>
        <w:rPr>
          <w:color w:val="808080"/>
          <w:w w:val="120"/>
          <w:sz w:val="18"/>
        </w:rPr>
        <w:t>października</w:t>
      </w:r>
      <w:proofErr w:type="spellEnd"/>
      <w:r>
        <w:rPr>
          <w:color w:val="808080"/>
          <w:spacing w:val="-4"/>
          <w:w w:val="120"/>
          <w:sz w:val="18"/>
        </w:rPr>
        <w:t xml:space="preserve"> 2021 r.</w:t>
      </w:r>
    </w:p>
    <w:p w14:paraId="426C9178" w14:textId="06767A45" w:rsidR="006941BE" w:rsidRDefault="00D51B6B">
      <w:pPr>
        <w:pStyle w:val="Tekstpodstawowy"/>
        <w:spacing w:before="2"/>
        <w:ind w:left="874" w:right="871"/>
      </w:pPr>
      <w:proofErr w:type="spellStart"/>
      <w:r>
        <w:rPr>
          <w:w w:val="120"/>
        </w:rPr>
        <w:t>Sprawa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dotyczyła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rzekomego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braku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odpowiednich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środków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umożliwiających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skarżącym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cierpiącym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dystrofię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mięśniową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udział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wyborach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Parlamentu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Europejskiego</w:t>
      </w:r>
      <w:proofErr w:type="spellEnd"/>
      <w:r>
        <w:rPr>
          <w:w w:val="120"/>
        </w:rPr>
        <w:t xml:space="preserve"> w 2019 r. </w:t>
      </w:r>
      <w:proofErr w:type="spellStart"/>
      <w:r>
        <w:rPr>
          <w:w w:val="120"/>
        </w:rPr>
        <w:t>oraz</w:t>
      </w:r>
      <w:proofErr w:type="spellEnd"/>
      <w:r>
        <w:rPr>
          <w:w w:val="120"/>
        </w:rPr>
        <w:t xml:space="preserve"> w referendum </w:t>
      </w:r>
      <w:proofErr w:type="spellStart"/>
      <w:r>
        <w:rPr>
          <w:w w:val="120"/>
        </w:rPr>
        <w:t>krajowym</w:t>
      </w:r>
      <w:proofErr w:type="spellEnd"/>
      <w:r>
        <w:rPr>
          <w:w w:val="120"/>
        </w:rPr>
        <w:t xml:space="preserve"> w 2015 r., a </w:t>
      </w:r>
      <w:proofErr w:type="spellStart"/>
      <w:r>
        <w:rPr>
          <w:w w:val="120"/>
        </w:rPr>
        <w:t>także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rzekomego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braku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skutecznych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środków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odwoławczych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tym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zakresie</w:t>
      </w:r>
      <w:proofErr w:type="spellEnd"/>
      <w:r>
        <w:rPr>
          <w:w w:val="120"/>
        </w:rPr>
        <w:t xml:space="preserve">. </w:t>
      </w:r>
      <w:proofErr w:type="spellStart"/>
      <w:r w:rsidR="006746AB">
        <w:rPr>
          <w:w w:val="120"/>
        </w:rPr>
        <w:t>Skarżący</w:t>
      </w:r>
      <w:proofErr w:type="spellEnd"/>
      <w:r w:rsidR="006746AB">
        <w:rPr>
          <w:w w:val="120"/>
        </w:rPr>
        <w:t xml:space="preserve"> </w:t>
      </w:r>
      <w:proofErr w:type="spellStart"/>
      <w:r>
        <w:rPr>
          <w:w w:val="120"/>
        </w:rPr>
        <w:t>skarżyli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brak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skutecznych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środków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sądowych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dzięki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którym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mogliby</w:t>
      </w:r>
      <w:proofErr w:type="spellEnd"/>
      <w:r>
        <w:rPr>
          <w:w w:val="120"/>
        </w:rPr>
        <w:t xml:space="preserve"> z </w:t>
      </w:r>
      <w:proofErr w:type="spellStart"/>
      <w:r>
        <w:rPr>
          <w:w w:val="120"/>
        </w:rPr>
        <w:t>wyprzedzeniem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wystąpić</w:t>
      </w:r>
      <w:proofErr w:type="spellEnd"/>
      <w:r>
        <w:rPr>
          <w:w w:val="120"/>
        </w:rPr>
        <w:t xml:space="preserve"> o </w:t>
      </w:r>
      <w:proofErr w:type="spellStart"/>
      <w:r>
        <w:rPr>
          <w:w w:val="120"/>
        </w:rPr>
        <w:t>udostępnienie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przystosowanego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lokalu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wyborczego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Skarżyli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również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brak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skutecznych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środków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odwoławczych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dzięki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którym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mogliby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dochodzić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odszkodowania</w:t>
      </w:r>
      <w:proofErr w:type="spellEnd"/>
      <w:r>
        <w:rPr>
          <w:w w:val="120"/>
        </w:rPr>
        <w:t xml:space="preserve"> za </w:t>
      </w:r>
      <w:proofErr w:type="spellStart"/>
      <w:r>
        <w:rPr>
          <w:w w:val="120"/>
        </w:rPr>
        <w:t>dyskryminację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zakresie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wykonywania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prawa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głosowania</w:t>
      </w:r>
      <w:proofErr w:type="spellEnd"/>
      <w:r>
        <w:rPr>
          <w:w w:val="120"/>
        </w:rPr>
        <w:t>.</w:t>
      </w:r>
    </w:p>
    <w:p w14:paraId="5A158AE6" w14:textId="14A59713" w:rsidR="006941BE" w:rsidRDefault="00D51B6B">
      <w:pPr>
        <w:ind w:left="873" w:right="871"/>
        <w:jc w:val="both"/>
        <w:rPr>
          <w:sz w:val="20"/>
        </w:rPr>
      </w:pPr>
      <w:proofErr w:type="spellStart"/>
      <w:r>
        <w:rPr>
          <w:color w:val="0071BB"/>
          <w:w w:val="120"/>
          <w:sz w:val="20"/>
        </w:rPr>
        <w:t>Trybunał</w:t>
      </w:r>
      <w:proofErr w:type="spellEnd"/>
      <w:r>
        <w:rPr>
          <w:color w:val="0071BB"/>
          <w:w w:val="120"/>
          <w:sz w:val="20"/>
        </w:rPr>
        <w:t xml:space="preserve"> </w:t>
      </w:r>
      <w:proofErr w:type="spellStart"/>
      <w:r>
        <w:rPr>
          <w:color w:val="0071BB"/>
          <w:w w:val="120"/>
          <w:sz w:val="20"/>
        </w:rPr>
        <w:t>uznał</w:t>
      </w:r>
      <w:proofErr w:type="spellEnd"/>
      <w:r>
        <w:rPr>
          <w:color w:val="0071BB"/>
          <w:w w:val="120"/>
          <w:sz w:val="20"/>
        </w:rPr>
        <w:t xml:space="preserve">, </w:t>
      </w:r>
      <w:proofErr w:type="spellStart"/>
      <w:r>
        <w:rPr>
          <w:color w:val="0071BB"/>
          <w:w w:val="120"/>
          <w:sz w:val="20"/>
        </w:rPr>
        <w:t>że</w:t>
      </w:r>
      <w:proofErr w:type="spellEnd"/>
      <w:r>
        <w:rPr>
          <w:color w:val="0071BB"/>
          <w:w w:val="120"/>
          <w:sz w:val="20"/>
        </w:rPr>
        <w:t xml:space="preserve"> </w:t>
      </w:r>
      <w:proofErr w:type="spellStart"/>
      <w:r>
        <w:rPr>
          <w:color w:val="0071BB"/>
          <w:w w:val="120"/>
          <w:sz w:val="20"/>
        </w:rPr>
        <w:t>doszło</w:t>
      </w:r>
      <w:proofErr w:type="spellEnd"/>
      <w:r>
        <w:rPr>
          <w:color w:val="0071BB"/>
          <w:w w:val="120"/>
          <w:sz w:val="20"/>
        </w:rPr>
        <w:t xml:space="preserve"> </w:t>
      </w:r>
      <w:r>
        <w:rPr>
          <w:rFonts w:ascii="Arial" w:hAnsi="Arial"/>
          <w:b/>
          <w:color w:val="0071BB"/>
          <w:w w:val="120"/>
          <w:sz w:val="20"/>
        </w:rPr>
        <w:t xml:space="preserve">do </w:t>
      </w:r>
      <w:proofErr w:type="spellStart"/>
      <w:r>
        <w:rPr>
          <w:rFonts w:ascii="Arial" w:hAnsi="Arial"/>
          <w:b/>
          <w:color w:val="0071BB"/>
          <w:w w:val="120"/>
          <w:sz w:val="20"/>
        </w:rPr>
        <w:t>naruszenia</w:t>
      </w:r>
      <w:proofErr w:type="spellEnd"/>
      <w:r>
        <w:rPr>
          <w:rFonts w:ascii="Arial" w:hAnsi="Arial"/>
          <w:b/>
          <w:color w:val="0071BB"/>
          <w:w w:val="120"/>
          <w:sz w:val="20"/>
        </w:rPr>
        <w:t xml:space="preserve"> art. 13 </w:t>
      </w:r>
      <w:r>
        <w:rPr>
          <w:color w:val="0071BB"/>
          <w:w w:val="120"/>
          <w:sz w:val="20"/>
        </w:rPr>
        <w:t>(</w:t>
      </w:r>
      <w:proofErr w:type="spellStart"/>
      <w:r>
        <w:rPr>
          <w:color w:val="0071BB"/>
          <w:w w:val="120"/>
          <w:sz w:val="20"/>
        </w:rPr>
        <w:t>prawo</w:t>
      </w:r>
      <w:proofErr w:type="spellEnd"/>
      <w:r>
        <w:rPr>
          <w:color w:val="0071BB"/>
          <w:w w:val="120"/>
          <w:sz w:val="20"/>
        </w:rPr>
        <w:t xml:space="preserve"> do </w:t>
      </w:r>
      <w:proofErr w:type="spellStart"/>
      <w:r>
        <w:rPr>
          <w:color w:val="0071BB"/>
          <w:w w:val="120"/>
          <w:sz w:val="20"/>
        </w:rPr>
        <w:t>skutecznego</w:t>
      </w:r>
      <w:proofErr w:type="spellEnd"/>
      <w:r>
        <w:rPr>
          <w:color w:val="0071BB"/>
          <w:w w:val="120"/>
          <w:sz w:val="20"/>
        </w:rPr>
        <w:t xml:space="preserve"> </w:t>
      </w:r>
      <w:proofErr w:type="spellStart"/>
      <w:r>
        <w:rPr>
          <w:color w:val="0071BB"/>
          <w:w w:val="120"/>
          <w:sz w:val="20"/>
        </w:rPr>
        <w:t>środka</w:t>
      </w:r>
      <w:proofErr w:type="spellEnd"/>
      <w:r>
        <w:rPr>
          <w:color w:val="0071BB"/>
          <w:w w:val="120"/>
          <w:sz w:val="20"/>
        </w:rPr>
        <w:t xml:space="preserve"> </w:t>
      </w:r>
      <w:proofErr w:type="spellStart"/>
      <w:r>
        <w:rPr>
          <w:color w:val="0071BB"/>
          <w:w w:val="120"/>
          <w:sz w:val="20"/>
        </w:rPr>
        <w:t>odwoławczego</w:t>
      </w:r>
      <w:proofErr w:type="spellEnd"/>
      <w:r>
        <w:rPr>
          <w:color w:val="0071BB"/>
          <w:w w:val="120"/>
          <w:sz w:val="20"/>
        </w:rPr>
        <w:t xml:space="preserve">) </w:t>
      </w:r>
      <w:proofErr w:type="spellStart"/>
      <w:r>
        <w:rPr>
          <w:color w:val="0071BB"/>
          <w:w w:val="120"/>
          <w:sz w:val="20"/>
        </w:rPr>
        <w:t>Konwencji</w:t>
      </w:r>
      <w:proofErr w:type="spellEnd"/>
      <w:r>
        <w:rPr>
          <w:color w:val="0071BB"/>
          <w:w w:val="120"/>
          <w:sz w:val="20"/>
        </w:rPr>
        <w:t xml:space="preserve"> </w:t>
      </w:r>
      <w:r>
        <w:rPr>
          <w:rFonts w:ascii="Arial" w:hAnsi="Arial"/>
          <w:b/>
          <w:color w:val="0071BB"/>
          <w:w w:val="120"/>
          <w:sz w:val="20"/>
        </w:rPr>
        <w:t xml:space="preserve">w </w:t>
      </w:r>
      <w:proofErr w:type="spellStart"/>
      <w:r>
        <w:rPr>
          <w:rFonts w:ascii="Arial" w:hAnsi="Arial"/>
          <w:b/>
          <w:color w:val="0071BB"/>
          <w:w w:val="120"/>
          <w:sz w:val="20"/>
        </w:rPr>
        <w:t>związku</w:t>
      </w:r>
      <w:proofErr w:type="spellEnd"/>
      <w:r>
        <w:rPr>
          <w:rFonts w:ascii="Arial" w:hAnsi="Arial"/>
          <w:b/>
          <w:color w:val="0071BB"/>
          <w:w w:val="120"/>
          <w:sz w:val="20"/>
        </w:rPr>
        <w:t xml:space="preserve"> z art. 1 </w:t>
      </w:r>
      <w:r>
        <w:rPr>
          <w:color w:val="0071BB"/>
          <w:w w:val="120"/>
          <w:sz w:val="20"/>
        </w:rPr>
        <w:t>(</w:t>
      </w:r>
      <w:proofErr w:type="spellStart"/>
      <w:r>
        <w:rPr>
          <w:color w:val="0071BB"/>
          <w:w w:val="120"/>
          <w:sz w:val="20"/>
        </w:rPr>
        <w:t>ogólny</w:t>
      </w:r>
      <w:proofErr w:type="spellEnd"/>
      <w:r>
        <w:rPr>
          <w:color w:val="0071BB"/>
          <w:w w:val="120"/>
          <w:sz w:val="20"/>
        </w:rPr>
        <w:t xml:space="preserve"> </w:t>
      </w:r>
      <w:proofErr w:type="spellStart"/>
      <w:r>
        <w:rPr>
          <w:color w:val="0071BB"/>
          <w:w w:val="120"/>
          <w:sz w:val="20"/>
        </w:rPr>
        <w:t>zakaz</w:t>
      </w:r>
      <w:proofErr w:type="spellEnd"/>
      <w:r>
        <w:rPr>
          <w:color w:val="0071BB"/>
          <w:w w:val="120"/>
          <w:sz w:val="20"/>
        </w:rPr>
        <w:t xml:space="preserve"> </w:t>
      </w:r>
      <w:proofErr w:type="spellStart"/>
      <w:r>
        <w:rPr>
          <w:color w:val="0071BB"/>
          <w:w w:val="120"/>
          <w:sz w:val="20"/>
        </w:rPr>
        <w:t>dyskryminacji</w:t>
      </w:r>
      <w:proofErr w:type="spellEnd"/>
      <w:r>
        <w:rPr>
          <w:color w:val="0071BB"/>
          <w:w w:val="120"/>
          <w:sz w:val="20"/>
        </w:rPr>
        <w:t xml:space="preserve">) </w:t>
      </w:r>
      <w:proofErr w:type="spellStart"/>
      <w:r w:rsidR="003F666C">
        <w:rPr>
          <w:rFonts w:ascii="Arial" w:hAnsi="Arial"/>
          <w:b/>
          <w:color w:val="0071BB"/>
          <w:w w:val="120"/>
          <w:sz w:val="20"/>
        </w:rPr>
        <w:t>P</w:t>
      </w:r>
      <w:r>
        <w:rPr>
          <w:rFonts w:ascii="Arial" w:hAnsi="Arial"/>
          <w:b/>
          <w:color w:val="0071BB"/>
          <w:w w:val="120"/>
          <w:sz w:val="20"/>
        </w:rPr>
        <w:t>rotokołu</w:t>
      </w:r>
      <w:proofErr w:type="spellEnd"/>
      <w:r>
        <w:rPr>
          <w:rFonts w:ascii="Arial" w:hAnsi="Arial"/>
          <w:b/>
          <w:color w:val="0071BB"/>
          <w:w w:val="120"/>
          <w:sz w:val="20"/>
        </w:rPr>
        <w:t xml:space="preserve"> nr 12 </w:t>
      </w:r>
      <w:r>
        <w:rPr>
          <w:color w:val="0071BB"/>
          <w:w w:val="120"/>
          <w:sz w:val="20"/>
        </w:rPr>
        <w:t xml:space="preserve">do </w:t>
      </w:r>
      <w:proofErr w:type="spellStart"/>
      <w:r>
        <w:rPr>
          <w:color w:val="0071BB"/>
          <w:w w:val="120"/>
          <w:sz w:val="20"/>
        </w:rPr>
        <w:t>Konwencji</w:t>
      </w:r>
      <w:proofErr w:type="spellEnd"/>
      <w:r>
        <w:rPr>
          <w:color w:val="0071BB"/>
          <w:w w:val="120"/>
          <w:sz w:val="20"/>
        </w:rPr>
        <w:t xml:space="preserve"> w </w:t>
      </w:r>
      <w:proofErr w:type="spellStart"/>
      <w:r>
        <w:rPr>
          <w:color w:val="0071BB"/>
          <w:w w:val="120"/>
          <w:sz w:val="20"/>
        </w:rPr>
        <w:t>odniesieniu</w:t>
      </w:r>
      <w:proofErr w:type="spellEnd"/>
      <w:r>
        <w:rPr>
          <w:color w:val="0071BB"/>
          <w:w w:val="120"/>
          <w:sz w:val="20"/>
        </w:rPr>
        <w:t xml:space="preserve"> do </w:t>
      </w:r>
      <w:proofErr w:type="spellStart"/>
      <w:r>
        <w:rPr>
          <w:color w:val="0071BB"/>
          <w:w w:val="120"/>
          <w:sz w:val="20"/>
        </w:rPr>
        <w:t>udziału</w:t>
      </w:r>
      <w:proofErr w:type="spellEnd"/>
      <w:r>
        <w:rPr>
          <w:color w:val="0071BB"/>
          <w:w w:val="120"/>
          <w:sz w:val="20"/>
        </w:rPr>
        <w:t xml:space="preserve"> w referendum w 2015 r. w </w:t>
      </w:r>
      <w:proofErr w:type="spellStart"/>
      <w:r>
        <w:rPr>
          <w:color w:val="0071BB"/>
          <w:w w:val="120"/>
          <w:sz w:val="20"/>
        </w:rPr>
        <w:t>odniesieniu</w:t>
      </w:r>
      <w:proofErr w:type="spellEnd"/>
      <w:r>
        <w:rPr>
          <w:color w:val="0071BB"/>
          <w:w w:val="120"/>
          <w:sz w:val="20"/>
        </w:rPr>
        <w:t xml:space="preserve"> do </w:t>
      </w:r>
      <w:proofErr w:type="spellStart"/>
      <w:r>
        <w:rPr>
          <w:color w:val="0071BB"/>
          <w:w w:val="120"/>
          <w:sz w:val="20"/>
        </w:rPr>
        <w:t>obu</w:t>
      </w:r>
      <w:proofErr w:type="spellEnd"/>
      <w:r>
        <w:rPr>
          <w:color w:val="0071BB"/>
          <w:w w:val="120"/>
          <w:sz w:val="20"/>
        </w:rPr>
        <w:t xml:space="preserve"> </w:t>
      </w:r>
      <w:proofErr w:type="spellStart"/>
      <w:r>
        <w:rPr>
          <w:color w:val="0071BB"/>
          <w:w w:val="120"/>
          <w:sz w:val="20"/>
        </w:rPr>
        <w:t>skarżących</w:t>
      </w:r>
      <w:proofErr w:type="spellEnd"/>
      <w:r>
        <w:rPr>
          <w:color w:val="0071BB"/>
          <w:w w:val="120"/>
          <w:sz w:val="20"/>
        </w:rPr>
        <w:t xml:space="preserve">, </w:t>
      </w:r>
      <w:proofErr w:type="spellStart"/>
      <w:r>
        <w:rPr>
          <w:color w:val="0071BB"/>
          <w:w w:val="120"/>
          <w:sz w:val="20"/>
        </w:rPr>
        <w:t>że</w:t>
      </w:r>
      <w:proofErr w:type="spellEnd"/>
      <w:r>
        <w:rPr>
          <w:color w:val="0071BB"/>
          <w:w w:val="120"/>
          <w:sz w:val="20"/>
        </w:rPr>
        <w:t xml:space="preserve"> </w:t>
      </w:r>
      <w:proofErr w:type="spellStart"/>
      <w:r>
        <w:rPr>
          <w:rFonts w:ascii="Arial" w:hAnsi="Arial"/>
          <w:b/>
          <w:color w:val="0071BB"/>
          <w:w w:val="120"/>
          <w:sz w:val="20"/>
        </w:rPr>
        <w:t>nie</w:t>
      </w:r>
      <w:proofErr w:type="spellEnd"/>
      <w:r>
        <w:rPr>
          <w:rFonts w:ascii="Arial" w:hAnsi="Arial"/>
          <w:b/>
          <w:color w:val="0071BB"/>
          <w:w w:val="120"/>
          <w:sz w:val="20"/>
        </w:rPr>
        <w:t xml:space="preserve"> </w:t>
      </w:r>
      <w:proofErr w:type="spellStart"/>
      <w:r>
        <w:rPr>
          <w:color w:val="0071BB"/>
          <w:w w:val="120"/>
          <w:sz w:val="20"/>
        </w:rPr>
        <w:t>doszło</w:t>
      </w:r>
      <w:proofErr w:type="spellEnd"/>
      <w:r>
        <w:rPr>
          <w:color w:val="0071BB"/>
          <w:w w:val="120"/>
          <w:sz w:val="20"/>
        </w:rPr>
        <w:t xml:space="preserve"> </w:t>
      </w:r>
      <w:r>
        <w:rPr>
          <w:rFonts w:ascii="Arial" w:hAnsi="Arial"/>
          <w:b/>
          <w:color w:val="0071BB"/>
          <w:w w:val="120"/>
          <w:sz w:val="20"/>
        </w:rPr>
        <w:t xml:space="preserve">do </w:t>
      </w:r>
      <w:proofErr w:type="spellStart"/>
      <w:r>
        <w:rPr>
          <w:rFonts w:ascii="Arial" w:hAnsi="Arial"/>
          <w:b/>
          <w:color w:val="0071BB"/>
          <w:w w:val="120"/>
          <w:sz w:val="20"/>
        </w:rPr>
        <w:t>naruszenia</w:t>
      </w:r>
      <w:proofErr w:type="spellEnd"/>
      <w:r>
        <w:rPr>
          <w:rFonts w:ascii="Arial" w:hAnsi="Arial"/>
          <w:b/>
          <w:color w:val="0071BB"/>
          <w:w w:val="120"/>
          <w:sz w:val="20"/>
        </w:rPr>
        <w:t xml:space="preserve"> art. 13 </w:t>
      </w:r>
      <w:proofErr w:type="spellStart"/>
      <w:r>
        <w:rPr>
          <w:color w:val="0071BB"/>
          <w:w w:val="120"/>
          <w:sz w:val="20"/>
        </w:rPr>
        <w:t>Konwencji</w:t>
      </w:r>
      <w:proofErr w:type="spellEnd"/>
      <w:r>
        <w:rPr>
          <w:color w:val="0071BB"/>
          <w:w w:val="120"/>
          <w:sz w:val="20"/>
        </w:rPr>
        <w:t xml:space="preserve"> </w:t>
      </w:r>
      <w:r>
        <w:rPr>
          <w:rFonts w:ascii="Arial" w:hAnsi="Arial"/>
          <w:b/>
          <w:color w:val="0071BB"/>
          <w:w w:val="120"/>
          <w:sz w:val="20"/>
        </w:rPr>
        <w:t xml:space="preserve">w </w:t>
      </w:r>
      <w:proofErr w:type="spellStart"/>
      <w:r>
        <w:rPr>
          <w:rFonts w:ascii="Arial" w:hAnsi="Arial"/>
          <w:b/>
          <w:color w:val="0071BB"/>
          <w:w w:val="120"/>
          <w:sz w:val="20"/>
        </w:rPr>
        <w:t>związku</w:t>
      </w:r>
      <w:proofErr w:type="spellEnd"/>
      <w:r>
        <w:rPr>
          <w:rFonts w:ascii="Arial" w:hAnsi="Arial"/>
          <w:b/>
          <w:color w:val="0071BB"/>
          <w:w w:val="120"/>
          <w:sz w:val="20"/>
        </w:rPr>
        <w:t xml:space="preserve"> z art. 14 (</w:t>
      </w:r>
      <w:proofErr w:type="spellStart"/>
      <w:r>
        <w:rPr>
          <w:color w:val="0071BB"/>
          <w:w w:val="120"/>
          <w:sz w:val="20"/>
        </w:rPr>
        <w:t>zakaz</w:t>
      </w:r>
      <w:proofErr w:type="spellEnd"/>
      <w:r>
        <w:rPr>
          <w:color w:val="0071BB"/>
          <w:w w:val="120"/>
          <w:sz w:val="20"/>
        </w:rPr>
        <w:t xml:space="preserve"> </w:t>
      </w:r>
      <w:proofErr w:type="spellStart"/>
      <w:r>
        <w:rPr>
          <w:color w:val="0071BB"/>
          <w:w w:val="120"/>
          <w:sz w:val="20"/>
        </w:rPr>
        <w:t>dyskryminacji</w:t>
      </w:r>
      <w:proofErr w:type="spellEnd"/>
      <w:r>
        <w:rPr>
          <w:color w:val="0071BB"/>
          <w:w w:val="120"/>
          <w:sz w:val="20"/>
        </w:rPr>
        <w:t xml:space="preserve">) </w:t>
      </w:r>
      <w:proofErr w:type="spellStart"/>
      <w:r>
        <w:rPr>
          <w:color w:val="0071BB"/>
          <w:w w:val="120"/>
          <w:sz w:val="20"/>
        </w:rPr>
        <w:t>Konwencji</w:t>
      </w:r>
      <w:proofErr w:type="spellEnd"/>
      <w:r>
        <w:rPr>
          <w:color w:val="0071BB"/>
          <w:w w:val="120"/>
          <w:sz w:val="20"/>
        </w:rPr>
        <w:t xml:space="preserve"> </w:t>
      </w:r>
      <w:proofErr w:type="spellStart"/>
      <w:r>
        <w:rPr>
          <w:rFonts w:ascii="Arial" w:hAnsi="Arial"/>
          <w:b/>
          <w:color w:val="0071BB"/>
          <w:w w:val="120"/>
          <w:sz w:val="20"/>
        </w:rPr>
        <w:t>oraz</w:t>
      </w:r>
      <w:proofErr w:type="spellEnd"/>
      <w:r>
        <w:rPr>
          <w:rFonts w:ascii="Arial" w:hAnsi="Arial"/>
          <w:b/>
          <w:color w:val="0071BB"/>
          <w:w w:val="120"/>
          <w:sz w:val="20"/>
        </w:rPr>
        <w:t xml:space="preserve"> art. 3 </w:t>
      </w:r>
      <w:proofErr w:type="spellStart"/>
      <w:r w:rsidR="003F666C">
        <w:rPr>
          <w:rFonts w:ascii="Arial" w:hAnsi="Arial"/>
          <w:b/>
          <w:color w:val="0071BB"/>
          <w:w w:val="120"/>
          <w:sz w:val="20"/>
        </w:rPr>
        <w:t>P</w:t>
      </w:r>
      <w:r>
        <w:rPr>
          <w:rFonts w:ascii="Arial" w:hAnsi="Arial"/>
          <w:b/>
          <w:color w:val="0071BB"/>
          <w:w w:val="120"/>
          <w:sz w:val="20"/>
        </w:rPr>
        <w:t>rotokołu</w:t>
      </w:r>
      <w:proofErr w:type="spellEnd"/>
      <w:r>
        <w:rPr>
          <w:rFonts w:ascii="Arial" w:hAnsi="Arial"/>
          <w:b/>
          <w:color w:val="0071BB"/>
          <w:w w:val="120"/>
          <w:sz w:val="20"/>
        </w:rPr>
        <w:t xml:space="preserve"> nr 1 </w:t>
      </w:r>
      <w:r>
        <w:rPr>
          <w:color w:val="0071BB"/>
          <w:w w:val="120"/>
          <w:sz w:val="20"/>
        </w:rPr>
        <w:t xml:space="preserve">w </w:t>
      </w:r>
      <w:proofErr w:type="spellStart"/>
      <w:r>
        <w:rPr>
          <w:color w:val="0071BB"/>
          <w:w w:val="120"/>
          <w:sz w:val="20"/>
        </w:rPr>
        <w:t>odniesieniu</w:t>
      </w:r>
      <w:proofErr w:type="spellEnd"/>
      <w:r>
        <w:rPr>
          <w:color w:val="0071BB"/>
          <w:w w:val="120"/>
          <w:sz w:val="20"/>
        </w:rPr>
        <w:t xml:space="preserve"> do </w:t>
      </w:r>
      <w:proofErr w:type="spellStart"/>
      <w:r>
        <w:rPr>
          <w:color w:val="0071BB"/>
          <w:w w:val="120"/>
          <w:sz w:val="20"/>
        </w:rPr>
        <w:t>wyborów</w:t>
      </w:r>
      <w:proofErr w:type="spellEnd"/>
      <w:r>
        <w:rPr>
          <w:color w:val="0071BB"/>
          <w:w w:val="120"/>
          <w:sz w:val="20"/>
        </w:rPr>
        <w:t xml:space="preserve"> do </w:t>
      </w:r>
      <w:proofErr w:type="spellStart"/>
      <w:r>
        <w:rPr>
          <w:color w:val="0071BB"/>
          <w:w w:val="120"/>
          <w:sz w:val="20"/>
        </w:rPr>
        <w:t>Parlamentu</w:t>
      </w:r>
      <w:proofErr w:type="spellEnd"/>
      <w:r>
        <w:rPr>
          <w:color w:val="0071BB"/>
          <w:w w:val="120"/>
          <w:sz w:val="20"/>
        </w:rPr>
        <w:t xml:space="preserve"> </w:t>
      </w:r>
      <w:proofErr w:type="spellStart"/>
      <w:r>
        <w:rPr>
          <w:color w:val="0071BB"/>
          <w:w w:val="120"/>
          <w:sz w:val="20"/>
        </w:rPr>
        <w:t>Europejskiego</w:t>
      </w:r>
      <w:proofErr w:type="spellEnd"/>
      <w:r>
        <w:rPr>
          <w:color w:val="0071BB"/>
          <w:w w:val="120"/>
          <w:sz w:val="20"/>
        </w:rPr>
        <w:t xml:space="preserve"> w 2019 r. w </w:t>
      </w:r>
      <w:proofErr w:type="spellStart"/>
      <w:r>
        <w:rPr>
          <w:color w:val="0071BB"/>
          <w:w w:val="120"/>
          <w:sz w:val="20"/>
        </w:rPr>
        <w:t>odniesieniu</w:t>
      </w:r>
      <w:proofErr w:type="spellEnd"/>
      <w:r>
        <w:rPr>
          <w:color w:val="0071BB"/>
          <w:w w:val="120"/>
          <w:sz w:val="20"/>
        </w:rPr>
        <w:t xml:space="preserve"> do </w:t>
      </w:r>
      <w:proofErr w:type="spellStart"/>
      <w:r>
        <w:rPr>
          <w:color w:val="0071BB"/>
          <w:w w:val="120"/>
          <w:sz w:val="20"/>
        </w:rPr>
        <w:t>obu</w:t>
      </w:r>
      <w:proofErr w:type="spellEnd"/>
      <w:r>
        <w:rPr>
          <w:color w:val="0071BB"/>
          <w:w w:val="120"/>
          <w:sz w:val="20"/>
        </w:rPr>
        <w:t xml:space="preserve"> </w:t>
      </w:r>
      <w:proofErr w:type="spellStart"/>
      <w:r>
        <w:rPr>
          <w:color w:val="0071BB"/>
          <w:w w:val="120"/>
          <w:sz w:val="20"/>
        </w:rPr>
        <w:t>skarżących</w:t>
      </w:r>
      <w:proofErr w:type="spellEnd"/>
      <w:r>
        <w:rPr>
          <w:color w:val="0071BB"/>
          <w:w w:val="120"/>
          <w:sz w:val="20"/>
        </w:rPr>
        <w:t xml:space="preserve">, </w:t>
      </w:r>
      <w:proofErr w:type="spellStart"/>
      <w:r>
        <w:rPr>
          <w:color w:val="0071BB"/>
          <w:w w:val="120"/>
          <w:sz w:val="20"/>
        </w:rPr>
        <w:t>że</w:t>
      </w:r>
      <w:proofErr w:type="spellEnd"/>
      <w:r>
        <w:rPr>
          <w:color w:val="0071BB"/>
          <w:w w:val="120"/>
          <w:sz w:val="20"/>
        </w:rPr>
        <w:t xml:space="preserve"> </w:t>
      </w:r>
      <w:proofErr w:type="spellStart"/>
      <w:r>
        <w:rPr>
          <w:rFonts w:ascii="Arial" w:hAnsi="Arial"/>
          <w:b/>
          <w:color w:val="0071BB"/>
          <w:w w:val="120"/>
          <w:sz w:val="20"/>
        </w:rPr>
        <w:t>nie</w:t>
      </w:r>
      <w:proofErr w:type="spellEnd"/>
      <w:r>
        <w:rPr>
          <w:color w:val="0071BB"/>
          <w:w w:val="120"/>
          <w:sz w:val="20"/>
        </w:rPr>
        <w:t xml:space="preserve"> </w:t>
      </w:r>
      <w:proofErr w:type="spellStart"/>
      <w:r>
        <w:rPr>
          <w:color w:val="0071BB"/>
          <w:w w:val="120"/>
          <w:sz w:val="20"/>
        </w:rPr>
        <w:t>doszło</w:t>
      </w:r>
      <w:proofErr w:type="spellEnd"/>
      <w:r>
        <w:rPr>
          <w:color w:val="0071BB"/>
          <w:w w:val="120"/>
          <w:sz w:val="20"/>
        </w:rPr>
        <w:t xml:space="preserve"> </w:t>
      </w:r>
      <w:r>
        <w:rPr>
          <w:rFonts w:ascii="Arial" w:hAnsi="Arial"/>
          <w:b/>
          <w:color w:val="0071BB"/>
          <w:w w:val="120"/>
          <w:sz w:val="20"/>
        </w:rPr>
        <w:t xml:space="preserve">do </w:t>
      </w:r>
      <w:proofErr w:type="spellStart"/>
      <w:r>
        <w:rPr>
          <w:rFonts w:ascii="Arial" w:hAnsi="Arial"/>
          <w:b/>
          <w:color w:val="0071BB"/>
          <w:w w:val="120"/>
          <w:sz w:val="20"/>
        </w:rPr>
        <w:t>naruszenia</w:t>
      </w:r>
      <w:proofErr w:type="spellEnd"/>
      <w:r>
        <w:rPr>
          <w:rFonts w:ascii="Arial" w:hAnsi="Arial"/>
          <w:b/>
          <w:color w:val="0071BB"/>
          <w:w w:val="120"/>
          <w:sz w:val="20"/>
        </w:rPr>
        <w:t xml:space="preserve"> art. 1 </w:t>
      </w:r>
      <w:proofErr w:type="spellStart"/>
      <w:r w:rsidR="003F666C">
        <w:rPr>
          <w:rFonts w:ascii="Arial" w:hAnsi="Arial"/>
          <w:b/>
          <w:color w:val="0071BB"/>
          <w:w w:val="120"/>
          <w:sz w:val="20"/>
        </w:rPr>
        <w:t>P</w:t>
      </w:r>
      <w:r>
        <w:rPr>
          <w:rFonts w:ascii="Arial" w:hAnsi="Arial"/>
          <w:b/>
          <w:color w:val="0071BB"/>
          <w:w w:val="120"/>
          <w:sz w:val="20"/>
        </w:rPr>
        <w:t>rotokołu</w:t>
      </w:r>
      <w:proofErr w:type="spellEnd"/>
      <w:r>
        <w:rPr>
          <w:rFonts w:ascii="Arial" w:hAnsi="Arial"/>
          <w:b/>
          <w:color w:val="0071BB"/>
          <w:w w:val="120"/>
          <w:sz w:val="20"/>
        </w:rPr>
        <w:t xml:space="preserve"> nr 12 </w:t>
      </w:r>
      <w:r>
        <w:rPr>
          <w:color w:val="0071BB"/>
          <w:w w:val="120"/>
          <w:sz w:val="20"/>
        </w:rPr>
        <w:t xml:space="preserve">w </w:t>
      </w:r>
      <w:proofErr w:type="spellStart"/>
      <w:r>
        <w:rPr>
          <w:color w:val="0071BB"/>
          <w:w w:val="120"/>
          <w:sz w:val="20"/>
        </w:rPr>
        <w:t>odniesieniu</w:t>
      </w:r>
      <w:proofErr w:type="spellEnd"/>
      <w:r>
        <w:rPr>
          <w:color w:val="0071BB"/>
          <w:w w:val="120"/>
          <w:sz w:val="20"/>
        </w:rPr>
        <w:t xml:space="preserve"> do referendum w 2015 r. w </w:t>
      </w:r>
      <w:proofErr w:type="spellStart"/>
      <w:r>
        <w:rPr>
          <w:color w:val="0071BB"/>
          <w:w w:val="120"/>
          <w:sz w:val="20"/>
        </w:rPr>
        <w:t>odniesieniu</w:t>
      </w:r>
      <w:proofErr w:type="spellEnd"/>
      <w:r>
        <w:rPr>
          <w:color w:val="0071BB"/>
          <w:w w:val="120"/>
          <w:sz w:val="20"/>
        </w:rPr>
        <w:t xml:space="preserve"> do </w:t>
      </w:r>
      <w:proofErr w:type="spellStart"/>
      <w:r>
        <w:rPr>
          <w:color w:val="0071BB"/>
          <w:w w:val="120"/>
          <w:sz w:val="20"/>
        </w:rPr>
        <w:t>obu</w:t>
      </w:r>
      <w:proofErr w:type="spellEnd"/>
      <w:r>
        <w:rPr>
          <w:color w:val="0071BB"/>
          <w:w w:val="120"/>
          <w:sz w:val="20"/>
        </w:rPr>
        <w:t xml:space="preserve"> </w:t>
      </w:r>
      <w:proofErr w:type="spellStart"/>
      <w:r>
        <w:rPr>
          <w:color w:val="0071BB"/>
          <w:w w:val="120"/>
          <w:sz w:val="20"/>
        </w:rPr>
        <w:t>skarżących</w:t>
      </w:r>
      <w:proofErr w:type="spellEnd"/>
      <w:r>
        <w:rPr>
          <w:color w:val="0071BB"/>
          <w:w w:val="120"/>
          <w:sz w:val="20"/>
        </w:rPr>
        <w:t xml:space="preserve"> </w:t>
      </w:r>
      <w:proofErr w:type="spellStart"/>
      <w:r>
        <w:rPr>
          <w:color w:val="0071BB"/>
          <w:w w:val="120"/>
          <w:sz w:val="20"/>
        </w:rPr>
        <w:t>oraz</w:t>
      </w:r>
      <w:proofErr w:type="spellEnd"/>
      <w:r>
        <w:rPr>
          <w:color w:val="0071BB"/>
          <w:w w:val="120"/>
          <w:sz w:val="20"/>
        </w:rPr>
        <w:t xml:space="preserve"> </w:t>
      </w:r>
      <w:proofErr w:type="spellStart"/>
      <w:r>
        <w:rPr>
          <w:color w:val="0071BB"/>
          <w:w w:val="120"/>
          <w:sz w:val="20"/>
        </w:rPr>
        <w:t>że</w:t>
      </w:r>
      <w:proofErr w:type="spellEnd"/>
      <w:r>
        <w:rPr>
          <w:color w:val="0071BB"/>
          <w:w w:val="120"/>
          <w:sz w:val="20"/>
        </w:rPr>
        <w:t xml:space="preserve"> </w:t>
      </w:r>
      <w:proofErr w:type="spellStart"/>
      <w:r>
        <w:rPr>
          <w:rFonts w:ascii="Arial" w:hAnsi="Arial"/>
          <w:b/>
          <w:color w:val="0071BB"/>
          <w:w w:val="120"/>
          <w:sz w:val="20"/>
        </w:rPr>
        <w:t>nie</w:t>
      </w:r>
      <w:proofErr w:type="spellEnd"/>
      <w:r>
        <w:rPr>
          <w:color w:val="0071BB"/>
          <w:w w:val="120"/>
          <w:sz w:val="20"/>
        </w:rPr>
        <w:t xml:space="preserve"> </w:t>
      </w:r>
      <w:proofErr w:type="spellStart"/>
      <w:r>
        <w:rPr>
          <w:color w:val="0071BB"/>
          <w:w w:val="120"/>
          <w:sz w:val="20"/>
        </w:rPr>
        <w:t>doszło</w:t>
      </w:r>
      <w:proofErr w:type="spellEnd"/>
      <w:r>
        <w:rPr>
          <w:color w:val="0071BB"/>
          <w:w w:val="120"/>
          <w:sz w:val="20"/>
        </w:rPr>
        <w:t xml:space="preserve"> </w:t>
      </w:r>
      <w:r>
        <w:rPr>
          <w:rFonts w:ascii="Arial" w:hAnsi="Arial"/>
          <w:b/>
          <w:color w:val="0071BB"/>
          <w:w w:val="120"/>
          <w:sz w:val="20"/>
        </w:rPr>
        <w:t xml:space="preserve">do </w:t>
      </w:r>
      <w:proofErr w:type="spellStart"/>
      <w:r>
        <w:rPr>
          <w:rFonts w:ascii="Arial" w:hAnsi="Arial"/>
          <w:b/>
          <w:color w:val="0071BB"/>
          <w:w w:val="120"/>
          <w:sz w:val="20"/>
        </w:rPr>
        <w:t>naruszenia</w:t>
      </w:r>
      <w:proofErr w:type="spellEnd"/>
      <w:r>
        <w:rPr>
          <w:rFonts w:ascii="Arial" w:hAnsi="Arial"/>
          <w:b/>
          <w:color w:val="0071BB"/>
          <w:w w:val="120"/>
          <w:sz w:val="20"/>
        </w:rPr>
        <w:t xml:space="preserve"> art. 14 </w:t>
      </w:r>
      <w:proofErr w:type="spellStart"/>
      <w:r>
        <w:rPr>
          <w:color w:val="0071BB"/>
          <w:w w:val="120"/>
          <w:sz w:val="20"/>
        </w:rPr>
        <w:t>Konwencji</w:t>
      </w:r>
      <w:proofErr w:type="spellEnd"/>
      <w:r>
        <w:rPr>
          <w:color w:val="0071BB"/>
          <w:w w:val="120"/>
          <w:sz w:val="20"/>
        </w:rPr>
        <w:t xml:space="preserve"> </w:t>
      </w:r>
      <w:r>
        <w:rPr>
          <w:rFonts w:ascii="Arial" w:hAnsi="Arial"/>
          <w:b/>
          <w:color w:val="0071BB"/>
          <w:w w:val="120"/>
          <w:sz w:val="20"/>
        </w:rPr>
        <w:t xml:space="preserve">w </w:t>
      </w:r>
      <w:proofErr w:type="spellStart"/>
      <w:r>
        <w:rPr>
          <w:rFonts w:ascii="Arial" w:hAnsi="Arial"/>
          <w:b/>
          <w:color w:val="0071BB"/>
          <w:w w:val="120"/>
          <w:sz w:val="20"/>
        </w:rPr>
        <w:t>związku</w:t>
      </w:r>
      <w:proofErr w:type="spellEnd"/>
      <w:r>
        <w:rPr>
          <w:rFonts w:ascii="Arial" w:hAnsi="Arial"/>
          <w:b/>
          <w:color w:val="0071BB"/>
          <w:w w:val="120"/>
          <w:sz w:val="20"/>
        </w:rPr>
        <w:t xml:space="preserve"> z art. 3 </w:t>
      </w:r>
      <w:proofErr w:type="spellStart"/>
      <w:r>
        <w:rPr>
          <w:rFonts w:ascii="Arial" w:hAnsi="Arial"/>
          <w:b/>
          <w:color w:val="0071BB"/>
          <w:w w:val="120"/>
          <w:sz w:val="20"/>
        </w:rPr>
        <w:t>protokołu</w:t>
      </w:r>
      <w:proofErr w:type="spellEnd"/>
      <w:r>
        <w:rPr>
          <w:rFonts w:ascii="Arial" w:hAnsi="Arial"/>
          <w:b/>
          <w:color w:val="0071BB"/>
          <w:w w:val="120"/>
          <w:sz w:val="20"/>
        </w:rPr>
        <w:t xml:space="preserve"> nr 1 </w:t>
      </w:r>
      <w:r>
        <w:rPr>
          <w:color w:val="0071BB"/>
          <w:w w:val="120"/>
          <w:sz w:val="20"/>
        </w:rPr>
        <w:t xml:space="preserve">w </w:t>
      </w:r>
      <w:proofErr w:type="spellStart"/>
      <w:r>
        <w:rPr>
          <w:color w:val="0071BB"/>
          <w:w w:val="120"/>
          <w:sz w:val="20"/>
        </w:rPr>
        <w:t>odniesieniu</w:t>
      </w:r>
      <w:proofErr w:type="spellEnd"/>
      <w:r>
        <w:rPr>
          <w:color w:val="0071BB"/>
          <w:w w:val="120"/>
          <w:sz w:val="20"/>
        </w:rPr>
        <w:t xml:space="preserve"> do </w:t>
      </w:r>
      <w:proofErr w:type="spellStart"/>
      <w:r>
        <w:rPr>
          <w:color w:val="0071BB"/>
          <w:w w:val="120"/>
          <w:sz w:val="20"/>
        </w:rPr>
        <w:t>braku</w:t>
      </w:r>
      <w:proofErr w:type="spellEnd"/>
      <w:r>
        <w:rPr>
          <w:color w:val="0071BB"/>
          <w:w w:val="120"/>
          <w:sz w:val="20"/>
        </w:rPr>
        <w:t xml:space="preserve"> </w:t>
      </w:r>
      <w:proofErr w:type="spellStart"/>
      <w:r>
        <w:rPr>
          <w:color w:val="0071BB"/>
          <w:w w:val="120"/>
          <w:sz w:val="20"/>
        </w:rPr>
        <w:t>udziału</w:t>
      </w:r>
      <w:proofErr w:type="spellEnd"/>
      <w:r>
        <w:rPr>
          <w:color w:val="0071BB"/>
          <w:w w:val="120"/>
          <w:sz w:val="20"/>
        </w:rPr>
        <w:t xml:space="preserve"> </w:t>
      </w:r>
      <w:proofErr w:type="spellStart"/>
      <w:r>
        <w:rPr>
          <w:color w:val="0071BB"/>
          <w:w w:val="120"/>
          <w:sz w:val="20"/>
        </w:rPr>
        <w:t>pierwszego</w:t>
      </w:r>
      <w:proofErr w:type="spellEnd"/>
      <w:r>
        <w:rPr>
          <w:color w:val="0071BB"/>
          <w:w w:val="120"/>
          <w:sz w:val="20"/>
        </w:rPr>
        <w:t xml:space="preserve"> </w:t>
      </w:r>
      <w:proofErr w:type="spellStart"/>
      <w:r w:rsidR="006746AB">
        <w:rPr>
          <w:color w:val="0071BB"/>
          <w:w w:val="120"/>
          <w:sz w:val="20"/>
        </w:rPr>
        <w:t>skarżącego</w:t>
      </w:r>
      <w:proofErr w:type="spellEnd"/>
      <w:r w:rsidR="006746AB">
        <w:rPr>
          <w:color w:val="0071BB"/>
          <w:w w:val="120"/>
          <w:sz w:val="20"/>
        </w:rPr>
        <w:t xml:space="preserve"> </w:t>
      </w:r>
      <w:r>
        <w:rPr>
          <w:color w:val="0071BB"/>
          <w:w w:val="120"/>
          <w:sz w:val="20"/>
        </w:rPr>
        <w:t xml:space="preserve">w </w:t>
      </w:r>
      <w:proofErr w:type="spellStart"/>
      <w:r>
        <w:rPr>
          <w:color w:val="0071BB"/>
          <w:w w:val="120"/>
          <w:sz w:val="20"/>
        </w:rPr>
        <w:t>wyborach</w:t>
      </w:r>
      <w:proofErr w:type="spellEnd"/>
      <w:r>
        <w:rPr>
          <w:color w:val="0071BB"/>
          <w:w w:val="120"/>
          <w:sz w:val="20"/>
        </w:rPr>
        <w:t xml:space="preserve"> do </w:t>
      </w:r>
      <w:proofErr w:type="spellStart"/>
      <w:r>
        <w:rPr>
          <w:color w:val="0071BB"/>
          <w:w w:val="120"/>
          <w:sz w:val="20"/>
        </w:rPr>
        <w:t>Parlamentu</w:t>
      </w:r>
      <w:proofErr w:type="spellEnd"/>
      <w:r>
        <w:rPr>
          <w:color w:val="0071BB"/>
          <w:w w:val="120"/>
          <w:sz w:val="20"/>
        </w:rPr>
        <w:t xml:space="preserve"> </w:t>
      </w:r>
      <w:proofErr w:type="spellStart"/>
      <w:r>
        <w:rPr>
          <w:color w:val="0071BB"/>
          <w:w w:val="120"/>
          <w:sz w:val="20"/>
        </w:rPr>
        <w:t>Europejskiego</w:t>
      </w:r>
      <w:proofErr w:type="spellEnd"/>
      <w:r>
        <w:rPr>
          <w:color w:val="0071BB"/>
          <w:w w:val="120"/>
          <w:sz w:val="20"/>
        </w:rPr>
        <w:t xml:space="preserve"> w 2019 r.</w:t>
      </w:r>
    </w:p>
    <w:p w14:paraId="077E7F63" w14:textId="77777777" w:rsidR="006941BE" w:rsidRDefault="00D51B6B">
      <w:pPr>
        <w:pStyle w:val="Nagwek2"/>
        <w:spacing w:before="103"/>
        <w:ind w:left="873"/>
        <w:rPr>
          <w:u w:val="none"/>
        </w:rPr>
      </w:pPr>
      <w:hyperlink r:id="rId32">
        <w:r>
          <w:rPr>
            <w:color w:val="0071BB"/>
            <w:w w:val="120"/>
            <w:u w:color="0071BB"/>
          </w:rPr>
          <w:t xml:space="preserve">Anatoliy Marinov </w:t>
        </w:r>
        <w:proofErr w:type="spellStart"/>
        <w:r>
          <w:rPr>
            <w:color w:val="0071BB"/>
            <w:w w:val="120"/>
            <w:u w:color="0071BB"/>
          </w:rPr>
          <w:t>przeciwko</w:t>
        </w:r>
        <w:proofErr w:type="spellEnd"/>
        <w:r>
          <w:rPr>
            <w:color w:val="0071BB"/>
            <w:w w:val="120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20"/>
            <w:u w:color="0071BB"/>
          </w:rPr>
          <w:t>Bułgarii</w:t>
        </w:r>
        <w:proofErr w:type="spellEnd"/>
      </w:hyperlink>
    </w:p>
    <w:p w14:paraId="1AE9A6AC" w14:textId="77777777" w:rsidR="006941BE" w:rsidRDefault="00D51B6B">
      <w:pPr>
        <w:spacing w:before="67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 xml:space="preserve">15 </w:t>
      </w:r>
      <w:proofErr w:type="spellStart"/>
      <w:r>
        <w:rPr>
          <w:color w:val="808080"/>
          <w:w w:val="125"/>
          <w:sz w:val="18"/>
        </w:rPr>
        <w:t>lutego</w:t>
      </w:r>
      <w:proofErr w:type="spellEnd"/>
      <w:r>
        <w:rPr>
          <w:color w:val="808080"/>
          <w:spacing w:val="-4"/>
          <w:w w:val="125"/>
          <w:sz w:val="18"/>
        </w:rPr>
        <w:t xml:space="preserve"> 2022 r.</w:t>
      </w:r>
    </w:p>
    <w:p w14:paraId="10ABE6AF" w14:textId="27D00534" w:rsidR="006941BE" w:rsidRDefault="006746AB">
      <w:pPr>
        <w:pStyle w:val="Tekstpodstawowy"/>
        <w:spacing w:before="4"/>
        <w:ind w:left="873" w:right="868"/>
      </w:pPr>
      <w:proofErr w:type="spellStart"/>
      <w:r>
        <w:rPr>
          <w:w w:val="120"/>
        </w:rPr>
        <w:t>Skarżący</w:t>
      </w:r>
      <w:proofErr w:type="spellEnd"/>
      <w:r>
        <w:rPr>
          <w:w w:val="120"/>
        </w:rPr>
        <w:t xml:space="preserve"> </w:t>
      </w:r>
      <w:r w:rsidR="00D51B6B">
        <w:rPr>
          <w:w w:val="120"/>
        </w:rPr>
        <w:t xml:space="preserve">w </w:t>
      </w:r>
      <w:proofErr w:type="spellStart"/>
      <w:r w:rsidR="00D51B6B">
        <w:rPr>
          <w:w w:val="120"/>
        </w:rPr>
        <w:t>tej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sprawie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skarżył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się</w:t>
      </w:r>
      <w:proofErr w:type="spellEnd"/>
      <w:r w:rsidR="00D51B6B">
        <w:rPr>
          <w:w w:val="120"/>
        </w:rPr>
        <w:t xml:space="preserve">, </w:t>
      </w:r>
      <w:proofErr w:type="spellStart"/>
      <w:r w:rsidR="00D51B6B">
        <w:rPr>
          <w:w w:val="120"/>
        </w:rPr>
        <w:t>że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nie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mógł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skorzystać</w:t>
      </w:r>
      <w:proofErr w:type="spellEnd"/>
      <w:r w:rsidR="00D51B6B">
        <w:rPr>
          <w:w w:val="120"/>
        </w:rPr>
        <w:t xml:space="preserve"> z </w:t>
      </w:r>
      <w:proofErr w:type="spellStart"/>
      <w:r w:rsidR="00D51B6B">
        <w:rPr>
          <w:w w:val="120"/>
        </w:rPr>
        <w:t>prawa</w:t>
      </w:r>
      <w:proofErr w:type="spellEnd"/>
      <w:r w:rsidR="00D51B6B">
        <w:rPr>
          <w:w w:val="120"/>
        </w:rPr>
        <w:t xml:space="preserve"> do </w:t>
      </w:r>
      <w:proofErr w:type="spellStart"/>
      <w:r w:rsidR="00D51B6B">
        <w:rPr>
          <w:w w:val="120"/>
        </w:rPr>
        <w:t>głosowania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podczas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wyborów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parlamentarnych</w:t>
      </w:r>
      <w:proofErr w:type="spellEnd"/>
      <w:r w:rsidR="00D51B6B">
        <w:rPr>
          <w:w w:val="120"/>
        </w:rPr>
        <w:t xml:space="preserve"> w </w:t>
      </w:r>
      <w:proofErr w:type="spellStart"/>
      <w:r w:rsidR="00D51B6B">
        <w:rPr>
          <w:w w:val="120"/>
        </w:rPr>
        <w:t>Bułgarii</w:t>
      </w:r>
      <w:proofErr w:type="spellEnd"/>
      <w:r w:rsidR="00D51B6B">
        <w:rPr>
          <w:w w:val="120"/>
        </w:rPr>
        <w:t xml:space="preserve"> w 2017 r. </w:t>
      </w:r>
      <w:proofErr w:type="spellStart"/>
      <w:r w:rsidR="00D51B6B">
        <w:rPr>
          <w:w w:val="120"/>
        </w:rPr>
        <w:t>Jego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prawo</w:t>
      </w:r>
      <w:proofErr w:type="spellEnd"/>
      <w:r w:rsidR="00D51B6B">
        <w:rPr>
          <w:w w:val="120"/>
        </w:rPr>
        <w:t xml:space="preserve"> do </w:t>
      </w:r>
      <w:proofErr w:type="spellStart"/>
      <w:r w:rsidR="00D51B6B">
        <w:rPr>
          <w:w w:val="120"/>
        </w:rPr>
        <w:t>głosowania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zostało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automatycznie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cofnięte</w:t>
      </w:r>
      <w:proofErr w:type="spellEnd"/>
      <w:r w:rsidR="00D51B6B">
        <w:rPr>
          <w:w w:val="120"/>
        </w:rPr>
        <w:t xml:space="preserve">, </w:t>
      </w:r>
      <w:proofErr w:type="spellStart"/>
      <w:r w:rsidR="00D51B6B">
        <w:rPr>
          <w:w w:val="120"/>
        </w:rPr>
        <w:t>zgodnie</w:t>
      </w:r>
      <w:proofErr w:type="spellEnd"/>
      <w:r w:rsidR="00D51B6B">
        <w:rPr>
          <w:w w:val="120"/>
        </w:rPr>
        <w:t xml:space="preserve"> z </w:t>
      </w:r>
      <w:proofErr w:type="spellStart"/>
      <w:r w:rsidR="007A4FB7">
        <w:rPr>
          <w:w w:val="120"/>
        </w:rPr>
        <w:t>k</w:t>
      </w:r>
      <w:r w:rsidR="00D51B6B">
        <w:rPr>
          <w:w w:val="120"/>
        </w:rPr>
        <w:t>onstytucją</w:t>
      </w:r>
      <w:proofErr w:type="spellEnd"/>
      <w:r w:rsidR="00D51B6B">
        <w:rPr>
          <w:w w:val="120"/>
        </w:rPr>
        <w:t xml:space="preserve">, </w:t>
      </w:r>
      <w:proofErr w:type="spellStart"/>
      <w:r w:rsidR="00D51B6B">
        <w:rPr>
          <w:w w:val="120"/>
        </w:rPr>
        <w:t>kiedy</w:t>
      </w:r>
      <w:proofErr w:type="spellEnd"/>
      <w:r w:rsidR="00D51B6B">
        <w:rPr>
          <w:w w:val="120"/>
        </w:rPr>
        <w:t xml:space="preserve"> w 2000 r. </w:t>
      </w:r>
      <w:proofErr w:type="spellStart"/>
      <w:r w:rsidR="00D51B6B">
        <w:rPr>
          <w:w w:val="120"/>
        </w:rPr>
        <w:t>został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objęty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częściową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opieką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kuratorską</w:t>
      </w:r>
      <w:proofErr w:type="spellEnd"/>
      <w:r w:rsidR="00D51B6B">
        <w:rPr>
          <w:w w:val="120"/>
        </w:rPr>
        <w:t xml:space="preserve"> z </w:t>
      </w:r>
      <w:proofErr w:type="spellStart"/>
      <w:r w:rsidR="00D51B6B">
        <w:rPr>
          <w:w w:val="120"/>
        </w:rPr>
        <w:t>powodu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problemów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psychiatrycznych</w:t>
      </w:r>
      <w:proofErr w:type="spellEnd"/>
      <w:r w:rsidR="00D51B6B">
        <w:rPr>
          <w:w w:val="120"/>
        </w:rPr>
        <w:t xml:space="preserve">. </w:t>
      </w:r>
      <w:proofErr w:type="spellStart"/>
      <w:r w:rsidR="00D51B6B">
        <w:rPr>
          <w:w w:val="120"/>
        </w:rPr>
        <w:t>Skarżący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twierdził</w:t>
      </w:r>
      <w:proofErr w:type="spellEnd"/>
      <w:r w:rsidR="00D51B6B">
        <w:rPr>
          <w:w w:val="120"/>
        </w:rPr>
        <w:t xml:space="preserve">, </w:t>
      </w:r>
      <w:proofErr w:type="spellStart"/>
      <w:r w:rsidR="00D51B6B">
        <w:rPr>
          <w:w w:val="120"/>
        </w:rPr>
        <w:t>że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automatyczne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pozbawienie</w:t>
      </w:r>
      <w:proofErr w:type="spellEnd"/>
      <w:r w:rsidR="00D51B6B">
        <w:rPr>
          <w:w w:val="120"/>
        </w:rPr>
        <w:t xml:space="preserve"> go </w:t>
      </w:r>
      <w:proofErr w:type="spellStart"/>
      <w:r w:rsidR="00D51B6B">
        <w:rPr>
          <w:w w:val="120"/>
        </w:rPr>
        <w:t>praw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wyborczych</w:t>
      </w:r>
      <w:proofErr w:type="spellEnd"/>
      <w:r w:rsidR="00D51B6B">
        <w:rPr>
          <w:w w:val="120"/>
        </w:rPr>
        <w:t xml:space="preserve"> z </w:t>
      </w:r>
      <w:proofErr w:type="spellStart"/>
      <w:r w:rsidR="00D51B6B">
        <w:rPr>
          <w:w w:val="120"/>
        </w:rPr>
        <w:t>powodu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objęcia</w:t>
      </w:r>
      <w:proofErr w:type="spellEnd"/>
      <w:r w:rsidR="00D51B6B">
        <w:rPr>
          <w:w w:val="120"/>
        </w:rPr>
        <w:t xml:space="preserve"> go </w:t>
      </w:r>
      <w:proofErr w:type="spellStart"/>
      <w:r w:rsidR="00D51B6B">
        <w:rPr>
          <w:w w:val="120"/>
        </w:rPr>
        <w:t>częściową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opieką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kuratorską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i</w:t>
      </w:r>
      <w:proofErr w:type="spellEnd"/>
      <w:r w:rsidR="00D51B6B">
        <w:rPr>
          <w:w w:val="120"/>
        </w:rPr>
        <w:t xml:space="preserve"> bez </w:t>
      </w:r>
      <w:proofErr w:type="spellStart"/>
      <w:r w:rsidR="00D51B6B">
        <w:rPr>
          <w:w w:val="120"/>
        </w:rPr>
        <w:t>indywidualnej</w:t>
      </w:r>
      <w:proofErr w:type="spellEnd"/>
      <w:r w:rsidR="00D51B6B">
        <w:rPr>
          <w:w w:val="120"/>
        </w:rPr>
        <w:t xml:space="preserve"> oceny </w:t>
      </w:r>
      <w:proofErr w:type="spellStart"/>
      <w:r w:rsidR="00D51B6B">
        <w:rPr>
          <w:w w:val="120"/>
        </w:rPr>
        <w:t>sądowej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było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nieproporcjonalne</w:t>
      </w:r>
      <w:proofErr w:type="spellEnd"/>
      <w:r w:rsidR="00D51B6B">
        <w:rPr>
          <w:w w:val="120"/>
        </w:rPr>
        <w:t xml:space="preserve">. </w:t>
      </w:r>
      <w:proofErr w:type="spellStart"/>
      <w:r w:rsidR="00D51B6B">
        <w:rPr>
          <w:w w:val="120"/>
        </w:rPr>
        <w:t>Jego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zdaniem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wykluczenie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osób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niepełnosprawnych</w:t>
      </w:r>
      <w:proofErr w:type="spellEnd"/>
      <w:r w:rsidR="00D51B6B">
        <w:rPr>
          <w:w w:val="120"/>
        </w:rPr>
        <w:t xml:space="preserve">, w </w:t>
      </w:r>
      <w:proofErr w:type="spellStart"/>
      <w:r w:rsidR="00D51B6B">
        <w:rPr>
          <w:w w:val="120"/>
        </w:rPr>
        <w:t>tym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osób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cierpiących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na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zaburzenia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psychiczne</w:t>
      </w:r>
      <w:proofErr w:type="spellEnd"/>
      <w:r w:rsidR="00D51B6B">
        <w:rPr>
          <w:w w:val="120"/>
        </w:rPr>
        <w:t xml:space="preserve">, z </w:t>
      </w:r>
      <w:proofErr w:type="spellStart"/>
      <w:r w:rsidR="00D51B6B">
        <w:rPr>
          <w:w w:val="120"/>
        </w:rPr>
        <w:t>możliwości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głosowania</w:t>
      </w:r>
      <w:proofErr w:type="spellEnd"/>
      <w:r w:rsidR="00D51B6B">
        <w:rPr>
          <w:w w:val="120"/>
        </w:rPr>
        <w:t xml:space="preserve"> w </w:t>
      </w:r>
      <w:proofErr w:type="spellStart"/>
      <w:r w:rsidR="00D51B6B">
        <w:rPr>
          <w:w w:val="120"/>
        </w:rPr>
        <w:t>wyborach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stanowiło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naruszenie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standardów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międzynarodowych</w:t>
      </w:r>
      <w:proofErr w:type="spellEnd"/>
      <w:r w:rsidR="00D51B6B">
        <w:rPr>
          <w:w w:val="120"/>
        </w:rPr>
        <w:t>.</w:t>
      </w:r>
    </w:p>
    <w:p w14:paraId="2DBD8504" w14:textId="7259C429" w:rsidR="006941BE" w:rsidRDefault="00D51B6B">
      <w:pPr>
        <w:pStyle w:val="Tekstpodstawowy"/>
        <w:ind w:left="873" w:right="870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rFonts w:ascii="Arial" w:hAnsi="Arial"/>
          <w:b/>
          <w:color w:val="0071BB"/>
          <w:w w:val="120"/>
        </w:rPr>
        <w:t xml:space="preserve">do </w:t>
      </w:r>
      <w:proofErr w:type="spellStart"/>
      <w:r>
        <w:rPr>
          <w:rFonts w:ascii="Arial" w:hAnsi="Arial"/>
          <w:b/>
          <w:color w:val="0071BB"/>
          <w:w w:val="120"/>
        </w:rPr>
        <w:t>naruszenia</w:t>
      </w:r>
      <w:proofErr w:type="spellEnd"/>
      <w:r>
        <w:rPr>
          <w:rFonts w:ascii="Arial" w:hAnsi="Arial"/>
          <w:b/>
          <w:color w:val="0071BB"/>
          <w:w w:val="120"/>
        </w:rPr>
        <w:t xml:space="preserve"> art. 3 </w:t>
      </w:r>
      <w:proofErr w:type="spellStart"/>
      <w:r w:rsidR="003F666C">
        <w:rPr>
          <w:rFonts w:ascii="Arial" w:hAnsi="Arial"/>
          <w:b/>
          <w:color w:val="0071BB"/>
          <w:w w:val="120"/>
        </w:rPr>
        <w:t>P</w:t>
      </w:r>
      <w:r>
        <w:rPr>
          <w:rFonts w:ascii="Arial" w:hAnsi="Arial"/>
          <w:b/>
          <w:color w:val="0071BB"/>
          <w:w w:val="120"/>
        </w:rPr>
        <w:t>rotokołu</w:t>
      </w:r>
      <w:proofErr w:type="spellEnd"/>
      <w:r>
        <w:rPr>
          <w:rFonts w:ascii="Arial" w:hAnsi="Arial"/>
          <w:b/>
          <w:color w:val="0071BB"/>
          <w:w w:val="120"/>
        </w:rPr>
        <w:t xml:space="preserve"> nr 1 </w:t>
      </w:r>
      <w:r>
        <w:rPr>
          <w:color w:val="0071BB"/>
          <w:w w:val="120"/>
        </w:rPr>
        <w:t xml:space="preserve">do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stwierdzając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bezkrytyczne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pozbawienie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wyborczego</w:t>
      </w:r>
      <w:proofErr w:type="spellEnd"/>
      <w:r>
        <w:rPr>
          <w:color w:val="0071BB"/>
          <w:w w:val="120"/>
        </w:rPr>
        <w:t xml:space="preserve"> – bez </w:t>
      </w:r>
      <w:proofErr w:type="spellStart"/>
      <w:r>
        <w:rPr>
          <w:color w:val="0071BB"/>
          <w:w w:val="120"/>
        </w:rPr>
        <w:t>indywidualnej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kontroli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sądowej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wyłącznie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powodu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objęcia</w:t>
      </w:r>
      <w:proofErr w:type="spellEnd"/>
      <w:r>
        <w:rPr>
          <w:color w:val="0071BB"/>
          <w:w w:val="120"/>
        </w:rPr>
        <w:t xml:space="preserve"> go </w:t>
      </w:r>
      <w:proofErr w:type="spellStart"/>
      <w:r>
        <w:rPr>
          <w:color w:val="0071BB"/>
          <w:w w:val="120"/>
        </w:rPr>
        <w:t>częściową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opieką</w:t>
      </w:r>
      <w:proofErr w:type="spellEnd"/>
      <w:r w:rsidR="009E495C">
        <w:rPr>
          <w:color w:val="0071BB"/>
          <w:w w:val="120"/>
        </w:rPr>
        <w:t xml:space="preserve"> </w:t>
      </w:r>
      <w:proofErr w:type="spellStart"/>
      <w:r w:rsidR="009E495C">
        <w:rPr>
          <w:color w:val="0071BB"/>
          <w:w w:val="120"/>
        </w:rPr>
        <w:t>kuratorską</w:t>
      </w:r>
      <w:proofErr w:type="spellEnd"/>
      <w:r>
        <w:rPr>
          <w:color w:val="0071BB"/>
          <w:w w:val="120"/>
        </w:rPr>
        <w:t xml:space="preserve"> –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proporcjonalne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uzasadnionego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celu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ograniczenia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wyborczego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Zwrócił</w:t>
      </w:r>
      <w:proofErr w:type="spellEnd"/>
      <w:r>
        <w:rPr>
          <w:color w:val="0071BB"/>
          <w:w w:val="120"/>
        </w:rPr>
        <w:t xml:space="preserve"> on w </w:t>
      </w:r>
      <w:proofErr w:type="spellStart"/>
      <w:r>
        <w:rPr>
          <w:color w:val="0071BB"/>
          <w:w w:val="120"/>
        </w:rPr>
        <w:t>szczególności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uwagę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ograniczenie</w:t>
      </w:r>
      <w:proofErr w:type="spellEnd"/>
      <w:r>
        <w:rPr>
          <w:color w:val="0071BB"/>
          <w:w w:val="120"/>
        </w:rPr>
        <w:t xml:space="preserve"> to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rozróżniało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osób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objętych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całkowitą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opieką</w:t>
      </w:r>
      <w:proofErr w:type="spellEnd"/>
      <w:r w:rsidR="00AC4EA2">
        <w:rPr>
          <w:color w:val="0071BB"/>
          <w:w w:val="120"/>
        </w:rPr>
        <w:t xml:space="preserve"> </w:t>
      </w:r>
      <w:proofErr w:type="spellStart"/>
      <w:r w:rsidR="00AC4EA2">
        <w:rPr>
          <w:color w:val="0071BB"/>
          <w:w w:val="120"/>
        </w:rPr>
        <w:t>kuratorską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od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osób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objętych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częściową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opieką</w:t>
      </w:r>
      <w:proofErr w:type="spellEnd"/>
      <w:r w:rsidR="00AC4EA2">
        <w:rPr>
          <w:color w:val="0071BB"/>
          <w:w w:val="120"/>
        </w:rPr>
        <w:t xml:space="preserve"> </w:t>
      </w:r>
      <w:proofErr w:type="spellStart"/>
      <w:r w:rsidR="00AC4EA2">
        <w:rPr>
          <w:color w:val="0071BB"/>
          <w:w w:val="120"/>
        </w:rPr>
        <w:t>kuratorską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Ponadto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nic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wskazywało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gramStart"/>
      <w:r>
        <w:rPr>
          <w:color w:val="0071BB"/>
          <w:w w:val="120"/>
        </w:rPr>
        <w:t>to,</w:t>
      </w:r>
      <w:proofErr w:type="gramEnd"/>
      <w:r>
        <w:rPr>
          <w:color w:val="0071BB"/>
          <w:w w:val="120"/>
        </w:rPr>
        <w:t xml:space="preserve"> aby </w:t>
      </w:r>
      <w:proofErr w:type="spellStart"/>
      <w:r>
        <w:rPr>
          <w:color w:val="0071BB"/>
          <w:w w:val="120"/>
        </w:rPr>
        <w:t>bułgarski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ustawodawca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kiedykolwiek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próbował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rozważyć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konkurujące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interesy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lub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ocenić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proporcjonalność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ograniczenia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konstytucyjnego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jego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obecnym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brzmieniu</w:t>
      </w:r>
      <w:proofErr w:type="spellEnd"/>
      <w:r>
        <w:rPr>
          <w:color w:val="0071BB"/>
          <w:w w:val="120"/>
        </w:rPr>
        <w:t xml:space="preserve">, a </w:t>
      </w:r>
      <w:proofErr w:type="spellStart"/>
      <w:r>
        <w:rPr>
          <w:color w:val="0071BB"/>
          <w:w w:val="120"/>
        </w:rPr>
        <w:t>tym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samym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otworzyć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sądom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drogę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analizy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zdolności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spacing w:val="21"/>
          <w:w w:val="120"/>
        </w:rPr>
        <w:t>danej</w:t>
      </w:r>
      <w:proofErr w:type="spellEnd"/>
      <w:r>
        <w:rPr>
          <w:color w:val="0071BB"/>
          <w:spacing w:val="21"/>
          <w:w w:val="120"/>
        </w:rPr>
        <w:t xml:space="preserve"> </w:t>
      </w:r>
      <w:proofErr w:type="spellStart"/>
      <w:r>
        <w:rPr>
          <w:color w:val="0071BB"/>
          <w:w w:val="120"/>
        </w:rPr>
        <w:t>osoby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wykonywania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prawa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głosowania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niezależnie</w:t>
      </w:r>
      <w:proofErr w:type="spellEnd"/>
      <w:r>
        <w:rPr>
          <w:color w:val="0071BB"/>
          <w:w w:val="120"/>
        </w:rPr>
        <w:t xml:space="preserve"> od </w:t>
      </w:r>
      <w:proofErr w:type="spellStart"/>
      <w:r>
        <w:rPr>
          <w:color w:val="0071BB"/>
          <w:w w:val="120"/>
        </w:rPr>
        <w:t>decyzji</w:t>
      </w:r>
      <w:proofErr w:type="spellEnd"/>
      <w:r>
        <w:rPr>
          <w:color w:val="0071BB"/>
          <w:w w:val="120"/>
        </w:rPr>
        <w:t xml:space="preserve"> o </w:t>
      </w:r>
      <w:proofErr w:type="spellStart"/>
      <w:r>
        <w:rPr>
          <w:color w:val="0071BB"/>
          <w:w w:val="120"/>
        </w:rPr>
        <w:t>objęciu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osoby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kuratelą</w:t>
      </w:r>
      <w:proofErr w:type="spellEnd"/>
      <w:r>
        <w:rPr>
          <w:color w:val="0071BB"/>
          <w:w w:val="120"/>
        </w:rPr>
        <w:t xml:space="preserve">. W </w:t>
      </w:r>
      <w:proofErr w:type="spellStart"/>
      <w:r>
        <w:rPr>
          <w:color w:val="0071BB"/>
          <w:w w:val="120"/>
        </w:rPr>
        <w:t>niniejszej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sprawie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utracił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głosowania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wyniku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automatycznego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powszechnego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ograniczenia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wyborczego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osób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objętych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częściową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opieką</w:t>
      </w:r>
      <w:proofErr w:type="spellEnd"/>
      <w:r w:rsidR="00AC4EA2">
        <w:rPr>
          <w:color w:val="0071BB"/>
          <w:w w:val="120"/>
        </w:rPr>
        <w:t xml:space="preserve"> </w:t>
      </w:r>
      <w:proofErr w:type="spellStart"/>
      <w:r w:rsidR="00AC4EA2">
        <w:rPr>
          <w:color w:val="0071BB"/>
          <w:w w:val="120"/>
        </w:rPr>
        <w:t>kuratorską</w:t>
      </w:r>
      <w:proofErr w:type="spellEnd"/>
      <w:r>
        <w:rPr>
          <w:color w:val="0071BB"/>
          <w:w w:val="120"/>
        </w:rPr>
        <w:t xml:space="preserve">, bez </w:t>
      </w:r>
      <w:proofErr w:type="spellStart"/>
      <w:r>
        <w:rPr>
          <w:color w:val="0071BB"/>
          <w:w w:val="120"/>
        </w:rPr>
        <w:t>indywidualnej</w:t>
      </w:r>
      <w:proofErr w:type="spellEnd"/>
      <w:r>
        <w:rPr>
          <w:color w:val="0071BB"/>
          <w:w w:val="120"/>
        </w:rPr>
        <w:t xml:space="preserve"> oceny </w:t>
      </w:r>
      <w:proofErr w:type="spellStart"/>
      <w:r>
        <w:rPr>
          <w:color w:val="0071BB"/>
          <w:w w:val="120"/>
        </w:rPr>
        <w:t>sądowej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zdolności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głosowania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powtórzył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takie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powszechne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traktowanie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wszystkich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osób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niepełnosprawnością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intelektualną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lub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psychiczną</w:t>
      </w:r>
      <w:proofErr w:type="spellEnd"/>
      <w:r>
        <w:rPr>
          <w:color w:val="0071BB"/>
          <w:w w:val="120"/>
        </w:rPr>
        <w:t xml:space="preserve"> jest </w:t>
      </w:r>
      <w:proofErr w:type="spellStart"/>
      <w:r>
        <w:rPr>
          <w:color w:val="0071BB"/>
          <w:w w:val="120"/>
        </w:rPr>
        <w:t>wątpliwe</w:t>
      </w:r>
      <w:proofErr w:type="spellEnd"/>
      <w:r>
        <w:rPr>
          <w:color w:val="0071BB"/>
          <w:w w:val="120"/>
        </w:rPr>
        <w:t xml:space="preserve">, </w:t>
      </w:r>
      <w:proofErr w:type="gramStart"/>
      <w:r>
        <w:rPr>
          <w:color w:val="0071BB"/>
          <w:w w:val="120"/>
        </w:rPr>
        <w:t>a</w:t>
      </w:r>
      <w:proofErr w:type="gram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ograniczenie</w:t>
      </w:r>
      <w:proofErr w:type="spellEnd"/>
      <w:r>
        <w:rPr>
          <w:color w:val="0071BB"/>
          <w:w w:val="120"/>
        </w:rPr>
        <w:t xml:space="preserve"> ich </w:t>
      </w:r>
      <w:proofErr w:type="spellStart"/>
      <w:r>
        <w:rPr>
          <w:color w:val="0071BB"/>
          <w:w w:val="120"/>
        </w:rPr>
        <w:t>praw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musi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podlegać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ścisłej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kontroli</w:t>
      </w:r>
      <w:proofErr w:type="spellEnd"/>
      <w:r>
        <w:rPr>
          <w:color w:val="0071BB"/>
          <w:w w:val="120"/>
        </w:rPr>
        <w:t>.</w:t>
      </w:r>
    </w:p>
    <w:p w14:paraId="5AA4C231" w14:textId="77777777" w:rsidR="006941BE" w:rsidRDefault="00D51B6B">
      <w:pPr>
        <w:pStyle w:val="Nagwek1"/>
        <w:spacing w:before="220"/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9F640F0" wp14:editId="0726038B">
                <wp:simplePos x="0" y="0"/>
                <wp:positionH relativeFrom="page">
                  <wp:posOffset>896111</wp:posOffset>
                </wp:positionH>
                <wp:positionV relativeFrom="paragraph">
                  <wp:posOffset>395782</wp:posOffset>
                </wp:positionV>
                <wp:extent cx="5768340" cy="18415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18415">
                              <a:moveTo>
                                <a:pt x="576834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68340" y="18287"/>
                              </a:lnTo>
                              <a:lnTo>
                                <a:pt x="5768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CC585" id="Graphic 16" o:spid="_x0000_s1026" style="position:absolute;margin-left:70.55pt;margin-top:31.15pt;width:454.2pt;height:1.4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" path="m5768340,l,,,18287r5768340,l5768340,xe" fillcolor="#999" stroked="f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color w:val="0071BB"/>
          <w:spacing w:val="-5"/>
          <w:w w:val="120"/>
          <w:sz w:val="29"/>
        </w:rPr>
        <w:t>Zakaz</w:t>
      </w:r>
      <w:proofErr w:type="spellEnd"/>
      <w:r>
        <w:rPr>
          <w:color w:val="0071BB"/>
          <w:spacing w:val="-5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głosowania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przez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więźniów</w:t>
      </w:r>
      <w:proofErr w:type="spellEnd"/>
    </w:p>
    <w:p w14:paraId="7DBAC689" w14:textId="77777777" w:rsidR="006941BE" w:rsidRDefault="00D51B6B">
      <w:pPr>
        <w:spacing w:before="133"/>
        <w:ind w:left="874"/>
        <w:rPr>
          <w:sz w:val="20"/>
        </w:rPr>
      </w:pPr>
      <w:proofErr w:type="spellStart"/>
      <w:r>
        <w:rPr>
          <w:color w:val="E26C09"/>
          <w:w w:val="120"/>
          <w:sz w:val="20"/>
        </w:rPr>
        <w:t>Zobacz</w:t>
      </w:r>
      <w:proofErr w:type="spellEnd"/>
      <w:r>
        <w:rPr>
          <w:color w:val="E26C09"/>
          <w:w w:val="120"/>
          <w:sz w:val="20"/>
        </w:rPr>
        <w:t xml:space="preserve"> </w:t>
      </w:r>
      <w:proofErr w:type="spellStart"/>
      <w:r>
        <w:rPr>
          <w:color w:val="E26C09"/>
          <w:spacing w:val="-2"/>
          <w:w w:val="120"/>
          <w:sz w:val="20"/>
        </w:rPr>
        <w:t>arkusz</w:t>
      </w:r>
      <w:proofErr w:type="spellEnd"/>
      <w:r>
        <w:rPr>
          <w:color w:val="E26C09"/>
          <w:spacing w:val="-2"/>
          <w:w w:val="120"/>
          <w:sz w:val="20"/>
        </w:rPr>
        <w:t xml:space="preserve"> </w:t>
      </w:r>
      <w:proofErr w:type="spellStart"/>
      <w:r>
        <w:rPr>
          <w:color w:val="E26C09"/>
          <w:spacing w:val="-2"/>
          <w:w w:val="120"/>
          <w:sz w:val="20"/>
        </w:rPr>
        <w:t>informacyjny</w:t>
      </w:r>
      <w:proofErr w:type="spellEnd"/>
      <w:r>
        <w:rPr>
          <w:color w:val="E26C09"/>
          <w:spacing w:val="-2"/>
          <w:w w:val="120"/>
          <w:sz w:val="20"/>
        </w:rPr>
        <w:t xml:space="preserve"> </w:t>
      </w:r>
      <w:hyperlink r:id="rId33">
        <w:r>
          <w:rPr>
            <w:rFonts w:ascii="Arial" w:hAnsi="Arial"/>
            <w:b/>
            <w:color w:val="0071BB"/>
            <w:w w:val="120"/>
            <w:sz w:val="20"/>
            <w:u w:val="single" w:color="0071BB"/>
          </w:rPr>
          <w:t>„</w:t>
        </w:r>
        <w:proofErr w:type="spellStart"/>
        <w:r>
          <w:rPr>
            <w:rFonts w:ascii="Arial" w:hAnsi="Arial"/>
            <w:b/>
            <w:color w:val="0071BB"/>
            <w:w w:val="120"/>
            <w:sz w:val="20"/>
            <w:u w:val="single" w:color="0071BB"/>
          </w:rPr>
          <w:t>Prawo</w:t>
        </w:r>
        <w:proofErr w:type="spellEnd"/>
        <w:r>
          <w:rPr>
            <w:rFonts w:ascii="Arial" w:hAnsi="Arial"/>
            <w:b/>
            <w:color w:val="0071BB"/>
            <w:w w:val="120"/>
            <w:sz w:val="20"/>
            <w:u w:val="single" w:color="0071BB"/>
          </w:rPr>
          <w:t xml:space="preserve"> </w:t>
        </w:r>
        <w:proofErr w:type="spellStart"/>
        <w:r>
          <w:rPr>
            <w:rFonts w:ascii="Arial" w:hAnsi="Arial"/>
            <w:b/>
            <w:color w:val="0071BB"/>
            <w:w w:val="120"/>
            <w:sz w:val="20"/>
            <w:u w:val="single" w:color="0071BB"/>
          </w:rPr>
          <w:t>więźniów</w:t>
        </w:r>
        <w:proofErr w:type="spellEnd"/>
        <w:r>
          <w:rPr>
            <w:rFonts w:ascii="Arial" w:hAnsi="Arial"/>
            <w:b/>
            <w:color w:val="0071BB"/>
            <w:w w:val="120"/>
            <w:sz w:val="20"/>
            <w:u w:val="single" w:color="0071BB"/>
          </w:rPr>
          <w:t xml:space="preserve"> do </w:t>
        </w:r>
        <w:proofErr w:type="spellStart"/>
        <w:r>
          <w:rPr>
            <w:rFonts w:ascii="Arial" w:hAnsi="Arial"/>
            <w:b/>
            <w:color w:val="0071BB"/>
            <w:w w:val="120"/>
            <w:sz w:val="20"/>
            <w:u w:val="single" w:color="0071BB"/>
          </w:rPr>
          <w:t>głosowania</w:t>
        </w:r>
        <w:proofErr w:type="spellEnd"/>
      </w:hyperlink>
      <w:r>
        <w:rPr>
          <w:color w:val="E26C09"/>
          <w:spacing w:val="-2"/>
          <w:w w:val="120"/>
          <w:sz w:val="20"/>
        </w:rPr>
        <w:t>”.</w:t>
      </w:r>
    </w:p>
    <w:p w14:paraId="015F75D3" w14:textId="77777777" w:rsidR="006941BE" w:rsidRDefault="006941BE">
      <w:pPr>
        <w:rPr>
          <w:sz w:val="20"/>
        </w:rPr>
        <w:sectPr w:rsidR="006941BE">
          <w:pgSz w:w="11910" w:h="16840"/>
          <w:pgMar w:top="1400" w:right="566" w:bottom="680" w:left="566" w:header="720" w:footer="497" w:gutter="0"/>
          <w:cols w:space="708"/>
        </w:sectPr>
      </w:pPr>
    </w:p>
    <w:p w14:paraId="4637E376" w14:textId="77777777" w:rsidR="006941BE" w:rsidRDefault="00D51B6B">
      <w:pPr>
        <w:pStyle w:val="Nagwek1"/>
        <w:ind w:left="873" w:right="865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4624" behindDoc="1" locked="0" layoutInCell="1" allowOverlap="1" wp14:anchorId="5862A27E" wp14:editId="5B00A20D">
                <wp:simplePos x="0" y="0"/>
                <wp:positionH relativeFrom="page">
                  <wp:posOffset>896111</wp:posOffset>
                </wp:positionH>
                <wp:positionV relativeFrom="paragraph">
                  <wp:posOffset>667512</wp:posOffset>
                </wp:positionV>
                <wp:extent cx="5768340" cy="18415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18415">
                              <a:moveTo>
                                <a:pt x="576834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68340" y="18288"/>
                              </a:lnTo>
                              <a:lnTo>
                                <a:pt x="5768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0AD5F" id="Graphic 17" o:spid="_x0000_s1026" style="position:absolute;margin-left:70.55pt;margin-top:52.55pt;width:454.2pt;height:1.4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" path="m5768340,l,,,18288r5768340,l5768340,xe" fillcolor="#999" stroked="f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color w:val="0071BB"/>
          <w:w w:val="120"/>
          <w:sz w:val="29"/>
        </w:rPr>
        <w:t>Ograniczenia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prawa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wyborczego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oparte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na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kryterium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miejsca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zamieszkania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oraz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wykonywanie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prawa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wyborczego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przez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obywateli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niebędących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rezydentami</w:t>
      </w:r>
      <w:proofErr w:type="spellEnd"/>
    </w:p>
    <w:p w14:paraId="691E0E77" w14:textId="77777777" w:rsidR="006941BE" w:rsidRDefault="00D51B6B">
      <w:pPr>
        <w:pStyle w:val="Nagwek2"/>
        <w:rPr>
          <w:u w:val="none"/>
        </w:rPr>
      </w:pPr>
      <w:hyperlink r:id="rId34">
        <w:r>
          <w:rPr>
            <w:color w:val="0071BB"/>
            <w:w w:val="115"/>
            <w:u w:color="0071BB"/>
          </w:rPr>
          <w:t xml:space="preserve">Py </w:t>
        </w:r>
        <w:proofErr w:type="spellStart"/>
        <w:r>
          <w:rPr>
            <w:color w:val="0071BB"/>
            <w:w w:val="115"/>
            <w:u w:color="0071BB"/>
          </w:rPr>
          <w:t>przeciwko</w:t>
        </w:r>
        <w:proofErr w:type="spellEnd"/>
        <w:r>
          <w:rPr>
            <w:color w:val="0071BB"/>
            <w:w w:val="115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15"/>
            <w:u w:color="0071BB"/>
          </w:rPr>
          <w:t>Francji</w:t>
        </w:r>
        <w:proofErr w:type="spellEnd"/>
      </w:hyperlink>
    </w:p>
    <w:p w14:paraId="411DE66A" w14:textId="77777777" w:rsidR="006941BE" w:rsidRDefault="00D51B6B">
      <w:pPr>
        <w:spacing w:before="67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 xml:space="preserve">11 </w:t>
      </w:r>
      <w:proofErr w:type="spellStart"/>
      <w:r>
        <w:rPr>
          <w:color w:val="808080"/>
          <w:w w:val="125"/>
          <w:sz w:val="18"/>
        </w:rPr>
        <w:t>stycznia</w:t>
      </w:r>
      <w:proofErr w:type="spellEnd"/>
      <w:r>
        <w:rPr>
          <w:color w:val="808080"/>
          <w:spacing w:val="-4"/>
          <w:w w:val="125"/>
          <w:sz w:val="18"/>
        </w:rPr>
        <w:t xml:space="preserve"> 2005 r.</w:t>
      </w:r>
    </w:p>
    <w:p w14:paraId="331D3BA9" w14:textId="6CC9E1C6" w:rsidR="006941BE" w:rsidRDefault="008B152D">
      <w:pPr>
        <w:pStyle w:val="Tekstpodstawowy"/>
        <w:spacing w:before="4"/>
        <w:ind w:left="873" w:right="872"/>
      </w:pPr>
      <w:proofErr w:type="spellStart"/>
      <w:r>
        <w:rPr>
          <w:w w:val="120"/>
        </w:rPr>
        <w:t>Skarżącemu</w:t>
      </w:r>
      <w:proofErr w:type="spellEnd"/>
      <w:r w:rsidR="00D51B6B">
        <w:rPr>
          <w:w w:val="120"/>
        </w:rPr>
        <w:t xml:space="preserve"> w </w:t>
      </w:r>
      <w:proofErr w:type="spellStart"/>
      <w:r w:rsidR="00D51B6B">
        <w:rPr>
          <w:w w:val="120"/>
        </w:rPr>
        <w:t>tej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sprawie</w:t>
      </w:r>
      <w:proofErr w:type="spellEnd"/>
      <w:r w:rsidR="00D51B6B">
        <w:rPr>
          <w:w w:val="120"/>
        </w:rPr>
        <w:t xml:space="preserve">, </w:t>
      </w:r>
      <w:proofErr w:type="spellStart"/>
      <w:r w:rsidR="00D51B6B">
        <w:rPr>
          <w:w w:val="120"/>
        </w:rPr>
        <w:t>obywatelowi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Francji</w:t>
      </w:r>
      <w:proofErr w:type="spellEnd"/>
      <w:r w:rsidR="00D51B6B">
        <w:rPr>
          <w:w w:val="120"/>
        </w:rPr>
        <w:t xml:space="preserve"> z </w:t>
      </w:r>
      <w:proofErr w:type="spellStart"/>
      <w:r w:rsidR="00D51B6B">
        <w:rPr>
          <w:w w:val="120"/>
        </w:rPr>
        <w:t>kontynentu</w:t>
      </w:r>
      <w:proofErr w:type="spellEnd"/>
      <w:r w:rsidR="00D51B6B">
        <w:rPr>
          <w:w w:val="120"/>
        </w:rPr>
        <w:t xml:space="preserve">, </w:t>
      </w:r>
      <w:proofErr w:type="spellStart"/>
      <w:r w:rsidR="00D51B6B">
        <w:rPr>
          <w:w w:val="120"/>
        </w:rPr>
        <w:t>odmówiono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prawa</w:t>
      </w:r>
      <w:proofErr w:type="spellEnd"/>
      <w:r w:rsidR="00D51B6B">
        <w:rPr>
          <w:w w:val="120"/>
        </w:rPr>
        <w:t xml:space="preserve"> do </w:t>
      </w:r>
      <w:proofErr w:type="spellStart"/>
      <w:r w:rsidR="00D51B6B">
        <w:rPr>
          <w:w w:val="120"/>
        </w:rPr>
        <w:t>głosowania</w:t>
      </w:r>
      <w:proofErr w:type="spellEnd"/>
      <w:r w:rsidR="00D51B6B">
        <w:rPr>
          <w:w w:val="120"/>
        </w:rPr>
        <w:t xml:space="preserve"> w </w:t>
      </w:r>
      <w:proofErr w:type="spellStart"/>
      <w:r w:rsidR="00D51B6B">
        <w:rPr>
          <w:w w:val="120"/>
        </w:rPr>
        <w:t>wyborach</w:t>
      </w:r>
      <w:proofErr w:type="spellEnd"/>
      <w:r w:rsidR="00D51B6B">
        <w:rPr>
          <w:w w:val="120"/>
        </w:rPr>
        <w:t xml:space="preserve"> do </w:t>
      </w:r>
      <w:proofErr w:type="spellStart"/>
      <w:r w:rsidR="00D51B6B">
        <w:rPr>
          <w:w w:val="120"/>
        </w:rPr>
        <w:t>Kongresu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Nowej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Kaledonii</w:t>
      </w:r>
      <w:proofErr w:type="spellEnd"/>
      <w:r w:rsidR="00D51B6B">
        <w:rPr>
          <w:w w:val="120"/>
        </w:rPr>
        <w:t xml:space="preserve">, ponieważ </w:t>
      </w:r>
      <w:proofErr w:type="spellStart"/>
      <w:r w:rsidR="00D51B6B">
        <w:rPr>
          <w:w w:val="120"/>
        </w:rPr>
        <w:t>nie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był</w:t>
      </w:r>
      <w:proofErr w:type="spellEnd"/>
      <w:r w:rsidR="00D51B6B">
        <w:rPr>
          <w:w w:val="120"/>
        </w:rPr>
        <w:t xml:space="preserve"> on w </w:t>
      </w:r>
      <w:proofErr w:type="spellStart"/>
      <w:r w:rsidR="00D51B6B">
        <w:rPr>
          <w:w w:val="120"/>
        </w:rPr>
        <w:t>stanie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udowodnić</w:t>
      </w:r>
      <w:proofErr w:type="spellEnd"/>
      <w:r w:rsidR="00D51B6B">
        <w:rPr>
          <w:w w:val="120"/>
        </w:rPr>
        <w:t xml:space="preserve">, </w:t>
      </w:r>
      <w:proofErr w:type="spellStart"/>
      <w:r w:rsidR="00D51B6B">
        <w:rPr>
          <w:w w:val="120"/>
        </w:rPr>
        <w:t>że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mieszka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na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tym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terytorium</w:t>
      </w:r>
      <w:proofErr w:type="spellEnd"/>
      <w:r w:rsidR="00D51B6B">
        <w:rPr>
          <w:w w:val="120"/>
        </w:rPr>
        <w:t xml:space="preserve"> od co </w:t>
      </w:r>
      <w:proofErr w:type="spellStart"/>
      <w:r w:rsidR="00D51B6B">
        <w:rPr>
          <w:w w:val="120"/>
        </w:rPr>
        <w:t>najmniej</w:t>
      </w:r>
      <w:proofErr w:type="spellEnd"/>
      <w:r w:rsidR="00D51B6B">
        <w:rPr>
          <w:w w:val="120"/>
        </w:rPr>
        <w:t xml:space="preserve"> 10 lat.</w:t>
      </w:r>
    </w:p>
    <w:p w14:paraId="0386A35B" w14:textId="0FEEDC2C" w:rsidR="006941BE" w:rsidRDefault="00D51B6B">
      <w:pPr>
        <w:pStyle w:val="Tekstpodstawowy"/>
        <w:ind w:left="873" w:right="870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rFonts w:ascii="Arial" w:hAnsi="Arial"/>
          <w:b/>
          <w:color w:val="0071BB"/>
          <w:w w:val="120"/>
        </w:rPr>
        <w:t>nie</w:t>
      </w:r>
      <w:proofErr w:type="spellEnd"/>
      <w:r>
        <w:rPr>
          <w:rFonts w:ascii="Arial" w:hAnsi="Arial"/>
          <w:b/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rFonts w:ascii="Arial" w:hAnsi="Arial"/>
          <w:b/>
          <w:color w:val="0071BB"/>
          <w:w w:val="120"/>
        </w:rPr>
        <w:t xml:space="preserve">do </w:t>
      </w:r>
      <w:proofErr w:type="spellStart"/>
      <w:r>
        <w:rPr>
          <w:rFonts w:ascii="Arial" w:hAnsi="Arial"/>
          <w:b/>
          <w:color w:val="0071BB"/>
          <w:w w:val="120"/>
        </w:rPr>
        <w:t>naruszenia</w:t>
      </w:r>
      <w:proofErr w:type="spellEnd"/>
      <w:r>
        <w:rPr>
          <w:rFonts w:ascii="Arial" w:hAnsi="Arial"/>
          <w:b/>
          <w:color w:val="0071BB"/>
          <w:w w:val="120"/>
        </w:rPr>
        <w:t xml:space="preserve"> art. 3 </w:t>
      </w:r>
      <w:proofErr w:type="spellStart"/>
      <w:r w:rsidR="003F666C">
        <w:rPr>
          <w:rFonts w:ascii="Arial" w:hAnsi="Arial"/>
          <w:b/>
          <w:color w:val="0071BB"/>
          <w:w w:val="120"/>
        </w:rPr>
        <w:t>P</w:t>
      </w:r>
      <w:r>
        <w:rPr>
          <w:rFonts w:ascii="Arial" w:hAnsi="Arial"/>
          <w:b/>
          <w:color w:val="0071BB"/>
          <w:w w:val="120"/>
        </w:rPr>
        <w:t>rotokołu</w:t>
      </w:r>
      <w:proofErr w:type="spellEnd"/>
      <w:r>
        <w:rPr>
          <w:rFonts w:ascii="Arial" w:hAnsi="Arial"/>
          <w:b/>
          <w:color w:val="0071BB"/>
          <w:w w:val="120"/>
        </w:rPr>
        <w:t xml:space="preserve"> nr 1 </w:t>
      </w:r>
      <w:r>
        <w:rPr>
          <w:color w:val="0071BB"/>
          <w:w w:val="120"/>
        </w:rPr>
        <w:t xml:space="preserve">do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Zwrócił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szczególną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uwagę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to,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według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rządu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francuskiego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wprowadzenie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wymogu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zamieszkania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miało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celu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zapewnienie</w:t>
      </w:r>
      <w:proofErr w:type="spellEnd"/>
      <w:r>
        <w:rPr>
          <w:color w:val="0071BB"/>
          <w:w w:val="120"/>
        </w:rPr>
        <w:t xml:space="preserve">, aby </w:t>
      </w:r>
      <w:proofErr w:type="spellStart"/>
      <w:r w:rsidR="007D68E4">
        <w:rPr>
          <w:color w:val="0071BB"/>
          <w:w w:val="120"/>
        </w:rPr>
        <w:t>wybory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odzwierciedlały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wolę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osób</w:t>
      </w:r>
      <w:proofErr w:type="spellEnd"/>
      <w:r>
        <w:rPr>
          <w:color w:val="0071BB"/>
          <w:w w:val="120"/>
        </w:rPr>
        <w:t xml:space="preserve"> „</w:t>
      </w:r>
      <w:proofErr w:type="spellStart"/>
      <w:r>
        <w:rPr>
          <w:color w:val="0071BB"/>
          <w:w w:val="120"/>
        </w:rPr>
        <w:t>zainteresowanych</w:t>
      </w:r>
      <w:proofErr w:type="spellEnd"/>
      <w:r>
        <w:rPr>
          <w:color w:val="0071BB"/>
          <w:w w:val="120"/>
        </w:rPr>
        <w:t xml:space="preserve">”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aby </w:t>
      </w:r>
      <w:proofErr w:type="spellStart"/>
      <w:r>
        <w:rPr>
          <w:color w:val="0071BB"/>
          <w:w w:val="120"/>
        </w:rPr>
        <w:t>wynik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został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zmieniony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masowe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głosowanie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osób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które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niedawno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przybyły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terytorium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miały</w:t>
      </w:r>
      <w:proofErr w:type="spellEnd"/>
      <w:r>
        <w:rPr>
          <w:color w:val="0071BB"/>
          <w:w w:val="120"/>
        </w:rPr>
        <w:t xml:space="preserve"> z nim </w:t>
      </w:r>
      <w:proofErr w:type="spellStart"/>
      <w:r>
        <w:rPr>
          <w:color w:val="0071BB"/>
          <w:w w:val="120"/>
        </w:rPr>
        <w:t>trwałych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powiązań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Ponadto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ograniczenie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prawa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głosowania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bezpośrednią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konieczną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konsekwencją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ustanowienia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obywatelstwa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kaledońskiego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Było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możliwe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nawiązał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powiązania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Nową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Kaledonią</w:t>
      </w:r>
      <w:proofErr w:type="spellEnd"/>
      <w:r>
        <w:rPr>
          <w:color w:val="0071BB"/>
          <w:w w:val="120"/>
        </w:rPr>
        <w:t xml:space="preserve">, ale 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mogło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uwzględniać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każdego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indywidualnego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przypadku</w:t>
      </w:r>
      <w:proofErr w:type="spellEnd"/>
      <w:r>
        <w:rPr>
          <w:color w:val="0071BB"/>
          <w:w w:val="120"/>
        </w:rPr>
        <w:t xml:space="preserve">. W </w:t>
      </w:r>
      <w:proofErr w:type="spellStart"/>
      <w:r>
        <w:rPr>
          <w:color w:val="0071BB"/>
          <w:w w:val="120"/>
        </w:rPr>
        <w:t>związku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tym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warunek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zamieszkania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uzasadniony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służył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realizacji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uzasadnionego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celu</w:t>
      </w:r>
      <w:proofErr w:type="spellEnd"/>
      <w:r>
        <w:rPr>
          <w:color w:val="0071BB"/>
          <w:w w:val="120"/>
        </w:rPr>
        <w:t xml:space="preserve">. Historia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status </w:t>
      </w:r>
      <w:proofErr w:type="spellStart"/>
      <w:r>
        <w:rPr>
          <w:color w:val="0071BB"/>
          <w:w w:val="120"/>
        </w:rPr>
        <w:t>Nowej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Kaledonii</w:t>
      </w:r>
      <w:proofErr w:type="spellEnd"/>
      <w:r>
        <w:rPr>
          <w:color w:val="0071BB"/>
          <w:w w:val="120"/>
        </w:rPr>
        <w:t xml:space="preserve"> – </w:t>
      </w:r>
      <w:proofErr w:type="spellStart"/>
      <w:r>
        <w:rPr>
          <w:color w:val="0071BB"/>
          <w:w w:val="120"/>
        </w:rPr>
        <w:t>faza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przejściowa</w:t>
      </w:r>
      <w:proofErr w:type="spellEnd"/>
      <w:r>
        <w:rPr>
          <w:color w:val="0071BB"/>
          <w:w w:val="120"/>
        </w:rPr>
        <w:t xml:space="preserve"> przed </w:t>
      </w:r>
      <w:proofErr w:type="spellStart"/>
      <w:r>
        <w:rPr>
          <w:color w:val="0071BB"/>
          <w:w w:val="120"/>
        </w:rPr>
        <w:t>uzyskaniem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pełnej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suwerenności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część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procesu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samostanowienia</w:t>
      </w:r>
      <w:proofErr w:type="spellEnd"/>
      <w:r>
        <w:rPr>
          <w:color w:val="0071BB"/>
          <w:w w:val="120"/>
        </w:rPr>
        <w:t xml:space="preserve"> – </w:t>
      </w:r>
      <w:proofErr w:type="spellStart"/>
      <w:r>
        <w:rPr>
          <w:color w:val="0071BB"/>
          <w:w w:val="120"/>
        </w:rPr>
        <w:t>były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takie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można</w:t>
      </w:r>
      <w:proofErr w:type="spellEnd"/>
      <w:r>
        <w:rPr>
          <w:color w:val="0071BB"/>
          <w:w w:val="120"/>
        </w:rPr>
        <w:t xml:space="preserve"> je </w:t>
      </w:r>
      <w:proofErr w:type="spellStart"/>
      <w:r>
        <w:rPr>
          <w:color w:val="0071BB"/>
          <w:w w:val="120"/>
        </w:rPr>
        <w:t>było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uznać</w:t>
      </w:r>
      <w:proofErr w:type="spellEnd"/>
      <w:r>
        <w:rPr>
          <w:color w:val="0071BB"/>
          <w:w w:val="120"/>
        </w:rPr>
        <w:t xml:space="preserve"> za „</w:t>
      </w:r>
      <w:proofErr w:type="spellStart"/>
      <w:r>
        <w:rPr>
          <w:color w:val="0071BB"/>
          <w:w w:val="120"/>
        </w:rPr>
        <w:t>wymogi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lokalne</w:t>
      </w:r>
      <w:proofErr w:type="spellEnd"/>
      <w:r>
        <w:rPr>
          <w:color w:val="0071BB"/>
          <w:w w:val="120"/>
        </w:rPr>
        <w:t xml:space="preserve">” </w:t>
      </w:r>
      <w:proofErr w:type="spellStart"/>
      <w:r>
        <w:rPr>
          <w:color w:val="0071BB"/>
          <w:w w:val="120"/>
        </w:rPr>
        <w:t>uzasadniające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tak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istotne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ograniczenie</w:t>
      </w:r>
      <w:proofErr w:type="spellEnd"/>
      <w:r>
        <w:rPr>
          <w:color w:val="0071BB"/>
          <w:w w:val="120"/>
        </w:rPr>
        <w:t xml:space="preserve">, jak </w:t>
      </w:r>
      <w:proofErr w:type="spellStart"/>
      <w:r>
        <w:rPr>
          <w:color w:val="0071BB"/>
          <w:w w:val="120"/>
        </w:rPr>
        <w:t>wymóg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dziesięcioletniego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pobytu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który</w:t>
      </w:r>
      <w:proofErr w:type="spellEnd"/>
      <w:r>
        <w:rPr>
          <w:color w:val="0071BB"/>
          <w:w w:val="120"/>
        </w:rPr>
        <w:t xml:space="preserve"> to </w:t>
      </w:r>
      <w:proofErr w:type="spellStart"/>
      <w:r>
        <w:rPr>
          <w:color w:val="0071BB"/>
          <w:w w:val="120"/>
        </w:rPr>
        <w:t>warunek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przyczynił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również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złagodzenia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krwawego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konfliktu</w:t>
      </w:r>
      <w:proofErr w:type="spellEnd"/>
      <w:r>
        <w:rPr>
          <w:color w:val="0071BB"/>
          <w:w w:val="120"/>
        </w:rPr>
        <w:t>.</w:t>
      </w:r>
    </w:p>
    <w:p w14:paraId="5F358F2E" w14:textId="77777777" w:rsidR="006941BE" w:rsidRDefault="00D51B6B">
      <w:pPr>
        <w:pStyle w:val="Nagwek2"/>
        <w:spacing w:before="43"/>
        <w:ind w:left="873"/>
        <w:rPr>
          <w:u w:val="none"/>
        </w:rPr>
      </w:pPr>
      <w:hyperlink r:id="rId35">
        <w:proofErr w:type="spellStart"/>
        <w:r>
          <w:rPr>
            <w:color w:val="0071BB"/>
            <w:w w:val="115"/>
            <w:u w:color="0071BB"/>
          </w:rPr>
          <w:t>Sitaropoulos</w:t>
        </w:r>
        <w:proofErr w:type="spellEnd"/>
        <w:r>
          <w:rPr>
            <w:color w:val="0071BB"/>
            <w:w w:val="115"/>
            <w:u w:color="0071BB"/>
          </w:rPr>
          <w:t xml:space="preserve"> </w:t>
        </w:r>
        <w:proofErr w:type="spellStart"/>
        <w:r>
          <w:rPr>
            <w:color w:val="0071BB"/>
            <w:w w:val="115"/>
            <w:u w:color="0071BB"/>
          </w:rPr>
          <w:t>i</w:t>
        </w:r>
        <w:proofErr w:type="spellEnd"/>
        <w:r>
          <w:rPr>
            <w:color w:val="0071BB"/>
            <w:w w:val="115"/>
            <w:u w:color="0071BB"/>
          </w:rPr>
          <w:t xml:space="preserve"> </w:t>
        </w:r>
        <w:proofErr w:type="spellStart"/>
        <w:r>
          <w:rPr>
            <w:color w:val="0071BB"/>
            <w:w w:val="115"/>
            <w:u w:color="0071BB"/>
          </w:rPr>
          <w:t>Giakoumopoulos</w:t>
        </w:r>
        <w:proofErr w:type="spellEnd"/>
        <w:r>
          <w:rPr>
            <w:color w:val="0071BB"/>
            <w:w w:val="115"/>
            <w:u w:color="0071BB"/>
          </w:rPr>
          <w:t xml:space="preserve"> </w:t>
        </w:r>
        <w:proofErr w:type="spellStart"/>
        <w:r>
          <w:rPr>
            <w:color w:val="0071BB"/>
            <w:w w:val="115"/>
            <w:u w:color="0071BB"/>
          </w:rPr>
          <w:t>przeciwko</w:t>
        </w:r>
        <w:proofErr w:type="spellEnd"/>
        <w:r>
          <w:rPr>
            <w:color w:val="0071BB"/>
            <w:w w:val="115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15"/>
            <w:u w:color="0071BB"/>
          </w:rPr>
          <w:t>Grecji</w:t>
        </w:r>
        <w:proofErr w:type="spellEnd"/>
      </w:hyperlink>
    </w:p>
    <w:p w14:paraId="24C2CF99" w14:textId="77777777" w:rsidR="006941BE" w:rsidRDefault="00D51B6B">
      <w:pPr>
        <w:spacing w:before="69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 xml:space="preserve">15 </w:t>
      </w:r>
      <w:proofErr w:type="spellStart"/>
      <w:r>
        <w:rPr>
          <w:color w:val="808080"/>
          <w:w w:val="125"/>
          <w:sz w:val="18"/>
        </w:rPr>
        <w:t>marca</w:t>
      </w:r>
      <w:proofErr w:type="spellEnd"/>
      <w:r>
        <w:rPr>
          <w:color w:val="808080"/>
          <w:w w:val="125"/>
          <w:sz w:val="18"/>
        </w:rPr>
        <w:t xml:space="preserve"> 2012 r. (</w:t>
      </w:r>
      <w:proofErr w:type="spellStart"/>
      <w:r>
        <w:rPr>
          <w:color w:val="808080"/>
          <w:w w:val="125"/>
          <w:sz w:val="18"/>
        </w:rPr>
        <w:t>Wielka</w:t>
      </w:r>
      <w:proofErr w:type="spellEnd"/>
      <w:r>
        <w:rPr>
          <w:color w:val="808080"/>
          <w:w w:val="125"/>
          <w:sz w:val="18"/>
        </w:rPr>
        <w:t xml:space="preserve"> </w:t>
      </w:r>
      <w:r>
        <w:rPr>
          <w:color w:val="808080"/>
          <w:spacing w:val="-2"/>
          <w:w w:val="125"/>
          <w:sz w:val="18"/>
        </w:rPr>
        <w:t>Izba)</w:t>
      </w:r>
    </w:p>
    <w:p w14:paraId="60A2EC08" w14:textId="503961F8" w:rsidR="006941BE" w:rsidRDefault="00D51B6B">
      <w:pPr>
        <w:pStyle w:val="Tekstpodstawowy"/>
        <w:spacing w:before="1"/>
        <w:ind w:left="873" w:right="870"/>
      </w:pPr>
      <w:proofErr w:type="spellStart"/>
      <w:r>
        <w:rPr>
          <w:w w:val="120"/>
        </w:rPr>
        <w:t>Skarżący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zarzucali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związku</w:t>
      </w:r>
      <w:proofErr w:type="spellEnd"/>
      <w:r>
        <w:rPr>
          <w:w w:val="120"/>
        </w:rPr>
        <w:t xml:space="preserve"> z </w:t>
      </w:r>
      <w:proofErr w:type="spellStart"/>
      <w:r>
        <w:rPr>
          <w:w w:val="120"/>
        </w:rPr>
        <w:t>brakiem</w:t>
      </w:r>
      <w:proofErr w:type="spellEnd"/>
      <w:r>
        <w:rPr>
          <w:w w:val="120"/>
        </w:rPr>
        <w:t xml:space="preserve"> regulacji w </w:t>
      </w:r>
      <w:proofErr w:type="spellStart"/>
      <w:r>
        <w:rPr>
          <w:w w:val="120"/>
        </w:rPr>
        <w:t>tej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kwestii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mogli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wykonywać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głosu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kraju</w:t>
      </w:r>
      <w:proofErr w:type="spellEnd"/>
      <w:r>
        <w:rPr>
          <w:w w:val="120"/>
        </w:rPr>
        <w:t xml:space="preserve">, w </w:t>
      </w:r>
      <w:proofErr w:type="spellStart"/>
      <w:r>
        <w:rPr>
          <w:w w:val="120"/>
        </w:rPr>
        <w:t>którym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mieszkali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jako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emigranci</w:t>
      </w:r>
      <w:proofErr w:type="spellEnd"/>
      <w:r>
        <w:rPr>
          <w:w w:val="120"/>
        </w:rPr>
        <w:t xml:space="preserve"> (</w:t>
      </w:r>
      <w:proofErr w:type="spellStart"/>
      <w:r>
        <w:rPr>
          <w:w w:val="120"/>
        </w:rPr>
        <w:t>Francja</w:t>
      </w:r>
      <w:proofErr w:type="spellEnd"/>
      <w:r>
        <w:rPr>
          <w:w w:val="120"/>
        </w:rPr>
        <w:t xml:space="preserve">), </w:t>
      </w:r>
      <w:proofErr w:type="spellStart"/>
      <w:r>
        <w:rPr>
          <w:w w:val="120"/>
        </w:rPr>
        <w:t>mimo</w:t>
      </w:r>
      <w:proofErr w:type="spellEnd"/>
      <w:r>
        <w:rPr>
          <w:w w:val="120"/>
        </w:rPr>
        <w:t xml:space="preserve"> </w:t>
      </w:r>
      <w:proofErr w:type="spellStart"/>
      <w:proofErr w:type="gramStart"/>
      <w:r>
        <w:rPr>
          <w:w w:val="120"/>
        </w:rPr>
        <w:t>ż</w:t>
      </w:r>
      <w:r w:rsidR="009C0437">
        <w:rPr>
          <w:w w:val="120"/>
        </w:rPr>
        <w:t>e</w:t>
      </w:r>
      <w:proofErr w:type="spellEnd"/>
      <w:r>
        <w:rPr>
          <w:spacing w:val="40"/>
          <w:w w:val="120"/>
        </w:rPr>
        <w:t xml:space="preserve"> </w:t>
      </w:r>
      <w:r>
        <w:rPr>
          <w:w w:val="120"/>
        </w:rPr>
        <w:t xml:space="preserve"> </w:t>
      </w:r>
      <w:proofErr w:type="spellStart"/>
      <w:r>
        <w:rPr>
          <w:w w:val="120"/>
        </w:rPr>
        <w:t>konstytucja</w:t>
      </w:r>
      <w:proofErr w:type="spellEnd"/>
      <w:proofErr w:type="gramEnd"/>
      <w:r>
        <w:rPr>
          <w:spacing w:val="40"/>
          <w:w w:val="120"/>
        </w:rPr>
        <w:t xml:space="preserve"> </w:t>
      </w:r>
      <w:r>
        <w:rPr>
          <w:w w:val="120"/>
        </w:rPr>
        <w:t xml:space="preserve">ich </w:t>
      </w:r>
      <w:proofErr w:type="spellStart"/>
      <w:r>
        <w:rPr>
          <w:w w:val="120"/>
        </w:rPr>
        <w:t>kraju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pochodzenia</w:t>
      </w:r>
      <w:proofErr w:type="spellEnd"/>
      <w:r>
        <w:rPr>
          <w:spacing w:val="40"/>
          <w:w w:val="120"/>
        </w:rPr>
        <w:t xml:space="preserve"> </w:t>
      </w:r>
      <w:r>
        <w:rPr>
          <w:w w:val="120"/>
        </w:rPr>
        <w:t>(</w:t>
      </w:r>
      <w:proofErr w:type="spellStart"/>
      <w:r>
        <w:rPr>
          <w:w w:val="120"/>
        </w:rPr>
        <w:t>Grecja</w:t>
      </w:r>
      <w:proofErr w:type="spellEnd"/>
      <w:r>
        <w:rPr>
          <w:w w:val="120"/>
        </w:rPr>
        <w:t xml:space="preserve">) </w:t>
      </w:r>
      <w:proofErr w:type="spellStart"/>
      <w:r>
        <w:rPr>
          <w:w w:val="120"/>
        </w:rPr>
        <w:t>przewidywała</w:t>
      </w:r>
      <w:proofErr w:type="spellEnd"/>
      <w:r>
        <w:rPr>
          <w:spacing w:val="40"/>
          <w:w w:val="120"/>
        </w:rPr>
        <w:t xml:space="preserve"> </w:t>
      </w:r>
      <w:proofErr w:type="spellStart"/>
      <w:r>
        <w:rPr>
          <w:w w:val="120"/>
        </w:rPr>
        <w:t>taką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możliwość</w:t>
      </w:r>
      <w:proofErr w:type="spellEnd"/>
      <w:r>
        <w:rPr>
          <w:w w:val="120"/>
        </w:rPr>
        <w:t>.</w:t>
      </w:r>
    </w:p>
    <w:p w14:paraId="6545EBBC" w14:textId="447039D1" w:rsidR="006941BE" w:rsidRDefault="00D51B6B">
      <w:pPr>
        <w:pStyle w:val="Tekstpodstawowy"/>
        <w:ind w:left="873" w:right="871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rFonts w:ascii="Arial" w:hAnsi="Arial"/>
          <w:b/>
          <w:color w:val="0071BB"/>
          <w:w w:val="120"/>
        </w:rPr>
        <w:t>nie</w:t>
      </w:r>
      <w:proofErr w:type="spellEnd"/>
      <w:r>
        <w:rPr>
          <w:rFonts w:ascii="Arial" w:hAnsi="Arial"/>
          <w:b/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rFonts w:ascii="Arial" w:hAnsi="Arial"/>
          <w:b/>
          <w:color w:val="0071BB"/>
          <w:w w:val="120"/>
        </w:rPr>
        <w:t xml:space="preserve">do </w:t>
      </w:r>
      <w:proofErr w:type="spellStart"/>
      <w:r>
        <w:rPr>
          <w:rFonts w:ascii="Arial" w:hAnsi="Arial"/>
          <w:b/>
          <w:color w:val="0071BB"/>
          <w:w w:val="120"/>
        </w:rPr>
        <w:t>naruszenia</w:t>
      </w:r>
      <w:proofErr w:type="spellEnd"/>
      <w:r>
        <w:rPr>
          <w:rFonts w:ascii="Arial" w:hAnsi="Arial"/>
          <w:b/>
          <w:color w:val="0071BB"/>
          <w:w w:val="120"/>
        </w:rPr>
        <w:t xml:space="preserve"> art. 3 </w:t>
      </w:r>
      <w:proofErr w:type="spellStart"/>
      <w:r w:rsidR="003F666C">
        <w:rPr>
          <w:rFonts w:ascii="Arial" w:hAnsi="Arial"/>
          <w:b/>
          <w:color w:val="0071BB"/>
          <w:w w:val="120"/>
        </w:rPr>
        <w:t>P</w:t>
      </w:r>
      <w:r>
        <w:rPr>
          <w:rFonts w:ascii="Arial" w:hAnsi="Arial"/>
          <w:b/>
          <w:color w:val="0071BB"/>
          <w:w w:val="120"/>
        </w:rPr>
        <w:t>rotokołu</w:t>
      </w:r>
      <w:proofErr w:type="spellEnd"/>
      <w:r>
        <w:rPr>
          <w:rFonts w:ascii="Arial" w:hAnsi="Arial"/>
          <w:b/>
          <w:color w:val="0071BB"/>
          <w:w w:val="120"/>
        </w:rPr>
        <w:t xml:space="preserve"> nr 1 </w:t>
      </w:r>
      <w:r>
        <w:rPr>
          <w:color w:val="0071BB"/>
          <w:w w:val="120"/>
        </w:rPr>
        <w:t xml:space="preserve">do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, ponieważ </w:t>
      </w:r>
      <w:proofErr w:type="spellStart"/>
      <w:r>
        <w:rPr>
          <w:color w:val="0071BB"/>
          <w:w w:val="120"/>
        </w:rPr>
        <w:t>zakłócenie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życia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finansowego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rodzinnego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zawodowego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skarżących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które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nastąpiłoby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przypadku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konieczności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podróży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Grecji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byłoby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nieproporcjonalne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tego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stopnia</w:t>
      </w:r>
      <w:proofErr w:type="spellEnd"/>
      <w:r>
        <w:rPr>
          <w:color w:val="0071BB"/>
          <w:w w:val="120"/>
        </w:rPr>
        <w:t xml:space="preserve">, aby </w:t>
      </w:r>
      <w:proofErr w:type="spellStart"/>
      <w:r>
        <w:rPr>
          <w:color w:val="0071BB"/>
          <w:w w:val="120"/>
        </w:rPr>
        <w:t>naruszyć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samą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istotę</w:t>
      </w:r>
      <w:proofErr w:type="spellEnd"/>
      <w:r>
        <w:rPr>
          <w:color w:val="0071BB"/>
          <w:w w:val="120"/>
        </w:rPr>
        <w:t xml:space="preserve"> ich </w:t>
      </w:r>
      <w:proofErr w:type="spellStart"/>
      <w:r>
        <w:rPr>
          <w:color w:val="0071BB"/>
          <w:w w:val="120"/>
        </w:rPr>
        <w:t>praw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wyborczych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stwierdził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szczególności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ani </w:t>
      </w:r>
      <w:proofErr w:type="spellStart"/>
      <w:r>
        <w:rPr>
          <w:color w:val="0071BB"/>
          <w:w w:val="120"/>
        </w:rPr>
        <w:t>odpowiednie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międzynarodowe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regionalne</w:t>
      </w:r>
      <w:proofErr w:type="spellEnd"/>
      <w:r>
        <w:rPr>
          <w:color w:val="0071BB"/>
          <w:w w:val="120"/>
        </w:rPr>
        <w:t xml:space="preserve">, ani </w:t>
      </w:r>
      <w:proofErr w:type="spellStart"/>
      <w:r>
        <w:rPr>
          <w:color w:val="0071BB"/>
          <w:w w:val="120"/>
        </w:rPr>
        <w:t>zróżnicowane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praktyki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państw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członkowskich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tej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dziedzinie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wykazały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istnienia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jakiegokolwiek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obowiązku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lub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konsensusu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które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wymagałyby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od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państw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podjęcia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działań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umożliwiających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obywatelom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mieszkającym</w:t>
      </w:r>
      <w:proofErr w:type="spellEnd"/>
      <w:r>
        <w:rPr>
          <w:color w:val="0071BB"/>
          <w:w w:val="120"/>
        </w:rPr>
        <w:t xml:space="preserve"> za </w:t>
      </w:r>
      <w:proofErr w:type="spellStart"/>
      <w:r>
        <w:rPr>
          <w:color w:val="0071BB"/>
          <w:w w:val="120"/>
        </w:rPr>
        <w:t>granicą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wykonywanie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wyborczego</w:t>
      </w:r>
      <w:proofErr w:type="spellEnd"/>
      <w:r>
        <w:rPr>
          <w:color w:val="0071BB"/>
          <w:w w:val="120"/>
        </w:rPr>
        <w:t>.</w:t>
      </w:r>
    </w:p>
    <w:p w14:paraId="46717CAA" w14:textId="77777777" w:rsidR="006941BE" w:rsidRDefault="00D51B6B">
      <w:pPr>
        <w:pStyle w:val="Nagwek2"/>
        <w:spacing w:before="110"/>
        <w:ind w:left="873"/>
        <w:rPr>
          <w:u w:val="none"/>
        </w:rPr>
      </w:pPr>
      <w:hyperlink r:id="rId36">
        <w:r>
          <w:rPr>
            <w:color w:val="0071BB"/>
            <w:w w:val="120"/>
            <w:u w:color="0071BB"/>
          </w:rPr>
          <w:t xml:space="preserve">Shindler </w:t>
        </w:r>
        <w:proofErr w:type="spellStart"/>
        <w:r>
          <w:rPr>
            <w:color w:val="0071BB"/>
            <w:w w:val="120"/>
            <w:u w:color="0071BB"/>
          </w:rPr>
          <w:t>przeciwko</w:t>
        </w:r>
        <w:proofErr w:type="spellEnd"/>
        <w:r>
          <w:rPr>
            <w:color w:val="0071BB"/>
            <w:w w:val="120"/>
            <w:u w:color="0071BB"/>
          </w:rPr>
          <w:t xml:space="preserve"> </w:t>
        </w:r>
        <w:proofErr w:type="spellStart"/>
        <w:r>
          <w:rPr>
            <w:color w:val="0071BB"/>
            <w:w w:val="120"/>
            <w:u w:color="0071BB"/>
          </w:rPr>
          <w:t>Zjednoczonemu</w:t>
        </w:r>
        <w:proofErr w:type="spellEnd"/>
        <w:r>
          <w:rPr>
            <w:color w:val="0071BB"/>
            <w:w w:val="120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20"/>
            <w:u w:color="0071BB"/>
          </w:rPr>
          <w:t>Królestwu</w:t>
        </w:r>
        <w:proofErr w:type="spellEnd"/>
      </w:hyperlink>
    </w:p>
    <w:p w14:paraId="0AC858C8" w14:textId="77777777" w:rsidR="006941BE" w:rsidRDefault="00D51B6B">
      <w:pPr>
        <w:spacing w:before="66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>7 maja</w:t>
      </w:r>
      <w:r>
        <w:rPr>
          <w:color w:val="808080"/>
          <w:spacing w:val="-4"/>
          <w:w w:val="125"/>
          <w:sz w:val="18"/>
        </w:rPr>
        <w:t xml:space="preserve"> 2013 r.</w:t>
      </w:r>
    </w:p>
    <w:p w14:paraId="4302AE06" w14:textId="77777777" w:rsidR="006941BE" w:rsidRDefault="00D51B6B">
      <w:pPr>
        <w:pStyle w:val="Tekstpodstawowy"/>
        <w:spacing w:before="4"/>
        <w:ind w:left="874" w:right="873"/>
      </w:pPr>
      <w:proofErr w:type="spellStart"/>
      <w:r>
        <w:rPr>
          <w:w w:val="120"/>
        </w:rPr>
        <w:t>Sprawa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dotyczyła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kwestii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czy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prawo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głosowania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obywatela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brytyjskiego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niebędącego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rezydentem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Wielkiej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Brytanii</w:t>
      </w:r>
      <w:proofErr w:type="spellEnd"/>
      <w:r>
        <w:rPr>
          <w:w w:val="120"/>
        </w:rPr>
        <w:t xml:space="preserve"> od 1982 r. </w:t>
      </w:r>
      <w:proofErr w:type="spellStart"/>
      <w:r>
        <w:rPr>
          <w:w w:val="120"/>
        </w:rPr>
        <w:t>zostało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naruszone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przez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przepisy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wyborcze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uniemożliwiające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głosowanie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osobom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przebywającym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poza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terytorium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Wielkiej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Brytanii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przez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okres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dłuższy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niż</w:t>
      </w:r>
      <w:proofErr w:type="spellEnd"/>
      <w:r>
        <w:rPr>
          <w:w w:val="120"/>
        </w:rPr>
        <w:t xml:space="preserve"> 15 lat.</w:t>
      </w:r>
    </w:p>
    <w:p w14:paraId="58DAECF4" w14:textId="59814BD7" w:rsidR="006941BE" w:rsidRDefault="00D51B6B">
      <w:pPr>
        <w:pStyle w:val="Tekstpodstawowy"/>
        <w:ind w:left="874" w:right="869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rFonts w:ascii="Arial" w:hAnsi="Arial"/>
          <w:b/>
          <w:color w:val="0071BB"/>
          <w:w w:val="120"/>
        </w:rPr>
        <w:t>nie</w:t>
      </w:r>
      <w:proofErr w:type="spellEnd"/>
      <w:r>
        <w:rPr>
          <w:rFonts w:ascii="Arial" w:hAnsi="Arial"/>
          <w:b/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rFonts w:ascii="Arial" w:hAnsi="Arial"/>
          <w:b/>
          <w:color w:val="0071BB"/>
          <w:w w:val="120"/>
        </w:rPr>
        <w:t xml:space="preserve">do </w:t>
      </w:r>
      <w:proofErr w:type="spellStart"/>
      <w:r>
        <w:rPr>
          <w:rFonts w:ascii="Arial" w:hAnsi="Arial"/>
          <w:b/>
          <w:color w:val="0071BB"/>
          <w:w w:val="120"/>
        </w:rPr>
        <w:t>naruszenia</w:t>
      </w:r>
      <w:proofErr w:type="spellEnd"/>
      <w:r>
        <w:rPr>
          <w:rFonts w:ascii="Arial" w:hAnsi="Arial"/>
          <w:b/>
          <w:color w:val="0071BB"/>
          <w:w w:val="120"/>
        </w:rPr>
        <w:t xml:space="preserve"> art. 3 </w:t>
      </w:r>
      <w:proofErr w:type="spellStart"/>
      <w:r w:rsidR="003F666C">
        <w:rPr>
          <w:rFonts w:ascii="Arial" w:hAnsi="Arial"/>
          <w:b/>
          <w:color w:val="0071BB"/>
          <w:w w:val="120"/>
        </w:rPr>
        <w:t>P</w:t>
      </w:r>
      <w:r>
        <w:rPr>
          <w:rFonts w:ascii="Arial" w:hAnsi="Arial"/>
          <w:b/>
          <w:color w:val="0071BB"/>
          <w:w w:val="120"/>
        </w:rPr>
        <w:t>rotokołu</w:t>
      </w:r>
      <w:proofErr w:type="spellEnd"/>
      <w:r>
        <w:rPr>
          <w:rFonts w:ascii="Arial" w:hAnsi="Arial"/>
          <w:b/>
          <w:color w:val="0071BB"/>
          <w:w w:val="120"/>
        </w:rPr>
        <w:t xml:space="preserve"> nr 1 </w:t>
      </w:r>
      <w:r>
        <w:rPr>
          <w:color w:val="0071BB"/>
          <w:w w:val="120"/>
        </w:rPr>
        <w:t xml:space="preserve">do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Biorąc</w:t>
      </w:r>
      <w:proofErr w:type="spellEnd"/>
      <w:r>
        <w:rPr>
          <w:color w:val="0071BB"/>
          <w:w w:val="120"/>
        </w:rPr>
        <w:t xml:space="preserve"> pod </w:t>
      </w:r>
      <w:proofErr w:type="spellStart"/>
      <w:r>
        <w:rPr>
          <w:color w:val="0071BB"/>
          <w:w w:val="120"/>
        </w:rPr>
        <w:t>uwagę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swobodę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działania</w:t>
      </w:r>
      <w:proofErr w:type="spellEnd"/>
      <w:r>
        <w:rPr>
          <w:color w:val="0071BB"/>
          <w:w w:val="120"/>
        </w:rPr>
        <w:t xml:space="preserve"> („margines </w:t>
      </w:r>
      <w:proofErr w:type="spellStart"/>
      <w:r w:rsidR="0021626C">
        <w:rPr>
          <w:color w:val="0071BB"/>
          <w:w w:val="120"/>
        </w:rPr>
        <w:t>swobody</w:t>
      </w:r>
      <w:proofErr w:type="spellEnd"/>
      <w:r w:rsidR="0021626C">
        <w:rPr>
          <w:color w:val="0071BB"/>
          <w:w w:val="120"/>
        </w:rPr>
        <w:t xml:space="preserve"> </w:t>
      </w:r>
      <w:proofErr w:type="spellStart"/>
      <w:r w:rsidR="0021626C">
        <w:rPr>
          <w:color w:val="0071BB"/>
          <w:w w:val="120"/>
        </w:rPr>
        <w:t>uznania</w:t>
      </w:r>
      <w:proofErr w:type="spellEnd"/>
      <w:r>
        <w:rPr>
          <w:color w:val="0071BB"/>
          <w:w w:val="120"/>
        </w:rPr>
        <w:t xml:space="preserve">”) </w:t>
      </w:r>
      <w:proofErr w:type="spellStart"/>
      <w:r>
        <w:rPr>
          <w:color w:val="0071BB"/>
          <w:w w:val="120"/>
        </w:rPr>
        <w:t>pozostawioną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rządowi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Wielkiej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Brytanii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zakresie</w:t>
      </w:r>
      <w:proofErr w:type="spellEnd"/>
      <w:r>
        <w:rPr>
          <w:color w:val="0071BB"/>
          <w:w w:val="120"/>
        </w:rPr>
        <w:t xml:space="preserve"> regulacji </w:t>
      </w:r>
      <w:proofErr w:type="spellStart"/>
      <w:r>
        <w:rPr>
          <w:color w:val="0071BB"/>
          <w:w w:val="120"/>
        </w:rPr>
        <w:t>wyborów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parlamentarnych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przedmiotowa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ustawa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wyborcza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ograniczyła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nadmiernym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stopniu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wolnych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wyborów</w:t>
      </w:r>
      <w:proofErr w:type="spellEnd"/>
      <w:r>
        <w:rPr>
          <w:color w:val="0071BB"/>
          <w:w w:val="120"/>
        </w:rPr>
        <w:t xml:space="preserve">. W </w:t>
      </w:r>
      <w:proofErr w:type="spellStart"/>
      <w:r>
        <w:rPr>
          <w:color w:val="0071BB"/>
          <w:w w:val="120"/>
        </w:rPr>
        <w:t>niniejszej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sprawie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zauważył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szczeblu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europejskim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rośnie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świadomość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problemów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związanych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migracją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kontekście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udziału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życiu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politycznym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krajach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pochodzenia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zamieszkania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Jednak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żad</w:t>
      </w:r>
      <w:r w:rsidR="003F666C">
        <w:rPr>
          <w:color w:val="0071BB"/>
          <w:w w:val="120"/>
        </w:rPr>
        <w:t>en</w:t>
      </w:r>
      <w:proofErr w:type="spellEnd"/>
      <w:r w:rsidR="00F4685A">
        <w:rPr>
          <w:color w:val="0071BB"/>
          <w:w w:val="120"/>
        </w:rPr>
        <w:t xml:space="preserve"> </w:t>
      </w:r>
      <w:r>
        <w:rPr>
          <w:color w:val="0071BB"/>
          <w:w w:val="120"/>
        </w:rPr>
        <w:t xml:space="preserve">z </w:t>
      </w:r>
      <w:proofErr w:type="spellStart"/>
      <w:r>
        <w:rPr>
          <w:color w:val="0071BB"/>
          <w:w w:val="120"/>
        </w:rPr>
        <w:t>przeanalizowanych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materiałów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stanowił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podstawy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stwierdzenia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zgodnie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obowiązującym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państwa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mają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obowiązek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zapewnić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osobom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niebędącym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rezydentami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nieograniczony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dostęp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prawa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wyborczego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Chociaż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prawie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praktyce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państw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członkowskich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wyraźnie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zaznaczała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tendencja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zezwalania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osobom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niebędącym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rezydentami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głosowanie</w:t>
      </w:r>
      <w:proofErr w:type="spellEnd"/>
      <w:r>
        <w:rPr>
          <w:color w:val="0071BB"/>
          <w:w w:val="120"/>
        </w:rPr>
        <w:t xml:space="preserve">, a </w:t>
      </w:r>
      <w:proofErr w:type="spellStart"/>
      <w:r>
        <w:rPr>
          <w:color w:val="0071BB"/>
          <w:w w:val="120"/>
        </w:rPr>
        <w:t>znaczna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większość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państw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opowiadała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za </w:t>
      </w:r>
      <w:proofErr w:type="spellStart"/>
      <w:r>
        <w:rPr>
          <w:color w:val="0071BB"/>
          <w:w w:val="120"/>
        </w:rPr>
        <w:t>nieograniczonym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dostępu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było</w:t>
      </w:r>
      <w:proofErr w:type="spellEnd"/>
      <w:r>
        <w:rPr>
          <w:color w:val="0071BB"/>
          <w:w w:val="120"/>
        </w:rPr>
        <w:t xml:space="preserve"> to </w:t>
      </w:r>
      <w:proofErr w:type="spellStart"/>
      <w:r>
        <w:rPr>
          <w:color w:val="0071BB"/>
          <w:w w:val="120"/>
        </w:rPr>
        <w:t>wystarczające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ustalenia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istnienia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wspólnego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podejścia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lub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konsensusu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rzecz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nieograniczonego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głosu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dla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osób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niebędących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rezydentami</w:t>
      </w:r>
      <w:proofErr w:type="spellEnd"/>
      <w:r>
        <w:rPr>
          <w:color w:val="0071BB"/>
          <w:w w:val="120"/>
        </w:rPr>
        <w:t>.</w:t>
      </w:r>
    </w:p>
    <w:p w14:paraId="61C11F23" w14:textId="77777777" w:rsidR="006941BE" w:rsidRDefault="006941BE">
      <w:pPr>
        <w:pStyle w:val="Tekstpodstawowy"/>
        <w:sectPr w:rsidR="006941BE">
          <w:pgSz w:w="11910" w:h="16840"/>
          <w:pgMar w:top="1400" w:right="566" w:bottom="680" w:left="566" w:header="720" w:footer="497" w:gutter="0"/>
          <w:cols w:space="708"/>
        </w:sectPr>
      </w:pPr>
    </w:p>
    <w:p w14:paraId="48D45B07" w14:textId="77777777" w:rsidR="006941BE" w:rsidRDefault="006941BE">
      <w:pPr>
        <w:pStyle w:val="Tekstpodstawowy"/>
        <w:spacing w:before="62"/>
        <w:jc w:val="left"/>
      </w:pPr>
    </w:p>
    <w:p w14:paraId="15B5092A" w14:textId="77777777" w:rsidR="006941BE" w:rsidRDefault="00D51B6B">
      <w:pPr>
        <w:pStyle w:val="Nagwek2"/>
        <w:spacing w:before="0"/>
        <w:rPr>
          <w:u w:val="none"/>
        </w:rPr>
      </w:pPr>
      <w:hyperlink r:id="rId37">
        <w:r>
          <w:rPr>
            <w:color w:val="0071BB"/>
            <w:w w:val="120"/>
            <w:u w:color="0071BB"/>
          </w:rPr>
          <w:t xml:space="preserve">Oran </w:t>
        </w:r>
        <w:proofErr w:type="spellStart"/>
        <w:r>
          <w:rPr>
            <w:color w:val="0071BB"/>
            <w:w w:val="120"/>
            <w:u w:color="0071BB"/>
          </w:rPr>
          <w:t>przeciwko</w:t>
        </w:r>
        <w:proofErr w:type="spellEnd"/>
        <w:r>
          <w:rPr>
            <w:color w:val="0071BB"/>
            <w:w w:val="120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20"/>
            <w:u w:color="0071BB"/>
          </w:rPr>
          <w:t>Turcji</w:t>
        </w:r>
        <w:proofErr w:type="spellEnd"/>
      </w:hyperlink>
    </w:p>
    <w:p w14:paraId="5D2D6021" w14:textId="77777777" w:rsidR="006941BE" w:rsidRDefault="00D51B6B">
      <w:pPr>
        <w:spacing w:before="67"/>
        <w:ind w:left="874"/>
        <w:jc w:val="both"/>
        <w:rPr>
          <w:sz w:val="18"/>
        </w:rPr>
      </w:pPr>
      <w:r>
        <w:rPr>
          <w:color w:val="808080"/>
          <w:w w:val="125"/>
          <w:sz w:val="18"/>
        </w:rPr>
        <w:t xml:space="preserve">8 </w:t>
      </w:r>
      <w:proofErr w:type="spellStart"/>
      <w:r>
        <w:rPr>
          <w:color w:val="808080"/>
          <w:w w:val="125"/>
          <w:sz w:val="18"/>
        </w:rPr>
        <w:t>kwietnia</w:t>
      </w:r>
      <w:proofErr w:type="spellEnd"/>
      <w:r>
        <w:rPr>
          <w:color w:val="808080"/>
          <w:spacing w:val="-4"/>
          <w:w w:val="125"/>
          <w:sz w:val="18"/>
        </w:rPr>
        <w:t xml:space="preserve"> 2014 r.</w:t>
      </w:r>
    </w:p>
    <w:p w14:paraId="30CDC3F5" w14:textId="44EDDA4B" w:rsidR="006941BE" w:rsidRDefault="00D51B6B">
      <w:pPr>
        <w:pStyle w:val="Tekstpodstawowy"/>
        <w:spacing w:before="2"/>
        <w:ind w:left="873" w:right="868"/>
      </w:pPr>
      <w:proofErr w:type="spellStart"/>
      <w:r>
        <w:rPr>
          <w:w w:val="120"/>
        </w:rPr>
        <w:t>Sprawa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dotyczyła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skargi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złożonej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przez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wykładowcę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uniwersyteckiego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który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startował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wyborach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parlamentarnych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jako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kandydat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niezależny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niebędący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członkiem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żadnej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partii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Skarżył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 on w </w:t>
      </w:r>
      <w:proofErr w:type="spellStart"/>
      <w:r>
        <w:rPr>
          <w:w w:val="120"/>
        </w:rPr>
        <w:t>szczególności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fakt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że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obywatele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tureccy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którzy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mieszkali</w:t>
      </w:r>
      <w:proofErr w:type="spellEnd"/>
      <w:r>
        <w:rPr>
          <w:w w:val="120"/>
        </w:rPr>
        <w:t xml:space="preserve"> za </w:t>
      </w:r>
      <w:proofErr w:type="spellStart"/>
      <w:r>
        <w:rPr>
          <w:w w:val="120"/>
        </w:rPr>
        <w:t>granicą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przez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ponad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sześć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miesięcy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mogli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głosować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wyłącznie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listy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przedstawione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przez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partie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polityczne</w:t>
      </w:r>
      <w:proofErr w:type="spellEnd"/>
      <w:r>
        <w:rPr>
          <w:w w:val="120"/>
        </w:rPr>
        <w:t xml:space="preserve">, a </w:t>
      </w:r>
      <w:proofErr w:type="spellStart"/>
      <w:r>
        <w:rPr>
          <w:w w:val="120"/>
        </w:rPr>
        <w:t>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niezależnych</w:t>
      </w:r>
      <w:proofErr w:type="spellEnd"/>
      <w:r>
        <w:rPr>
          <w:w w:val="120"/>
        </w:rPr>
        <w:t xml:space="preserve"> </w:t>
      </w:r>
      <w:proofErr w:type="spellStart"/>
      <w:proofErr w:type="gramStart"/>
      <w:r>
        <w:rPr>
          <w:w w:val="120"/>
        </w:rPr>
        <w:t>kandydatów</w:t>
      </w:r>
      <w:proofErr w:type="spellEnd"/>
      <w:r>
        <w:rPr>
          <w:spacing w:val="38"/>
          <w:w w:val="120"/>
        </w:rPr>
        <w:t xml:space="preserve"> </w:t>
      </w:r>
      <w:r>
        <w:rPr>
          <w:w w:val="120"/>
        </w:rPr>
        <w:t xml:space="preserve"> </w:t>
      </w:r>
      <w:proofErr w:type="spellStart"/>
      <w:r>
        <w:rPr>
          <w:w w:val="120"/>
        </w:rPr>
        <w:t>takich</w:t>
      </w:r>
      <w:proofErr w:type="spellEnd"/>
      <w:proofErr w:type="gramEnd"/>
      <w:r>
        <w:rPr>
          <w:w w:val="120"/>
        </w:rPr>
        <w:t xml:space="preserve"> jak on </w:t>
      </w:r>
      <w:proofErr w:type="spellStart"/>
      <w:proofErr w:type="gramStart"/>
      <w:r>
        <w:rPr>
          <w:w w:val="120"/>
        </w:rPr>
        <w:t>sam</w:t>
      </w:r>
      <w:proofErr w:type="spellEnd"/>
      <w:r>
        <w:rPr>
          <w:w w:val="120"/>
        </w:rPr>
        <w:t>,</w:t>
      </w:r>
      <w:r>
        <w:rPr>
          <w:spacing w:val="38"/>
          <w:w w:val="120"/>
        </w:rPr>
        <w:t xml:space="preserve"> </w:t>
      </w:r>
      <w:r>
        <w:rPr>
          <w:w w:val="120"/>
        </w:rPr>
        <w:t xml:space="preserve"> w</w:t>
      </w:r>
      <w:proofErr w:type="gramEnd"/>
      <w:r>
        <w:rPr>
          <w:w w:val="120"/>
        </w:rPr>
        <w:t xml:space="preserve">  </w:t>
      </w:r>
      <w:proofErr w:type="spellStart"/>
      <w:r>
        <w:rPr>
          <w:w w:val="120"/>
        </w:rPr>
        <w:t>lokalach</w:t>
      </w:r>
      <w:proofErr w:type="spellEnd"/>
      <w:r>
        <w:rPr>
          <w:w w:val="120"/>
        </w:rPr>
        <w:t xml:space="preserve"> </w:t>
      </w:r>
      <w:proofErr w:type="spellStart"/>
      <w:proofErr w:type="gramStart"/>
      <w:r>
        <w:rPr>
          <w:w w:val="120"/>
        </w:rPr>
        <w:t>wyborczych</w:t>
      </w:r>
      <w:proofErr w:type="spellEnd"/>
      <w:r>
        <w:rPr>
          <w:spacing w:val="38"/>
          <w:w w:val="120"/>
        </w:rPr>
        <w:t xml:space="preserve"> </w:t>
      </w:r>
      <w:r>
        <w:rPr>
          <w:w w:val="120"/>
        </w:rPr>
        <w:t xml:space="preserve"> </w:t>
      </w:r>
      <w:proofErr w:type="spellStart"/>
      <w:r>
        <w:rPr>
          <w:w w:val="120"/>
        </w:rPr>
        <w:t>utworzonych</w:t>
      </w:r>
      <w:proofErr w:type="spellEnd"/>
      <w:proofErr w:type="gramEnd"/>
      <w:r>
        <w:rPr>
          <w:spacing w:val="38"/>
          <w:w w:val="120"/>
        </w:rPr>
        <w:t xml:space="preserve"> </w:t>
      </w:r>
      <w:r>
        <w:rPr>
          <w:w w:val="120"/>
        </w:rPr>
        <w:t xml:space="preserve"> w </w:t>
      </w:r>
      <w:proofErr w:type="spellStart"/>
      <w:proofErr w:type="gramStart"/>
      <w:r w:rsidR="00C740A5">
        <w:rPr>
          <w:w w:val="120"/>
        </w:rPr>
        <w:t>urzędach</w:t>
      </w:r>
      <w:proofErr w:type="spellEnd"/>
      <w:r w:rsidR="00C740A5">
        <w:rPr>
          <w:w w:val="120"/>
        </w:rPr>
        <w:t xml:space="preserve"> </w:t>
      </w:r>
      <w:r>
        <w:rPr>
          <w:w w:val="120"/>
        </w:rPr>
        <w:t xml:space="preserve"> </w:t>
      </w:r>
      <w:proofErr w:type="spellStart"/>
      <w:r>
        <w:rPr>
          <w:w w:val="120"/>
        </w:rPr>
        <w:t>celnych</w:t>
      </w:r>
      <w:proofErr w:type="spellEnd"/>
      <w:proofErr w:type="gramEnd"/>
      <w:r>
        <w:rPr>
          <w:w w:val="120"/>
        </w:rPr>
        <w:t>.</w:t>
      </w:r>
    </w:p>
    <w:p w14:paraId="60E34C0B" w14:textId="2017EBE8" w:rsidR="006941BE" w:rsidRDefault="00D51B6B">
      <w:pPr>
        <w:pStyle w:val="Tekstpodstawowy"/>
        <w:ind w:left="873" w:right="870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rFonts w:ascii="Arial" w:hAnsi="Arial"/>
          <w:b/>
          <w:color w:val="0071BB"/>
          <w:w w:val="120"/>
        </w:rPr>
        <w:t>nie</w:t>
      </w:r>
      <w:proofErr w:type="spellEnd"/>
      <w:r>
        <w:rPr>
          <w:rFonts w:ascii="Arial" w:hAnsi="Arial"/>
          <w:b/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rFonts w:ascii="Arial" w:hAnsi="Arial"/>
          <w:b/>
          <w:color w:val="0071BB"/>
          <w:w w:val="120"/>
        </w:rPr>
        <w:t xml:space="preserve">do </w:t>
      </w:r>
      <w:proofErr w:type="spellStart"/>
      <w:r>
        <w:rPr>
          <w:rFonts w:ascii="Arial" w:hAnsi="Arial"/>
          <w:b/>
          <w:color w:val="0071BB"/>
          <w:w w:val="120"/>
        </w:rPr>
        <w:t>naruszenia</w:t>
      </w:r>
      <w:proofErr w:type="spellEnd"/>
      <w:r>
        <w:rPr>
          <w:rFonts w:ascii="Arial" w:hAnsi="Arial"/>
          <w:b/>
          <w:color w:val="0071BB"/>
          <w:w w:val="120"/>
        </w:rPr>
        <w:t xml:space="preserve"> art. 3 </w:t>
      </w:r>
      <w:proofErr w:type="spellStart"/>
      <w:r w:rsidR="003F666C">
        <w:rPr>
          <w:rFonts w:ascii="Arial" w:hAnsi="Arial"/>
          <w:b/>
          <w:color w:val="0071BB"/>
          <w:w w:val="120"/>
        </w:rPr>
        <w:t>P</w:t>
      </w:r>
      <w:r>
        <w:rPr>
          <w:rFonts w:ascii="Arial" w:hAnsi="Arial"/>
          <w:b/>
          <w:color w:val="0071BB"/>
          <w:w w:val="120"/>
        </w:rPr>
        <w:t>rotokołu</w:t>
      </w:r>
      <w:proofErr w:type="spellEnd"/>
      <w:r>
        <w:rPr>
          <w:rFonts w:ascii="Arial" w:hAnsi="Arial"/>
          <w:b/>
          <w:color w:val="0071BB"/>
          <w:w w:val="120"/>
        </w:rPr>
        <w:t xml:space="preserve"> nr 1 </w:t>
      </w:r>
      <w:r>
        <w:rPr>
          <w:color w:val="0071BB"/>
          <w:w w:val="120"/>
        </w:rPr>
        <w:t xml:space="preserve">do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rFonts w:ascii="Arial" w:hAnsi="Arial"/>
          <w:b/>
          <w:color w:val="0071BB"/>
          <w:w w:val="120"/>
        </w:rPr>
        <w:t>rozpatrywanego</w:t>
      </w:r>
      <w:proofErr w:type="spellEnd"/>
      <w:r>
        <w:rPr>
          <w:rFonts w:ascii="Arial" w:hAnsi="Arial"/>
          <w:b/>
          <w:color w:val="0071BB"/>
          <w:w w:val="120"/>
        </w:rPr>
        <w:t xml:space="preserve"> </w:t>
      </w:r>
      <w:proofErr w:type="spellStart"/>
      <w:r>
        <w:rPr>
          <w:rFonts w:ascii="Arial" w:hAnsi="Arial"/>
          <w:b/>
          <w:color w:val="0071BB"/>
          <w:w w:val="120"/>
        </w:rPr>
        <w:t>samodzielnie</w:t>
      </w:r>
      <w:proofErr w:type="spellEnd"/>
      <w:r>
        <w:rPr>
          <w:rFonts w:ascii="Arial" w:hAnsi="Arial"/>
          <w:b/>
          <w:color w:val="0071BB"/>
          <w:w w:val="120"/>
        </w:rPr>
        <w:t xml:space="preserve"> </w:t>
      </w:r>
      <w:proofErr w:type="spellStart"/>
      <w:r>
        <w:rPr>
          <w:rFonts w:ascii="Arial" w:hAnsi="Arial"/>
          <w:b/>
          <w:color w:val="0071BB"/>
          <w:w w:val="120"/>
        </w:rPr>
        <w:t>lub</w:t>
      </w:r>
      <w:proofErr w:type="spellEnd"/>
      <w:r>
        <w:rPr>
          <w:rFonts w:ascii="Arial" w:hAnsi="Arial"/>
          <w:b/>
          <w:color w:val="0071BB"/>
          <w:w w:val="120"/>
        </w:rPr>
        <w:t xml:space="preserve"> w </w:t>
      </w:r>
      <w:proofErr w:type="spellStart"/>
      <w:r>
        <w:rPr>
          <w:rFonts w:ascii="Arial" w:hAnsi="Arial"/>
          <w:b/>
          <w:color w:val="0071BB"/>
          <w:w w:val="120"/>
        </w:rPr>
        <w:t>połączeniu</w:t>
      </w:r>
      <w:proofErr w:type="spellEnd"/>
      <w:r>
        <w:rPr>
          <w:rFonts w:ascii="Arial" w:hAnsi="Arial"/>
          <w:b/>
          <w:color w:val="0071BB"/>
          <w:w w:val="120"/>
        </w:rPr>
        <w:t xml:space="preserve"> z art. 14 </w:t>
      </w:r>
      <w:r w:rsidRPr="00F107CB">
        <w:rPr>
          <w:rFonts w:ascii="Arial" w:hAnsi="Arial"/>
          <w:bCs/>
          <w:color w:val="0071BB"/>
          <w:w w:val="120"/>
        </w:rPr>
        <w:t>(</w:t>
      </w:r>
      <w:proofErr w:type="spellStart"/>
      <w:r>
        <w:rPr>
          <w:color w:val="0071BB"/>
          <w:w w:val="120"/>
        </w:rPr>
        <w:t>zakaz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dyskryminacji</w:t>
      </w:r>
      <w:proofErr w:type="spellEnd"/>
      <w:r>
        <w:rPr>
          <w:color w:val="0071BB"/>
          <w:w w:val="120"/>
        </w:rPr>
        <w:t xml:space="preserve">)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odniesieniu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niemożności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głosowania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wyborców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niebędących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rezydentami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kandydatów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niezależnych</w:t>
      </w:r>
      <w:proofErr w:type="spellEnd"/>
      <w:r>
        <w:rPr>
          <w:color w:val="0071BB"/>
          <w:w w:val="120"/>
        </w:rPr>
        <w:t xml:space="preserve"> bez </w:t>
      </w:r>
      <w:proofErr w:type="spellStart"/>
      <w:r>
        <w:rPr>
          <w:color w:val="0071BB"/>
          <w:w w:val="120"/>
        </w:rPr>
        <w:t>poparcia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partii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politycznej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lokalach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wyborczych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utworzonych</w:t>
      </w:r>
      <w:proofErr w:type="spellEnd"/>
      <w:r>
        <w:rPr>
          <w:color w:val="0071BB"/>
          <w:w w:val="120"/>
        </w:rPr>
        <w:t xml:space="preserve"> w </w:t>
      </w:r>
      <w:proofErr w:type="spellStart"/>
      <w:r w:rsidR="00C740A5">
        <w:rPr>
          <w:color w:val="0071BB"/>
          <w:w w:val="120"/>
        </w:rPr>
        <w:t>urzedach</w:t>
      </w:r>
      <w:proofErr w:type="spellEnd"/>
      <w:r w:rsidR="00C740A5"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celnych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stwierdzając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środki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wyborcze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zastosowane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władze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tureckie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podczas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wyborów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parlamentarnych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naruszyły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istoty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prawa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swobodnego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wyrażania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opinii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społeczeństwo</w:t>
      </w:r>
      <w:proofErr w:type="spellEnd"/>
      <w:r>
        <w:rPr>
          <w:color w:val="0071BB"/>
          <w:w w:val="120"/>
        </w:rPr>
        <w:t xml:space="preserve"> ani </w:t>
      </w:r>
      <w:proofErr w:type="spellStart"/>
      <w:r>
        <w:rPr>
          <w:color w:val="0071BB"/>
          <w:w w:val="120"/>
        </w:rPr>
        <w:t>prawa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kandydowania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wyborach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zwrócił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szczególności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uwagę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praktyka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krajowa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państwach-stronach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jednolita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odniesieniu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praw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wyborczych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obywateli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przebywających</w:t>
      </w:r>
      <w:proofErr w:type="spellEnd"/>
      <w:r>
        <w:rPr>
          <w:color w:val="0071BB"/>
          <w:w w:val="120"/>
        </w:rPr>
        <w:t xml:space="preserve"> za </w:t>
      </w:r>
      <w:proofErr w:type="spellStart"/>
      <w:r>
        <w:rPr>
          <w:color w:val="0071BB"/>
          <w:w w:val="120"/>
        </w:rPr>
        <w:t>granicą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wykonywania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Ogólnie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rzecz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biorąc</w:t>
      </w:r>
      <w:proofErr w:type="spellEnd"/>
      <w:r>
        <w:rPr>
          <w:color w:val="0071BB"/>
          <w:w w:val="120"/>
        </w:rPr>
        <w:t xml:space="preserve">, art. 3 </w:t>
      </w:r>
      <w:proofErr w:type="spellStart"/>
      <w:r w:rsidR="003F666C">
        <w:rPr>
          <w:color w:val="0071BB"/>
          <w:w w:val="120"/>
        </w:rPr>
        <w:t>P</w:t>
      </w:r>
      <w:r>
        <w:rPr>
          <w:color w:val="0071BB"/>
          <w:w w:val="120"/>
        </w:rPr>
        <w:t>rotokołu</w:t>
      </w:r>
      <w:proofErr w:type="spellEnd"/>
      <w:r>
        <w:rPr>
          <w:color w:val="0071BB"/>
          <w:w w:val="120"/>
        </w:rPr>
        <w:t xml:space="preserve"> nr 1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wymagał</w:t>
      </w:r>
      <w:proofErr w:type="spellEnd"/>
      <w:r>
        <w:rPr>
          <w:color w:val="0071BB"/>
          <w:w w:val="120"/>
        </w:rPr>
        <w:t xml:space="preserve"> od </w:t>
      </w:r>
      <w:proofErr w:type="spellStart"/>
      <w:r>
        <w:rPr>
          <w:color w:val="0071BB"/>
          <w:w w:val="120"/>
        </w:rPr>
        <w:t>państw-stron</w:t>
      </w:r>
      <w:proofErr w:type="spellEnd"/>
      <w:r>
        <w:rPr>
          <w:color w:val="0071BB"/>
          <w:w w:val="120"/>
        </w:rPr>
        <w:t xml:space="preserve"> </w:t>
      </w:r>
      <w:proofErr w:type="spellStart"/>
      <w:r w:rsidR="007C4249">
        <w:rPr>
          <w:color w:val="0071BB"/>
          <w:w w:val="120"/>
        </w:rPr>
        <w:t>K</w:t>
      </w:r>
      <w:r>
        <w:rPr>
          <w:color w:val="0071BB"/>
          <w:w w:val="120"/>
        </w:rPr>
        <w:t>onwencji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umożliwienia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swoim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obywatelom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mieszkającym</w:t>
      </w:r>
      <w:proofErr w:type="spellEnd"/>
      <w:r>
        <w:rPr>
          <w:color w:val="0071BB"/>
          <w:w w:val="120"/>
        </w:rPr>
        <w:t xml:space="preserve"> za </w:t>
      </w:r>
      <w:proofErr w:type="spellStart"/>
      <w:r>
        <w:rPr>
          <w:color w:val="0071BB"/>
          <w:w w:val="120"/>
        </w:rPr>
        <w:t>granicą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wykonywania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wyborczego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Ponadto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prac</w:t>
      </w:r>
      <w:proofErr w:type="spellEnd"/>
      <w:r>
        <w:rPr>
          <w:color w:val="0071BB"/>
          <w:w w:val="120"/>
        </w:rPr>
        <w:t xml:space="preserve"> </w:t>
      </w:r>
      <w:hyperlink r:id="rId38">
        <w:proofErr w:type="spellStart"/>
        <w:r>
          <w:rPr>
            <w:color w:val="0071BB"/>
            <w:w w:val="120"/>
            <w:u w:val="single" w:color="0071BB"/>
          </w:rPr>
          <w:t>Komisji</w:t>
        </w:r>
        <w:proofErr w:type="spellEnd"/>
        <w:r>
          <w:rPr>
            <w:color w:val="0071BB"/>
            <w:w w:val="120"/>
            <w:u w:val="single" w:color="0071BB"/>
          </w:rPr>
          <w:t xml:space="preserve"> </w:t>
        </w:r>
        <w:proofErr w:type="spellStart"/>
        <w:r>
          <w:rPr>
            <w:color w:val="0071BB"/>
            <w:w w:val="120"/>
            <w:u w:val="single" w:color="0071BB"/>
          </w:rPr>
          <w:t>Weneckiej</w:t>
        </w:r>
        <w:proofErr w:type="spellEnd"/>
      </w:hyperlink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jasno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wynikało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odmowa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przyznania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prawa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głosowania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obywatelom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mieszkającym</w:t>
      </w:r>
      <w:proofErr w:type="spellEnd"/>
      <w:r>
        <w:rPr>
          <w:color w:val="0071BB"/>
          <w:w w:val="120"/>
        </w:rPr>
        <w:t xml:space="preserve"> za </w:t>
      </w:r>
      <w:proofErr w:type="spellStart"/>
      <w:r>
        <w:rPr>
          <w:color w:val="0071BB"/>
          <w:w w:val="120"/>
        </w:rPr>
        <w:t>granicą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lub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ograniczenie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stanowiło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naruszenia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zasady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powszechnych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wyborów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Konieczne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było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wyważenie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różnych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interesów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takich</w:t>
      </w:r>
      <w:proofErr w:type="spellEnd"/>
      <w:r>
        <w:rPr>
          <w:color w:val="0071BB"/>
          <w:w w:val="120"/>
        </w:rPr>
        <w:t xml:space="preserve"> jak </w:t>
      </w:r>
      <w:proofErr w:type="spellStart"/>
      <w:r>
        <w:rPr>
          <w:color w:val="0071BB"/>
          <w:w w:val="120"/>
        </w:rPr>
        <w:t>decyzja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państwa</w:t>
      </w:r>
      <w:proofErr w:type="spellEnd"/>
      <w:r>
        <w:rPr>
          <w:color w:val="0071BB"/>
          <w:w w:val="120"/>
        </w:rPr>
        <w:t xml:space="preserve"> o </w:t>
      </w:r>
      <w:proofErr w:type="spellStart"/>
      <w:r>
        <w:rPr>
          <w:color w:val="0071BB"/>
          <w:w w:val="120"/>
        </w:rPr>
        <w:t>umożliwieniu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obywatelom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przebywającym</w:t>
      </w:r>
      <w:proofErr w:type="spellEnd"/>
      <w:r>
        <w:rPr>
          <w:color w:val="0071BB"/>
          <w:w w:val="120"/>
        </w:rPr>
        <w:t xml:space="preserve"> za </w:t>
      </w:r>
      <w:proofErr w:type="spellStart"/>
      <w:r>
        <w:rPr>
          <w:color w:val="0071BB"/>
          <w:w w:val="120"/>
        </w:rPr>
        <w:t>granicą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wykonywania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prawa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głosowania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praktyczne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związane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bezpieczeństwem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względy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związane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wykonywaniem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oraz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techniczne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środki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służące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realizacji</w:t>
      </w:r>
      <w:proofErr w:type="spellEnd"/>
      <w:r>
        <w:rPr>
          <w:color w:val="0071BB"/>
          <w:w w:val="120"/>
        </w:rPr>
        <w:t>.</w:t>
      </w:r>
    </w:p>
    <w:p w14:paraId="0AE92B20" w14:textId="77777777" w:rsidR="006941BE" w:rsidRDefault="00D51B6B">
      <w:pPr>
        <w:pStyle w:val="Nagwek2"/>
        <w:spacing w:before="99"/>
        <w:rPr>
          <w:u w:val="none"/>
        </w:rPr>
      </w:pPr>
      <w:hyperlink r:id="rId39">
        <w:r>
          <w:rPr>
            <w:color w:val="0071BB"/>
            <w:w w:val="120"/>
            <w:u w:color="0071BB"/>
          </w:rPr>
          <w:t xml:space="preserve">Riza </w:t>
        </w:r>
        <w:proofErr w:type="spellStart"/>
        <w:r>
          <w:rPr>
            <w:color w:val="0071BB"/>
            <w:w w:val="120"/>
            <w:u w:color="0071BB"/>
          </w:rPr>
          <w:t>i</w:t>
        </w:r>
        <w:proofErr w:type="spellEnd"/>
        <w:r>
          <w:rPr>
            <w:color w:val="0071BB"/>
            <w:w w:val="120"/>
            <w:u w:color="0071BB"/>
          </w:rPr>
          <w:t xml:space="preserve"> </w:t>
        </w:r>
        <w:proofErr w:type="spellStart"/>
        <w:r>
          <w:rPr>
            <w:color w:val="0071BB"/>
            <w:w w:val="120"/>
            <w:u w:color="0071BB"/>
          </w:rPr>
          <w:t>inni</w:t>
        </w:r>
        <w:proofErr w:type="spellEnd"/>
        <w:r>
          <w:rPr>
            <w:color w:val="0071BB"/>
            <w:w w:val="120"/>
            <w:u w:color="0071BB"/>
          </w:rPr>
          <w:t xml:space="preserve"> </w:t>
        </w:r>
        <w:proofErr w:type="spellStart"/>
        <w:r>
          <w:rPr>
            <w:color w:val="0071BB"/>
            <w:w w:val="120"/>
            <w:u w:color="0071BB"/>
          </w:rPr>
          <w:t>przeciwko</w:t>
        </w:r>
        <w:proofErr w:type="spellEnd"/>
        <w:r>
          <w:rPr>
            <w:color w:val="0071BB"/>
            <w:w w:val="120"/>
            <w:u w:color="0071BB"/>
          </w:rPr>
          <w:t xml:space="preserve"> </w:t>
        </w:r>
        <w:proofErr w:type="spellStart"/>
        <w:r>
          <w:rPr>
            <w:color w:val="0071BB"/>
            <w:spacing w:val="-2"/>
            <w:w w:val="120"/>
            <w:u w:color="0071BB"/>
          </w:rPr>
          <w:t>Bułgarii</w:t>
        </w:r>
        <w:proofErr w:type="spellEnd"/>
      </w:hyperlink>
    </w:p>
    <w:p w14:paraId="2E281808" w14:textId="77777777" w:rsidR="006941BE" w:rsidRDefault="00D51B6B">
      <w:pPr>
        <w:spacing w:before="67"/>
        <w:ind w:left="874"/>
        <w:jc w:val="both"/>
        <w:rPr>
          <w:sz w:val="18"/>
        </w:rPr>
      </w:pPr>
      <w:r>
        <w:rPr>
          <w:color w:val="808080"/>
          <w:w w:val="120"/>
          <w:sz w:val="18"/>
        </w:rPr>
        <w:t xml:space="preserve">13 </w:t>
      </w:r>
      <w:proofErr w:type="spellStart"/>
      <w:r>
        <w:rPr>
          <w:color w:val="808080"/>
          <w:w w:val="120"/>
          <w:sz w:val="18"/>
        </w:rPr>
        <w:t>października</w:t>
      </w:r>
      <w:proofErr w:type="spellEnd"/>
      <w:r>
        <w:rPr>
          <w:color w:val="808080"/>
          <w:spacing w:val="-4"/>
          <w:w w:val="120"/>
          <w:sz w:val="18"/>
        </w:rPr>
        <w:t xml:space="preserve"> 2015 r.</w:t>
      </w:r>
    </w:p>
    <w:p w14:paraId="532EC797" w14:textId="3B18B6F4" w:rsidR="006941BE" w:rsidRDefault="007C4249">
      <w:pPr>
        <w:pStyle w:val="Tekstpodstawowy"/>
        <w:spacing w:before="1"/>
        <w:ind w:left="873" w:right="871"/>
      </w:pPr>
      <w:proofErr w:type="spellStart"/>
      <w:r>
        <w:rPr>
          <w:w w:val="120"/>
        </w:rPr>
        <w:t>Skarżącymi</w:t>
      </w:r>
      <w:proofErr w:type="spellEnd"/>
      <w:r>
        <w:rPr>
          <w:w w:val="120"/>
        </w:rPr>
        <w:t xml:space="preserve"> </w:t>
      </w:r>
      <w:proofErr w:type="spellStart"/>
      <w:r w:rsidR="00D51B6B">
        <w:rPr>
          <w:w w:val="120"/>
        </w:rPr>
        <w:t>byli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bułgarska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partia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polityczna</w:t>
      </w:r>
      <w:proofErr w:type="spellEnd"/>
      <w:r w:rsidR="00D51B6B">
        <w:rPr>
          <w:w w:val="120"/>
        </w:rPr>
        <w:t xml:space="preserve">, </w:t>
      </w:r>
      <w:proofErr w:type="spellStart"/>
      <w:r w:rsidR="00D51B6B">
        <w:rPr>
          <w:w w:val="120"/>
        </w:rPr>
        <w:t>członek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tej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partii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oraz</w:t>
      </w:r>
      <w:proofErr w:type="spellEnd"/>
      <w:r w:rsidR="00D51B6B">
        <w:rPr>
          <w:w w:val="120"/>
        </w:rPr>
        <w:t xml:space="preserve"> 101 </w:t>
      </w:r>
      <w:proofErr w:type="spellStart"/>
      <w:r w:rsidR="00D51B6B">
        <w:rPr>
          <w:w w:val="120"/>
        </w:rPr>
        <w:t>innych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obywateli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Bułgarii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pochodzenia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tureckiego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i</w:t>
      </w:r>
      <w:proofErr w:type="spellEnd"/>
      <w:r w:rsidR="00D51B6B">
        <w:rPr>
          <w:w w:val="120"/>
        </w:rPr>
        <w:t>/</w:t>
      </w:r>
      <w:proofErr w:type="spellStart"/>
      <w:r w:rsidR="00D51B6B">
        <w:rPr>
          <w:w w:val="120"/>
        </w:rPr>
        <w:t>lub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wyznania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muzułmańskiego</w:t>
      </w:r>
      <w:proofErr w:type="spellEnd"/>
      <w:r w:rsidR="00D51B6B">
        <w:rPr>
          <w:w w:val="120"/>
        </w:rPr>
        <w:t xml:space="preserve">, </w:t>
      </w:r>
      <w:proofErr w:type="spellStart"/>
      <w:r w:rsidR="00D51B6B">
        <w:rPr>
          <w:w w:val="120"/>
        </w:rPr>
        <w:t>którzy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skorzystali</w:t>
      </w:r>
      <w:proofErr w:type="spellEnd"/>
      <w:r w:rsidR="00D51B6B">
        <w:rPr>
          <w:w w:val="120"/>
        </w:rPr>
        <w:t xml:space="preserve"> z </w:t>
      </w:r>
      <w:proofErr w:type="spellStart"/>
      <w:r w:rsidR="00D51B6B">
        <w:rPr>
          <w:w w:val="120"/>
        </w:rPr>
        <w:t>prawa</w:t>
      </w:r>
      <w:proofErr w:type="spellEnd"/>
      <w:r w:rsidR="00D51B6B">
        <w:rPr>
          <w:w w:val="120"/>
        </w:rPr>
        <w:t xml:space="preserve"> do </w:t>
      </w:r>
      <w:proofErr w:type="spellStart"/>
      <w:r w:rsidR="00D51B6B">
        <w:rPr>
          <w:w w:val="120"/>
        </w:rPr>
        <w:t>głosowania</w:t>
      </w:r>
      <w:proofErr w:type="spellEnd"/>
      <w:r w:rsidR="00D51B6B">
        <w:rPr>
          <w:w w:val="120"/>
        </w:rPr>
        <w:t xml:space="preserve"> w </w:t>
      </w:r>
      <w:proofErr w:type="spellStart"/>
      <w:r w:rsidR="00D51B6B">
        <w:rPr>
          <w:w w:val="120"/>
        </w:rPr>
        <w:t>lokalach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wyborczych</w:t>
      </w:r>
      <w:proofErr w:type="spellEnd"/>
      <w:r w:rsidR="00D51B6B">
        <w:rPr>
          <w:w w:val="120"/>
        </w:rPr>
        <w:t xml:space="preserve"> w </w:t>
      </w:r>
      <w:proofErr w:type="spellStart"/>
      <w:r w:rsidR="00D51B6B">
        <w:rPr>
          <w:w w:val="120"/>
        </w:rPr>
        <w:t>Turcji</w:t>
      </w:r>
      <w:proofErr w:type="spellEnd"/>
      <w:r w:rsidR="00D51B6B">
        <w:rPr>
          <w:w w:val="120"/>
        </w:rPr>
        <w:t xml:space="preserve">, </w:t>
      </w:r>
      <w:proofErr w:type="spellStart"/>
      <w:r w:rsidR="00D51B6B">
        <w:rPr>
          <w:w w:val="120"/>
        </w:rPr>
        <w:t>gdzie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wyniki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bułgarskich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wyborów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parlamentarnych</w:t>
      </w:r>
      <w:proofErr w:type="spellEnd"/>
      <w:r w:rsidR="00D51B6B">
        <w:rPr>
          <w:w w:val="120"/>
        </w:rPr>
        <w:t xml:space="preserve"> w </w:t>
      </w:r>
      <w:proofErr w:type="spellStart"/>
      <w:r w:rsidR="00D51B6B">
        <w:rPr>
          <w:w w:val="120"/>
        </w:rPr>
        <w:t>lipcu</w:t>
      </w:r>
      <w:proofErr w:type="spellEnd"/>
      <w:r w:rsidR="00D51B6B">
        <w:rPr>
          <w:w w:val="120"/>
        </w:rPr>
        <w:t xml:space="preserve"> 2009 r. </w:t>
      </w:r>
      <w:proofErr w:type="spellStart"/>
      <w:r w:rsidR="00D51B6B">
        <w:rPr>
          <w:w w:val="120"/>
        </w:rPr>
        <w:t>zostały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następnie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unieważnione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wyrokiem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Trybunału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Konstytucyjnego</w:t>
      </w:r>
      <w:proofErr w:type="spellEnd"/>
      <w:r w:rsidR="00D51B6B">
        <w:rPr>
          <w:w w:val="120"/>
        </w:rPr>
        <w:t xml:space="preserve">. 101 </w:t>
      </w:r>
      <w:proofErr w:type="spellStart"/>
      <w:r w:rsidR="00D51B6B">
        <w:rPr>
          <w:w w:val="120"/>
        </w:rPr>
        <w:t>skarżących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twierdziło</w:t>
      </w:r>
      <w:proofErr w:type="spellEnd"/>
      <w:r w:rsidR="00D51B6B">
        <w:rPr>
          <w:w w:val="120"/>
        </w:rPr>
        <w:t xml:space="preserve">, </w:t>
      </w:r>
      <w:proofErr w:type="spellStart"/>
      <w:r w:rsidR="00D51B6B">
        <w:rPr>
          <w:w w:val="120"/>
        </w:rPr>
        <w:t>że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un</w:t>
      </w:r>
      <w:r w:rsidR="00D51B6B">
        <w:rPr>
          <w:spacing w:val="40"/>
          <w:w w:val="120"/>
        </w:rPr>
        <w:t>ieważ</w:t>
      </w:r>
      <w:r w:rsidR="00D51B6B">
        <w:rPr>
          <w:w w:val="120"/>
        </w:rPr>
        <w:t>nienie</w:t>
      </w:r>
      <w:proofErr w:type="spellEnd"/>
      <w:r w:rsidR="00D51B6B">
        <w:rPr>
          <w:w w:val="120"/>
        </w:rPr>
        <w:t xml:space="preserve"> ich kart do </w:t>
      </w:r>
      <w:proofErr w:type="spellStart"/>
      <w:r w:rsidR="00D51B6B">
        <w:rPr>
          <w:w w:val="120"/>
        </w:rPr>
        <w:t>głosowania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stanowiło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naruszenie</w:t>
      </w:r>
      <w:proofErr w:type="spellEnd"/>
      <w:r w:rsidR="00D51B6B">
        <w:rPr>
          <w:w w:val="120"/>
        </w:rPr>
        <w:t xml:space="preserve"> ich </w:t>
      </w:r>
      <w:proofErr w:type="spellStart"/>
      <w:r>
        <w:rPr>
          <w:w w:val="120"/>
        </w:rPr>
        <w:t>czynnych</w:t>
      </w:r>
      <w:proofErr w:type="spellEnd"/>
      <w:r>
        <w:rPr>
          <w:w w:val="120"/>
        </w:rPr>
        <w:t xml:space="preserve"> </w:t>
      </w:r>
      <w:proofErr w:type="spellStart"/>
      <w:r w:rsidR="00D51B6B">
        <w:rPr>
          <w:w w:val="120"/>
        </w:rPr>
        <w:t>praw</w:t>
      </w:r>
      <w:proofErr w:type="spellEnd"/>
      <w:r w:rsidR="00D51B6B">
        <w:rPr>
          <w:w w:val="120"/>
        </w:rPr>
        <w:t xml:space="preserve"> </w:t>
      </w:r>
      <w:proofErr w:type="spellStart"/>
      <w:r w:rsidR="00D51B6B">
        <w:rPr>
          <w:w w:val="120"/>
        </w:rPr>
        <w:t>wyborczych</w:t>
      </w:r>
      <w:proofErr w:type="spellEnd"/>
      <w:r w:rsidR="00D51B6B">
        <w:rPr>
          <w:w w:val="120"/>
        </w:rPr>
        <w:t>.</w:t>
      </w:r>
    </w:p>
    <w:p w14:paraId="44ABE025" w14:textId="4134A11D" w:rsidR="006941BE" w:rsidRDefault="00D51B6B">
      <w:pPr>
        <w:pStyle w:val="Tekstpodstawowy"/>
        <w:ind w:left="873" w:right="870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rFonts w:ascii="Arial"/>
          <w:b/>
          <w:color w:val="0071BB"/>
          <w:w w:val="120"/>
        </w:rPr>
        <w:t xml:space="preserve">do </w:t>
      </w:r>
      <w:proofErr w:type="spellStart"/>
      <w:r>
        <w:rPr>
          <w:rFonts w:ascii="Arial"/>
          <w:b/>
          <w:color w:val="0071BB"/>
          <w:w w:val="120"/>
        </w:rPr>
        <w:t>naruszenia</w:t>
      </w:r>
      <w:proofErr w:type="spellEnd"/>
      <w:r>
        <w:rPr>
          <w:rFonts w:ascii="Arial"/>
          <w:b/>
          <w:color w:val="0071BB"/>
          <w:w w:val="120"/>
        </w:rPr>
        <w:t xml:space="preserve"> art. 3 </w:t>
      </w:r>
      <w:proofErr w:type="spellStart"/>
      <w:r w:rsidR="003F666C">
        <w:rPr>
          <w:rFonts w:ascii="Arial"/>
          <w:b/>
          <w:color w:val="0071BB"/>
          <w:w w:val="120"/>
        </w:rPr>
        <w:t>P</w:t>
      </w:r>
      <w:r>
        <w:rPr>
          <w:rFonts w:ascii="Arial"/>
          <w:b/>
          <w:color w:val="0071BB"/>
          <w:w w:val="120"/>
        </w:rPr>
        <w:t>rotoko</w:t>
      </w:r>
      <w:r>
        <w:rPr>
          <w:rFonts w:ascii="Arial"/>
          <w:b/>
          <w:color w:val="0071BB"/>
          <w:w w:val="120"/>
        </w:rPr>
        <w:t>ł</w:t>
      </w:r>
      <w:r>
        <w:rPr>
          <w:rFonts w:ascii="Arial"/>
          <w:b/>
          <w:color w:val="0071BB"/>
          <w:w w:val="120"/>
        </w:rPr>
        <w:t>u</w:t>
      </w:r>
      <w:proofErr w:type="spellEnd"/>
      <w:r>
        <w:rPr>
          <w:rFonts w:ascii="Arial"/>
          <w:b/>
          <w:color w:val="0071BB"/>
          <w:w w:val="120"/>
        </w:rPr>
        <w:t xml:space="preserve"> nr 1 </w:t>
      </w:r>
      <w:r>
        <w:rPr>
          <w:color w:val="0071BB"/>
          <w:w w:val="120"/>
        </w:rPr>
        <w:t xml:space="preserve">do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odniesieniu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praw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wyborczych</w:t>
      </w:r>
      <w:proofErr w:type="spellEnd"/>
      <w:r>
        <w:rPr>
          <w:color w:val="0071BB"/>
          <w:w w:val="120"/>
        </w:rPr>
        <w:t xml:space="preserve"> 101 </w:t>
      </w:r>
      <w:proofErr w:type="spellStart"/>
      <w:r>
        <w:rPr>
          <w:color w:val="0071BB"/>
          <w:w w:val="120"/>
        </w:rPr>
        <w:t>skarżących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stwierdzając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biorąc</w:t>
      </w:r>
      <w:proofErr w:type="spellEnd"/>
      <w:r>
        <w:rPr>
          <w:color w:val="0071BB"/>
          <w:w w:val="120"/>
        </w:rPr>
        <w:t xml:space="preserve"> pod </w:t>
      </w:r>
      <w:proofErr w:type="spellStart"/>
      <w:r>
        <w:rPr>
          <w:color w:val="0071BB"/>
          <w:w w:val="120"/>
        </w:rPr>
        <w:t>uwagę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i/>
          <w:color w:val="0071BB"/>
          <w:w w:val="120"/>
        </w:rPr>
        <w:t>luki</w:t>
      </w:r>
      <w:proofErr w:type="spellEnd"/>
      <w:r>
        <w:rPr>
          <w:i/>
          <w:color w:val="0071BB"/>
          <w:w w:val="120"/>
        </w:rPr>
        <w:t xml:space="preserve"> </w:t>
      </w:r>
      <w:r>
        <w:rPr>
          <w:color w:val="0071BB"/>
          <w:w w:val="120"/>
        </w:rPr>
        <w:t xml:space="preserve">w </w:t>
      </w:r>
      <w:proofErr w:type="spellStart"/>
      <w:r>
        <w:rPr>
          <w:color w:val="0071BB"/>
          <w:w w:val="120"/>
        </w:rPr>
        <w:t>prawie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krajowym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brak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możliwości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przeprowadzenia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nowych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wyborów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zaskarżony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wyrok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Trybunału</w:t>
      </w:r>
      <w:proofErr w:type="spellEnd"/>
      <w:r>
        <w:rPr>
          <w:color w:val="0071BB"/>
          <w:w w:val="120"/>
        </w:rPr>
        <w:t xml:space="preserve"> Konstytucyjnego, </w:t>
      </w:r>
      <w:proofErr w:type="spellStart"/>
      <w:r>
        <w:rPr>
          <w:color w:val="0071BB"/>
          <w:w w:val="120"/>
        </w:rPr>
        <w:t>oparty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wyłącznie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argumentach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formalnych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spowodował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nieuzasadnione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naruszenie</w:t>
      </w:r>
      <w:proofErr w:type="spellEnd"/>
      <w:r>
        <w:rPr>
          <w:color w:val="0071BB"/>
          <w:w w:val="120"/>
        </w:rPr>
        <w:t xml:space="preserve"> ich </w:t>
      </w:r>
      <w:proofErr w:type="spellStart"/>
      <w:r>
        <w:rPr>
          <w:color w:val="0071BB"/>
          <w:w w:val="120"/>
        </w:rPr>
        <w:t>praw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udziału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wyborach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parlamentarnych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jako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wyborc</w:t>
      </w:r>
      <w:r w:rsidR="00776C8E">
        <w:rPr>
          <w:color w:val="0071BB"/>
          <w:w w:val="120"/>
        </w:rPr>
        <w:t>ów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stwierdził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szczególności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pominął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faktu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iż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zorganizowanie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nowych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wyborów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innym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suwerennym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państwie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nawet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ograniczonej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liczbie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lokali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wyborczych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mogłoby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napotkać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poważne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przeszkody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dyplomatyczne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lub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organizacyjne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wiązać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z </w:t>
      </w:r>
      <w:proofErr w:type="spellStart"/>
      <w:r>
        <w:rPr>
          <w:color w:val="0071BB"/>
          <w:w w:val="120"/>
        </w:rPr>
        <w:t>dodatkowymi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kosztami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jednak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przeprowadzenie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nowych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wyborów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lokalu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wyborczym</w:t>
      </w:r>
      <w:proofErr w:type="spellEnd"/>
      <w:r>
        <w:rPr>
          <w:color w:val="0071BB"/>
          <w:w w:val="120"/>
        </w:rPr>
        <w:t xml:space="preserve">, w </w:t>
      </w:r>
      <w:proofErr w:type="spellStart"/>
      <w:r>
        <w:rPr>
          <w:color w:val="0071BB"/>
          <w:w w:val="120"/>
        </w:rPr>
        <w:t>którym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dniu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wyborów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do </w:t>
      </w:r>
      <w:proofErr w:type="spellStart"/>
      <w:r>
        <w:rPr>
          <w:color w:val="0071BB"/>
          <w:w w:val="120"/>
        </w:rPr>
        <w:t>poważnych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nieprawidłowości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procesie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głosowania</w:t>
      </w:r>
      <w:proofErr w:type="spellEnd"/>
      <w:r>
        <w:rPr>
          <w:color w:val="0071BB"/>
          <w:w w:val="120"/>
        </w:rPr>
        <w:t xml:space="preserve"> ze </w:t>
      </w:r>
      <w:proofErr w:type="spellStart"/>
      <w:r>
        <w:rPr>
          <w:color w:val="0071BB"/>
          <w:w w:val="120"/>
        </w:rPr>
        <w:t>strony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komisji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wyborczej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pogodziłoby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uzasadniony</w:t>
      </w:r>
      <w:proofErr w:type="spellEnd"/>
      <w:r>
        <w:rPr>
          <w:color w:val="0071BB"/>
          <w:w w:val="120"/>
        </w:rPr>
        <w:t xml:space="preserve"> cel </w:t>
      </w:r>
      <w:proofErr w:type="spellStart"/>
      <w:r>
        <w:rPr>
          <w:color w:val="0071BB"/>
          <w:w w:val="120"/>
        </w:rPr>
        <w:t>unieważnienia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wyników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wyborów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jakim</w:t>
      </w:r>
      <w:proofErr w:type="spellEnd"/>
      <w:r>
        <w:rPr>
          <w:color w:val="0071BB"/>
          <w:w w:val="120"/>
        </w:rPr>
        <w:t xml:space="preserve"> jest </w:t>
      </w:r>
      <w:proofErr w:type="spellStart"/>
      <w:r>
        <w:rPr>
          <w:color w:val="0071BB"/>
          <w:w w:val="120"/>
        </w:rPr>
        <w:t>zachowanie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legalności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procesu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wyborczego</w:t>
      </w:r>
      <w:proofErr w:type="spellEnd"/>
      <w:r>
        <w:rPr>
          <w:color w:val="0071BB"/>
          <w:w w:val="120"/>
        </w:rPr>
        <w:t xml:space="preserve">, z </w:t>
      </w:r>
      <w:proofErr w:type="spellStart"/>
      <w:r>
        <w:rPr>
          <w:color w:val="0071BB"/>
          <w:w w:val="120"/>
        </w:rPr>
        <w:t>prawami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wyborców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kandydatów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ubiegających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się</w:t>
      </w:r>
      <w:proofErr w:type="spellEnd"/>
      <w:r>
        <w:rPr>
          <w:color w:val="0071BB"/>
          <w:w w:val="120"/>
        </w:rPr>
        <w:t xml:space="preserve"> o </w:t>
      </w:r>
      <w:proofErr w:type="spellStart"/>
      <w:r>
        <w:rPr>
          <w:color w:val="0071BB"/>
          <w:w w:val="120"/>
        </w:rPr>
        <w:t>mandat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parlamencie</w:t>
      </w:r>
      <w:proofErr w:type="spellEnd"/>
      <w:r>
        <w:rPr>
          <w:color w:val="0071BB"/>
          <w:w w:val="120"/>
        </w:rPr>
        <w:t>.</w:t>
      </w:r>
    </w:p>
    <w:p w14:paraId="10C2C1B0" w14:textId="77777777" w:rsidR="006941BE" w:rsidRDefault="00D51B6B">
      <w:pPr>
        <w:pStyle w:val="Nagwek1"/>
        <w:spacing w:before="225"/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255A43D" wp14:editId="6A8A97FE">
                <wp:simplePos x="0" y="0"/>
                <wp:positionH relativeFrom="page">
                  <wp:posOffset>896111</wp:posOffset>
                </wp:positionH>
                <wp:positionV relativeFrom="paragraph">
                  <wp:posOffset>398017</wp:posOffset>
                </wp:positionV>
                <wp:extent cx="5768340" cy="18415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18415">
                              <a:moveTo>
                                <a:pt x="576834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68340" y="18287"/>
                              </a:lnTo>
                              <a:lnTo>
                                <a:pt x="5768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7A783" id="Graphic 18" o:spid="_x0000_s1026" style="position:absolute;margin-left:70.55pt;margin-top:31.35pt;width:454.2pt;height:1.4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" path="m5768340,l,,,18287r5768340,l5768340,xe" fillcolor="#999" stroked="f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color w:val="0071BB"/>
          <w:w w:val="120"/>
          <w:sz w:val="29"/>
        </w:rPr>
        <w:t>Zawieszenie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praw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wyborczych</w:t>
      </w:r>
      <w:proofErr w:type="spellEnd"/>
      <w:r>
        <w:rPr>
          <w:color w:val="0071BB"/>
          <w:w w:val="120"/>
          <w:sz w:val="29"/>
        </w:rPr>
        <w:t xml:space="preserve"> w </w:t>
      </w:r>
      <w:proofErr w:type="spellStart"/>
      <w:r>
        <w:rPr>
          <w:color w:val="0071BB"/>
          <w:w w:val="120"/>
          <w:sz w:val="29"/>
        </w:rPr>
        <w:t>trakcie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spacing w:val="-2"/>
          <w:w w:val="120"/>
          <w:sz w:val="29"/>
        </w:rPr>
        <w:t>postępowania</w:t>
      </w:r>
      <w:proofErr w:type="spellEnd"/>
      <w:r>
        <w:rPr>
          <w:color w:val="0071BB"/>
          <w:spacing w:val="-2"/>
          <w:w w:val="120"/>
          <w:sz w:val="29"/>
        </w:rPr>
        <w:t xml:space="preserve"> </w:t>
      </w:r>
      <w:proofErr w:type="spellStart"/>
      <w:r>
        <w:rPr>
          <w:color w:val="0071BB"/>
          <w:w w:val="120"/>
          <w:sz w:val="29"/>
        </w:rPr>
        <w:t>upadłościowego</w:t>
      </w:r>
      <w:proofErr w:type="spellEnd"/>
    </w:p>
    <w:p w14:paraId="1A8D330A" w14:textId="77777777" w:rsidR="006941BE" w:rsidRDefault="00D51B6B">
      <w:pPr>
        <w:pStyle w:val="Nagwek2"/>
        <w:rPr>
          <w:u w:val="none"/>
        </w:rPr>
      </w:pPr>
      <w:hyperlink r:id="rId40">
        <w:r>
          <w:rPr>
            <w:color w:val="0071BB"/>
            <w:w w:val="115"/>
            <w:u w:color="0071BB"/>
          </w:rPr>
          <w:t xml:space="preserve">Albanese </w:t>
        </w:r>
        <w:proofErr w:type="spellStart"/>
        <w:r>
          <w:rPr>
            <w:color w:val="0071BB"/>
            <w:w w:val="115"/>
            <w:u w:color="0071BB"/>
          </w:rPr>
          <w:t>przeciwko</w:t>
        </w:r>
        <w:proofErr w:type="spellEnd"/>
        <w:r>
          <w:rPr>
            <w:color w:val="0071BB"/>
            <w:w w:val="115"/>
            <w:u w:color="0071BB"/>
          </w:rPr>
          <w:t xml:space="preserve"> </w:t>
        </w:r>
        <w:proofErr w:type="spellStart"/>
        <w:r>
          <w:rPr>
            <w:color w:val="0071BB"/>
            <w:spacing w:val="-4"/>
            <w:w w:val="115"/>
            <w:u w:color="0071BB"/>
          </w:rPr>
          <w:t>Włochom</w:t>
        </w:r>
        <w:proofErr w:type="spellEnd"/>
      </w:hyperlink>
    </w:p>
    <w:p w14:paraId="35EBBFA7" w14:textId="77777777" w:rsidR="006941BE" w:rsidRDefault="00D51B6B">
      <w:pPr>
        <w:spacing w:before="67"/>
        <w:ind w:left="874"/>
        <w:jc w:val="both"/>
        <w:rPr>
          <w:sz w:val="18"/>
        </w:rPr>
      </w:pPr>
      <w:r>
        <w:rPr>
          <w:color w:val="808080"/>
          <w:w w:val="120"/>
          <w:sz w:val="18"/>
        </w:rPr>
        <w:t xml:space="preserve">23 </w:t>
      </w:r>
      <w:proofErr w:type="spellStart"/>
      <w:r>
        <w:rPr>
          <w:color w:val="808080"/>
          <w:w w:val="120"/>
          <w:sz w:val="18"/>
        </w:rPr>
        <w:t>marca</w:t>
      </w:r>
      <w:proofErr w:type="spellEnd"/>
      <w:r>
        <w:rPr>
          <w:color w:val="808080"/>
          <w:spacing w:val="-4"/>
          <w:w w:val="120"/>
          <w:sz w:val="18"/>
        </w:rPr>
        <w:t xml:space="preserve"> 2006 r.</w:t>
      </w:r>
    </w:p>
    <w:p w14:paraId="59A6C503" w14:textId="45E084A0" w:rsidR="006941BE" w:rsidRDefault="00D51B6B" w:rsidP="00F107CB">
      <w:pPr>
        <w:pStyle w:val="Tekstpodstawowy"/>
        <w:spacing w:before="4"/>
        <w:ind w:left="874" w:right="870"/>
      </w:pPr>
      <w:r>
        <w:rPr>
          <w:w w:val="120"/>
        </w:rPr>
        <w:t xml:space="preserve">W </w:t>
      </w:r>
      <w:proofErr w:type="spellStart"/>
      <w:r>
        <w:rPr>
          <w:w w:val="120"/>
        </w:rPr>
        <w:t>wyroku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złożonym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rejestrze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czerwcu</w:t>
      </w:r>
      <w:proofErr w:type="spellEnd"/>
      <w:r>
        <w:rPr>
          <w:w w:val="120"/>
        </w:rPr>
        <w:t xml:space="preserve"> 1998 r. </w:t>
      </w:r>
      <w:proofErr w:type="spellStart"/>
      <w:r w:rsidR="00396E65">
        <w:rPr>
          <w:w w:val="120"/>
        </w:rPr>
        <w:t>wobec</w:t>
      </w:r>
      <w:proofErr w:type="spellEnd"/>
      <w:r w:rsidR="00396E65">
        <w:rPr>
          <w:w w:val="120"/>
        </w:rPr>
        <w:t xml:space="preserve"> </w:t>
      </w:r>
      <w:proofErr w:type="spellStart"/>
      <w:r w:rsidR="00776C8E">
        <w:rPr>
          <w:w w:val="120"/>
        </w:rPr>
        <w:t>skarżąc</w:t>
      </w:r>
      <w:r w:rsidR="00396E65">
        <w:rPr>
          <w:w w:val="120"/>
        </w:rPr>
        <w:t>ego</w:t>
      </w:r>
      <w:proofErr w:type="spellEnd"/>
      <w:r w:rsidR="00776C8E">
        <w:rPr>
          <w:w w:val="120"/>
        </w:rPr>
        <w:t xml:space="preserve"> </w:t>
      </w:r>
      <w:proofErr w:type="spellStart"/>
      <w:r>
        <w:rPr>
          <w:w w:val="120"/>
        </w:rPr>
        <w:t>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trz</w:t>
      </w:r>
      <w:r w:rsidR="00396E65">
        <w:rPr>
          <w:w w:val="120"/>
        </w:rPr>
        <w:t>ech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spół</w:t>
      </w:r>
      <w:r w:rsidR="00396E65">
        <w:rPr>
          <w:w w:val="120"/>
        </w:rPr>
        <w:t>ek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których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był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wspólnikiem</w:t>
      </w:r>
      <w:proofErr w:type="spellEnd"/>
      <w:r>
        <w:rPr>
          <w:w w:val="120"/>
        </w:rPr>
        <w:t xml:space="preserve">, </w:t>
      </w:r>
      <w:proofErr w:type="spellStart"/>
      <w:r>
        <w:rPr>
          <w:w w:val="120"/>
        </w:rPr>
        <w:t>został</w:t>
      </w:r>
      <w:r w:rsidR="00396E65">
        <w:rPr>
          <w:w w:val="120"/>
        </w:rPr>
        <w:t>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ogłoszon</w:t>
      </w:r>
      <w:r w:rsidR="00396E65">
        <w:rPr>
          <w:w w:val="120"/>
        </w:rPr>
        <w:t>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upadł</w:t>
      </w:r>
      <w:r w:rsidR="00396E65">
        <w:rPr>
          <w:w w:val="120"/>
        </w:rPr>
        <w:t>ość</w:t>
      </w:r>
      <w:proofErr w:type="spellEnd"/>
      <w:r>
        <w:rPr>
          <w:w w:val="120"/>
        </w:rPr>
        <w:t xml:space="preserve">; w </w:t>
      </w:r>
      <w:proofErr w:type="spellStart"/>
      <w:r>
        <w:rPr>
          <w:w w:val="120"/>
        </w:rPr>
        <w:t>rezultacie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nazwisko</w:t>
      </w:r>
      <w:proofErr w:type="spellEnd"/>
      <w:r>
        <w:rPr>
          <w:w w:val="120"/>
        </w:rPr>
        <w:t xml:space="preserve"> </w:t>
      </w:r>
      <w:proofErr w:type="spellStart"/>
      <w:r w:rsidR="00776C8E">
        <w:rPr>
          <w:w w:val="120"/>
        </w:rPr>
        <w:t>skarżącego</w:t>
      </w:r>
      <w:proofErr w:type="spellEnd"/>
      <w:r w:rsidR="00776C8E">
        <w:rPr>
          <w:w w:val="120"/>
        </w:rPr>
        <w:t xml:space="preserve"> </w:t>
      </w:r>
      <w:proofErr w:type="spellStart"/>
      <w:r>
        <w:rPr>
          <w:w w:val="120"/>
        </w:rPr>
        <w:t>zostało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wpisane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rejestru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upadłościowego</w:t>
      </w:r>
      <w:proofErr w:type="spellEnd"/>
      <w:r>
        <w:rPr>
          <w:w w:val="120"/>
        </w:rPr>
        <w:t xml:space="preserve">. </w:t>
      </w:r>
      <w:proofErr w:type="spellStart"/>
      <w:r w:rsidR="00396E65">
        <w:rPr>
          <w:w w:val="120"/>
        </w:rPr>
        <w:t>Postępowanie</w:t>
      </w:r>
      <w:proofErr w:type="spellEnd"/>
      <w:r w:rsidR="00396E65">
        <w:rPr>
          <w:w w:val="120"/>
        </w:rPr>
        <w:t xml:space="preserve"> </w:t>
      </w:r>
      <w:proofErr w:type="spellStart"/>
      <w:r w:rsidR="00396E65">
        <w:rPr>
          <w:w w:val="120"/>
        </w:rPr>
        <w:t>upadłościowe</w:t>
      </w:r>
      <w:proofErr w:type="spellEnd"/>
      <w:r w:rsidR="00396E65">
        <w:rPr>
          <w:w w:val="120"/>
        </w:rPr>
        <w:t xml:space="preserve"> </w:t>
      </w:r>
      <w:proofErr w:type="spellStart"/>
      <w:r>
        <w:rPr>
          <w:w w:val="120"/>
        </w:rPr>
        <w:t>trwało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października</w:t>
      </w:r>
      <w:proofErr w:type="spellEnd"/>
      <w:r>
        <w:rPr>
          <w:w w:val="120"/>
        </w:rPr>
        <w:t xml:space="preserve"> 2004 r. </w:t>
      </w:r>
      <w:proofErr w:type="spellStart"/>
      <w:r>
        <w:rPr>
          <w:w w:val="120"/>
        </w:rPr>
        <w:t>Zgodnie</w:t>
      </w:r>
      <w:proofErr w:type="spellEnd"/>
      <w:r>
        <w:rPr>
          <w:w w:val="120"/>
        </w:rPr>
        <w:t xml:space="preserve"> z </w:t>
      </w:r>
      <w:proofErr w:type="spellStart"/>
      <w:r>
        <w:rPr>
          <w:w w:val="120"/>
        </w:rPr>
        <w:t>obowiązującym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tamtym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czasie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prawem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włoskim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ogłoszenie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upadłości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lastRenderedPageBreak/>
        <w:t>osobistej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wiązało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 z </w:t>
      </w:r>
      <w:proofErr w:type="spellStart"/>
      <w:r>
        <w:rPr>
          <w:w w:val="120"/>
        </w:rPr>
        <w:t>pewnymi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konsekwencjami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dla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danej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osoby</w:t>
      </w:r>
      <w:proofErr w:type="spellEnd"/>
      <w:r>
        <w:rPr>
          <w:w w:val="120"/>
        </w:rPr>
        <w:t xml:space="preserve">, w </w:t>
      </w:r>
      <w:proofErr w:type="spellStart"/>
      <w:r>
        <w:rPr>
          <w:w w:val="120"/>
        </w:rPr>
        <w:t>szczególności</w:t>
      </w:r>
      <w:proofErr w:type="spellEnd"/>
      <w:r>
        <w:rPr>
          <w:w w:val="120"/>
        </w:rPr>
        <w:t xml:space="preserve"> z </w:t>
      </w:r>
      <w:proofErr w:type="spellStart"/>
      <w:r>
        <w:rPr>
          <w:w w:val="120"/>
        </w:rPr>
        <w:t>zawieszeniem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wykonywania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jej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wyborczych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czas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trwania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postępowania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upadłościowego</w:t>
      </w:r>
      <w:proofErr w:type="spellEnd"/>
      <w:r>
        <w:rPr>
          <w:w w:val="120"/>
        </w:rPr>
        <w:t xml:space="preserve">, z </w:t>
      </w:r>
      <w:proofErr w:type="spellStart"/>
      <w:r>
        <w:rPr>
          <w:w w:val="120"/>
        </w:rPr>
        <w:t>zastrzeżeniem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ograniczenia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pięciu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lat</w:t>
      </w:r>
      <w:proofErr w:type="spellEnd"/>
      <w:r>
        <w:rPr>
          <w:w w:val="120"/>
        </w:rPr>
        <w:t xml:space="preserve"> od </w:t>
      </w:r>
      <w:proofErr w:type="spellStart"/>
      <w:r>
        <w:rPr>
          <w:w w:val="120"/>
        </w:rPr>
        <w:t>daty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ogłoszenia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upadłości</w:t>
      </w:r>
      <w:proofErr w:type="spellEnd"/>
      <w:r>
        <w:rPr>
          <w:w w:val="120"/>
        </w:rPr>
        <w:t xml:space="preserve">. </w:t>
      </w:r>
      <w:proofErr w:type="spellStart"/>
      <w:r>
        <w:rPr>
          <w:w w:val="120"/>
        </w:rPr>
        <w:t>Skarżący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skarżył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się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między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innymi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na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utratę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prawa</w:t>
      </w:r>
      <w:proofErr w:type="spellEnd"/>
      <w:r>
        <w:rPr>
          <w:w w:val="120"/>
        </w:rPr>
        <w:t xml:space="preserve"> do </w:t>
      </w:r>
      <w:proofErr w:type="spellStart"/>
      <w:r>
        <w:rPr>
          <w:w w:val="120"/>
        </w:rPr>
        <w:t>głosowania</w:t>
      </w:r>
      <w:proofErr w:type="spellEnd"/>
      <w:r>
        <w:rPr>
          <w:w w:val="120"/>
        </w:rPr>
        <w:t xml:space="preserve"> w </w:t>
      </w:r>
      <w:proofErr w:type="spellStart"/>
      <w:r>
        <w:rPr>
          <w:w w:val="120"/>
        </w:rPr>
        <w:t>wyniku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ogłoszenia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upadłości</w:t>
      </w:r>
      <w:proofErr w:type="spellEnd"/>
      <w:r>
        <w:rPr>
          <w:w w:val="120"/>
        </w:rPr>
        <w:t>.</w:t>
      </w:r>
    </w:p>
    <w:p w14:paraId="6DE0E7BE" w14:textId="0214E602" w:rsidR="006941BE" w:rsidRDefault="00D51B6B">
      <w:pPr>
        <w:pStyle w:val="Tekstpodstawowy"/>
        <w:ind w:left="873" w:right="870"/>
      </w:pP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uznał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doszło</w:t>
      </w:r>
      <w:proofErr w:type="spellEnd"/>
      <w:r>
        <w:rPr>
          <w:color w:val="0071BB"/>
          <w:w w:val="120"/>
        </w:rPr>
        <w:t xml:space="preserve"> </w:t>
      </w:r>
      <w:r>
        <w:rPr>
          <w:rFonts w:ascii="Arial" w:hAnsi="Arial"/>
          <w:b/>
          <w:color w:val="0071BB"/>
          <w:w w:val="120"/>
        </w:rPr>
        <w:t xml:space="preserve">do </w:t>
      </w:r>
      <w:proofErr w:type="spellStart"/>
      <w:r>
        <w:rPr>
          <w:rFonts w:ascii="Arial" w:hAnsi="Arial"/>
          <w:b/>
          <w:color w:val="0071BB"/>
          <w:w w:val="120"/>
        </w:rPr>
        <w:t>naruszenia</w:t>
      </w:r>
      <w:proofErr w:type="spellEnd"/>
      <w:r>
        <w:rPr>
          <w:rFonts w:ascii="Arial" w:hAnsi="Arial"/>
          <w:b/>
          <w:color w:val="0071BB"/>
          <w:w w:val="120"/>
        </w:rPr>
        <w:t xml:space="preserve"> art. 3 </w:t>
      </w:r>
      <w:proofErr w:type="spellStart"/>
      <w:r w:rsidR="003F666C">
        <w:rPr>
          <w:rFonts w:ascii="Arial" w:hAnsi="Arial"/>
          <w:b/>
          <w:color w:val="0071BB"/>
          <w:w w:val="120"/>
        </w:rPr>
        <w:t>P</w:t>
      </w:r>
      <w:r>
        <w:rPr>
          <w:rFonts w:ascii="Arial" w:hAnsi="Arial"/>
          <w:b/>
          <w:color w:val="0071BB"/>
          <w:w w:val="120"/>
        </w:rPr>
        <w:t>rotokołu</w:t>
      </w:r>
      <w:proofErr w:type="spellEnd"/>
      <w:r>
        <w:rPr>
          <w:rFonts w:ascii="Arial" w:hAnsi="Arial"/>
          <w:b/>
          <w:color w:val="0071BB"/>
          <w:w w:val="120"/>
        </w:rPr>
        <w:t xml:space="preserve"> nr 1 </w:t>
      </w:r>
      <w:r>
        <w:rPr>
          <w:color w:val="0071BB"/>
          <w:w w:val="120"/>
        </w:rPr>
        <w:t xml:space="preserve">do </w:t>
      </w:r>
      <w:proofErr w:type="spellStart"/>
      <w:r>
        <w:rPr>
          <w:color w:val="0071BB"/>
          <w:w w:val="120"/>
        </w:rPr>
        <w:t>Konwencji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Zauważył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zawieszenie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wyborczych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skarżącego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czas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postępowania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upadłościowego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stanowiło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wyraźną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ingerencję</w:t>
      </w:r>
      <w:proofErr w:type="spellEnd"/>
      <w:r>
        <w:rPr>
          <w:color w:val="0071BB"/>
          <w:w w:val="120"/>
        </w:rPr>
        <w:t xml:space="preserve"> w </w:t>
      </w:r>
      <w:proofErr w:type="spellStart"/>
      <w:r>
        <w:rPr>
          <w:color w:val="0071BB"/>
          <w:w w:val="120"/>
        </w:rPr>
        <w:t>wykonywanie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jego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wynikających</w:t>
      </w:r>
      <w:proofErr w:type="spellEnd"/>
      <w:r>
        <w:rPr>
          <w:color w:val="0071BB"/>
          <w:w w:val="120"/>
        </w:rPr>
        <w:t xml:space="preserve"> z art. 3 </w:t>
      </w:r>
      <w:proofErr w:type="spellStart"/>
      <w:r w:rsidR="003F666C">
        <w:rPr>
          <w:color w:val="0071BB"/>
          <w:w w:val="120"/>
        </w:rPr>
        <w:t>P</w:t>
      </w:r>
      <w:r>
        <w:rPr>
          <w:color w:val="0071BB"/>
          <w:w w:val="120"/>
        </w:rPr>
        <w:t>rotokołu</w:t>
      </w:r>
      <w:proofErr w:type="spellEnd"/>
      <w:r>
        <w:rPr>
          <w:color w:val="0071BB"/>
          <w:w w:val="120"/>
        </w:rPr>
        <w:t xml:space="preserve"> nr 1. </w:t>
      </w:r>
      <w:proofErr w:type="spellStart"/>
      <w:r>
        <w:rPr>
          <w:color w:val="0071BB"/>
          <w:w w:val="120"/>
        </w:rPr>
        <w:t>Ingerencja</w:t>
      </w:r>
      <w:proofErr w:type="spellEnd"/>
      <w:r>
        <w:rPr>
          <w:color w:val="0071BB"/>
          <w:w w:val="120"/>
        </w:rPr>
        <w:t xml:space="preserve"> ta </w:t>
      </w:r>
      <w:proofErr w:type="spellStart"/>
      <w:r>
        <w:rPr>
          <w:color w:val="0071BB"/>
          <w:w w:val="120"/>
        </w:rPr>
        <w:t>była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przewidziana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prawo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Środek</w:t>
      </w:r>
      <w:proofErr w:type="spellEnd"/>
      <w:r>
        <w:rPr>
          <w:color w:val="0071BB"/>
          <w:w w:val="120"/>
        </w:rPr>
        <w:t xml:space="preserve"> ten </w:t>
      </w:r>
      <w:proofErr w:type="spellStart"/>
      <w:r>
        <w:rPr>
          <w:color w:val="0071BB"/>
          <w:w w:val="120"/>
        </w:rPr>
        <w:t>służył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jednak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wyłącznie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poniżaniu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osób</w:t>
      </w:r>
      <w:proofErr w:type="spellEnd"/>
      <w:r w:rsidR="003F666C">
        <w:rPr>
          <w:color w:val="0071BB"/>
          <w:w w:val="120"/>
        </w:rPr>
        <w:t xml:space="preserve">, </w:t>
      </w:r>
      <w:proofErr w:type="spellStart"/>
      <w:r w:rsidR="003F666C">
        <w:rPr>
          <w:color w:val="0071BB"/>
          <w:w w:val="120"/>
        </w:rPr>
        <w:t>wobec</w:t>
      </w:r>
      <w:proofErr w:type="spellEnd"/>
      <w:r w:rsidR="003F666C">
        <w:rPr>
          <w:color w:val="0071BB"/>
          <w:w w:val="120"/>
        </w:rPr>
        <w:t xml:space="preserve"> </w:t>
      </w:r>
      <w:proofErr w:type="spellStart"/>
      <w:r w:rsidR="003F666C">
        <w:rPr>
          <w:color w:val="0071BB"/>
          <w:w w:val="120"/>
        </w:rPr>
        <w:t>których</w:t>
      </w:r>
      <w:proofErr w:type="spellEnd"/>
      <w:r w:rsidR="003F666C">
        <w:rPr>
          <w:color w:val="0071BB"/>
          <w:w w:val="120"/>
        </w:rPr>
        <w:t xml:space="preserve"> </w:t>
      </w:r>
      <w:proofErr w:type="spellStart"/>
      <w:r w:rsidR="003F666C">
        <w:rPr>
          <w:color w:val="0071BB"/>
          <w:w w:val="120"/>
        </w:rPr>
        <w:t>ogłoszono</w:t>
      </w:r>
      <w:proofErr w:type="spellEnd"/>
      <w:r w:rsidR="003F666C">
        <w:rPr>
          <w:color w:val="0071BB"/>
          <w:w w:val="120"/>
        </w:rPr>
        <w:t xml:space="preserve"> </w:t>
      </w:r>
      <w:proofErr w:type="spellStart"/>
      <w:r w:rsidR="003F666C">
        <w:rPr>
          <w:color w:val="0071BB"/>
          <w:w w:val="120"/>
        </w:rPr>
        <w:t>upadłość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karząc</w:t>
      </w:r>
      <w:proofErr w:type="spellEnd"/>
      <w:r>
        <w:rPr>
          <w:color w:val="0071BB"/>
          <w:w w:val="120"/>
        </w:rPr>
        <w:t xml:space="preserve"> je po </w:t>
      </w:r>
      <w:proofErr w:type="spellStart"/>
      <w:r>
        <w:rPr>
          <w:color w:val="0071BB"/>
          <w:w w:val="120"/>
        </w:rPr>
        <w:t>prostu</w:t>
      </w:r>
      <w:proofErr w:type="spellEnd"/>
      <w:r>
        <w:rPr>
          <w:color w:val="0071BB"/>
          <w:w w:val="120"/>
        </w:rPr>
        <w:t xml:space="preserve"> za </w:t>
      </w:r>
      <w:proofErr w:type="spellStart"/>
      <w:r>
        <w:rPr>
          <w:color w:val="0071BB"/>
          <w:w w:val="120"/>
        </w:rPr>
        <w:t>ogłoszenie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niewypłacalności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niezależnie</w:t>
      </w:r>
      <w:proofErr w:type="spellEnd"/>
      <w:r>
        <w:rPr>
          <w:color w:val="0071BB"/>
          <w:w w:val="120"/>
        </w:rPr>
        <w:t xml:space="preserve"> od </w:t>
      </w:r>
      <w:proofErr w:type="spellStart"/>
      <w:r>
        <w:rPr>
          <w:color w:val="0071BB"/>
          <w:w w:val="120"/>
        </w:rPr>
        <w:t>tego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czy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popełniły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przestępstwo</w:t>
      </w:r>
      <w:proofErr w:type="spellEnd"/>
      <w:r>
        <w:rPr>
          <w:color w:val="0071BB"/>
          <w:w w:val="120"/>
        </w:rPr>
        <w:t xml:space="preserve">. Nie </w:t>
      </w:r>
      <w:proofErr w:type="spellStart"/>
      <w:r>
        <w:rPr>
          <w:color w:val="0071BB"/>
          <w:w w:val="120"/>
        </w:rPr>
        <w:t>służył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zatem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realizacji</w:t>
      </w:r>
      <w:proofErr w:type="spellEnd"/>
      <w:r>
        <w:rPr>
          <w:color w:val="0071BB"/>
          <w:w w:val="120"/>
        </w:rPr>
        <w:t xml:space="preserve"> </w:t>
      </w:r>
      <w:proofErr w:type="spellStart"/>
      <w:r w:rsidR="00384206">
        <w:rPr>
          <w:color w:val="0071BB"/>
          <w:w w:val="120"/>
        </w:rPr>
        <w:t>uprawnionego</w:t>
      </w:r>
      <w:proofErr w:type="spellEnd"/>
      <w:r w:rsidR="00384206"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celu</w:t>
      </w:r>
      <w:proofErr w:type="spellEnd"/>
      <w:r>
        <w:rPr>
          <w:color w:val="0071BB"/>
          <w:w w:val="120"/>
        </w:rPr>
        <w:t xml:space="preserve">. </w:t>
      </w:r>
      <w:proofErr w:type="spellStart"/>
      <w:r>
        <w:rPr>
          <w:color w:val="0071BB"/>
          <w:w w:val="120"/>
        </w:rPr>
        <w:t>Ponadto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Trybunał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zwrócił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uwagę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że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głosowanie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nie</w:t>
      </w:r>
      <w:proofErr w:type="spellEnd"/>
      <w:r>
        <w:rPr>
          <w:color w:val="0071BB"/>
          <w:w w:val="120"/>
        </w:rPr>
        <w:t xml:space="preserve"> jest </w:t>
      </w:r>
      <w:proofErr w:type="spellStart"/>
      <w:r>
        <w:rPr>
          <w:color w:val="0071BB"/>
          <w:w w:val="120"/>
        </w:rPr>
        <w:t>przywilejem</w:t>
      </w:r>
      <w:proofErr w:type="spellEnd"/>
      <w:r>
        <w:rPr>
          <w:color w:val="0071BB"/>
          <w:w w:val="120"/>
        </w:rPr>
        <w:t xml:space="preserve">, </w:t>
      </w:r>
      <w:proofErr w:type="spellStart"/>
      <w:r>
        <w:rPr>
          <w:color w:val="0071BB"/>
          <w:w w:val="120"/>
        </w:rPr>
        <w:t>lecz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prawem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chronionym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przez</w:t>
      </w:r>
      <w:proofErr w:type="spellEnd"/>
      <w:r>
        <w:rPr>
          <w:color w:val="0071BB"/>
          <w:w w:val="120"/>
        </w:rPr>
        <w:t xml:space="preserve"> </w:t>
      </w:r>
      <w:proofErr w:type="spellStart"/>
      <w:r>
        <w:rPr>
          <w:color w:val="0071BB"/>
          <w:w w:val="120"/>
        </w:rPr>
        <w:t>Konwencję</w:t>
      </w:r>
      <w:proofErr w:type="spellEnd"/>
      <w:r>
        <w:rPr>
          <w:color w:val="0071BB"/>
          <w:w w:val="120"/>
        </w:rPr>
        <w:t>.</w:t>
      </w:r>
    </w:p>
    <w:p w14:paraId="68275430" w14:textId="77777777" w:rsidR="006941BE" w:rsidRDefault="00D51B6B">
      <w:pPr>
        <w:spacing w:before="43"/>
        <w:ind w:left="874" w:right="871" w:hanging="1"/>
        <w:jc w:val="both"/>
        <w:rPr>
          <w:sz w:val="20"/>
        </w:rPr>
      </w:pPr>
      <w:r>
        <w:rPr>
          <w:i/>
          <w:color w:val="404040"/>
          <w:w w:val="125"/>
          <w:sz w:val="20"/>
        </w:rPr>
        <w:t>Zob</w:t>
      </w:r>
      <w:r>
        <w:rPr>
          <w:color w:val="404040"/>
          <w:w w:val="125"/>
          <w:sz w:val="20"/>
        </w:rPr>
        <w:t xml:space="preserve">. </w:t>
      </w:r>
      <w:proofErr w:type="spellStart"/>
      <w:r>
        <w:rPr>
          <w:i/>
          <w:color w:val="404040"/>
          <w:w w:val="125"/>
          <w:sz w:val="20"/>
        </w:rPr>
        <w:t>również</w:t>
      </w:r>
      <w:proofErr w:type="spellEnd"/>
      <w:r>
        <w:rPr>
          <w:i/>
          <w:color w:val="404040"/>
          <w:w w:val="125"/>
          <w:sz w:val="20"/>
        </w:rPr>
        <w:t xml:space="preserve"> </w:t>
      </w:r>
      <w:r>
        <w:rPr>
          <w:color w:val="404040"/>
          <w:w w:val="125"/>
          <w:sz w:val="20"/>
        </w:rPr>
        <w:t xml:space="preserve">m.in.: </w:t>
      </w:r>
      <w:hyperlink r:id="rId41">
        <w:proofErr w:type="spellStart"/>
        <w:r>
          <w:rPr>
            <w:rFonts w:ascii="Arial"/>
            <w:b/>
            <w:color w:val="0071BB"/>
            <w:w w:val="125"/>
            <w:sz w:val="20"/>
            <w:u w:val="single" w:color="0071BB"/>
          </w:rPr>
          <w:t>Campagnano</w:t>
        </w:r>
        <w:proofErr w:type="spellEnd"/>
        <w:r>
          <w:rPr>
            <w:rFonts w:ascii="Arial"/>
            <w:b/>
            <w:color w:val="0071BB"/>
            <w:w w:val="125"/>
            <w:sz w:val="20"/>
            <w:u w:val="single" w:color="0071BB"/>
          </w:rPr>
          <w:t xml:space="preserve"> </w:t>
        </w:r>
        <w:proofErr w:type="spellStart"/>
        <w:r>
          <w:rPr>
            <w:rFonts w:ascii="Arial"/>
            <w:b/>
            <w:color w:val="0071BB"/>
            <w:w w:val="125"/>
            <w:sz w:val="20"/>
            <w:u w:val="single" w:color="0071BB"/>
          </w:rPr>
          <w:t>przeciwko</w:t>
        </w:r>
        <w:proofErr w:type="spellEnd"/>
        <w:r>
          <w:rPr>
            <w:rFonts w:ascii="Arial"/>
            <w:b/>
            <w:color w:val="0071BB"/>
            <w:w w:val="125"/>
            <w:sz w:val="20"/>
            <w:u w:val="single" w:color="0071BB"/>
          </w:rPr>
          <w:t xml:space="preserve"> </w:t>
        </w:r>
        <w:proofErr w:type="spellStart"/>
        <w:r>
          <w:rPr>
            <w:rFonts w:ascii="Arial"/>
            <w:b/>
            <w:color w:val="0071BB"/>
            <w:w w:val="125"/>
            <w:sz w:val="20"/>
            <w:u w:val="single" w:color="0071BB"/>
          </w:rPr>
          <w:t>W</w:t>
        </w:r>
        <w:r>
          <w:rPr>
            <w:rFonts w:ascii="Arial"/>
            <w:b/>
            <w:color w:val="0071BB"/>
            <w:w w:val="125"/>
            <w:sz w:val="20"/>
            <w:u w:val="single" w:color="0071BB"/>
          </w:rPr>
          <w:t>ł</w:t>
        </w:r>
        <w:r>
          <w:rPr>
            <w:rFonts w:ascii="Arial"/>
            <w:b/>
            <w:color w:val="0071BB"/>
            <w:w w:val="125"/>
            <w:sz w:val="20"/>
            <w:u w:val="single" w:color="0071BB"/>
          </w:rPr>
          <w:t>ochom</w:t>
        </w:r>
        <w:proofErr w:type="spellEnd"/>
      </w:hyperlink>
      <w:r>
        <w:rPr>
          <w:color w:val="404040"/>
          <w:w w:val="125"/>
          <w:sz w:val="20"/>
        </w:rPr>
        <w:t xml:space="preserve"> </w:t>
      </w:r>
      <w:proofErr w:type="spellStart"/>
      <w:r>
        <w:rPr>
          <w:color w:val="404040"/>
          <w:w w:val="125"/>
          <w:sz w:val="20"/>
        </w:rPr>
        <w:t>i</w:t>
      </w:r>
      <w:proofErr w:type="spellEnd"/>
      <w:r>
        <w:rPr>
          <w:color w:val="404040"/>
          <w:w w:val="125"/>
          <w:sz w:val="20"/>
        </w:rPr>
        <w:t xml:space="preserve"> </w:t>
      </w:r>
      <w:hyperlink r:id="rId42">
        <w:r>
          <w:rPr>
            <w:rFonts w:ascii="Arial"/>
            <w:b/>
            <w:color w:val="0071BB"/>
            <w:w w:val="125"/>
            <w:sz w:val="20"/>
            <w:u w:val="single" w:color="0071BB"/>
          </w:rPr>
          <w:t xml:space="preserve">Vitiello </w:t>
        </w:r>
        <w:proofErr w:type="spellStart"/>
        <w:r>
          <w:rPr>
            <w:rFonts w:ascii="Arial"/>
            <w:b/>
            <w:color w:val="0071BB"/>
            <w:w w:val="125"/>
            <w:sz w:val="20"/>
            <w:u w:val="single" w:color="0071BB"/>
          </w:rPr>
          <w:t>przeciwko</w:t>
        </w:r>
        <w:proofErr w:type="spellEnd"/>
        <w:r>
          <w:rPr>
            <w:rFonts w:ascii="Arial"/>
            <w:b/>
            <w:color w:val="0071BB"/>
            <w:w w:val="125"/>
            <w:sz w:val="20"/>
            <w:u w:val="single" w:color="0071BB"/>
          </w:rPr>
          <w:t xml:space="preserve"> </w:t>
        </w:r>
        <w:proofErr w:type="spellStart"/>
        <w:r>
          <w:rPr>
            <w:rFonts w:ascii="Arial"/>
            <w:b/>
            <w:color w:val="0071BB"/>
            <w:w w:val="125"/>
            <w:sz w:val="20"/>
            <w:u w:val="single" w:color="0071BB"/>
          </w:rPr>
          <w:t>W</w:t>
        </w:r>
        <w:r>
          <w:rPr>
            <w:rFonts w:ascii="Arial"/>
            <w:b/>
            <w:color w:val="0071BB"/>
            <w:w w:val="125"/>
            <w:sz w:val="20"/>
            <w:u w:val="single" w:color="0071BB"/>
          </w:rPr>
          <w:t>ł</w:t>
        </w:r>
        <w:r>
          <w:rPr>
            <w:rFonts w:ascii="Arial"/>
            <w:b/>
            <w:color w:val="0071BB"/>
            <w:w w:val="125"/>
            <w:sz w:val="20"/>
            <w:u w:val="single" w:color="0071BB"/>
          </w:rPr>
          <w:t>ochom</w:t>
        </w:r>
        <w:proofErr w:type="spellEnd"/>
        <w:r>
          <w:rPr>
            <w:color w:val="404040"/>
            <w:w w:val="125"/>
            <w:sz w:val="20"/>
          </w:rPr>
          <w:t>,</w:t>
        </w:r>
      </w:hyperlink>
      <w:r>
        <w:rPr>
          <w:color w:val="404040"/>
          <w:w w:val="125"/>
          <w:sz w:val="20"/>
        </w:rPr>
        <w:t xml:space="preserve"> </w:t>
      </w:r>
      <w:proofErr w:type="spellStart"/>
      <w:r>
        <w:rPr>
          <w:color w:val="404040"/>
          <w:w w:val="125"/>
          <w:sz w:val="20"/>
        </w:rPr>
        <w:t>wyroki</w:t>
      </w:r>
      <w:proofErr w:type="spellEnd"/>
      <w:r>
        <w:rPr>
          <w:color w:val="404040"/>
          <w:w w:val="125"/>
          <w:sz w:val="20"/>
        </w:rPr>
        <w:t xml:space="preserve"> z dnia 23 </w:t>
      </w:r>
      <w:proofErr w:type="spellStart"/>
      <w:r>
        <w:rPr>
          <w:color w:val="404040"/>
          <w:w w:val="125"/>
          <w:sz w:val="20"/>
        </w:rPr>
        <w:t>marca</w:t>
      </w:r>
      <w:proofErr w:type="spellEnd"/>
      <w:r>
        <w:rPr>
          <w:color w:val="404040"/>
          <w:w w:val="125"/>
          <w:sz w:val="20"/>
        </w:rPr>
        <w:t xml:space="preserve"> 2006 r.; </w:t>
      </w:r>
      <w:hyperlink r:id="rId43">
        <w:r>
          <w:rPr>
            <w:rFonts w:ascii="Arial"/>
            <w:b/>
            <w:color w:val="0071BB"/>
            <w:w w:val="125"/>
            <w:sz w:val="20"/>
            <w:u w:val="single" w:color="0071BB"/>
          </w:rPr>
          <w:t xml:space="preserve">Bova </w:t>
        </w:r>
        <w:proofErr w:type="spellStart"/>
        <w:r>
          <w:rPr>
            <w:rFonts w:ascii="Arial"/>
            <w:b/>
            <w:color w:val="0071BB"/>
            <w:w w:val="125"/>
            <w:sz w:val="20"/>
            <w:u w:val="single" w:color="0071BB"/>
          </w:rPr>
          <w:t>przeciwko</w:t>
        </w:r>
        <w:proofErr w:type="spellEnd"/>
        <w:r>
          <w:rPr>
            <w:rFonts w:ascii="Arial"/>
            <w:b/>
            <w:color w:val="0071BB"/>
            <w:w w:val="125"/>
            <w:sz w:val="20"/>
            <w:u w:val="single" w:color="0071BB"/>
          </w:rPr>
          <w:t xml:space="preserve"> </w:t>
        </w:r>
        <w:proofErr w:type="spellStart"/>
        <w:r>
          <w:rPr>
            <w:rFonts w:ascii="Arial"/>
            <w:b/>
            <w:color w:val="0071BB"/>
            <w:w w:val="125"/>
            <w:sz w:val="20"/>
            <w:u w:val="single" w:color="0071BB"/>
          </w:rPr>
          <w:t>W</w:t>
        </w:r>
        <w:r>
          <w:rPr>
            <w:rFonts w:ascii="Arial"/>
            <w:b/>
            <w:color w:val="0071BB"/>
            <w:w w:val="125"/>
            <w:sz w:val="20"/>
            <w:u w:val="single" w:color="0071BB"/>
          </w:rPr>
          <w:t>ł</w:t>
        </w:r>
        <w:r>
          <w:rPr>
            <w:rFonts w:ascii="Arial"/>
            <w:b/>
            <w:color w:val="0071BB"/>
            <w:w w:val="125"/>
            <w:sz w:val="20"/>
            <w:u w:val="single" w:color="0071BB"/>
          </w:rPr>
          <w:t>ochom</w:t>
        </w:r>
        <w:proofErr w:type="spellEnd"/>
      </w:hyperlink>
      <w:r>
        <w:rPr>
          <w:color w:val="404040"/>
          <w:w w:val="125"/>
          <w:sz w:val="20"/>
        </w:rPr>
        <w:t xml:space="preserve"> </w:t>
      </w:r>
      <w:proofErr w:type="spellStart"/>
      <w:r>
        <w:rPr>
          <w:color w:val="404040"/>
          <w:w w:val="125"/>
          <w:sz w:val="20"/>
        </w:rPr>
        <w:t>i</w:t>
      </w:r>
      <w:proofErr w:type="spellEnd"/>
      <w:r>
        <w:rPr>
          <w:color w:val="404040"/>
          <w:w w:val="125"/>
          <w:sz w:val="20"/>
        </w:rPr>
        <w:t xml:space="preserve"> </w:t>
      </w:r>
      <w:hyperlink r:id="rId44">
        <w:r>
          <w:rPr>
            <w:rFonts w:ascii="Arial"/>
            <w:b/>
            <w:color w:val="0071BB"/>
            <w:w w:val="125"/>
            <w:sz w:val="20"/>
            <w:u w:val="single" w:color="0071BB"/>
          </w:rPr>
          <w:t xml:space="preserve">Pantuso </w:t>
        </w:r>
        <w:proofErr w:type="spellStart"/>
        <w:r>
          <w:rPr>
            <w:rFonts w:ascii="Arial"/>
            <w:b/>
            <w:color w:val="0071BB"/>
            <w:w w:val="125"/>
            <w:sz w:val="20"/>
            <w:u w:val="single" w:color="0071BB"/>
          </w:rPr>
          <w:t>przeciwko</w:t>
        </w:r>
        <w:proofErr w:type="spellEnd"/>
        <w:r>
          <w:rPr>
            <w:rFonts w:ascii="Arial"/>
            <w:b/>
            <w:color w:val="0071BB"/>
            <w:w w:val="125"/>
            <w:sz w:val="20"/>
            <w:u w:val="single" w:color="0071BB"/>
          </w:rPr>
          <w:t xml:space="preserve"> </w:t>
        </w:r>
        <w:proofErr w:type="spellStart"/>
        <w:r>
          <w:rPr>
            <w:rFonts w:ascii="Arial"/>
            <w:b/>
            <w:color w:val="0071BB"/>
            <w:w w:val="125"/>
            <w:sz w:val="20"/>
            <w:u w:val="single" w:color="0071BB"/>
          </w:rPr>
          <w:t>W</w:t>
        </w:r>
        <w:r>
          <w:rPr>
            <w:rFonts w:ascii="Arial"/>
            <w:b/>
            <w:color w:val="0071BB"/>
            <w:w w:val="125"/>
            <w:sz w:val="20"/>
            <w:u w:val="single" w:color="0071BB"/>
          </w:rPr>
          <w:t>ł</w:t>
        </w:r>
        <w:r>
          <w:rPr>
            <w:rFonts w:ascii="Arial"/>
            <w:b/>
            <w:color w:val="0071BB"/>
            <w:w w:val="125"/>
            <w:sz w:val="20"/>
            <w:u w:val="single" w:color="0071BB"/>
          </w:rPr>
          <w:t>ochom</w:t>
        </w:r>
        <w:proofErr w:type="spellEnd"/>
        <w:r>
          <w:rPr>
            <w:color w:val="404040"/>
            <w:w w:val="125"/>
            <w:sz w:val="20"/>
          </w:rPr>
          <w:t>,</w:t>
        </w:r>
      </w:hyperlink>
      <w:r>
        <w:rPr>
          <w:color w:val="404040"/>
          <w:w w:val="125"/>
          <w:sz w:val="20"/>
        </w:rPr>
        <w:t xml:space="preserve"> </w:t>
      </w:r>
      <w:proofErr w:type="spellStart"/>
      <w:r>
        <w:rPr>
          <w:color w:val="404040"/>
          <w:w w:val="125"/>
          <w:sz w:val="20"/>
        </w:rPr>
        <w:t>wyroki</w:t>
      </w:r>
      <w:proofErr w:type="spellEnd"/>
      <w:r>
        <w:rPr>
          <w:color w:val="404040"/>
          <w:w w:val="125"/>
          <w:sz w:val="20"/>
        </w:rPr>
        <w:t xml:space="preserve"> z dnia 24 maja 2006 r.</w:t>
      </w:r>
      <w:r>
        <w:rPr>
          <w:color w:val="404040"/>
          <w:w w:val="140"/>
          <w:sz w:val="20"/>
        </w:rPr>
        <w:t xml:space="preserve">; </w:t>
      </w:r>
      <w:hyperlink r:id="rId45">
        <w:proofErr w:type="spellStart"/>
        <w:r>
          <w:rPr>
            <w:rFonts w:ascii="Arial"/>
            <w:b/>
            <w:color w:val="0071BB"/>
            <w:w w:val="125"/>
            <w:sz w:val="20"/>
            <w:u w:val="single" w:color="0071BB"/>
          </w:rPr>
          <w:t>Chiumiento</w:t>
        </w:r>
        <w:proofErr w:type="spellEnd"/>
        <w:r>
          <w:rPr>
            <w:rFonts w:ascii="Arial"/>
            <w:b/>
            <w:color w:val="0071BB"/>
            <w:w w:val="125"/>
            <w:sz w:val="20"/>
            <w:u w:val="single" w:color="0071BB"/>
          </w:rPr>
          <w:t xml:space="preserve"> </w:t>
        </w:r>
        <w:proofErr w:type="spellStart"/>
        <w:r>
          <w:rPr>
            <w:rFonts w:ascii="Arial"/>
            <w:b/>
            <w:color w:val="0071BB"/>
            <w:w w:val="125"/>
            <w:sz w:val="20"/>
            <w:u w:val="single" w:color="0071BB"/>
          </w:rPr>
          <w:t>przeciwko</w:t>
        </w:r>
        <w:proofErr w:type="spellEnd"/>
        <w:r>
          <w:rPr>
            <w:rFonts w:ascii="Arial"/>
            <w:b/>
            <w:color w:val="0071BB"/>
            <w:w w:val="125"/>
            <w:sz w:val="20"/>
            <w:u w:val="single" w:color="0071BB"/>
          </w:rPr>
          <w:t xml:space="preserve"> </w:t>
        </w:r>
        <w:proofErr w:type="spellStart"/>
        <w:r>
          <w:rPr>
            <w:rFonts w:ascii="Arial"/>
            <w:b/>
            <w:color w:val="0071BB"/>
            <w:w w:val="125"/>
            <w:sz w:val="20"/>
            <w:u w:val="single" w:color="0071BB"/>
          </w:rPr>
          <w:t>W</w:t>
        </w:r>
        <w:r>
          <w:rPr>
            <w:rFonts w:ascii="Arial"/>
            <w:b/>
            <w:color w:val="0071BB"/>
            <w:w w:val="125"/>
            <w:sz w:val="20"/>
            <w:u w:val="single" w:color="0071BB"/>
          </w:rPr>
          <w:t>ł</w:t>
        </w:r>
        <w:r>
          <w:rPr>
            <w:rFonts w:ascii="Arial"/>
            <w:b/>
            <w:color w:val="0071BB"/>
            <w:w w:val="125"/>
            <w:sz w:val="20"/>
            <w:u w:val="single" w:color="0071BB"/>
          </w:rPr>
          <w:t>ochom</w:t>
        </w:r>
        <w:proofErr w:type="spellEnd"/>
        <w:r>
          <w:rPr>
            <w:rFonts w:ascii="Arial"/>
            <w:b/>
            <w:color w:val="0071BB"/>
            <w:w w:val="125"/>
            <w:sz w:val="20"/>
            <w:u w:val="single" w:color="0071BB"/>
          </w:rPr>
          <w:t xml:space="preserve">, </w:t>
        </w:r>
      </w:hyperlink>
      <w:hyperlink r:id="rId46">
        <w:r>
          <w:rPr>
            <w:rFonts w:ascii="Arial"/>
            <w:b/>
            <w:color w:val="0071BB"/>
            <w:w w:val="125"/>
            <w:sz w:val="20"/>
            <w:u w:val="single" w:color="0071BB"/>
          </w:rPr>
          <w:t xml:space="preserve">La </w:t>
        </w:r>
        <w:proofErr w:type="spellStart"/>
        <w:r>
          <w:rPr>
            <w:rFonts w:ascii="Arial"/>
            <w:b/>
            <w:color w:val="0071BB"/>
            <w:w w:val="125"/>
            <w:sz w:val="20"/>
            <w:u w:val="single" w:color="0071BB"/>
          </w:rPr>
          <w:t>Frazia</w:t>
        </w:r>
        <w:proofErr w:type="spellEnd"/>
        <w:r>
          <w:rPr>
            <w:rFonts w:ascii="Arial"/>
            <w:b/>
            <w:color w:val="0071BB"/>
            <w:w w:val="125"/>
            <w:sz w:val="20"/>
            <w:u w:val="single" w:color="0071BB"/>
          </w:rPr>
          <w:t xml:space="preserve"> </w:t>
        </w:r>
        <w:proofErr w:type="spellStart"/>
        <w:r>
          <w:rPr>
            <w:rFonts w:ascii="Arial"/>
            <w:b/>
            <w:color w:val="0071BB"/>
            <w:w w:val="125"/>
            <w:sz w:val="20"/>
            <w:u w:val="single" w:color="0071BB"/>
          </w:rPr>
          <w:t>przeciwko</w:t>
        </w:r>
        <w:proofErr w:type="spellEnd"/>
        <w:r>
          <w:rPr>
            <w:rFonts w:ascii="Arial"/>
            <w:b/>
            <w:color w:val="0071BB"/>
            <w:w w:val="125"/>
            <w:sz w:val="20"/>
            <w:u w:val="single" w:color="0071BB"/>
          </w:rPr>
          <w:t xml:space="preserve"> </w:t>
        </w:r>
        <w:proofErr w:type="spellStart"/>
        <w:r>
          <w:rPr>
            <w:rFonts w:ascii="Arial"/>
            <w:b/>
            <w:color w:val="0071BB"/>
            <w:w w:val="125"/>
            <w:sz w:val="20"/>
            <w:u w:val="single" w:color="0071BB"/>
          </w:rPr>
          <w:t>W</w:t>
        </w:r>
        <w:r>
          <w:rPr>
            <w:rFonts w:ascii="Arial"/>
            <w:b/>
            <w:color w:val="0071BB"/>
            <w:w w:val="125"/>
            <w:sz w:val="20"/>
            <w:u w:val="single" w:color="0071BB"/>
          </w:rPr>
          <w:t>ł</w:t>
        </w:r>
        <w:r>
          <w:rPr>
            <w:rFonts w:ascii="Arial"/>
            <w:b/>
            <w:color w:val="0071BB"/>
            <w:w w:val="125"/>
            <w:sz w:val="20"/>
            <w:u w:val="single" w:color="0071BB"/>
          </w:rPr>
          <w:t>ochom</w:t>
        </w:r>
        <w:proofErr w:type="spellEnd"/>
      </w:hyperlink>
      <w:r>
        <w:rPr>
          <w:color w:val="404040"/>
          <w:w w:val="125"/>
          <w:sz w:val="20"/>
        </w:rPr>
        <w:t xml:space="preserve"> </w:t>
      </w:r>
      <w:proofErr w:type="spellStart"/>
      <w:r>
        <w:rPr>
          <w:color w:val="404040"/>
          <w:w w:val="125"/>
          <w:sz w:val="20"/>
        </w:rPr>
        <w:t>i</w:t>
      </w:r>
      <w:proofErr w:type="spellEnd"/>
      <w:r>
        <w:rPr>
          <w:color w:val="404040"/>
          <w:w w:val="125"/>
          <w:sz w:val="20"/>
        </w:rPr>
        <w:t xml:space="preserve"> </w:t>
      </w:r>
      <w:hyperlink r:id="rId47">
        <w:r>
          <w:rPr>
            <w:rFonts w:ascii="Arial"/>
            <w:b/>
            <w:color w:val="0071BB"/>
            <w:w w:val="125"/>
            <w:sz w:val="20"/>
            <w:u w:val="single" w:color="0071BB"/>
          </w:rPr>
          <w:t xml:space="preserve">Vertucci </w:t>
        </w:r>
        <w:proofErr w:type="spellStart"/>
        <w:r>
          <w:rPr>
            <w:rFonts w:ascii="Arial"/>
            <w:b/>
            <w:color w:val="0071BB"/>
            <w:w w:val="125"/>
            <w:sz w:val="20"/>
            <w:u w:val="single" w:color="0071BB"/>
          </w:rPr>
          <w:t>przeciwko</w:t>
        </w:r>
        <w:proofErr w:type="spellEnd"/>
        <w:r>
          <w:rPr>
            <w:rFonts w:ascii="Arial"/>
            <w:b/>
            <w:color w:val="0071BB"/>
            <w:w w:val="125"/>
            <w:sz w:val="20"/>
            <w:u w:val="single" w:color="0071BB"/>
          </w:rPr>
          <w:t xml:space="preserve"> </w:t>
        </w:r>
        <w:proofErr w:type="spellStart"/>
        <w:r>
          <w:rPr>
            <w:rFonts w:ascii="Arial"/>
            <w:b/>
            <w:color w:val="0071BB"/>
            <w:w w:val="125"/>
            <w:sz w:val="20"/>
            <w:u w:val="single" w:color="0071BB"/>
          </w:rPr>
          <w:t>W</w:t>
        </w:r>
        <w:r>
          <w:rPr>
            <w:rFonts w:ascii="Arial"/>
            <w:b/>
            <w:color w:val="0071BB"/>
            <w:w w:val="125"/>
            <w:sz w:val="20"/>
            <w:u w:val="single" w:color="0071BB"/>
          </w:rPr>
          <w:t>ł</w:t>
        </w:r>
        <w:r>
          <w:rPr>
            <w:rFonts w:ascii="Arial"/>
            <w:b/>
            <w:color w:val="0071BB"/>
            <w:w w:val="125"/>
            <w:sz w:val="20"/>
            <w:u w:val="single" w:color="0071BB"/>
          </w:rPr>
          <w:t>ochom</w:t>
        </w:r>
        <w:proofErr w:type="spellEnd"/>
        <w:r>
          <w:rPr>
            <w:rFonts w:ascii="Arial"/>
            <w:b/>
            <w:color w:val="0071BB"/>
            <w:w w:val="125"/>
            <w:sz w:val="20"/>
            <w:u w:val="single" w:color="0071BB"/>
          </w:rPr>
          <w:t>,</w:t>
        </w:r>
      </w:hyperlink>
      <w:r>
        <w:rPr>
          <w:color w:val="404040"/>
          <w:w w:val="125"/>
          <w:sz w:val="20"/>
        </w:rPr>
        <w:t xml:space="preserve"> </w:t>
      </w:r>
      <w:proofErr w:type="spellStart"/>
      <w:r>
        <w:rPr>
          <w:color w:val="404040"/>
          <w:w w:val="125"/>
          <w:sz w:val="20"/>
        </w:rPr>
        <w:t>wyroki</w:t>
      </w:r>
      <w:proofErr w:type="spellEnd"/>
      <w:r>
        <w:rPr>
          <w:color w:val="404040"/>
          <w:w w:val="125"/>
          <w:sz w:val="20"/>
        </w:rPr>
        <w:t xml:space="preserve"> z dnia 29 </w:t>
      </w:r>
      <w:proofErr w:type="spellStart"/>
      <w:r>
        <w:rPr>
          <w:color w:val="404040"/>
          <w:w w:val="125"/>
          <w:sz w:val="20"/>
        </w:rPr>
        <w:t>czerwca</w:t>
      </w:r>
      <w:proofErr w:type="spellEnd"/>
      <w:r>
        <w:rPr>
          <w:color w:val="404040"/>
          <w:w w:val="125"/>
          <w:sz w:val="20"/>
        </w:rPr>
        <w:t xml:space="preserve"> 2006 r.; </w:t>
      </w:r>
      <w:hyperlink r:id="rId48">
        <w:r>
          <w:rPr>
            <w:rFonts w:ascii="Arial"/>
            <w:b/>
            <w:color w:val="0071BB"/>
            <w:w w:val="125"/>
            <w:sz w:val="20"/>
            <w:u w:val="single" w:color="0071BB"/>
          </w:rPr>
          <w:t xml:space="preserve">Vincenzo Taiani </w:t>
        </w:r>
        <w:proofErr w:type="spellStart"/>
        <w:r>
          <w:rPr>
            <w:rFonts w:ascii="Arial"/>
            <w:b/>
            <w:color w:val="0071BB"/>
            <w:w w:val="125"/>
            <w:sz w:val="20"/>
            <w:u w:val="single" w:color="0071BB"/>
          </w:rPr>
          <w:t>przeciwko</w:t>
        </w:r>
        <w:proofErr w:type="spellEnd"/>
        <w:r>
          <w:rPr>
            <w:rFonts w:ascii="Arial"/>
            <w:b/>
            <w:color w:val="0071BB"/>
            <w:w w:val="125"/>
            <w:sz w:val="20"/>
            <w:u w:val="single" w:color="0071BB"/>
          </w:rPr>
          <w:t xml:space="preserve"> </w:t>
        </w:r>
        <w:proofErr w:type="spellStart"/>
        <w:r>
          <w:rPr>
            <w:rFonts w:ascii="Arial"/>
            <w:b/>
            <w:color w:val="0071BB"/>
            <w:w w:val="125"/>
            <w:sz w:val="20"/>
            <w:u w:val="single" w:color="0071BB"/>
          </w:rPr>
          <w:t>W</w:t>
        </w:r>
        <w:r>
          <w:rPr>
            <w:rFonts w:ascii="Arial"/>
            <w:b/>
            <w:color w:val="0071BB"/>
            <w:w w:val="125"/>
            <w:sz w:val="20"/>
            <w:u w:val="single" w:color="0071BB"/>
          </w:rPr>
          <w:t>ł</w:t>
        </w:r>
        <w:r>
          <w:rPr>
            <w:rFonts w:ascii="Arial"/>
            <w:b/>
            <w:color w:val="0071BB"/>
            <w:w w:val="125"/>
            <w:sz w:val="20"/>
            <w:u w:val="single" w:color="0071BB"/>
          </w:rPr>
          <w:t>ochom</w:t>
        </w:r>
        <w:proofErr w:type="spellEnd"/>
        <w:r>
          <w:rPr>
            <w:rFonts w:ascii="Arial"/>
            <w:b/>
            <w:color w:val="0071BB"/>
            <w:w w:val="125"/>
            <w:sz w:val="20"/>
            <w:u w:val="single" w:color="0071BB"/>
          </w:rPr>
          <w:t>,</w:t>
        </w:r>
      </w:hyperlink>
      <w:r>
        <w:rPr>
          <w:color w:val="404040"/>
          <w:w w:val="125"/>
          <w:sz w:val="20"/>
        </w:rPr>
        <w:t xml:space="preserve"> </w:t>
      </w:r>
      <w:proofErr w:type="spellStart"/>
      <w:r>
        <w:rPr>
          <w:color w:val="404040"/>
          <w:w w:val="125"/>
          <w:sz w:val="20"/>
        </w:rPr>
        <w:t>wyrok</w:t>
      </w:r>
      <w:proofErr w:type="spellEnd"/>
      <w:r>
        <w:rPr>
          <w:color w:val="404040"/>
          <w:w w:val="125"/>
          <w:sz w:val="20"/>
        </w:rPr>
        <w:t xml:space="preserve"> z dnia 13 </w:t>
      </w:r>
      <w:proofErr w:type="spellStart"/>
      <w:r>
        <w:rPr>
          <w:color w:val="404040"/>
          <w:w w:val="125"/>
          <w:sz w:val="20"/>
        </w:rPr>
        <w:t>lipca</w:t>
      </w:r>
      <w:proofErr w:type="spellEnd"/>
      <w:r>
        <w:rPr>
          <w:color w:val="404040"/>
          <w:w w:val="125"/>
          <w:sz w:val="20"/>
        </w:rPr>
        <w:t xml:space="preserve"> 2006 r.; </w:t>
      </w:r>
      <w:hyperlink r:id="rId49">
        <w:r>
          <w:rPr>
            <w:rFonts w:ascii="Arial"/>
            <w:b/>
            <w:color w:val="0071BB"/>
            <w:w w:val="125"/>
            <w:sz w:val="20"/>
            <w:u w:val="single" w:color="0071BB"/>
          </w:rPr>
          <w:t xml:space="preserve">Taiani </w:t>
        </w:r>
        <w:proofErr w:type="spellStart"/>
        <w:r>
          <w:rPr>
            <w:rFonts w:ascii="Arial"/>
            <w:b/>
            <w:color w:val="0071BB"/>
            <w:w w:val="125"/>
            <w:sz w:val="20"/>
            <w:u w:val="single" w:color="0071BB"/>
          </w:rPr>
          <w:t>przeciwko</w:t>
        </w:r>
        <w:proofErr w:type="spellEnd"/>
        <w:r>
          <w:rPr>
            <w:rFonts w:ascii="Arial"/>
            <w:b/>
            <w:color w:val="0071BB"/>
            <w:w w:val="125"/>
            <w:sz w:val="20"/>
            <w:u w:val="single" w:color="0071BB"/>
          </w:rPr>
          <w:t xml:space="preserve"> </w:t>
        </w:r>
        <w:proofErr w:type="spellStart"/>
        <w:r>
          <w:rPr>
            <w:rFonts w:ascii="Arial"/>
            <w:b/>
            <w:color w:val="0071BB"/>
            <w:w w:val="125"/>
            <w:sz w:val="20"/>
            <w:u w:val="single" w:color="0071BB"/>
          </w:rPr>
          <w:t>W</w:t>
        </w:r>
        <w:r>
          <w:rPr>
            <w:rFonts w:ascii="Arial"/>
            <w:b/>
            <w:color w:val="0071BB"/>
            <w:w w:val="125"/>
            <w:sz w:val="20"/>
            <w:u w:val="single" w:color="0071BB"/>
          </w:rPr>
          <w:t>ł</w:t>
        </w:r>
        <w:r>
          <w:rPr>
            <w:rFonts w:ascii="Arial"/>
            <w:b/>
            <w:color w:val="0071BB"/>
            <w:w w:val="125"/>
            <w:sz w:val="20"/>
            <w:u w:val="single" w:color="0071BB"/>
          </w:rPr>
          <w:t>ochom</w:t>
        </w:r>
        <w:proofErr w:type="spellEnd"/>
        <w:r>
          <w:rPr>
            <w:rFonts w:ascii="Arial"/>
            <w:b/>
            <w:color w:val="0071BB"/>
            <w:w w:val="125"/>
            <w:sz w:val="20"/>
            <w:u w:val="single" w:color="0071BB"/>
          </w:rPr>
          <w:t>,</w:t>
        </w:r>
      </w:hyperlink>
      <w:r>
        <w:rPr>
          <w:color w:val="404040"/>
          <w:w w:val="125"/>
          <w:sz w:val="20"/>
        </w:rPr>
        <w:t xml:space="preserve"> </w:t>
      </w:r>
      <w:proofErr w:type="spellStart"/>
      <w:r>
        <w:rPr>
          <w:color w:val="404040"/>
          <w:w w:val="125"/>
          <w:sz w:val="20"/>
        </w:rPr>
        <w:t>wyrok</w:t>
      </w:r>
      <w:proofErr w:type="spellEnd"/>
      <w:r>
        <w:rPr>
          <w:color w:val="404040"/>
          <w:w w:val="125"/>
          <w:sz w:val="20"/>
        </w:rPr>
        <w:t xml:space="preserve"> z dnia 20 </w:t>
      </w:r>
      <w:proofErr w:type="spellStart"/>
      <w:r>
        <w:rPr>
          <w:color w:val="404040"/>
          <w:w w:val="125"/>
          <w:sz w:val="20"/>
        </w:rPr>
        <w:t>lipca</w:t>
      </w:r>
      <w:proofErr w:type="spellEnd"/>
      <w:r>
        <w:rPr>
          <w:color w:val="404040"/>
          <w:w w:val="125"/>
          <w:sz w:val="20"/>
        </w:rPr>
        <w:t xml:space="preserve"> 2006 r.; </w:t>
      </w:r>
      <w:hyperlink r:id="rId50">
        <w:r>
          <w:rPr>
            <w:rFonts w:ascii="Arial"/>
            <w:b/>
            <w:color w:val="0071BB"/>
            <w:w w:val="125"/>
            <w:sz w:val="20"/>
            <w:u w:val="single" w:color="0071BB"/>
          </w:rPr>
          <w:t xml:space="preserve">La Fazia </w:t>
        </w:r>
        <w:proofErr w:type="spellStart"/>
        <w:r>
          <w:rPr>
            <w:rFonts w:ascii="Arial"/>
            <w:b/>
            <w:color w:val="0071BB"/>
            <w:w w:val="125"/>
            <w:sz w:val="20"/>
            <w:u w:val="single" w:color="0071BB"/>
          </w:rPr>
          <w:t>przeciwko</w:t>
        </w:r>
        <w:proofErr w:type="spellEnd"/>
        <w:r>
          <w:rPr>
            <w:rFonts w:ascii="Arial"/>
            <w:b/>
            <w:color w:val="0071BB"/>
            <w:w w:val="125"/>
            <w:sz w:val="20"/>
            <w:u w:val="single" w:color="0071BB"/>
          </w:rPr>
          <w:t xml:space="preserve"> </w:t>
        </w:r>
        <w:proofErr w:type="spellStart"/>
        <w:r>
          <w:rPr>
            <w:rFonts w:ascii="Arial"/>
            <w:b/>
            <w:color w:val="0071BB"/>
            <w:w w:val="125"/>
            <w:sz w:val="20"/>
            <w:u w:val="single" w:color="0071BB"/>
          </w:rPr>
          <w:t>W</w:t>
        </w:r>
        <w:r>
          <w:rPr>
            <w:rFonts w:ascii="Arial"/>
            <w:b/>
            <w:color w:val="0071BB"/>
            <w:w w:val="125"/>
            <w:sz w:val="20"/>
            <w:u w:val="single" w:color="0071BB"/>
          </w:rPr>
          <w:t>ł</w:t>
        </w:r>
        <w:r>
          <w:rPr>
            <w:rFonts w:ascii="Arial"/>
            <w:b/>
            <w:color w:val="0071BB"/>
            <w:w w:val="125"/>
            <w:sz w:val="20"/>
            <w:u w:val="single" w:color="0071BB"/>
          </w:rPr>
          <w:t>ochom</w:t>
        </w:r>
        <w:proofErr w:type="spellEnd"/>
        <w:r>
          <w:rPr>
            <w:rFonts w:ascii="Arial"/>
            <w:b/>
            <w:color w:val="0071BB"/>
            <w:w w:val="125"/>
            <w:sz w:val="20"/>
            <w:u w:val="single" w:color="0071BB"/>
          </w:rPr>
          <w:t>,</w:t>
        </w:r>
      </w:hyperlink>
      <w:r>
        <w:rPr>
          <w:color w:val="404040"/>
          <w:w w:val="125"/>
          <w:sz w:val="20"/>
        </w:rPr>
        <w:t xml:space="preserve"> </w:t>
      </w:r>
      <w:proofErr w:type="spellStart"/>
      <w:r>
        <w:rPr>
          <w:color w:val="404040"/>
          <w:w w:val="125"/>
          <w:sz w:val="20"/>
        </w:rPr>
        <w:t>wyrok</w:t>
      </w:r>
      <w:proofErr w:type="spellEnd"/>
      <w:r>
        <w:rPr>
          <w:color w:val="404040"/>
          <w:w w:val="125"/>
          <w:sz w:val="20"/>
        </w:rPr>
        <w:t xml:space="preserve"> z dnia 16 </w:t>
      </w:r>
      <w:proofErr w:type="spellStart"/>
      <w:r>
        <w:rPr>
          <w:color w:val="404040"/>
          <w:w w:val="125"/>
          <w:sz w:val="20"/>
        </w:rPr>
        <w:t>października</w:t>
      </w:r>
      <w:proofErr w:type="spellEnd"/>
      <w:r>
        <w:rPr>
          <w:color w:val="404040"/>
          <w:w w:val="125"/>
          <w:sz w:val="20"/>
        </w:rPr>
        <w:t xml:space="preserve"> 2007 r.</w:t>
      </w:r>
    </w:p>
    <w:p w14:paraId="47D5B27E" w14:textId="77777777" w:rsidR="006941BE" w:rsidRDefault="00D51B6B">
      <w:pPr>
        <w:pStyle w:val="Nagwek1"/>
        <w:spacing w:before="239"/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1F5D153" wp14:editId="2E6C4621">
                <wp:simplePos x="0" y="0"/>
                <wp:positionH relativeFrom="page">
                  <wp:posOffset>896111</wp:posOffset>
                </wp:positionH>
                <wp:positionV relativeFrom="paragraph">
                  <wp:posOffset>408207</wp:posOffset>
                </wp:positionV>
                <wp:extent cx="5768340" cy="18415"/>
                <wp:effectExtent l="0" t="0" r="0" b="0"/>
                <wp:wrapTopAndBottom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18415">
                              <a:moveTo>
                                <a:pt x="576834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68340" y="18287"/>
                              </a:lnTo>
                              <a:lnTo>
                                <a:pt x="5768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286A9" id="Graphic 19" o:spid="_x0000_s1026" style="position:absolute;margin-left:70.55pt;margin-top:32.15pt;width:454.2pt;height:1.4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" path="m5768340,l,,,18287r5768340,l5768340,xe" fillcolor="#999" stroked="f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color w:val="0071BB"/>
          <w:w w:val="120"/>
          <w:sz w:val="29"/>
        </w:rPr>
        <w:t>Więcej</w:t>
      </w:r>
      <w:proofErr w:type="spellEnd"/>
      <w:r>
        <w:rPr>
          <w:color w:val="0071BB"/>
          <w:w w:val="120"/>
          <w:sz w:val="29"/>
        </w:rPr>
        <w:t xml:space="preserve"> </w:t>
      </w:r>
      <w:proofErr w:type="spellStart"/>
      <w:r>
        <w:rPr>
          <w:color w:val="0071BB"/>
          <w:spacing w:val="-2"/>
          <w:w w:val="120"/>
          <w:sz w:val="29"/>
        </w:rPr>
        <w:t>informacji</w:t>
      </w:r>
      <w:proofErr w:type="spellEnd"/>
    </w:p>
    <w:p w14:paraId="6C2D6BAE" w14:textId="77777777" w:rsidR="006941BE" w:rsidRDefault="006941BE">
      <w:pPr>
        <w:pStyle w:val="Tekstpodstawowy"/>
        <w:spacing w:before="9"/>
        <w:jc w:val="left"/>
      </w:pPr>
    </w:p>
    <w:p w14:paraId="2588DF3C" w14:textId="77777777" w:rsidR="006941BE" w:rsidRDefault="00D51B6B">
      <w:pPr>
        <w:pStyle w:val="Tekstpodstawowy"/>
        <w:ind w:left="874"/>
        <w:jc w:val="left"/>
      </w:pPr>
      <w:r>
        <w:rPr>
          <w:w w:val="125"/>
        </w:rPr>
        <w:t xml:space="preserve">Zob. w </w:t>
      </w:r>
      <w:proofErr w:type="spellStart"/>
      <w:r>
        <w:rPr>
          <w:spacing w:val="-2"/>
          <w:w w:val="125"/>
        </w:rPr>
        <w:t>szczególności</w:t>
      </w:r>
      <w:proofErr w:type="spellEnd"/>
      <w:r>
        <w:rPr>
          <w:spacing w:val="-2"/>
          <w:w w:val="125"/>
        </w:rPr>
        <w:t>:</w:t>
      </w:r>
    </w:p>
    <w:p w14:paraId="0EE8BF5E" w14:textId="6ED7D6A1" w:rsidR="006941BE" w:rsidRDefault="00D51B6B">
      <w:pPr>
        <w:spacing w:before="145"/>
        <w:ind w:left="1586" w:right="871" w:hanging="356"/>
        <w:jc w:val="both"/>
        <w:rPr>
          <w:sz w:val="20"/>
        </w:rPr>
      </w:pPr>
      <w:r>
        <w:rPr>
          <w:w w:val="120"/>
          <w:sz w:val="20"/>
        </w:rPr>
        <w:t xml:space="preserve">- </w:t>
      </w:r>
      <w:hyperlink r:id="rId51">
        <w:proofErr w:type="spellStart"/>
        <w:r>
          <w:rPr>
            <w:rFonts w:ascii="Arial" w:hAnsi="Arial"/>
            <w:b/>
            <w:color w:val="0071BB"/>
            <w:w w:val="120"/>
            <w:sz w:val="20"/>
            <w:u w:val="single" w:color="0071BB"/>
          </w:rPr>
          <w:t>Przewodnik</w:t>
        </w:r>
        <w:proofErr w:type="spellEnd"/>
        <w:r>
          <w:rPr>
            <w:rFonts w:ascii="Arial" w:hAnsi="Arial"/>
            <w:b/>
            <w:color w:val="0071BB"/>
            <w:w w:val="120"/>
            <w:sz w:val="20"/>
            <w:u w:val="single" w:color="0071BB"/>
          </w:rPr>
          <w:t xml:space="preserve"> </w:t>
        </w:r>
        <w:proofErr w:type="spellStart"/>
        <w:r>
          <w:rPr>
            <w:rFonts w:ascii="Arial" w:hAnsi="Arial"/>
            <w:b/>
            <w:color w:val="0071BB"/>
            <w:w w:val="120"/>
            <w:sz w:val="20"/>
            <w:u w:val="single" w:color="0071BB"/>
          </w:rPr>
          <w:t>dotyczący</w:t>
        </w:r>
        <w:proofErr w:type="spellEnd"/>
        <w:r>
          <w:rPr>
            <w:rFonts w:ascii="Arial" w:hAnsi="Arial"/>
            <w:b/>
            <w:color w:val="0071BB"/>
            <w:w w:val="120"/>
            <w:sz w:val="20"/>
            <w:u w:val="single" w:color="0071BB"/>
          </w:rPr>
          <w:t xml:space="preserve"> art. 3 </w:t>
        </w:r>
        <w:proofErr w:type="spellStart"/>
        <w:r w:rsidR="003F666C">
          <w:rPr>
            <w:rFonts w:ascii="Arial" w:hAnsi="Arial"/>
            <w:b/>
            <w:color w:val="0071BB"/>
            <w:w w:val="120"/>
            <w:sz w:val="20"/>
            <w:u w:val="single" w:color="0071BB"/>
          </w:rPr>
          <w:t>P</w:t>
        </w:r>
        <w:r>
          <w:rPr>
            <w:rFonts w:ascii="Arial" w:hAnsi="Arial"/>
            <w:b/>
            <w:color w:val="0071BB"/>
            <w:w w:val="120"/>
            <w:sz w:val="20"/>
            <w:u w:val="single" w:color="0071BB"/>
          </w:rPr>
          <w:t>rotokołu</w:t>
        </w:r>
        <w:proofErr w:type="spellEnd"/>
        <w:r>
          <w:rPr>
            <w:rFonts w:ascii="Arial" w:hAnsi="Arial"/>
            <w:b/>
            <w:color w:val="0071BB"/>
            <w:w w:val="120"/>
            <w:sz w:val="20"/>
            <w:u w:val="single" w:color="0071BB"/>
          </w:rPr>
          <w:t xml:space="preserve"> nr 1 do </w:t>
        </w:r>
        <w:proofErr w:type="spellStart"/>
        <w:r w:rsidR="003F666C">
          <w:rPr>
            <w:rFonts w:ascii="Arial" w:hAnsi="Arial"/>
            <w:b/>
            <w:color w:val="0071BB"/>
            <w:w w:val="120"/>
            <w:sz w:val="20"/>
            <w:u w:val="single" w:color="0071BB"/>
          </w:rPr>
          <w:t>E</w:t>
        </w:r>
        <w:r>
          <w:rPr>
            <w:rFonts w:ascii="Arial" w:hAnsi="Arial"/>
            <w:b/>
            <w:color w:val="0071BB"/>
            <w:w w:val="120"/>
            <w:sz w:val="20"/>
            <w:u w:val="single" w:color="0071BB"/>
          </w:rPr>
          <w:t>uropejskiej</w:t>
        </w:r>
        <w:proofErr w:type="spellEnd"/>
        <w:r>
          <w:rPr>
            <w:rFonts w:ascii="Arial" w:hAnsi="Arial"/>
            <w:b/>
            <w:color w:val="0071BB"/>
            <w:w w:val="120"/>
            <w:sz w:val="20"/>
            <w:u w:val="single" w:color="0071BB"/>
          </w:rPr>
          <w:t xml:space="preserve"> </w:t>
        </w:r>
        <w:proofErr w:type="spellStart"/>
        <w:r w:rsidR="003F666C">
          <w:rPr>
            <w:rFonts w:ascii="Arial" w:hAnsi="Arial"/>
            <w:b/>
            <w:color w:val="0071BB"/>
            <w:w w:val="120"/>
            <w:sz w:val="20"/>
            <w:u w:val="single" w:color="0071BB"/>
          </w:rPr>
          <w:t>K</w:t>
        </w:r>
        <w:r>
          <w:rPr>
            <w:rFonts w:ascii="Arial" w:hAnsi="Arial"/>
            <w:b/>
            <w:color w:val="0071BB"/>
            <w:w w:val="120"/>
            <w:sz w:val="20"/>
            <w:u w:val="single" w:color="0071BB"/>
          </w:rPr>
          <w:t>onwencji</w:t>
        </w:r>
        <w:proofErr w:type="spellEnd"/>
        <w:r>
          <w:rPr>
            <w:rFonts w:ascii="Arial" w:hAnsi="Arial"/>
            <w:b/>
            <w:color w:val="0071BB"/>
            <w:w w:val="120"/>
            <w:sz w:val="20"/>
            <w:u w:val="single" w:color="0071BB"/>
          </w:rPr>
          <w:t xml:space="preserve"> </w:t>
        </w:r>
      </w:hyperlink>
      <w:hyperlink r:id="rId52">
        <w:proofErr w:type="spellStart"/>
        <w:r w:rsidR="003F666C">
          <w:rPr>
            <w:rFonts w:ascii="Arial" w:hAnsi="Arial"/>
            <w:b/>
            <w:color w:val="0071BB"/>
            <w:w w:val="120"/>
            <w:sz w:val="20"/>
            <w:u w:val="single" w:color="0071BB"/>
          </w:rPr>
          <w:t>P</w:t>
        </w:r>
        <w:r>
          <w:rPr>
            <w:rFonts w:ascii="Arial" w:hAnsi="Arial"/>
            <w:b/>
            <w:color w:val="0071BB"/>
            <w:w w:val="120"/>
            <w:sz w:val="20"/>
            <w:u w:val="single" w:color="0071BB"/>
          </w:rPr>
          <w:t>raw</w:t>
        </w:r>
        <w:proofErr w:type="spellEnd"/>
        <w:r>
          <w:rPr>
            <w:rFonts w:ascii="Arial" w:hAnsi="Arial"/>
            <w:b/>
            <w:color w:val="0071BB"/>
            <w:w w:val="120"/>
            <w:sz w:val="20"/>
            <w:u w:val="single" w:color="0071BB"/>
          </w:rPr>
          <w:t xml:space="preserve"> </w:t>
        </w:r>
        <w:proofErr w:type="spellStart"/>
        <w:r w:rsidR="003F666C">
          <w:rPr>
            <w:rFonts w:ascii="Arial" w:hAnsi="Arial"/>
            <w:b/>
            <w:color w:val="0071BB"/>
            <w:w w:val="120"/>
            <w:sz w:val="20"/>
            <w:u w:val="single" w:color="0071BB"/>
          </w:rPr>
          <w:t>C</w:t>
        </w:r>
        <w:r>
          <w:rPr>
            <w:rFonts w:ascii="Arial" w:hAnsi="Arial"/>
            <w:b/>
            <w:color w:val="0071BB"/>
            <w:w w:val="120"/>
            <w:sz w:val="20"/>
            <w:u w:val="single" w:color="0071BB"/>
          </w:rPr>
          <w:t>złowieka</w:t>
        </w:r>
        <w:proofErr w:type="spellEnd"/>
        <w:r>
          <w:rPr>
            <w:rFonts w:ascii="Arial" w:hAnsi="Arial"/>
            <w:b/>
            <w:color w:val="0071BB"/>
            <w:w w:val="120"/>
            <w:sz w:val="20"/>
            <w:u w:val="single" w:color="0071BB"/>
          </w:rPr>
          <w:t xml:space="preserve"> – </w:t>
        </w:r>
        <w:proofErr w:type="spellStart"/>
        <w:r>
          <w:rPr>
            <w:rFonts w:ascii="Arial" w:hAnsi="Arial"/>
            <w:b/>
            <w:color w:val="0071BB"/>
            <w:w w:val="120"/>
            <w:sz w:val="20"/>
            <w:u w:val="single" w:color="0071BB"/>
          </w:rPr>
          <w:t>prawo</w:t>
        </w:r>
        <w:proofErr w:type="spellEnd"/>
        <w:r>
          <w:rPr>
            <w:rFonts w:ascii="Arial" w:hAnsi="Arial"/>
            <w:b/>
            <w:color w:val="0071BB"/>
            <w:w w:val="120"/>
            <w:sz w:val="20"/>
            <w:u w:val="single" w:color="0071BB"/>
          </w:rPr>
          <w:t xml:space="preserve"> do </w:t>
        </w:r>
        <w:proofErr w:type="spellStart"/>
        <w:r>
          <w:rPr>
            <w:rFonts w:ascii="Arial" w:hAnsi="Arial"/>
            <w:b/>
            <w:color w:val="0071BB"/>
            <w:w w:val="120"/>
            <w:sz w:val="20"/>
            <w:u w:val="single" w:color="0071BB"/>
          </w:rPr>
          <w:t>wolnych</w:t>
        </w:r>
        <w:proofErr w:type="spellEnd"/>
        <w:r>
          <w:rPr>
            <w:rFonts w:ascii="Arial" w:hAnsi="Arial"/>
            <w:b/>
            <w:color w:val="0071BB"/>
            <w:w w:val="120"/>
            <w:sz w:val="20"/>
            <w:u w:val="single" w:color="0071BB"/>
          </w:rPr>
          <w:t xml:space="preserve"> </w:t>
        </w:r>
        <w:proofErr w:type="spellStart"/>
        <w:r>
          <w:rPr>
            <w:rFonts w:ascii="Arial" w:hAnsi="Arial"/>
            <w:b/>
            <w:color w:val="0071BB"/>
            <w:w w:val="120"/>
            <w:sz w:val="20"/>
            <w:u w:val="single" w:color="0071BB"/>
          </w:rPr>
          <w:t>wyborów</w:t>
        </w:r>
        <w:proofErr w:type="spellEnd"/>
        <w:r>
          <w:rPr>
            <w:w w:val="120"/>
            <w:sz w:val="20"/>
          </w:rPr>
          <w:t>,</w:t>
        </w:r>
      </w:hyperlink>
      <w:r>
        <w:rPr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Dyrekcja</w:t>
      </w:r>
      <w:proofErr w:type="spellEnd"/>
      <w:r>
        <w:rPr>
          <w:w w:val="120"/>
          <w:sz w:val="20"/>
        </w:rPr>
        <w:t xml:space="preserve"> ds. </w:t>
      </w:r>
      <w:proofErr w:type="spellStart"/>
      <w:r>
        <w:rPr>
          <w:w w:val="120"/>
          <w:sz w:val="20"/>
        </w:rPr>
        <w:t>Konsultacji</w:t>
      </w:r>
      <w:proofErr w:type="spellEnd"/>
      <w:r>
        <w:rPr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Prawnych</w:t>
      </w:r>
      <w:proofErr w:type="spellEnd"/>
      <w:r>
        <w:rPr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Europejskiego</w:t>
      </w:r>
      <w:proofErr w:type="spellEnd"/>
      <w:r>
        <w:rPr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Trybunału</w:t>
      </w:r>
      <w:proofErr w:type="spellEnd"/>
      <w:r>
        <w:rPr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Praw</w:t>
      </w:r>
      <w:proofErr w:type="spellEnd"/>
      <w:r>
        <w:rPr>
          <w:w w:val="120"/>
          <w:sz w:val="20"/>
        </w:rPr>
        <w:t xml:space="preserve"> Człowieka.</w:t>
      </w:r>
    </w:p>
    <w:p w14:paraId="12021FF7" w14:textId="77777777" w:rsidR="006941BE" w:rsidRDefault="00D51B6B">
      <w:pPr>
        <w:pStyle w:val="Tekstpodstawowy"/>
        <w:spacing w:before="3"/>
        <w:jc w:val="lef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ACB25D3" wp14:editId="2E76CE38">
                <wp:simplePos x="0" y="0"/>
                <wp:positionH relativeFrom="page">
                  <wp:posOffset>896111</wp:posOffset>
                </wp:positionH>
                <wp:positionV relativeFrom="paragraph">
                  <wp:posOffset>157287</wp:posOffset>
                </wp:positionV>
                <wp:extent cx="5768340" cy="12700"/>
                <wp:effectExtent l="0" t="0" r="0" b="0"/>
                <wp:wrapTopAndBottom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12700">
                              <a:moveTo>
                                <a:pt x="576834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68340" y="12191"/>
                              </a:lnTo>
                              <a:lnTo>
                                <a:pt x="5768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3C32E" id="Graphic 20" o:spid="_x0000_s1026" style="position:absolute;margin-left:70.55pt;margin-top:12.4pt;width:454.2pt;height: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3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" path="m5768340,l,,,12191r5768340,l5768340,xe" fillcolor="#999" stroked="f">
                <v:path arrowok="t"/>
                <w10:wrap type="topAndBottom" anchorx="page"/>
              </v:shape>
            </w:pict>
          </mc:Fallback>
        </mc:AlternateContent>
      </w:r>
    </w:p>
    <w:p w14:paraId="7690FDA6" w14:textId="77777777" w:rsidR="006941BE" w:rsidRDefault="006941BE">
      <w:pPr>
        <w:pStyle w:val="Tekstpodstawowy"/>
        <w:spacing w:before="132"/>
        <w:jc w:val="left"/>
      </w:pPr>
    </w:p>
    <w:p w14:paraId="335FCEFA" w14:textId="77777777" w:rsidR="006941BE" w:rsidRDefault="00D51B6B">
      <w:pPr>
        <w:ind w:right="1"/>
        <w:jc w:val="center"/>
        <w:rPr>
          <w:rFonts w:ascii="Arial"/>
          <w:b/>
          <w:sz w:val="20"/>
        </w:rPr>
      </w:pPr>
      <w:proofErr w:type="spellStart"/>
      <w:r>
        <w:rPr>
          <w:rFonts w:ascii="Arial"/>
          <w:b/>
          <w:color w:val="808080"/>
          <w:spacing w:val="-2"/>
          <w:w w:val="115"/>
          <w:sz w:val="20"/>
        </w:rPr>
        <w:t>Kontakt</w:t>
      </w:r>
      <w:proofErr w:type="spellEnd"/>
      <w:r>
        <w:rPr>
          <w:rFonts w:ascii="Arial"/>
          <w:b/>
          <w:color w:val="808080"/>
          <w:spacing w:val="-2"/>
          <w:w w:val="115"/>
          <w:sz w:val="20"/>
        </w:rPr>
        <w:t xml:space="preserve"> </w:t>
      </w:r>
      <w:proofErr w:type="spellStart"/>
      <w:r>
        <w:rPr>
          <w:rFonts w:ascii="Arial"/>
          <w:b/>
          <w:color w:val="808080"/>
          <w:w w:val="115"/>
          <w:sz w:val="20"/>
        </w:rPr>
        <w:t>dla</w:t>
      </w:r>
      <w:proofErr w:type="spellEnd"/>
      <w:r>
        <w:rPr>
          <w:rFonts w:ascii="Arial"/>
          <w:b/>
          <w:color w:val="808080"/>
          <w:w w:val="115"/>
          <w:sz w:val="20"/>
        </w:rPr>
        <w:t xml:space="preserve"> </w:t>
      </w:r>
      <w:proofErr w:type="spellStart"/>
      <w:r>
        <w:rPr>
          <w:rFonts w:ascii="Arial"/>
          <w:b/>
          <w:color w:val="808080"/>
          <w:w w:val="115"/>
          <w:sz w:val="20"/>
        </w:rPr>
        <w:t>prasy</w:t>
      </w:r>
      <w:proofErr w:type="spellEnd"/>
      <w:r>
        <w:rPr>
          <w:rFonts w:ascii="Arial"/>
          <w:b/>
          <w:color w:val="808080"/>
          <w:spacing w:val="-2"/>
          <w:w w:val="115"/>
          <w:sz w:val="20"/>
        </w:rPr>
        <w:t>:</w:t>
      </w:r>
    </w:p>
    <w:p w14:paraId="7D942874" w14:textId="77777777" w:rsidR="006941BE" w:rsidRDefault="00D51B6B">
      <w:pPr>
        <w:pStyle w:val="Tekstpodstawowy"/>
        <w:spacing w:before="10"/>
        <w:ind w:left="1" w:right="1"/>
        <w:jc w:val="center"/>
      </w:pPr>
      <w:r>
        <w:rPr>
          <w:color w:val="808080"/>
          <w:w w:val="130"/>
        </w:rPr>
        <w:t>Tel.: +33 (0)3 90 21 42</w:t>
      </w:r>
      <w:r>
        <w:rPr>
          <w:color w:val="808080"/>
          <w:spacing w:val="-5"/>
          <w:w w:val="130"/>
        </w:rPr>
        <w:t xml:space="preserve"> 08</w:t>
      </w:r>
    </w:p>
    <w:sectPr w:rsidR="006941BE">
      <w:pgSz w:w="11910" w:h="16840"/>
      <w:pgMar w:top="1400" w:right="566" w:bottom="680" w:left="566" w:header="720" w:footer="4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D436B" w14:textId="77777777" w:rsidR="00570725" w:rsidRDefault="00570725">
      <w:r>
        <w:separator/>
      </w:r>
    </w:p>
  </w:endnote>
  <w:endnote w:type="continuationSeparator" w:id="0">
    <w:p w14:paraId="0E2EEFEA" w14:textId="77777777" w:rsidR="00570725" w:rsidRDefault="00570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39F6F" w14:textId="77777777" w:rsidR="006941BE" w:rsidRDefault="00D51B6B">
    <w:pPr>
      <w:pStyle w:val="Tekstpodstawowy"/>
      <w:spacing w:line="14" w:lineRule="auto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CF4E72C" wp14:editId="7A55382E">
              <wp:simplePos x="0" y="0"/>
              <wp:positionH relativeFrom="page">
                <wp:posOffset>3701796</wp:posOffset>
              </wp:positionH>
              <wp:positionV relativeFrom="page">
                <wp:posOffset>10237044</wp:posOffset>
              </wp:positionV>
              <wp:extent cx="169545" cy="179705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52882D" w14:textId="77777777" w:rsidR="006941BE" w:rsidRDefault="00D51B6B">
                          <w:pPr>
                            <w:pStyle w:val="Tekstpodstawowy"/>
                            <w:spacing w:before="30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  <w:w w:val="12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25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2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25"/>
                            </w:rPr>
                            <w:t>8</w:t>
                          </w:r>
                          <w:r>
                            <w:rPr>
                              <w:spacing w:val="-10"/>
                              <w:w w:val="12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1CF4E72C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8" type="#_x0000_t202" style="position:absolute;margin-left:291.5pt;margin-top:806.05pt;width:13.35pt;height:14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" filled="f" stroked="f">
              <v:textbox inset="0,0,0,0">
                <w:txbxContent>
                  <w:p w14:paraId="3A52882D" w14:textId="77777777" w:rsidR="006941BE" w:rsidRDefault="00D51B6B">
                    <w:pPr>
                      <w:pStyle w:val="Tekstpodstawowy"/>
                      <w:spacing w:before="30"/>
                      <w:ind w:left="60"/>
                      <w:jc w:val="left"/>
                    </w:pPr>
                    <w:r>
                      <w:rPr>
                        <w:spacing w:val="-10"/>
                        <w:w w:val="125"/>
                      </w:rPr>
                      <w:fldChar w:fldCharType="begin"/>
                    </w:r>
                    <w:r>
                      <w:rPr>
                        <w:spacing w:val="-10"/>
                        <w:w w:val="125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25"/>
                      </w:rPr>
                      <w:fldChar w:fldCharType="separate"/>
                    </w:r>
                    <w:r>
                      <w:rPr>
                        <w:spacing w:val="-10"/>
                        <w:w w:val="125"/>
                      </w:rPr>
                      <w:t>8</w:t>
                    </w:r>
                    <w:r>
                      <w:rPr>
                        <w:spacing w:val="-10"/>
                        <w:w w:val="12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3E541" w14:textId="77777777" w:rsidR="00570725" w:rsidRDefault="00570725">
      <w:r>
        <w:separator/>
      </w:r>
    </w:p>
  </w:footnote>
  <w:footnote w:type="continuationSeparator" w:id="0">
    <w:p w14:paraId="57974794" w14:textId="77777777" w:rsidR="00570725" w:rsidRDefault="00570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56B7C" w14:textId="77777777" w:rsidR="006941BE" w:rsidRDefault="00D51B6B">
    <w:pPr>
      <w:pStyle w:val="Tekstpodstawowy"/>
      <w:spacing w:line="14" w:lineRule="auto"/>
      <w:jc w:val="left"/>
    </w:pPr>
    <w:r>
      <w:rPr>
        <w:noProof/>
      </w:rPr>
      <w:drawing>
        <wp:anchor distT="0" distB="0" distL="0" distR="0" simplePos="0" relativeHeight="251656192" behindDoc="1" locked="0" layoutInCell="1" allowOverlap="1" wp14:anchorId="62893987" wp14:editId="4570D5F2">
          <wp:simplePos x="0" y="0"/>
          <wp:positionH relativeFrom="page">
            <wp:posOffset>5808979</wp:posOffset>
          </wp:positionH>
          <wp:positionV relativeFrom="page">
            <wp:posOffset>457200</wp:posOffset>
          </wp:positionV>
          <wp:extent cx="1409698" cy="371474"/>
          <wp:effectExtent l="0" t="0" r="0" b="0"/>
          <wp:wrapNone/>
          <wp:docPr id="8" name="Imag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9698" cy="371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4CC7FF4" wp14:editId="045581B8">
              <wp:simplePos x="0" y="0"/>
              <wp:positionH relativeFrom="page">
                <wp:posOffset>437388</wp:posOffset>
              </wp:positionH>
              <wp:positionV relativeFrom="page">
                <wp:posOffset>886967</wp:posOffset>
              </wp:positionV>
              <wp:extent cx="6794500" cy="12700"/>
              <wp:effectExtent l="0" t="0" r="0" b="0"/>
              <wp:wrapNone/>
              <wp:docPr id="9" name="Graphic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450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94500" h="12700">
                            <a:moveTo>
                              <a:pt x="12179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12179" y="12192"/>
                            </a:lnTo>
                            <a:lnTo>
                              <a:pt x="12179" y="0"/>
                            </a:lnTo>
                            <a:close/>
                          </a:path>
                          <a:path w="6794500" h="12700">
                            <a:moveTo>
                              <a:pt x="6781787" y="0"/>
                            </a:moveTo>
                            <a:lnTo>
                              <a:pt x="3860292" y="0"/>
                            </a:lnTo>
                            <a:lnTo>
                              <a:pt x="3848100" y="0"/>
                            </a:lnTo>
                            <a:lnTo>
                              <a:pt x="12192" y="0"/>
                            </a:lnTo>
                            <a:lnTo>
                              <a:pt x="12192" y="12192"/>
                            </a:lnTo>
                            <a:lnTo>
                              <a:pt x="3848100" y="12192"/>
                            </a:lnTo>
                            <a:lnTo>
                              <a:pt x="3860292" y="12192"/>
                            </a:lnTo>
                            <a:lnTo>
                              <a:pt x="6781787" y="12192"/>
                            </a:lnTo>
                            <a:lnTo>
                              <a:pt x="6781787" y="0"/>
                            </a:lnTo>
                            <a:close/>
                          </a:path>
                          <a:path w="6794500" h="12700">
                            <a:moveTo>
                              <a:pt x="6793992" y="0"/>
                            </a:moveTo>
                            <a:lnTo>
                              <a:pt x="6781800" y="0"/>
                            </a:lnTo>
                            <a:lnTo>
                              <a:pt x="6781800" y="12192"/>
                            </a:lnTo>
                            <a:lnTo>
                              <a:pt x="6793992" y="12192"/>
                            </a:lnTo>
                            <a:lnTo>
                              <a:pt x="6793992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4B964583" id="Graphic 9" o:spid="_x0000_s1026" style="position:absolute;margin-left:34.45pt;margin-top:69.85pt;width:535pt;height: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94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" path="m12179,l,,,12192r12179,l12179,xem6781787,l3860292,r-12192,l12192,r,12192l3848100,12192r12192,l6781787,12192r,-12192xem6793992,r-12192,l6781800,12192r12192,l6793992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F5E2DA8" wp14:editId="3B0A809D">
              <wp:simplePos x="0" y="0"/>
              <wp:positionH relativeFrom="page">
                <wp:posOffset>436880</wp:posOffset>
              </wp:positionH>
              <wp:positionV relativeFrom="page">
                <wp:posOffset>716681</wp:posOffset>
              </wp:positionV>
              <wp:extent cx="1476375" cy="164465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37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08FA24" w14:textId="77777777" w:rsidR="006941BE" w:rsidRDefault="00D51B6B">
                          <w:pPr>
                            <w:spacing w:before="29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w w:val="120"/>
                              <w:sz w:val="18"/>
                            </w:rPr>
                            <w:t>Arkusz</w:t>
                          </w:r>
                          <w:proofErr w:type="spellEnd"/>
                          <w:r>
                            <w:rPr>
                              <w:w w:val="12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20"/>
                              <w:sz w:val="18"/>
                            </w:rPr>
                            <w:t>informacyjny</w:t>
                          </w:r>
                          <w:proofErr w:type="spellEnd"/>
                          <w:r>
                            <w:rPr>
                              <w:w w:val="120"/>
                              <w:sz w:val="18"/>
                            </w:rPr>
                            <w:t xml:space="preserve"> – </w:t>
                          </w:r>
                          <w:proofErr w:type="spellStart"/>
                          <w:r>
                            <w:rPr>
                              <w:w w:val="120"/>
                              <w:sz w:val="18"/>
                            </w:rPr>
                            <w:t>Prawo</w:t>
                          </w:r>
                          <w:proofErr w:type="spellEnd"/>
                          <w:r>
                            <w:rPr>
                              <w:w w:val="120"/>
                              <w:sz w:val="18"/>
                            </w:rPr>
                            <w:t xml:space="preserve"> do </w:t>
                          </w:r>
                          <w:proofErr w:type="spellStart"/>
                          <w:r>
                            <w:rPr>
                              <w:spacing w:val="-4"/>
                              <w:w w:val="120"/>
                              <w:sz w:val="18"/>
                            </w:rPr>
                            <w:t>głosowania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5F5E2DA8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34.4pt;margin-top:56.45pt;width:116.25pt;height:12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" filled="f" stroked="f">
              <v:textbox inset="0,0,0,0">
                <w:txbxContent>
                  <w:p w14:paraId="2808FA24" w14:textId="77777777" w:rsidR="006941BE" w:rsidRDefault="00D51B6B">
                    <w:pPr>
                      <w:spacing w:before="29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w w:val="120"/>
                        <w:sz w:val="18"/>
                      </w:rPr>
                      <w:t>Arkusz</w:t>
                    </w:r>
                    <w:proofErr w:type="spellEnd"/>
                    <w:r>
                      <w:rPr>
                        <w:w w:val="12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w w:val="120"/>
                        <w:sz w:val="18"/>
                      </w:rPr>
                      <w:t>informacyjny</w:t>
                    </w:r>
                    <w:proofErr w:type="spellEnd"/>
                    <w:r>
                      <w:rPr>
                        <w:w w:val="120"/>
                        <w:sz w:val="18"/>
                      </w:rPr>
                      <w:t xml:space="preserve"> – </w:t>
                    </w:r>
                    <w:proofErr w:type="spellStart"/>
                    <w:r>
                      <w:rPr>
                        <w:w w:val="120"/>
                        <w:sz w:val="18"/>
                      </w:rPr>
                      <w:t>Prawo</w:t>
                    </w:r>
                    <w:proofErr w:type="spellEnd"/>
                    <w:r>
                      <w:rPr>
                        <w:w w:val="120"/>
                        <w:sz w:val="18"/>
                      </w:rPr>
                      <w:t xml:space="preserve"> do </w:t>
                    </w:r>
                    <w:proofErr w:type="spellStart"/>
                    <w:r>
                      <w:rPr>
                        <w:spacing w:val="-4"/>
                        <w:w w:val="120"/>
                        <w:sz w:val="18"/>
                      </w:rPr>
                      <w:t>głosowania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BE"/>
    <w:rsid w:val="0005580C"/>
    <w:rsid w:val="000C2DB4"/>
    <w:rsid w:val="000D313C"/>
    <w:rsid w:val="00110267"/>
    <w:rsid w:val="00112F15"/>
    <w:rsid w:val="0017574F"/>
    <w:rsid w:val="001E7648"/>
    <w:rsid w:val="001F575C"/>
    <w:rsid w:val="0021626C"/>
    <w:rsid w:val="00222055"/>
    <w:rsid w:val="00222F67"/>
    <w:rsid w:val="00294100"/>
    <w:rsid w:val="002C4E6F"/>
    <w:rsid w:val="003527C8"/>
    <w:rsid w:val="00384206"/>
    <w:rsid w:val="00396E65"/>
    <w:rsid w:val="003B7F9E"/>
    <w:rsid w:val="003F666C"/>
    <w:rsid w:val="00454757"/>
    <w:rsid w:val="00482AA0"/>
    <w:rsid w:val="00483084"/>
    <w:rsid w:val="004C2F4D"/>
    <w:rsid w:val="004D5235"/>
    <w:rsid w:val="0055118C"/>
    <w:rsid w:val="00570725"/>
    <w:rsid w:val="00637A0E"/>
    <w:rsid w:val="0065666B"/>
    <w:rsid w:val="006746AB"/>
    <w:rsid w:val="006941BE"/>
    <w:rsid w:val="006A7C07"/>
    <w:rsid w:val="00776C8E"/>
    <w:rsid w:val="007A4FB7"/>
    <w:rsid w:val="007C4249"/>
    <w:rsid w:val="007D68E4"/>
    <w:rsid w:val="00815034"/>
    <w:rsid w:val="00874192"/>
    <w:rsid w:val="0088381D"/>
    <w:rsid w:val="00884510"/>
    <w:rsid w:val="008B152D"/>
    <w:rsid w:val="008D7A88"/>
    <w:rsid w:val="0093541E"/>
    <w:rsid w:val="00957998"/>
    <w:rsid w:val="0096016B"/>
    <w:rsid w:val="009B0EB9"/>
    <w:rsid w:val="009C0437"/>
    <w:rsid w:val="009E495C"/>
    <w:rsid w:val="00A677AE"/>
    <w:rsid w:val="00A82F08"/>
    <w:rsid w:val="00AC4EA2"/>
    <w:rsid w:val="00AF0ABA"/>
    <w:rsid w:val="00B534FF"/>
    <w:rsid w:val="00B551F0"/>
    <w:rsid w:val="00B56096"/>
    <w:rsid w:val="00B56ED6"/>
    <w:rsid w:val="00B82938"/>
    <w:rsid w:val="00BA6451"/>
    <w:rsid w:val="00BE2283"/>
    <w:rsid w:val="00C36F92"/>
    <w:rsid w:val="00C740A5"/>
    <w:rsid w:val="00C83821"/>
    <w:rsid w:val="00CF5696"/>
    <w:rsid w:val="00D46367"/>
    <w:rsid w:val="00D51B6B"/>
    <w:rsid w:val="00F107CB"/>
    <w:rsid w:val="00F24238"/>
    <w:rsid w:val="00F4685A"/>
    <w:rsid w:val="00FC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EEEB6"/>
  <w15:docId w15:val="{52F8C057-66E3-4805-B870-FD52A172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spacing w:before="309"/>
      <w:ind w:left="874"/>
      <w:jc w:val="both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136"/>
      <w:ind w:left="874"/>
      <w:outlineLvl w:val="1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1"/>
      <w:ind w:left="874"/>
    </w:pPr>
    <w:rPr>
      <w:sz w:val="48"/>
      <w:szCs w:val="48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0D313C"/>
    <w:pPr>
      <w:widowControl/>
      <w:autoSpaceDE/>
      <w:autoSpaceDN/>
    </w:pPr>
    <w:rPr>
      <w:rFonts w:ascii="Calibri" w:eastAsia="Calibri" w:hAnsi="Calibri"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4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40A5"/>
    <w:rPr>
      <w:rFonts w:ascii="Calibri" w:eastAsia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4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40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40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40A5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40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40A5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chr.coe.int/Documents/Convention_ENG.pdf" TargetMode="External"/><Relationship Id="rId18" Type="http://schemas.openxmlformats.org/officeDocument/2006/relationships/hyperlink" Target="http://hudoc.echr.coe.int/eng?i=001-61868" TargetMode="External"/><Relationship Id="rId26" Type="http://schemas.openxmlformats.org/officeDocument/2006/relationships/hyperlink" Target="http://hudoc.echr.coe.int/eng-press?i=003-3130633-3471579" TargetMode="External"/><Relationship Id="rId39" Type="http://schemas.openxmlformats.org/officeDocument/2006/relationships/hyperlink" Target="http://hudoc.echr.coe.int/eng?i=002-10967" TargetMode="External"/><Relationship Id="rId21" Type="http://schemas.openxmlformats.org/officeDocument/2006/relationships/header" Target="header1.xml"/><Relationship Id="rId34" Type="http://schemas.openxmlformats.org/officeDocument/2006/relationships/hyperlink" Target="http://hudoc.echr.coe.int/eng?i=001-67928" TargetMode="External"/><Relationship Id="rId42" Type="http://schemas.openxmlformats.org/officeDocument/2006/relationships/hyperlink" Target="http://hudoc.echr.coe.int/eng?i=001-72865" TargetMode="External"/><Relationship Id="rId47" Type="http://schemas.openxmlformats.org/officeDocument/2006/relationships/hyperlink" Target="http://hudoc.echr.coe.int/eng?i=001-76141" TargetMode="External"/><Relationship Id="rId50" Type="http://schemas.openxmlformats.org/officeDocument/2006/relationships/hyperlink" Target="http://hudoc.echr.coe.int/eng?i=001-82719" TargetMode="Externa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http://hudoc.echr.coe.int/eng-press?i=003-68479-68947" TargetMode="External"/><Relationship Id="rId29" Type="http://schemas.openxmlformats.org/officeDocument/2006/relationships/hyperlink" Target="http://hudoc.echr.coe.int/eng-press?i=003-6924523-9305141" TargetMode="External"/><Relationship Id="rId11" Type="http://schemas.openxmlformats.org/officeDocument/2006/relationships/hyperlink" Target="http://hudoc.echr.coe.int/eng?i=001-57536" TargetMode="External"/><Relationship Id="rId24" Type="http://schemas.openxmlformats.org/officeDocument/2006/relationships/hyperlink" Target="https://hudoc.echr.coe.int/eng?i=002-13448" TargetMode="External"/><Relationship Id="rId32" Type="http://schemas.openxmlformats.org/officeDocument/2006/relationships/hyperlink" Target="https://hudoc.echr.coe.int/fre?i=003-7260209-9885478" TargetMode="External"/><Relationship Id="rId37" Type="http://schemas.openxmlformats.org/officeDocument/2006/relationships/hyperlink" Target="http://hudoc.echr.coe.int/eng-press?i=003-4734064-5752880" TargetMode="External"/><Relationship Id="rId40" Type="http://schemas.openxmlformats.org/officeDocument/2006/relationships/hyperlink" Target="http://hudoc.echr.coe.int/eng?i=002-3442" TargetMode="External"/><Relationship Id="rId45" Type="http://schemas.openxmlformats.org/officeDocument/2006/relationships/hyperlink" Target="http://hudoc.echr.coe.int/eng?i=001-76107" TargetMode="External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hudoc.echr.coe.int/eng?i=001-57536" TargetMode="External"/><Relationship Id="rId19" Type="http://schemas.openxmlformats.org/officeDocument/2006/relationships/hyperlink" Target="http://hudoc.echr.coe.int/eng?i=003-1030775-1066228" TargetMode="External"/><Relationship Id="rId31" Type="http://schemas.openxmlformats.org/officeDocument/2006/relationships/hyperlink" Target="https://hudoc.echr.coe.int/eng?i=002-13458" TargetMode="External"/><Relationship Id="rId44" Type="http://schemas.openxmlformats.org/officeDocument/2006/relationships/hyperlink" Target="http://hudoc.echr.coe.int/eng?i=001-75492" TargetMode="External"/><Relationship Id="rId52" Type="http://schemas.openxmlformats.org/officeDocument/2006/relationships/hyperlink" Target="https://www.echr.coe.int/Documents/Guide_Art_3_Protocol_1_ENG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chr.coe.int/Documents/Convention_ENG.pdf" TargetMode="External"/><Relationship Id="rId14" Type="http://schemas.openxmlformats.org/officeDocument/2006/relationships/hyperlink" Target="http://hudoc.echr.coe.int/eng?i=001-57536" TargetMode="External"/><Relationship Id="rId22" Type="http://schemas.openxmlformats.org/officeDocument/2006/relationships/footer" Target="footer1.xml"/><Relationship Id="rId27" Type="http://schemas.openxmlformats.org/officeDocument/2006/relationships/hyperlink" Target="http://hudoc.echr.coe.int/sites/eng/pages/search.aspx?i=001-146411" TargetMode="External"/><Relationship Id="rId30" Type="http://schemas.openxmlformats.org/officeDocument/2006/relationships/hyperlink" Target="http://hudoc.echr.coe.int/eng-press?i=003-7018354-9466817" TargetMode="External"/><Relationship Id="rId35" Type="http://schemas.openxmlformats.org/officeDocument/2006/relationships/hyperlink" Target="http://hudoc.echr.coe.int/eng-press?i=003-3877920-4465761" TargetMode="External"/><Relationship Id="rId43" Type="http://schemas.openxmlformats.org/officeDocument/2006/relationships/hyperlink" Target="http://hudoc.echr.coe.int/eng?i=001-75488" TargetMode="External"/><Relationship Id="rId48" Type="http://schemas.openxmlformats.org/officeDocument/2006/relationships/hyperlink" Target="http://hudoc.echr.coe.int/eng?i=001-76355" TargetMode="External"/><Relationship Id="rId8" Type="http://schemas.openxmlformats.org/officeDocument/2006/relationships/hyperlink" Target="http://www.echr.coe.int/Documents/Convention_ENG.pdf" TargetMode="External"/><Relationship Id="rId51" Type="http://schemas.openxmlformats.org/officeDocument/2006/relationships/hyperlink" Target="https://www.echr.coe.int/Documents/Guide_Art_3_Protocol_1_ENG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echr.coe.int/Documents/Convention_ENG.pdf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://www.echr.coe.int/Documents/Convention_ENG.pdf" TargetMode="External"/><Relationship Id="rId33" Type="http://schemas.openxmlformats.org/officeDocument/2006/relationships/hyperlink" Target="https://www.echr.coe.int/Documents/FS_Prisoners_vote_ENG.pdf" TargetMode="External"/><Relationship Id="rId38" Type="http://schemas.openxmlformats.org/officeDocument/2006/relationships/hyperlink" Target="http://www.venice.coe.int/webforms/events/default.aspx?lang=EN" TargetMode="External"/><Relationship Id="rId46" Type="http://schemas.openxmlformats.org/officeDocument/2006/relationships/hyperlink" Target="http://hudoc.echr.coe.int/eng?i=001-76108" TargetMode="External"/><Relationship Id="rId20" Type="http://schemas.openxmlformats.org/officeDocument/2006/relationships/hyperlink" Target="https://hudoc.echr.coe.int/eng-press?i=003-7486437-10268862" TargetMode="External"/><Relationship Id="rId41" Type="http://schemas.openxmlformats.org/officeDocument/2006/relationships/hyperlink" Target="http://hudoc.echr.coe.int/eng?i=001-72864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://hudoc.echr.coe.int/eng?i=001-57536" TargetMode="External"/><Relationship Id="rId23" Type="http://schemas.openxmlformats.org/officeDocument/2006/relationships/hyperlink" Target="https://hudoc.echr.coe.int/eng-press?i=003-7728774-10687753" TargetMode="External"/><Relationship Id="rId28" Type="http://schemas.openxmlformats.org/officeDocument/2006/relationships/hyperlink" Target="http://hudoc.echr.coe.int/sites/eng/pages/search.aspx?i=001-147275" TargetMode="External"/><Relationship Id="rId36" Type="http://schemas.openxmlformats.org/officeDocument/2006/relationships/hyperlink" Target="http://hudoc.echr.coe.int/eng-press?i=003-4350682-5218120" TargetMode="External"/><Relationship Id="rId49" Type="http://schemas.openxmlformats.org/officeDocument/2006/relationships/hyperlink" Target="http://hudoc.echr.coe.int/eng?i=001-764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3985</Words>
  <Characters>23914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FS_Vote_ENG</vt:lpstr>
    </vt:vector>
  </TitlesOfParts>
  <Company>European Court of Human Right</Company>
  <LinksUpToDate>false</LinksUpToDate>
  <CharactersWithSpaces>27844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FS_Vote_ENG</dc:title>
  <dc:subject>FS_Vote_ENG</dc:subject>
  <dc:creator>Dębski Bartosz  (DWMPC)</dc:creator>
  <cp:keywords>, docId:676D2E9D619D1ABEFA3B6F041D8DA33A</cp:keywords>
  <cp:lastModifiedBy>Szponar Paweł  (DWMPC)</cp:lastModifiedBy>
  <cp:revision>19</cp:revision>
  <dcterms:created xsi:type="dcterms:W3CDTF">2025-10-23T13:41:00Z</dcterms:created>
  <dcterms:modified xsi:type="dcterms:W3CDTF">2026-06-02T07:48:00Z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Acrobat PDFMaker 23 for Word</vt:lpwstr>
  </property>
  <property fmtid="{D5CDD505-2E9C-101B-9397-08002B2CF9AE}" pid="4" name="eDOCS AutoSave">
    <vt:lpwstr>20230929113122654</vt:lpwstr>
  </property>
  <property fmtid="{D5CDD505-2E9C-101B-9397-08002B2CF9AE}" pid="5" name="LastSaved">
    <vt:filetime>2025-10-23T00:00:00Z</vt:filetime>
  </property>
  <property fmtid="{D5CDD505-2E9C-101B-9397-08002B2CF9AE}" pid="6" name="LaunchFolder">
    <vt:lpwstr>O:\Templates\</vt:lpwstr>
  </property>
  <property fmtid="{D5CDD505-2E9C-101B-9397-08002B2CF9AE}" pid="7" name="OrigTemp">
    <vt:lpwstr>NEW_ Press_Country_Files.dot</vt:lpwstr>
  </property>
  <property fmtid="{D5CDD505-2E9C-101B-9397-08002B2CF9AE}" pid="8" name="Producer">
    <vt:lpwstr>Adobe PDF Library 23.6.96</vt:lpwstr>
  </property>
  <property fmtid="{D5CDD505-2E9C-101B-9397-08002B2CF9AE}" pid="9" name="SourceModified">
    <vt:lpwstr>D:20230929093232</vt:lpwstr>
  </property>
</Properties>
</file>