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6AF" w:rsidRDefault="004356AF" w:rsidP="004356AF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</w:pPr>
      <w:r>
        <w:rPr>
          <w:rStyle w:val="Nagwek1"/>
          <w:rFonts w:ascii="Times New Roman" w:hAnsi="Times New Roman" w:cs="Times New Roman"/>
          <w:b/>
          <w:sz w:val="24"/>
          <w:szCs w:val="24"/>
        </w:rPr>
        <w:t xml:space="preserve">Załącznik nr 2 do </w:t>
      </w:r>
      <w:proofErr w:type="spellStart"/>
      <w:r>
        <w:rPr>
          <w:rStyle w:val="Nagwek1"/>
          <w:rFonts w:ascii="Times New Roman" w:hAnsi="Times New Roman" w:cs="Times New Roman"/>
          <w:b/>
          <w:sz w:val="24"/>
          <w:szCs w:val="24"/>
        </w:rPr>
        <w:t>swz</w:t>
      </w:r>
      <w:proofErr w:type="spellEnd"/>
    </w:p>
    <w:p w:rsidR="004356AF" w:rsidRPr="009C7FC7" w:rsidRDefault="004356AF" w:rsidP="004356AF">
      <w:pPr>
        <w:spacing w:line="320" w:lineRule="exact"/>
        <w:contextualSpacing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  <w:r w:rsidRPr="009C7FC7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Formularz cenowy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88"/>
        <w:gridCol w:w="1221"/>
        <w:gridCol w:w="994"/>
        <w:gridCol w:w="1221"/>
        <w:gridCol w:w="1540"/>
        <w:gridCol w:w="1660"/>
        <w:gridCol w:w="940"/>
        <w:gridCol w:w="2913"/>
      </w:tblGrid>
      <w:tr w:rsidR="004356AF" w:rsidRPr="008B0FA2" w:rsidTr="00976168">
        <w:trPr>
          <w:trHeight w:val="102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ind w:right="212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netto za jednostkę określoną w kolumnie D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3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brutto w zł </w:t>
            </w:r>
          </w:p>
        </w:tc>
      </w:tr>
      <w:tr w:rsidR="004356AF" w:rsidRPr="008B0FA2" w:rsidTr="00976168">
        <w:trPr>
          <w:trHeight w:val="34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 = F *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= H + H * G</w:t>
            </w:r>
          </w:p>
        </w:tc>
      </w:tr>
      <w:tr w:rsidR="004356AF" w:rsidRPr="008B0FA2" w:rsidTr="00976168">
        <w:trPr>
          <w:trHeight w:val="422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GAZ ZIEMNY GZ50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545 453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3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DYSTRYBUCYJNA ZMIENNA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:rsidR="004356AF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545 453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56AF" w:rsidRPr="008B0FA2" w:rsidTr="00976168">
        <w:trPr>
          <w:trHeight w:val="3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ABONAMENTOWA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4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jednorazowe (wskazać)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461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miesięczne (wskazać)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 godzin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netto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VA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62763D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 w zł</w:t>
            </w: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DYSTRYBUCYJNA STAŁA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56AF" w:rsidRPr="008B0FA2" w:rsidTr="0097616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:rsidR="004356AF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F" w:rsidRPr="008B0FA2" w:rsidRDefault="004356AF" w:rsidP="00976168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356AF" w:rsidRDefault="004356AF" w:rsidP="004356AF">
      <w:pPr>
        <w:spacing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złożono ofertę, której wybór prowadziłby do powstania u zamawiającego obowiązku podatkowego zgodnie 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przepisami o podatku od towarów i usług, prosimy o podawanie jedynie wartości netto oraz złożenie stosownego oświadczenia w Formularzu Oferty. Zamawiający w celu oceny takiej oferty doliczy do przedstawionej w niej ceny podatek od towarów i usług, który miałby obowiązek rozliczyć zgodnie z tymi przepisami. (art. 225 </w:t>
      </w:r>
      <w:proofErr w:type="spellStart"/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</w:t>
      </w:r>
    </w:p>
    <w:p w:rsidR="004356AF" w:rsidRPr="008B0FA2" w:rsidRDefault="004356AF" w:rsidP="004356AF">
      <w:pPr>
        <w:spacing w:after="0"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 ceny jednostkowe można  podać z dokładnością do więcej niż dwóch miejsc po przecinku.</w:t>
      </w:r>
    </w:p>
    <w:p w:rsidR="004356AF" w:rsidRPr="004356AF" w:rsidRDefault="004356AF" w:rsidP="004356AF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WYMAGA WYPEŁNIENIA BIAŁYCH PÓL ARKUSZA - o ile dotyczą 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356AF" w:rsidRPr="004356AF" w:rsidSect="004356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AF"/>
    <w:rsid w:val="004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A50A"/>
  <w15:chartTrackingRefBased/>
  <w15:docId w15:val="{5DB272C6-CBFF-470C-B1C0-E71A027E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6A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rsid w:val="004356A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356AF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2023-04-18T13:24:00Z</dcterms:created>
  <dcterms:modified xsi:type="dcterms:W3CDTF">2023-04-18T13:26:00Z</dcterms:modified>
</cp:coreProperties>
</file>