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6F" w:rsidRPr="0019456F" w:rsidRDefault="0019456F" w:rsidP="0019456F">
      <w:pPr>
        <w:spacing w:after="0"/>
        <w:rPr>
          <w:sz w:val="20"/>
          <w:szCs w:val="20"/>
        </w:rPr>
      </w:pPr>
      <w:r w:rsidRPr="0019456F">
        <w:rPr>
          <w:sz w:val="20"/>
          <w:szCs w:val="20"/>
        </w:rPr>
        <w:t xml:space="preserve">Wersja obowiązująca na dzień 23 stycznia 2018 r. </w:t>
      </w:r>
    </w:p>
    <w:p w:rsidR="00F54234" w:rsidRPr="0019456F" w:rsidRDefault="00F54234">
      <w:pPr>
        <w:spacing w:after="0"/>
        <w:rPr>
          <w:sz w:val="20"/>
          <w:szCs w:val="20"/>
        </w:rPr>
      </w:pPr>
    </w:p>
    <w:p w:rsidR="00F54234" w:rsidRPr="0019456F" w:rsidRDefault="0019456F">
      <w:pPr>
        <w:spacing w:before="146" w:after="0"/>
        <w:jc w:val="center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ROZPORZĄDZENIE KOMISJI (WE) NR 1497/2007</w:t>
      </w:r>
    </w:p>
    <w:p w:rsidR="00F54234" w:rsidRPr="0019456F" w:rsidRDefault="0019456F">
      <w:pPr>
        <w:spacing w:before="80" w:after="0"/>
        <w:jc w:val="center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z</w:t>
      </w:r>
      <w:proofErr w:type="gramEnd"/>
      <w:r w:rsidRPr="0019456F">
        <w:rPr>
          <w:color w:val="000000"/>
          <w:sz w:val="20"/>
          <w:szCs w:val="20"/>
        </w:rPr>
        <w:t xml:space="preserve"> dnia 18 grudnia 2007 r.</w:t>
      </w:r>
    </w:p>
    <w:p w:rsidR="00F54234" w:rsidRPr="0019456F" w:rsidRDefault="0019456F">
      <w:pPr>
        <w:spacing w:before="80" w:after="0"/>
        <w:jc w:val="center"/>
        <w:rPr>
          <w:sz w:val="20"/>
          <w:szCs w:val="20"/>
        </w:rPr>
      </w:pPr>
      <w:proofErr w:type="gramStart"/>
      <w:r w:rsidRPr="0019456F">
        <w:rPr>
          <w:b/>
          <w:color w:val="000000"/>
          <w:sz w:val="20"/>
          <w:szCs w:val="20"/>
        </w:rPr>
        <w:t>ustanawiające</w:t>
      </w:r>
      <w:proofErr w:type="gramEnd"/>
      <w:r w:rsidRPr="0019456F">
        <w:rPr>
          <w:b/>
          <w:color w:val="000000"/>
          <w:sz w:val="20"/>
          <w:szCs w:val="20"/>
        </w:rPr>
        <w:t xml:space="preserve"> zgo</w:t>
      </w:r>
      <w:r w:rsidRPr="0019456F">
        <w:rPr>
          <w:b/>
          <w:color w:val="000000"/>
          <w:sz w:val="20"/>
          <w:szCs w:val="20"/>
        </w:rPr>
        <w:t xml:space="preserve">dnie z rozporządzeniem (WE) nr 842/2006 Parlamentu Europejskiego i Rady </w:t>
      </w:r>
      <w:bookmarkStart w:id="0" w:name="_GoBack"/>
      <w:r w:rsidRPr="0019456F">
        <w:rPr>
          <w:b/>
          <w:color w:val="000000"/>
          <w:sz w:val="20"/>
          <w:szCs w:val="20"/>
        </w:rPr>
        <w:t>standardowe wymogi w zakresie kontroli szczelności w odniesieniu do stacjonarnych systemów ochrony przeciwpożarowej zawierających niektóre fluorowane gazy cieplarniane</w:t>
      </w:r>
      <w:bookmarkEnd w:id="0"/>
    </w:p>
    <w:p w:rsidR="00F54234" w:rsidRPr="0019456F" w:rsidRDefault="0019456F">
      <w:pPr>
        <w:spacing w:after="0"/>
        <w:jc w:val="center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(Tekst mający zn</w:t>
      </w:r>
      <w:r w:rsidRPr="0019456F">
        <w:rPr>
          <w:color w:val="000000"/>
          <w:sz w:val="20"/>
          <w:szCs w:val="20"/>
        </w:rPr>
        <w:t>aczenie dla EOG)</w:t>
      </w:r>
    </w:p>
    <w:p w:rsidR="00F54234" w:rsidRPr="0019456F" w:rsidRDefault="0019456F">
      <w:pPr>
        <w:spacing w:before="80" w:after="0"/>
        <w:jc w:val="center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KOMISJA WSPÓLNOT EUROPEJSKICH,</w:t>
      </w:r>
    </w:p>
    <w:p w:rsidR="00F54234" w:rsidRPr="0019456F" w:rsidRDefault="0019456F">
      <w:pPr>
        <w:spacing w:before="25" w:after="0"/>
        <w:jc w:val="center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uwzględniając</w:t>
      </w:r>
      <w:proofErr w:type="gramEnd"/>
      <w:r w:rsidRPr="0019456F">
        <w:rPr>
          <w:color w:val="000000"/>
          <w:sz w:val="20"/>
          <w:szCs w:val="20"/>
        </w:rPr>
        <w:t xml:space="preserve"> </w:t>
      </w:r>
      <w:r w:rsidRPr="0019456F">
        <w:rPr>
          <w:color w:val="1B1B1B"/>
          <w:sz w:val="20"/>
          <w:szCs w:val="20"/>
        </w:rPr>
        <w:t>Traktat</w:t>
      </w:r>
      <w:r w:rsidRPr="0019456F">
        <w:rPr>
          <w:color w:val="000000"/>
          <w:sz w:val="20"/>
          <w:szCs w:val="20"/>
        </w:rPr>
        <w:t xml:space="preserve"> ustanawiający Wspólnotę Europejską,</w:t>
      </w:r>
    </w:p>
    <w:p w:rsidR="00F54234" w:rsidRPr="0019456F" w:rsidRDefault="0019456F">
      <w:pPr>
        <w:spacing w:before="25" w:after="0"/>
        <w:jc w:val="center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uwzględniając</w:t>
      </w:r>
      <w:proofErr w:type="gramEnd"/>
      <w:r w:rsidRPr="0019456F">
        <w:rPr>
          <w:color w:val="000000"/>
          <w:sz w:val="20"/>
          <w:szCs w:val="20"/>
        </w:rPr>
        <w:t xml:space="preserve"> rozporządzenie (WE) nr 842/2006 Parlamentu Europejskiego i Rady z dnia 17 maja 2006 r. w sprawie niektórych fluorowanych gazów cieplarni</w:t>
      </w:r>
      <w:r w:rsidRPr="0019456F">
        <w:rPr>
          <w:color w:val="000000"/>
          <w:sz w:val="20"/>
          <w:szCs w:val="20"/>
        </w:rPr>
        <w:t>anych</w:t>
      </w:r>
      <w:r w:rsidRPr="0019456F">
        <w:rPr>
          <w:color w:val="000000"/>
          <w:sz w:val="20"/>
          <w:szCs w:val="20"/>
          <w:vertAlign w:val="superscript"/>
        </w:rPr>
        <w:t>(1)</w:t>
      </w:r>
      <w:r w:rsidRPr="0019456F">
        <w:rPr>
          <w:color w:val="000000"/>
          <w:sz w:val="20"/>
          <w:szCs w:val="20"/>
        </w:rPr>
        <w:t xml:space="preserve">, w szczególności jego </w:t>
      </w:r>
      <w:r w:rsidRPr="0019456F">
        <w:rPr>
          <w:color w:val="1B1B1B"/>
          <w:sz w:val="20"/>
          <w:szCs w:val="20"/>
        </w:rPr>
        <w:t>art. 3 ust. 7</w:t>
      </w:r>
      <w:r w:rsidRPr="0019456F">
        <w:rPr>
          <w:color w:val="000000"/>
          <w:sz w:val="20"/>
          <w:szCs w:val="20"/>
        </w:rPr>
        <w:t>,</w:t>
      </w:r>
    </w:p>
    <w:p w:rsidR="00F54234" w:rsidRPr="0019456F" w:rsidRDefault="0019456F">
      <w:pPr>
        <w:spacing w:before="25" w:after="0"/>
        <w:jc w:val="center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a</w:t>
      </w:r>
      <w:proofErr w:type="gramEnd"/>
      <w:r w:rsidRPr="0019456F">
        <w:rPr>
          <w:color w:val="000000"/>
          <w:sz w:val="20"/>
          <w:szCs w:val="20"/>
        </w:rPr>
        <w:t xml:space="preserve"> także mając na uwadze, co następuje: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(1) W systemach ochrony przeciwpożarowej składających się z szeregu połączonych zbiorników zainstalowanych ze względu na określone zagrożenie pożarowe na określonej przest</w:t>
      </w:r>
      <w:r w:rsidRPr="0019456F">
        <w:rPr>
          <w:color w:val="000000"/>
          <w:sz w:val="20"/>
          <w:szCs w:val="20"/>
        </w:rPr>
        <w:t xml:space="preserve">rzeni ładunek fluorowanych gazów cieplarnianych należy obliczać na podstawie sumy ładunku tych gazów w zbiornikach, </w:t>
      </w:r>
      <w:proofErr w:type="gramStart"/>
      <w:r w:rsidRPr="0019456F">
        <w:rPr>
          <w:color w:val="000000"/>
          <w:sz w:val="20"/>
          <w:szCs w:val="20"/>
        </w:rPr>
        <w:t>tak aby</w:t>
      </w:r>
      <w:proofErr w:type="gramEnd"/>
      <w:r w:rsidRPr="0019456F">
        <w:rPr>
          <w:color w:val="000000"/>
          <w:sz w:val="20"/>
          <w:szCs w:val="20"/>
        </w:rPr>
        <w:t xml:space="preserve"> zapewnić odpowiednią dla rzeczywistego ładunku fluorowanych gazów cieplarnianych częstotliwość kontroli.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(2) Zgodnie z </w:t>
      </w:r>
      <w:r w:rsidRPr="0019456F">
        <w:rPr>
          <w:color w:val="1B1B1B"/>
          <w:sz w:val="20"/>
          <w:szCs w:val="20"/>
        </w:rPr>
        <w:t>rozporządzeni</w:t>
      </w:r>
      <w:r w:rsidRPr="0019456F">
        <w:rPr>
          <w:color w:val="1B1B1B"/>
          <w:sz w:val="20"/>
          <w:szCs w:val="20"/>
        </w:rPr>
        <w:t>em</w:t>
      </w:r>
      <w:r w:rsidRPr="0019456F">
        <w:rPr>
          <w:color w:val="000000"/>
          <w:sz w:val="20"/>
          <w:szCs w:val="20"/>
        </w:rPr>
        <w:t xml:space="preserve"> (WE) nr 842/2006 dokumentacja dotycząca systemów ochrony przeciwpożarowej zawiera określone informacje. W celu zapewnienia skutecznego wdrożenia </w:t>
      </w:r>
      <w:r w:rsidRPr="0019456F">
        <w:rPr>
          <w:color w:val="1B1B1B"/>
          <w:sz w:val="20"/>
          <w:szCs w:val="20"/>
        </w:rPr>
        <w:t>rozporządzenia</w:t>
      </w:r>
      <w:r w:rsidRPr="0019456F">
        <w:rPr>
          <w:color w:val="000000"/>
          <w:sz w:val="20"/>
          <w:szCs w:val="20"/>
        </w:rPr>
        <w:t xml:space="preserve"> (WE) nr 842/2006 należy przewidzieć włączenie do dokumentacji dodatkowych informacji.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(3) W d</w:t>
      </w:r>
      <w:r w:rsidRPr="0019456F">
        <w:rPr>
          <w:color w:val="000000"/>
          <w:sz w:val="20"/>
          <w:szCs w:val="20"/>
        </w:rPr>
        <w:t>okumentacji należy zawrzeć informacje na temat ładunku fluorowanych gazów cieplarnianych. W przypadku, gdy ładunek fluorowanych gazów cieplarnianych nie jest znany, dany operator systemu ochrony przeciwpożarowej powinien zapewnić ustalenie tego ładunku prz</w:t>
      </w:r>
      <w:r w:rsidRPr="0019456F">
        <w:rPr>
          <w:color w:val="000000"/>
          <w:sz w:val="20"/>
          <w:szCs w:val="20"/>
        </w:rPr>
        <w:t>ez uprawniony personel w celu ułatwienia kontroli szczelności.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(4) Przed przeprowadzeniem kontroli szczelności uprawniony personel powinien uważnie sprawdzić informacje zawarte w dokumentacji dotyczącej systemu w celu określenia wszelkich wcześniejszych pr</w:t>
      </w:r>
      <w:r w:rsidRPr="0019456F">
        <w:rPr>
          <w:color w:val="000000"/>
          <w:sz w:val="20"/>
          <w:szCs w:val="20"/>
        </w:rPr>
        <w:t>oblemów, a także zapoznać się z wcześniejszymi sprawozdaniami.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(5) W celu zapewnienia skutecznej kontroli szczelności kontrole powinny koncentrować się na tych częściach systemu ochrony przeciwpożarowej, w których wystąpienie nieszczelności jest najbardzie</w:t>
      </w:r>
      <w:r w:rsidRPr="0019456F">
        <w:rPr>
          <w:color w:val="000000"/>
          <w:sz w:val="20"/>
          <w:szCs w:val="20"/>
        </w:rPr>
        <w:t>j prawdopodobne.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(6) W przypadku, gdy istnieją podstawy, aby przypuszczać, że wystąpiła nieszczelność, należy dokonać kontroli w celu jej identyfikacji i naprawy.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(7) Poważne zagrożenie wystąpieniem nieszczelności związane jest z wadliwą instalacją nowych </w:t>
      </w:r>
      <w:r w:rsidRPr="0019456F">
        <w:rPr>
          <w:color w:val="000000"/>
          <w:sz w:val="20"/>
          <w:szCs w:val="20"/>
        </w:rPr>
        <w:t>systemów. Dlatego nowo zainstalowane systemy powinny być poddawane kontroli szczelności natychmiast po ich oddaniu do eksploatacji.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(8) W celu zapewnienia skuteczności napraw systemu, kolejne kontrole, o których mowa w </w:t>
      </w:r>
      <w:r w:rsidRPr="0019456F">
        <w:rPr>
          <w:color w:val="1B1B1B"/>
          <w:sz w:val="20"/>
          <w:szCs w:val="20"/>
        </w:rPr>
        <w:t>rozporządzeniu</w:t>
      </w:r>
      <w:r w:rsidRPr="0019456F">
        <w:rPr>
          <w:color w:val="000000"/>
          <w:sz w:val="20"/>
          <w:szCs w:val="20"/>
        </w:rPr>
        <w:t xml:space="preserve"> (WE) nr 842/2006, powi</w:t>
      </w:r>
      <w:r w:rsidRPr="0019456F">
        <w:rPr>
          <w:color w:val="000000"/>
          <w:sz w:val="20"/>
          <w:szCs w:val="20"/>
        </w:rPr>
        <w:t>nny koncentrować się na tych częściach systemu, w których wykryto nieszczelność, oraz na częściach przylegających.</w:t>
      </w:r>
    </w:p>
    <w:p w:rsidR="00F54234" w:rsidRPr="0019456F" w:rsidRDefault="0019456F" w:rsidP="0019456F">
      <w:pPr>
        <w:spacing w:before="25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(9) Środki przewidziane w niniejszym rozporządzeniu są zgodne z opinią komitetu ustanowionego na mocy </w:t>
      </w:r>
      <w:r w:rsidRPr="0019456F">
        <w:rPr>
          <w:color w:val="1B1B1B"/>
          <w:sz w:val="20"/>
          <w:szCs w:val="20"/>
        </w:rPr>
        <w:t>art. 18 ust. 1</w:t>
      </w:r>
      <w:r w:rsidRPr="0019456F">
        <w:rPr>
          <w:color w:val="000000"/>
          <w:sz w:val="20"/>
          <w:szCs w:val="20"/>
        </w:rPr>
        <w:t xml:space="preserve"> rozporządzenia (WE) nr 2</w:t>
      </w:r>
      <w:r w:rsidRPr="0019456F">
        <w:rPr>
          <w:color w:val="000000"/>
          <w:sz w:val="20"/>
          <w:szCs w:val="20"/>
        </w:rPr>
        <w:t>037/2000 Parlamentu Europejskiego i Rady</w:t>
      </w:r>
      <w:r w:rsidRPr="0019456F">
        <w:rPr>
          <w:color w:val="000000"/>
          <w:sz w:val="20"/>
          <w:szCs w:val="20"/>
          <w:vertAlign w:val="superscript"/>
        </w:rPr>
        <w:t>(2)</w:t>
      </w:r>
      <w:r w:rsidRPr="0019456F">
        <w:rPr>
          <w:color w:val="000000"/>
          <w:sz w:val="20"/>
          <w:szCs w:val="20"/>
        </w:rPr>
        <w:t>,</w:t>
      </w:r>
    </w:p>
    <w:p w:rsidR="00F54234" w:rsidRPr="0019456F" w:rsidRDefault="0019456F">
      <w:pPr>
        <w:spacing w:before="25" w:after="0"/>
        <w:jc w:val="center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PRZYJMUJE NINIEJSZE ROZPORZĄDZENIE: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1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Przedmiot i zakres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Niniejszym rozporządzeniem ustanawia się zgodnie z </w:t>
      </w:r>
      <w:r w:rsidRPr="0019456F">
        <w:rPr>
          <w:color w:val="1B1B1B"/>
          <w:sz w:val="20"/>
          <w:szCs w:val="20"/>
        </w:rPr>
        <w:t>rozporządzeniem</w:t>
      </w:r>
      <w:r w:rsidRPr="0019456F">
        <w:rPr>
          <w:color w:val="000000"/>
          <w:sz w:val="20"/>
          <w:szCs w:val="20"/>
        </w:rPr>
        <w:t xml:space="preserve"> (WE) nr 842/2006 standardowe wymogi kontroli szczelności w odniesieniu do działających i tymczasowo wyłączonych z eksploatacji stacjonarnych systemów składających się z jednego zbiornika lub z szeregu połączonych </w:t>
      </w:r>
      <w:r w:rsidRPr="0019456F">
        <w:rPr>
          <w:color w:val="000000"/>
          <w:sz w:val="20"/>
          <w:szCs w:val="20"/>
        </w:rPr>
        <w:lastRenderedPageBreak/>
        <w:t>zbiorników wraz z elementami towarzyszącym</w:t>
      </w:r>
      <w:r w:rsidRPr="0019456F">
        <w:rPr>
          <w:color w:val="000000"/>
          <w:sz w:val="20"/>
          <w:szCs w:val="20"/>
        </w:rPr>
        <w:t>i zainstalowanymi ze względu na określone zagrożenie pożarowe na określonej przestrzeni, zwanych dalej "systemami ochrony przeciwpożarowej".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Niniejsze rozporządzenie stosuje się do systemów ochrony przeciwpożarowej zawierających przynajmniej 3 kg fluorowan</w:t>
      </w:r>
      <w:r w:rsidRPr="0019456F">
        <w:rPr>
          <w:color w:val="000000"/>
          <w:sz w:val="20"/>
          <w:szCs w:val="20"/>
        </w:rPr>
        <w:t>ych gazów cieplarnianych.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2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Dokumentacja dotycząca systemu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1. W dokumentacji, o której mowa w </w:t>
      </w:r>
      <w:r w:rsidRPr="0019456F">
        <w:rPr>
          <w:color w:val="1B1B1B"/>
          <w:sz w:val="20"/>
          <w:szCs w:val="20"/>
        </w:rPr>
        <w:t>art. 3 ust. 6</w:t>
      </w:r>
      <w:r w:rsidRPr="0019456F">
        <w:rPr>
          <w:color w:val="000000"/>
          <w:sz w:val="20"/>
          <w:szCs w:val="20"/>
        </w:rPr>
        <w:t xml:space="preserve"> rozporządzenia (WE) nr 842/2006, zwanej dalej "dokumentacją dotyczącą systemu", operator zamieszcza swoją nazwę, adres pocztowy i numer t</w:t>
      </w:r>
      <w:r w:rsidRPr="0019456F">
        <w:rPr>
          <w:color w:val="000000"/>
          <w:sz w:val="20"/>
          <w:szCs w:val="20"/>
        </w:rPr>
        <w:t>elefonu.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2. W dokumentacji dotyczącej systemu zamieszcza się informację na temat ładunku fluorowanych gazów cieplarnianych w systemie ochrony przeciwpożarowej.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3. W przypadku, gdy ładunek fluorowanych gazów cieplarnianych w systemie ochrony przeciwpożarowe</w:t>
      </w:r>
      <w:r w:rsidRPr="0019456F">
        <w:rPr>
          <w:color w:val="000000"/>
          <w:sz w:val="20"/>
          <w:szCs w:val="20"/>
        </w:rPr>
        <w:t>j nie jest podany w specyfikacji technicznej producenta lub na etykiecie systemu, operator zapewnia jego ustalenie przez uprawniony personel.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3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Kontrola dokumentacji dotyczącej systemu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1. Przed dokonaniem kontroli szczelności uprawniony personel</w:t>
      </w:r>
      <w:r w:rsidRPr="0019456F">
        <w:rPr>
          <w:color w:val="000000"/>
          <w:sz w:val="20"/>
          <w:szCs w:val="20"/>
        </w:rPr>
        <w:t xml:space="preserve"> sprawdza dokumentację dotyczącą systemu.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2. Szczególną uwagę poświęca się stosownym informacjom dotyczącym powtarzających się kwestii lub problemów.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4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Kontrole wzrokowe i ręczne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1. W celu wykrycia uszkodzeń i objawów nieszczelności uprawniony p</w:t>
      </w:r>
      <w:r w:rsidRPr="0019456F">
        <w:rPr>
          <w:color w:val="000000"/>
          <w:sz w:val="20"/>
          <w:szCs w:val="20"/>
        </w:rPr>
        <w:t>ersonel przeprowadza kontrole wzrokowe przyrządów kontrolnych, zbiorników, elementów składowych i połączeń pod ciśnieniem.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2. Uprawniony personel dokonuje kontroli w każdym przypadku, gdy istnieją podstawy, aby przypuszczać, że wystąpiła nieszczelność powo</w:t>
      </w:r>
      <w:r w:rsidRPr="0019456F">
        <w:rPr>
          <w:color w:val="000000"/>
          <w:sz w:val="20"/>
          <w:szCs w:val="20"/>
        </w:rPr>
        <w:t>dująca ulatnianie się fluorowanych gazów cieplarnianych w systemie ochrony przeciwpożarowej.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3. Za podstawę do takich przypuszczeń uważa się wystąpienie jednej lub kilku poniższych sytuacji: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a</w:t>
      </w:r>
      <w:proofErr w:type="gramEnd"/>
      <w:r w:rsidRPr="0019456F">
        <w:rPr>
          <w:color w:val="000000"/>
          <w:sz w:val="20"/>
          <w:szCs w:val="20"/>
        </w:rPr>
        <w:t>) stały system wykrywania nieszczelności informuje o wystąpieniu</w:t>
      </w:r>
      <w:r w:rsidRPr="0019456F">
        <w:rPr>
          <w:color w:val="000000"/>
          <w:sz w:val="20"/>
          <w:szCs w:val="20"/>
        </w:rPr>
        <w:t xml:space="preserve"> nieszczelności;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b</w:t>
      </w:r>
      <w:proofErr w:type="gramEnd"/>
      <w:r w:rsidRPr="0019456F">
        <w:rPr>
          <w:color w:val="000000"/>
          <w:sz w:val="20"/>
          <w:szCs w:val="20"/>
        </w:rPr>
        <w:t>) pojemnik wykazuje utratę ciśnienia o ponad 10 % po skorygowaniu względem temperatury;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c</w:t>
      </w:r>
      <w:proofErr w:type="gramEnd"/>
      <w:r w:rsidRPr="0019456F">
        <w:rPr>
          <w:color w:val="000000"/>
          <w:sz w:val="20"/>
          <w:szCs w:val="20"/>
        </w:rPr>
        <w:t>) pojemnik wykazuje utratę ilości środka gaśniczego o ponad 5 %;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proofErr w:type="gramStart"/>
      <w:r w:rsidRPr="0019456F">
        <w:rPr>
          <w:color w:val="000000"/>
          <w:sz w:val="20"/>
          <w:szCs w:val="20"/>
        </w:rPr>
        <w:t>d</w:t>
      </w:r>
      <w:proofErr w:type="gramEnd"/>
      <w:r w:rsidRPr="0019456F">
        <w:rPr>
          <w:color w:val="000000"/>
          <w:sz w:val="20"/>
          <w:szCs w:val="20"/>
        </w:rPr>
        <w:t>) inne oznaki utraty ładunku.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4. Kontrola ciśnieniomierzy i urządzeń kontrolujących</w:t>
      </w:r>
      <w:r w:rsidRPr="0019456F">
        <w:rPr>
          <w:color w:val="000000"/>
          <w:sz w:val="20"/>
          <w:szCs w:val="20"/>
        </w:rPr>
        <w:t xml:space="preserve"> wagę jest </w:t>
      </w:r>
      <w:proofErr w:type="gramStart"/>
      <w:r w:rsidRPr="0019456F">
        <w:rPr>
          <w:color w:val="000000"/>
          <w:sz w:val="20"/>
          <w:szCs w:val="20"/>
        </w:rPr>
        <w:t>dokonywana co</w:t>
      </w:r>
      <w:proofErr w:type="gramEnd"/>
      <w:r w:rsidRPr="0019456F">
        <w:rPr>
          <w:color w:val="000000"/>
          <w:sz w:val="20"/>
          <w:szCs w:val="20"/>
        </w:rPr>
        <w:t xml:space="preserve"> 12 miesięcy w celu zapewnienia ich właściwego działania.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5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Naprawa nieszczelności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1. Operator zapewnia przeprowadzenie naprawy lub wymiany przez personel uprawniony do tego rodzaju działań.</w:t>
      </w:r>
    </w:p>
    <w:p w:rsidR="00F54234" w:rsidRPr="0019456F" w:rsidRDefault="0019456F">
      <w:pPr>
        <w:spacing w:before="26"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2. Operator zapewnia przeprowa</w:t>
      </w:r>
      <w:r w:rsidRPr="0019456F">
        <w:rPr>
          <w:color w:val="000000"/>
          <w:sz w:val="20"/>
          <w:szCs w:val="20"/>
        </w:rPr>
        <w:t>dzenie próby szczelności przed ponownym napełnieniem.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6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Kolejne kontrole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Podczas dokonywania kolejnych kontroli, o których mowa w </w:t>
      </w:r>
      <w:r w:rsidRPr="0019456F">
        <w:rPr>
          <w:color w:val="1B1B1B"/>
          <w:sz w:val="20"/>
          <w:szCs w:val="20"/>
        </w:rPr>
        <w:t>art. 3 ust. 2</w:t>
      </w:r>
      <w:r w:rsidRPr="0019456F">
        <w:rPr>
          <w:color w:val="000000"/>
          <w:sz w:val="20"/>
          <w:szCs w:val="20"/>
        </w:rPr>
        <w:t xml:space="preserve"> akapit drugi rozporządzenia (WE) nr 842/2006, uprawniony personel koncentruje się na obszarach wykryt</w:t>
      </w:r>
      <w:r w:rsidRPr="0019456F">
        <w:rPr>
          <w:color w:val="000000"/>
          <w:sz w:val="20"/>
          <w:szCs w:val="20"/>
        </w:rPr>
        <w:t>ych i naprawionych nieszczelności oraz na obszarach przyległych, które podczas naprawy poddane zostały obciążeniu.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7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Wymogi dotyczące nowych systemów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Nowo zainstalowane systemy są poddawane kontroli szczelności natychmiast po ich oddaniu do eksp</w:t>
      </w:r>
      <w:r w:rsidRPr="0019456F">
        <w:rPr>
          <w:color w:val="000000"/>
          <w:sz w:val="20"/>
          <w:szCs w:val="20"/>
        </w:rPr>
        <w:t>loatacji.</w:t>
      </w:r>
    </w:p>
    <w:p w:rsidR="00F54234" w:rsidRPr="0019456F" w:rsidRDefault="00F54234">
      <w:pPr>
        <w:spacing w:before="80" w:after="0"/>
        <w:rPr>
          <w:sz w:val="20"/>
          <w:szCs w:val="20"/>
        </w:rPr>
      </w:pP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 xml:space="preserve">Artykuł  8 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b/>
          <w:color w:val="000000"/>
          <w:sz w:val="20"/>
          <w:szCs w:val="20"/>
        </w:rPr>
        <w:t>Wejście w życie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Niniejsze rozporządzenie wchodzi w życie dwudziestego dnia po jego opublikowaniu w </w:t>
      </w:r>
      <w:r w:rsidRPr="0019456F">
        <w:rPr>
          <w:i/>
          <w:color w:val="000000"/>
          <w:sz w:val="20"/>
          <w:szCs w:val="20"/>
        </w:rPr>
        <w:t>Dzienniku Urzędowym Unii Europejskiej</w:t>
      </w:r>
      <w:r w:rsidRPr="0019456F">
        <w:rPr>
          <w:color w:val="000000"/>
          <w:sz w:val="20"/>
          <w:szCs w:val="20"/>
        </w:rPr>
        <w:t>.</w:t>
      </w:r>
    </w:p>
    <w:p w:rsidR="00F54234" w:rsidRPr="0019456F" w:rsidRDefault="0019456F">
      <w:pPr>
        <w:spacing w:after="0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 xml:space="preserve">Niniejsze rozporządzenie wiąże w całości i jest bezpośrednio stosowane we wszystkich państwach </w:t>
      </w:r>
      <w:r w:rsidRPr="0019456F">
        <w:rPr>
          <w:color w:val="000000"/>
          <w:sz w:val="20"/>
          <w:szCs w:val="20"/>
        </w:rPr>
        <w:t>członkowskich.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Sporządzono w Brukseli, dnia 18 grudnia 2007 r.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28"/>
        <w:gridCol w:w="4629"/>
      </w:tblGrid>
      <w:tr w:rsidR="00F54234" w:rsidRPr="0019456F">
        <w:trPr>
          <w:trHeight w:val="30"/>
          <w:tblCellSpacing w:w="0" w:type="auto"/>
        </w:trPr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234" w:rsidRPr="0019456F" w:rsidRDefault="00F54234">
            <w:pPr>
              <w:rPr>
                <w:sz w:val="20"/>
                <w:szCs w:val="20"/>
              </w:rPr>
            </w:pPr>
          </w:p>
        </w:tc>
        <w:tc>
          <w:tcPr>
            <w:tcW w:w="6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234" w:rsidRPr="0019456F" w:rsidRDefault="0019456F">
            <w:pPr>
              <w:spacing w:after="0"/>
              <w:jc w:val="center"/>
              <w:rPr>
                <w:sz w:val="20"/>
                <w:szCs w:val="20"/>
              </w:rPr>
            </w:pPr>
            <w:r w:rsidRPr="0019456F">
              <w:rPr>
                <w:i/>
                <w:color w:val="000000"/>
                <w:sz w:val="20"/>
                <w:szCs w:val="20"/>
              </w:rPr>
              <w:t>W imieniu Komisji</w:t>
            </w:r>
          </w:p>
        </w:tc>
      </w:tr>
      <w:tr w:rsidR="00F54234" w:rsidRPr="0019456F">
        <w:trPr>
          <w:trHeight w:val="30"/>
          <w:tblCellSpacing w:w="0" w:type="auto"/>
        </w:trPr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234" w:rsidRPr="0019456F" w:rsidRDefault="00F54234">
            <w:pPr>
              <w:rPr>
                <w:sz w:val="20"/>
                <w:szCs w:val="20"/>
              </w:rPr>
            </w:pPr>
          </w:p>
        </w:tc>
        <w:tc>
          <w:tcPr>
            <w:tcW w:w="6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234" w:rsidRPr="0019456F" w:rsidRDefault="0019456F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19456F">
              <w:rPr>
                <w:color w:val="000000"/>
                <w:sz w:val="20"/>
                <w:szCs w:val="20"/>
              </w:rPr>
              <w:t>Stavros</w:t>
            </w:r>
            <w:proofErr w:type="spellEnd"/>
            <w:r w:rsidRPr="0019456F">
              <w:rPr>
                <w:color w:val="000000"/>
                <w:sz w:val="20"/>
                <w:szCs w:val="20"/>
              </w:rPr>
              <w:t xml:space="preserve"> DIMAS</w:t>
            </w:r>
          </w:p>
        </w:tc>
      </w:tr>
      <w:tr w:rsidR="00F54234" w:rsidRPr="0019456F">
        <w:trPr>
          <w:trHeight w:val="30"/>
          <w:tblCellSpacing w:w="0" w:type="auto"/>
        </w:trPr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234" w:rsidRPr="0019456F" w:rsidRDefault="00F54234">
            <w:pPr>
              <w:rPr>
                <w:sz w:val="20"/>
                <w:szCs w:val="20"/>
              </w:rPr>
            </w:pPr>
          </w:p>
        </w:tc>
        <w:tc>
          <w:tcPr>
            <w:tcW w:w="6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234" w:rsidRPr="0019456F" w:rsidRDefault="0019456F">
            <w:pPr>
              <w:spacing w:after="0"/>
              <w:jc w:val="center"/>
              <w:rPr>
                <w:sz w:val="20"/>
                <w:szCs w:val="20"/>
              </w:rPr>
            </w:pPr>
            <w:r w:rsidRPr="0019456F">
              <w:rPr>
                <w:i/>
                <w:color w:val="000000"/>
                <w:sz w:val="20"/>
                <w:szCs w:val="20"/>
              </w:rPr>
              <w:t>Członek Komisji</w:t>
            </w:r>
          </w:p>
        </w:tc>
      </w:tr>
    </w:tbl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</w:rPr>
        <w:t>______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  <w:vertAlign w:val="superscript"/>
        </w:rPr>
        <w:t>(1)</w:t>
      </w:r>
      <w:r w:rsidRPr="0019456F">
        <w:rPr>
          <w:color w:val="000000"/>
          <w:sz w:val="20"/>
          <w:szCs w:val="20"/>
        </w:rPr>
        <w:t xml:space="preserve"> Dz.U. L 161 z 14.6.2006, </w:t>
      </w:r>
      <w:proofErr w:type="gramStart"/>
      <w:r w:rsidRPr="0019456F">
        <w:rPr>
          <w:color w:val="000000"/>
          <w:sz w:val="20"/>
          <w:szCs w:val="20"/>
        </w:rPr>
        <w:t>str</w:t>
      </w:r>
      <w:proofErr w:type="gramEnd"/>
      <w:r w:rsidRPr="0019456F">
        <w:rPr>
          <w:color w:val="000000"/>
          <w:sz w:val="20"/>
          <w:szCs w:val="20"/>
        </w:rPr>
        <w:t>. 1.</w:t>
      </w:r>
    </w:p>
    <w:p w:rsidR="00F54234" w:rsidRPr="0019456F" w:rsidRDefault="0019456F">
      <w:pPr>
        <w:spacing w:before="25" w:after="0"/>
        <w:jc w:val="both"/>
        <w:rPr>
          <w:sz w:val="20"/>
          <w:szCs w:val="20"/>
        </w:rPr>
      </w:pPr>
      <w:r w:rsidRPr="0019456F">
        <w:rPr>
          <w:color w:val="000000"/>
          <w:sz w:val="20"/>
          <w:szCs w:val="20"/>
          <w:vertAlign w:val="superscript"/>
        </w:rPr>
        <w:t>(2)</w:t>
      </w:r>
      <w:r w:rsidRPr="0019456F">
        <w:rPr>
          <w:color w:val="000000"/>
          <w:sz w:val="20"/>
          <w:szCs w:val="20"/>
        </w:rPr>
        <w:t xml:space="preserve"> Dz.U. L 244 z 29.9.2000, </w:t>
      </w:r>
      <w:proofErr w:type="gramStart"/>
      <w:r w:rsidRPr="0019456F">
        <w:rPr>
          <w:color w:val="000000"/>
          <w:sz w:val="20"/>
          <w:szCs w:val="20"/>
        </w:rPr>
        <w:t>str</w:t>
      </w:r>
      <w:proofErr w:type="gramEnd"/>
      <w:r w:rsidRPr="0019456F">
        <w:rPr>
          <w:color w:val="000000"/>
          <w:sz w:val="20"/>
          <w:szCs w:val="20"/>
        </w:rPr>
        <w:t xml:space="preserve">. 1. </w:t>
      </w:r>
      <w:r w:rsidRPr="0019456F">
        <w:rPr>
          <w:color w:val="1B1B1B"/>
          <w:sz w:val="20"/>
          <w:szCs w:val="20"/>
        </w:rPr>
        <w:t>Rozporządzenie</w:t>
      </w:r>
      <w:r w:rsidRPr="0019456F">
        <w:rPr>
          <w:color w:val="000000"/>
          <w:sz w:val="20"/>
          <w:szCs w:val="20"/>
        </w:rPr>
        <w:t xml:space="preserve"> ostatnio zmienione </w:t>
      </w:r>
      <w:r w:rsidRPr="0019456F">
        <w:rPr>
          <w:color w:val="1B1B1B"/>
          <w:sz w:val="20"/>
          <w:szCs w:val="20"/>
        </w:rPr>
        <w:t>rozporządzeniem</w:t>
      </w:r>
      <w:r w:rsidRPr="0019456F">
        <w:rPr>
          <w:color w:val="000000"/>
          <w:sz w:val="20"/>
          <w:szCs w:val="20"/>
        </w:rPr>
        <w:t xml:space="preserve"> Komisji (WE) nr 899/2007 (Dz.U. L 196 z 28.7.2007, </w:t>
      </w:r>
      <w:proofErr w:type="gramStart"/>
      <w:r w:rsidRPr="0019456F">
        <w:rPr>
          <w:color w:val="000000"/>
          <w:sz w:val="20"/>
          <w:szCs w:val="20"/>
        </w:rPr>
        <w:t>str</w:t>
      </w:r>
      <w:proofErr w:type="gramEnd"/>
      <w:r w:rsidRPr="0019456F">
        <w:rPr>
          <w:color w:val="000000"/>
          <w:sz w:val="20"/>
          <w:szCs w:val="20"/>
        </w:rPr>
        <w:t>. 24).</w:t>
      </w:r>
    </w:p>
    <w:sectPr w:rsidR="00F54234" w:rsidRPr="0019456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A1278"/>
    <w:multiLevelType w:val="multilevel"/>
    <w:tmpl w:val="5FA4A7C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4234"/>
    <w:rsid w:val="0019456F"/>
    <w:rsid w:val="00F5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FC658-5282-421B-8F99-0B1C6D28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Wanczewski</cp:lastModifiedBy>
  <cp:revision>2</cp:revision>
  <dcterms:created xsi:type="dcterms:W3CDTF">2018-01-23T09:41:00Z</dcterms:created>
  <dcterms:modified xsi:type="dcterms:W3CDTF">2018-01-23T09:43:00Z</dcterms:modified>
</cp:coreProperties>
</file>